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Default="008B446D" w:rsidP="008B446D">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NAME:</w:t>
      </w:r>
      <w:r w:rsidR="006C11C4">
        <w:rPr>
          <w:rFonts w:asciiTheme="minorHAnsi" w:hAnsiTheme="minorHAnsi"/>
          <w:caps/>
          <w:color w:val="auto"/>
        </w:rPr>
        <w:t xml:space="preserve"> </w:t>
      </w:r>
      <w:r>
        <w:rPr>
          <w:rFonts w:asciiTheme="minorHAnsi" w:hAnsiTheme="minorHAnsi"/>
          <w:caps/>
          <w:color w:val="auto"/>
        </w:rPr>
        <w:t xml:space="preserve"> </w:t>
      </w:r>
      <w:r w:rsidR="00E95718">
        <w:rPr>
          <w:rFonts w:asciiTheme="minorHAnsi" w:hAnsiTheme="minorHAnsi"/>
          <w:caps/>
          <w:color w:val="auto"/>
        </w:rPr>
        <w:t>XXXXXX</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DD2958">
        <w:rPr>
          <w:rFonts w:asciiTheme="minorHAnsi" w:hAnsiTheme="minorHAnsi"/>
          <w:caps/>
          <w:color w:val="auto"/>
        </w:rPr>
        <w:t xml:space="preserve">         </w:t>
      </w:r>
      <w:r w:rsidR="00DD2958">
        <w:rPr>
          <w:rFonts w:asciiTheme="minorHAnsi" w:hAnsiTheme="minorHAnsi"/>
          <w:caps/>
          <w:color w:val="auto"/>
        </w:rPr>
        <w:tab/>
      </w:r>
      <w:r>
        <w:rPr>
          <w:rFonts w:asciiTheme="minorHAnsi" w:hAnsiTheme="minorHAnsi"/>
          <w:caps/>
          <w:color w:val="auto"/>
        </w:rPr>
        <w:t xml:space="preserve">BRANCH OF SERVICE: </w:t>
      </w:r>
      <w:r w:rsidR="006C11C4">
        <w:rPr>
          <w:rFonts w:asciiTheme="minorHAnsi" w:hAnsiTheme="minorHAnsi"/>
          <w:caps/>
          <w:color w:val="auto"/>
        </w:rPr>
        <w:t xml:space="preserve"> </w:t>
      </w:r>
      <w:r w:rsidR="00553F6E">
        <w:rPr>
          <w:rFonts w:asciiTheme="minorHAnsi" w:hAnsiTheme="minorHAnsi"/>
          <w:caps/>
          <w:color w:val="auto"/>
        </w:rPr>
        <w:t>navy</w:t>
      </w:r>
    </w:p>
    <w:p w:rsidR="00640D5C" w:rsidRDefault="008B446D" w:rsidP="00640D5C">
      <w:pPr>
        <w:tabs>
          <w:tab w:val="left" w:pos="288"/>
          <w:tab w:val="left" w:pos="4752"/>
        </w:tabs>
        <w:spacing w:line="240" w:lineRule="exact"/>
        <w:ind w:left="3600" w:right="-900" w:hanging="3600"/>
        <w:jc w:val="both"/>
        <w:rPr>
          <w:rFonts w:asciiTheme="minorHAnsi" w:hAnsiTheme="minorHAnsi"/>
          <w:caps/>
          <w:color w:val="auto"/>
        </w:rPr>
      </w:pPr>
      <w:r>
        <w:rPr>
          <w:rFonts w:asciiTheme="minorHAnsi" w:hAnsiTheme="minorHAnsi"/>
          <w:caps/>
          <w:color w:val="auto"/>
        </w:rPr>
        <w:t xml:space="preserve">CASE NUMBER: </w:t>
      </w:r>
      <w:r w:rsidR="006C11C4">
        <w:rPr>
          <w:rFonts w:asciiTheme="minorHAnsi" w:hAnsiTheme="minorHAnsi"/>
          <w:caps/>
          <w:color w:val="auto"/>
        </w:rPr>
        <w:t xml:space="preserve"> </w:t>
      </w:r>
      <w:r>
        <w:rPr>
          <w:rFonts w:asciiTheme="minorHAnsi" w:hAnsiTheme="minorHAnsi"/>
          <w:caps/>
          <w:color w:val="auto"/>
        </w:rPr>
        <w:t>PD</w:t>
      </w:r>
      <w:r w:rsidR="0062569D">
        <w:rPr>
          <w:rFonts w:asciiTheme="minorHAnsi" w:hAnsiTheme="minorHAnsi"/>
          <w:caps/>
          <w:color w:val="auto"/>
        </w:rPr>
        <w:t>0900278</w:t>
      </w:r>
      <w:r w:rsidR="00DD2958">
        <w:rPr>
          <w:rFonts w:asciiTheme="minorHAnsi" w:hAnsiTheme="minorHAnsi"/>
          <w:caps/>
          <w:color w:val="auto"/>
        </w:rPr>
        <w:tab/>
      </w:r>
      <w:r w:rsidR="00DD2958">
        <w:rPr>
          <w:rFonts w:asciiTheme="minorHAnsi" w:hAnsiTheme="minorHAnsi"/>
          <w:caps/>
          <w:color w:val="auto"/>
        </w:rPr>
        <w:tab/>
      </w:r>
      <w:r w:rsidR="00DD2958">
        <w:rPr>
          <w:rFonts w:asciiTheme="minorHAnsi" w:hAnsiTheme="minorHAnsi"/>
          <w:caps/>
          <w:color w:val="auto"/>
        </w:rPr>
        <w:tab/>
        <w:t xml:space="preserve">                       </w:t>
      </w:r>
      <w:r w:rsidR="00DD2958">
        <w:rPr>
          <w:rFonts w:asciiTheme="minorHAnsi" w:hAnsiTheme="minorHAnsi"/>
          <w:caps/>
          <w:color w:val="auto"/>
        </w:rPr>
        <w:tab/>
      </w:r>
      <w:r w:rsidR="00640D5C">
        <w:rPr>
          <w:rFonts w:asciiTheme="minorHAnsi" w:hAnsiTheme="minorHAnsi"/>
          <w:caps/>
          <w:color w:val="auto"/>
        </w:rPr>
        <w:t xml:space="preserve">TDRL DATE:  </w:t>
      </w:r>
      <w:r w:rsidR="008D4659">
        <w:rPr>
          <w:rFonts w:asciiTheme="minorHAnsi" w:hAnsiTheme="minorHAnsi"/>
          <w:caps/>
          <w:color w:val="auto"/>
        </w:rPr>
        <w:t>20050309</w:t>
      </w:r>
    </w:p>
    <w:p w:rsidR="00640D5C" w:rsidRDefault="00543436" w:rsidP="00640D5C">
      <w:pPr>
        <w:tabs>
          <w:tab w:val="left" w:pos="288"/>
          <w:tab w:val="left" w:pos="4752"/>
        </w:tabs>
        <w:spacing w:line="240" w:lineRule="exact"/>
        <w:ind w:left="3600" w:right="-900" w:hanging="3600"/>
        <w:jc w:val="both"/>
        <w:rPr>
          <w:rFonts w:asciiTheme="minorHAnsi" w:hAnsiTheme="minorHAnsi"/>
          <w:caps/>
          <w:color w:val="auto"/>
        </w:rPr>
      </w:pPr>
      <w:r>
        <w:rPr>
          <w:rFonts w:asciiTheme="minorHAnsi" w:hAnsiTheme="minorHAnsi"/>
          <w:caps/>
          <w:color w:val="auto"/>
        </w:rPr>
        <w:t>BOARD DATE:  2011</w:t>
      </w:r>
      <w:r w:rsidR="00DF1D21">
        <w:rPr>
          <w:rFonts w:asciiTheme="minorHAnsi" w:hAnsiTheme="minorHAnsi"/>
          <w:caps/>
          <w:color w:val="auto"/>
        </w:rPr>
        <w:t>0624</w:t>
      </w:r>
      <w:r w:rsidR="008D4659">
        <w:rPr>
          <w:rFonts w:asciiTheme="minorHAnsi" w:hAnsiTheme="minorHAnsi"/>
          <w:caps/>
          <w:color w:val="auto"/>
        </w:rPr>
        <w:tab/>
      </w:r>
      <w:r w:rsidR="008D4659">
        <w:rPr>
          <w:rFonts w:asciiTheme="minorHAnsi" w:hAnsiTheme="minorHAnsi"/>
          <w:caps/>
          <w:color w:val="auto"/>
        </w:rPr>
        <w:tab/>
      </w:r>
      <w:r w:rsidR="008D4659">
        <w:rPr>
          <w:rFonts w:asciiTheme="minorHAnsi" w:hAnsiTheme="minorHAnsi"/>
          <w:caps/>
          <w:color w:val="auto"/>
        </w:rPr>
        <w:tab/>
      </w:r>
      <w:r w:rsidR="008D4659">
        <w:rPr>
          <w:rFonts w:asciiTheme="minorHAnsi" w:hAnsiTheme="minorHAnsi"/>
          <w:caps/>
          <w:color w:val="auto"/>
        </w:rPr>
        <w:tab/>
        <w:t xml:space="preserve">           </w:t>
      </w:r>
      <w:r w:rsidR="00DD2958">
        <w:rPr>
          <w:rFonts w:asciiTheme="minorHAnsi" w:hAnsiTheme="minorHAnsi"/>
          <w:caps/>
          <w:color w:val="auto"/>
        </w:rPr>
        <w:tab/>
      </w:r>
      <w:r w:rsidR="008D4659">
        <w:rPr>
          <w:rFonts w:asciiTheme="minorHAnsi" w:hAnsiTheme="minorHAnsi"/>
          <w:caps/>
          <w:color w:val="auto"/>
        </w:rPr>
        <w:t>SEPARATION DATE:  200611</w:t>
      </w:r>
      <w:r w:rsidR="008D4659" w:rsidRPr="00E72B20">
        <w:rPr>
          <w:rFonts w:asciiTheme="minorHAnsi" w:hAnsiTheme="minorHAnsi"/>
          <w:caps/>
          <w:color w:val="auto"/>
        </w:rPr>
        <w:t>17</w:t>
      </w:r>
    </w:p>
    <w:p w:rsidR="00D560DC" w:rsidRPr="00CC37DA" w:rsidRDefault="00D560DC" w:rsidP="00D560DC">
      <w:pPr>
        <w:tabs>
          <w:tab w:val="left" w:pos="288"/>
          <w:tab w:val="left" w:pos="4752"/>
        </w:tabs>
        <w:spacing w:line="240" w:lineRule="exact"/>
        <w:jc w:val="both"/>
        <w:rPr>
          <w:rFonts w:asciiTheme="minorHAnsi" w:hAnsiTheme="minorHAnsi"/>
          <w:caps/>
          <w:color w:val="auto"/>
        </w:rPr>
      </w:pPr>
      <w:r w:rsidRPr="00CC37DA">
        <w:rPr>
          <w:rFonts w:asciiTheme="minorHAnsi" w:hAnsiTheme="minorHAnsi"/>
          <w:b/>
          <w:color w:val="auto"/>
          <w:u w:val="single"/>
        </w:rPr>
        <w:t>______________________________________________________________________________</w:t>
      </w:r>
    </w:p>
    <w:p w:rsidR="00106AD8" w:rsidRPr="00CD5BD7" w:rsidRDefault="00106AD8" w:rsidP="00106AD8">
      <w:pPr>
        <w:tabs>
          <w:tab w:val="left" w:pos="288"/>
          <w:tab w:val="left" w:pos="4752"/>
        </w:tabs>
        <w:spacing w:line="240" w:lineRule="exact"/>
        <w:rPr>
          <w:rFonts w:ascii="Calibri" w:hAnsi="Calibri"/>
          <w:color w:val="000080"/>
          <w:szCs w:val="24"/>
        </w:rPr>
      </w:pPr>
    </w:p>
    <w:p w:rsidR="00B20624" w:rsidRPr="001E3441" w:rsidRDefault="002C6E5B" w:rsidP="00CD7DE7">
      <w:pPr>
        <w:tabs>
          <w:tab w:val="left" w:pos="288"/>
          <w:tab w:val="left" w:pos="4752"/>
        </w:tabs>
        <w:spacing w:line="240" w:lineRule="exact"/>
        <w:jc w:val="both"/>
        <w:rPr>
          <w:rFonts w:asciiTheme="minorHAnsi" w:hAnsiTheme="minorHAnsi"/>
          <w:color w:val="auto"/>
        </w:rPr>
      </w:pPr>
      <w:r w:rsidRPr="00396779">
        <w:rPr>
          <w:rFonts w:asciiTheme="minorHAnsi" w:hAnsiTheme="minorHAnsi"/>
          <w:color w:val="auto"/>
          <w:u w:val="single"/>
        </w:rPr>
        <w:t>SUMMARY OF CASE</w:t>
      </w:r>
      <w:r w:rsidRPr="00396779">
        <w:rPr>
          <w:rFonts w:asciiTheme="minorHAnsi" w:hAnsiTheme="minorHAnsi"/>
          <w:color w:val="auto"/>
        </w:rPr>
        <w:t>:</w:t>
      </w:r>
      <w:r w:rsidR="001E3441">
        <w:rPr>
          <w:rFonts w:asciiTheme="minorHAnsi" w:hAnsiTheme="minorHAnsi"/>
          <w:color w:val="auto"/>
        </w:rPr>
        <w:t xml:space="preserve">  </w:t>
      </w:r>
      <w:r w:rsidR="00403FA2">
        <w:rPr>
          <w:rFonts w:asciiTheme="minorHAnsi" w:hAnsiTheme="minorHAnsi"/>
          <w:color w:val="auto"/>
          <w:szCs w:val="24"/>
        </w:rPr>
        <w:t>D</w:t>
      </w:r>
      <w:r w:rsidR="00FF0EFB" w:rsidRPr="00525CA2">
        <w:rPr>
          <w:rFonts w:asciiTheme="minorHAnsi" w:hAnsiTheme="minorHAnsi"/>
          <w:color w:val="auto"/>
          <w:szCs w:val="24"/>
        </w:rPr>
        <w:t xml:space="preserve">ata extracted from the available evidence of record reflects that this covered individual (CI) </w:t>
      </w:r>
      <w:r w:rsidRPr="00525CA2">
        <w:rPr>
          <w:rFonts w:asciiTheme="minorHAnsi" w:hAnsiTheme="minorHAnsi"/>
          <w:color w:val="auto"/>
          <w:szCs w:val="24"/>
        </w:rPr>
        <w:t xml:space="preserve">was </w:t>
      </w:r>
      <w:r w:rsidR="00E322F7" w:rsidRPr="00525CA2">
        <w:rPr>
          <w:rFonts w:asciiTheme="minorHAnsi" w:hAnsiTheme="minorHAnsi"/>
          <w:color w:val="auto"/>
          <w:szCs w:val="24"/>
        </w:rPr>
        <w:t xml:space="preserve">an </w:t>
      </w:r>
      <w:r w:rsidR="005B02E3">
        <w:rPr>
          <w:rFonts w:asciiTheme="minorHAnsi" w:hAnsiTheme="minorHAnsi"/>
          <w:color w:val="auto"/>
          <w:szCs w:val="24"/>
        </w:rPr>
        <w:t>A</w:t>
      </w:r>
      <w:r w:rsidR="00E322F7" w:rsidRPr="00525CA2">
        <w:rPr>
          <w:rFonts w:asciiTheme="minorHAnsi" w:hAnsiTheme="minorHAnsi"/>
          <w:color w:val="auto"/>
          <w:szCs w:val="24"/>
        </w:rPr>
        <w:t xml:space="preserve">ctive </w:t>
      </w:r>
      <w:r w:rsidR="005B02E3">
        <w:rPr>
          <w:rFonts w:asciiTheme="minorHAnsi" w:hAnsiTheme="minorHAnsi"/>
          <w:color w:val="auto"/>
          <w:szCs w:val="24"/>
        </w:rPr>
        <w:t>D</w:t>
      </w:r>
      <w:r w:rsidR="00E322F7" w:rsidRPr="00525CA2">
        <w:rPr>
          <w:rFonts w:asciiTheme="minorHAnsi" w:hAnsiTheme="minorHAnsi"/>
          <w:color w:val="auto"/>
          <w:szCs w:val="24"/>
        </w:rPr>
        <w:t>uty</w:t>
      </w:r>
      <w:r w:rsidR="006D4E0E" w:rsidRPr="00525CA2">
        <w:rPr>
          <w:rFonts w:asciiTheme="minorHAnsi" w:hAnsiTheme="minorHAnsi"/>
          <w:color w:val="auto"/>
          <w:szCs w:val="24"/>
        </w:rPr>
        <w:t xml:space="preserve"> </w:t>
      </w:r>
      <w:r w:rsidR="005C4606">
        <w:rPr>
          <w:rFonts w:asciiTheme="minorHAnsi" w:hAnsiTheme="minorHAnsi"/>
          <w:color w:val="auto"/>
          <w:szCs w:val="24"/>
        </w:rPr>
        <w:t>AO3/E</w:t>
      </w:r>
      <w:r w:rsidR="00DD2958">
        <w:rPr>
          <w:rFonts w:asciiTheme="minorHAnsi" w:hAnsiTheme="minorHAnsi"/>
          <w:color w:val="auto"/>
          <w:szCs w:val="24"/>
        </w:rPr>
        <w:t>-</w:t>
      </w:r>
      <w:r w:rsidR="005C4606">
        <w:rPr>
          <w:rFonts w:asciiTheme="minorHAnsi" w:hAnsiTheme="minorHAnsi"/>
          <w:color w:val="auto"/>
          <w:szCs w:val="24"/>
        </w:rPr>
        <w:t>4</w:t>
      </w:r>
      <w:r w:rsidR="00705C40" w:rsidRPr="00525CA2">
        <w:rPr>
          <w:rFonts w:asciiTheme="minorHAnsi" w:hAnsiTheme="minorHAnsi"/>
          <w:color w:val="auto"/>
          <w:szCs w:val="24"/>
        </w:rPr>
        <w:t xml:space="preserve"> (</w:t>
      </w:r>
      <w:r w:rsidR="007F624F" w:rsidRPr="00525CA2">
        <w:rPr>
          <w:rFonts w:asciiTheme="minorHAnsi" w:hAnsiTheme="minorHAnsi"/>
          <w:color w:val="auto"/>
          <w:szCs w:val="24"/>
        </w:rPr>
        <w:t>DG 9760 Electrical/Mechanical Equipment Repairman</w:t>
      </w:r>
      <w:r w:rsidR="00E322F7" w:rsidRPr="00525CA2">
        <w:rPr>
          <w:rFonts w:asciiTheme="minorHAnsi" w:hAnsiTheme="minorHAnsi"/>
          <w:color w:val="auto"/>
          <w:szCs w:val="24"/>
        </w:rPr>
        <w:t xml:space="preserve">) </w:t>
      </w:r>
      <w:r w:rsidRPr="00525CA2">
        <w:rPr>
          <w:rFonts w:asciiTheme="minorHAnsi" w:hAnsiTheme="minorHAnsi"/>
          <w:color w:val="auto"/>
          <w:szCs w:val="24"/>
        </w:rPr>
        <w:t xml:space="preserve">medically separated from the </w:t>
      </w:r>
      <w:r w:rsidR="0020241C">
        <w:rPr>
          <w:rFonts w:asciiTheme="minorHAnsi" w:hAnsiTheme="minorHAnsi"/>
          <w:color w:val="auto"/>
          <w:szCs w:val="24"/>
        </w:rPr>
        <w:t>Navy for</w:t>
      </w:r>
      <w:r w:rsidR="003B7A1F" w:rsidRPr="00525CA2">
        <w:rPr>
          <w:rFonts w:asciiTheme="minorHAnsi" w:hAnsiTheme="minorHAnsi"/>
          <w:color w:val="auto"/>
          <w:szCs w:val="24"/>
        </w:rPr>
        <w:t xml:space="preserve"> </w:t>
      </w:r>
      <w:r w:rsidR="00C9194D" w:rsidRPr="00525CA2">
        <w:rPr>
          <w:rFonts w:asciiTheme="minorHAnsi" w:hAnsiTheme="minorHAnsi"/>
          <w:color w:val="auto"/>
          <w:szCs w:val="24"/>
        </w:rPr>
        <w:t>seizure disorder</w:t>
      </w:r>
      <w:r w:rsidR="000A7B8F" w:rsidRPr="00525CA2">
        <w:rPr>
          <w:rFonts w:asciiTheme="minorHAnsi" w:hAnsiTheme="minorHAnsi"/>
          <w:color w:val="auto"/>
          <w:szCs w:val="24"/>
        </w:rPr>
        <w:t xml:space="preserve">. </w:t>
      </w:r>
      <w:r w:rsidR="00A45325">
        <w:rPr>
          <w:rFonts w:asciiTheme="minorHAnsi" w:hAnsiTheme="minorHAnsi"/>
          <w:color w:val="auto"/>
          <w:szCs w:val="24"/>
        </w:rPr>
        <w:t xml:space="preserve"> </w:t>
      </w:r>
      <w:r w:rsidR="00E322F7" w:rsidRPr="00525CA2">
        <w:rPr>
          <w:rFonts w:asciiTheme="minorHAnsi" w:hAnsiTheme="minorHAnsi"/>
          <w:color w:val="auto"/>
          <w:szCs w:val="24"/>
        </w:rPr>
        <w:t xml:space="preserve">He did not respond adequately to perform within his </w:t>
      </w:r>
      <w:r w:rsidR="00A45325">
        <w:rPr>
          <w:rFonts w:asciiTheme="minorHAnsi" w:hAnsiTheme="minorHAnsi"/>
          <w:color w:val="auto"/>
          <w:szCs w:val="24"/>
        </w:rPr>
        <w:t>r</w:t>
      </w:r>
      <w:r w:rsidR="00395489">
        <w:rPr>
          <w:rFonts w:asciiTheme="minorHAnsi" w:hAnsiTheme="minorHAnsi"/>
          <w:color w:val="auto"/>
          <w:szCs w:val="24"/>
        </w:rPr>
        <w:t xml:space="preserve">ating or </w:t>
      </w:r>
      <w:r w:rsidR="00F639C4">
        <w:rPr>
          <w:rFonts w:asciiTheme="minorHAnsi" w:hAnsiTheme="minorHAnsi"/>
          <w:color w:val="auto"/>
          <w:szCs w:val="24"/>
        </w:rPr>
        <w:t xml:space="preserve">to </w:t>
      </w:r>
      <w:r w:rsidR="00395489">
        <w:rPr>
          <w:rFonts w:asciiTheme="minorHAnsi" w:hAnsiTheme="minorHAnsi"/>
          <w:color w:val="auto"/>
          <w:szCs w:val="24"/>
        </w:rPr>
        <w:t>meet physical fitness standards.</w:t>
      </w:r>
      <w:r w:rsidR="003A40B4" w:rsidRPr="00525CA2">
        <w:rPr>
          <w:rFonts w:asciiTheme="minorHAnsi" w:hAnsiTheme="minorHAnsi"/>
          <w:color w:val="auto"/>
          <w:szCs w:val="24"/>
        </w:rPr>
        <w:t xml:space="preserve"> </w:t>
      </w:r>
      <w:r w:rsidR="00395489">
        <w:rPr>
          <w:rFonts w:asciiTheme="minorHAnsi" w:hAnsiTheme="minorHAnsi"/>
          <w:color w:val="auto"/>
          <w:szCs w:val="24"/>
        </w:rPr>
        <w:t xml:space="preserve"> He was placed on limited duty</w:t>
      </w:r>
      <w:r w:rsidR="00F639C4">
        <w:rPr>
          <w:rFonts w:asciiTheme="minorHAnsi" w:hAnsiTheme="minorHAnsi"/>
          <w:color w:val="auto"/>
          <w:szCs w:val="24"/>
        </w:rPr>
        <w:t xml:space="preserve"> (LIMDU)</w:t>
      </w:r>
      <w:r w:rsidR="00E322F7" w:rsidRPr="00525CA2">
        <w:rPr>
          <w:rFonts w:asciiTheme="minorHAnsi" w:hAnsiTheme="minorHAnsi"/>
          <w:color w:val="auto"/>
          <w:szCs w:val="24"/>
        </w:rPr>
        <w:t xml:space="preserve"> and underwent a </w:t>
      </w:r>
      <w:r w:rsidR="00705C40" w:rsidRPr="00525CA2">
        <w:rPr>
          <w:rFonts w:asciiTheme="minorHAnsi" w:hAnsiTheme="minorHAnsi"/>
          <w:color w:val="auto"/>
          <w:szCs w:val="24"/>
        </w:rPr>
        <w:t>Medical Evaluation Board (</w:t>
      </w:r>
      <w:r w:rsidR="00E322F7" w:rsidRPr="00525CA2">
        <w:rPr>
          <w:rFonts w:asciiTheme="minorHAnsi" w:hAnsiTheme="minorHAnsi"/>
          <w:color w:val="auto"/>
          <w:szCs w:val="24"/>
        </w:rPr>
        <w:t>MEB</w:t>
      </w:r>
      <w:r w:rsidR="00705C40" w:rsidRPr="00525CA2">
        <w:rPr>
          <w:rFonts w:asciiTheme="minorHAnsi" w:hAnsiTheme="minorHAnsi"/>
          <w:color w:val="auto"/>
          <w:szCs w:val="24"/>
        </w:rPr>
        <w:t>)</w:t>
      </w:r>
      <w:r w:rsidR="00E322F7" w:rsidRPr="00525CA2">
        <w:rPr>
          <w:rFonts w:asciiTheme="minorHAnsi" w:hAnsiTheme="minorHAnsi"/>
          <w:color w:val="auto"/>
          <w:szCs w:val="24"/>
        </w:rPr>
        <w:t>.</w:t>
      </w:r>
      <w:r w:rsidR="008409DE" w:rsidRPr="00525CA2">
        <w:rPr>
          <w:rFonts w:asciiTheme="minorHAnsi" w:hAnsiTheme="minorHAnsi"/>
          <w:color w:val="auto"/>
          <w:szCs w:val="24"/>
        </w:rPr>
        <w:t xml:space="preserve">  </w:t>
      </w:r>
      <w:r w:rsidR="00395489">
        <w:rPr>
          <w:rFonts w:asciiTheme="minorHAnsi" w:hAnsiTheme="minorHAnsi"/>
          <w:color w:val="auto"/>
          <w:szCs w:val="24"/>
        </w:rPr>
        <w:t xml:space="preserve">Seizure disorder was forwarded to the Physical Evaluation Board (PEB) as medically unacceptable IAW SECNAVINST 1850.4E.  </w:t>
      </w:r>
      <w:r w:rsidR="00395489" w:rsidRPr="00525CA2">
        <w:rPr>
          <w:rFonts w:asciiTheme="minorHAnsi" w:hAnsiTheme="minorHAnsi"/>
          <w:color w:val="auto"/>
          <w:szCs w:val="24"/>
        </w:rPr>
        <w:t xml:space="preserve">No other conditions appeared on the MEB’s </w:t>
      </w:r>
      <w:r w:rsidR="00395489">
        <w:rPr>
          <w:rFonts w:asciiTheme="minorHAnsi" w:hAnsiTheme="minorHAnsi"/>
          <w:color w:val="auto"/>
          <w:szCs w:val="24"/>
        </w:rPr>
        <w:t xml:space="preserve">submission.  </w:t>
      </w:r>
      <w:r w:rsidR="00964BB8" w:rsidRPr="00525CA2">
        <w:rPr>
          <w:rFonts w:asciiTheme="minorHAnsi" w:hAnsiTheme="minorHAnsi"/>
          <w:color w:val="auto"/>
          <w:szCs w:val="24"/>
        </w:rPr>
        <w:t xml:space="preserve">The </w:t>
      </w:r>
      <w:r w:rsidR="00A45325">
        <w:rPr>
          <w:rFonts w:asciiTheme="minorHAnsi" w:hAnsiTheme="minorHAnsi"/>
          <w:color w:val="auto"/>
          <w:szCs w:val="24"/>
        </w:rPr>
        <w:t>I</w:t>
      </w:r>
      <w:r w:rsidR="00964BB8" w:rsidRPr="00525CA2">
        <w:rPr>
          <w:rFonts w:asciiTheme="minorHAnsi" w:hAnsiTheme="minorHAnsi"/>
          <w:color w:val="auto"/>
          <w:szCs w:val="24"/>
        </w:rPr>
        <w:t xml:space="preserve">nformal PEB (IPEB) adjudicated the seizure disorder condition as unfitting and he was placed on the Temporary </w:t>
      </w:r>
      <w:r w:rsidR="00CC37DA">
        <w:rPr>
          <w:rFonts w:asciiTheme="minorHAnsi" w:hAnsiTheme="minorHAnsi"/>
          <w:color w:val="auto"/>
          <w:szCs w:val="24"/>
        </w:rPr>
        <w:t>Di</w:t>
      </w:r>
      <w:r w:rsidR="007E08A7">
        <w:rPr>
          <w:rFonts w:asciiTheme="minorHAnsi" w:hAnsiTheme="minorHAnsi"/>
          <w:color w:val="auto"/>
          <w:szCs w:val="24"/>
        </w:rPr>
        <w:t>sability Retired List (TDRL) with a rating as reflected in the chart below</w:t>
      </w:r>
      <w:r w:rsidR="00964BB8" w:rsidRPr="00525CA2">
        <w:rPr>
          <w:rFonts w:asciiTheme="minorHAnsi" w:hAnsiTheme="minorHAnsi"/>
          <w:color w:val="auto"/>
          <w:szCs w:val="24"/>
        </w:rPr>
        <w:t>.  He</w:t>
      </w:r>
      <w:r w:rsidR="00CC37DA">
        <w:rPr>
          <w:rFonts w:asciiTheme="minorHAnsi" w:hAnsiTheme="minorHAnsi"/>
          <w:color w:val="auto"/>
          <w:szCs w:val="24"/>
        </w:rPr>
        <w:t xml:space="preserve"> underwent TDRL reevaluation in</w:t>
      </w:r>
      <w:r w:rsidR="00DC3D3F" w:rsidRPr="00525CA2">
        <w:rPr>
          <w:rFonts w:asciiTheme="minorHAnsi" w:hAnsiTheme="minorHAnsi"/>
          <w:color w:val="auto"/>
          <w:szCs w:val="24"/>
        </w:rPr>
        <w:t xml:space="preserve"> November</w:t>
      </w:r>
      <w:r w:rsidR="00964BB8" w:rsidRPr="00525CA2">
        <w:rPr>
          <w:rFonts w:asciiTheme="minorHAnsi" w:hAnsiTheme="minorHAnsi"/>
          <w:color w:val="auto"/>
          <w:szCs w:val="24"/>
        </w:rPr>
        <w:t xml:space="preserve"> 2006 and </w:t>
      </w:r>
      <w:r w:rsidR="00CC37DA">
        <w:rPr>
          <w:rFonts w:asciiTheme="minorHAnsi" w:hAnsiTheme="minorHAnsi"/>
          <w:color w:val="auto"/>
          <w:szCs w:val="24"/>
        </w:rPr>
        <w:t xml:space="preserve">on </w:t>
      </w:r>
      <w:r w:rsidR="00A45325">
        <w:rPr>
          <w:rFonts w:asciiTheme="minorHAnsi" w:hAnsiTheme="minorHAnsi"/>
          <w:color w:val="auto"/>
          <w:szCs w:val="24"/>
        </w:rPr>
        <w:t xml:space="preserve">14 November </w:t>
      </w:r>
      <w:r w:rsidR="00CC37DA">
        <w:rPr>
          <w:rFonts w:asciiTheme="minorHAnsi" w:hAnsiTheme="minorHAnsi"/>
          <w:color w:val="auto"/>
          <w:szCs w:val="24"/>
        </w:rPr>
        <w:t>2006</w:t>
      </w:r>
      <w:r w:rsidR="00A45325">
        <w:rPr>
          <w:rFonts w:asciiTheme="minorHAnsi" w:hAnsiTheme="minorHAnsi"/>
          <w:color w:val="auto"/>
          <w:szCs w:val="24"/>
        </w:rPr>
        <w:t xml:space="preserve"> </w:t>
      </w:r>
      <w:r w:rsidR="00964BB8" w:rsidRPr="00525CA2">
        <w:rPr>
          <w:rFonts w:asciiTheme="minorHAnsi" w:hAnsiTheme="minorHAnsi"/>
          <w:color w:val="auto"/>
          <w:szCs w:val="24"/>
        </w:rPr>
        <w:t>the IPEB removed him from the T</w:t>
      </w:r>
      <w:r w:rsidR="00DC3D3F" w:rsidRPr="00525CA2">
        <w:rPr>
          <w:rFonts w:asciiTheme="minorHAnsi" w:hAnsiTheme="minorHAnsi"/>
          <w:color w:val="auto"/>
          <w:szCs w:val="24"/>
        </w:rPr>
        <w:t>DRL with a permanent rating of 1</w:t>
      </w:r>
      <w:r w:rsidR="001035E8">
        <w:rPr>
          <w:rFonts w:asciiTheme="minorHAnsi" w:hAnsiTheme="minorHAnsi"/>
          <w:color w:val="auto"/>
          <w:szCs w:val="24"/>
        </w:rPr>
        <w:t>0%</w:t>
      </w:r>
      <w:r w:rsidR="00395489">
        <w:rPr>
          <w:rFonts w:asciiTheme="minorHAnsi" w:hAnsiTheme="minorHAnsi"/>
          <w:color w:val="auto"/>
          <w:szCs w:val="24"/>
        </w:rPr>
        <w:t xml:space="preserve"> with application of SECNAVINST 1850.4E and the Veterans’ Administration Schedule </w:t>
      </w:r>
      <w:r w:rsidR="007E08A7">
        <w:rPr>
          <w:rFonts w:asciiTheme="minorHAnsi" w:hAnsiTheme="minorHAnsi"/>
          <w:color w:val="auto"/>
          <w:szCs w:val="24"/>
        </w:rPr>
        <w:t xml:space="preserve">for Rating Disabilities (VASRD).  </w:t>
      </w:r>
      <w:r w:rsidR="00B20624" w:rsidRPr="00525CA2">
        <w:rPr>
          <w:rFonts w:asciiTheme="minorHAnsi" w:hAnsiTheme="minorHAnsi"/>
          <w:color w:val="auto"/>
        </w:rPr>
        <w:t xml:space="preserve">The CI </w:t>
      </w:r>
      <w:r w:rsidR="00190E48" w:rsidRPr="00525CA2">
        <w:rPr>
          <w:rFonts w:asciiTheme="minorHAnsi" w:hAnsiTheme="minorHAnsi"/>
          <w:color w:val="auto"/>
        </w:rPr>
        <w:t xml:space="preserve">made no appeals, </w:t>
      </w:r>
      <w:r w:rsidR="00B20624" w:rsidRPr="00525CA2">
        <w:rPr>
          <w:rFonts w:asciiTheme="minorHAnsi" w:hAnsiTheme="minorHAnsi"/>
          <w:color w:val="auto"/>
        </w:rPr>
        <w:t xml:space="preserve">and was </w:t>
      </w:r>
      <w:r w:rsidR="00C87F76" w:rsidRPr="00525CA2">
        <w:rPr>
          <w:rFonts w:asciiTheme="minorHAnsi" w:hAnsiTheme="minorHAnsi"/>
          <w:color w:val="auto"/>
        </w:rPr>
        <w:t>th</w:t>
      </w:r>
      <w:r w:rsidR="00A45325">
        <w:rPr>
          <w:rFonts w:asciiTheme="minorHAnsi" w:hAnsiTheme="minorHAnsi"/>
          <w:color w:val="auto"/>
        </w:rPr>
        <w:t>us</w:t>
      </w:r>
      <w:r w:rsidR="00C87F76" w:rsidRPr="00525CA2">
        <w:rPr>
          <w:rFonts w:asciiTheme="minorHAnsi" w:hAnsiTheme="minorHAnsi"/>
          <w:color w:val="auto"/>
        </w:rPr>
        <w:t xml:space="preserve"> </w:t>
      </w:r>
      <w:r w:rsidR="00B20624" w:rsidRPr="00525CA2">
        <w:rPr>
          <w:rFonts w:asciiTheme="minorHAnsi" w:hAnsiTheme="minorHAnsi"/>
          <w:color w:val="auto"/>
        </w:rPr>
        <w:t xml:space="preserve">medically separated with a </w:t>
      </w:r>
      <w:r w:rsidR="001251FC" w:rsidRPr="00525CA2">
        <w:rPr>
          <w:rFonts w:asciiTheme="minorHAnsi" w:hAnsiTheme="minorHAnsi"/>
          <w:color w:val="auto"/>
        </w:rPr>
        <w:t>1</w:t>
      </w:r>
      <w:r w:rsidR="008409DE" w:rsidRPr="00525CA2">
        <w:rPr>
          <w:rFonts w:asciiTheme="minorHAnsi" w:hAnsiTheme="minorHAnsi"/>
          <w:color w:val="auto"/>
        </w:rPr>
        <w:t>0</w:t>
      </w:r>
      <w:r w:rsidR="00B20624" w:rsidRPr="00525CA2">
        <w:rPr>
          <w:rFonts w:asciiTheme="minorHAnsi" w:hAnsiTheme="minorHAnsi"/>
          <w:color w:val="auto"/>
        </w:rPr>
        <w:t xml:space="preserve">% combined disability rating.  </w:t>
      </w:r>
    </w:p>
    <w:p w:rsidR="00106AD8" w:rsidRPr="00CD5BD7" w:rsidRDefault="00106AD8" w:rsidP="00CD7DE7">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CD7DE7">
      <w:pPr>
        <w:tabs>
          <w:tab w:val="left" w:pos="288"/>
          <w:tab w:val="left" w:pos="4752"/>
        </w:tabs>
        <w:spacing w:line="240" w:lineRule="exact"/>
        <w:rPr>
          <w:rFonts w:ascii="Calibri" w:hAnsi="Calibri"/>
          <w:color w:val="000080"/>
          <w:szCs w:val="24"/>
        </w:rPr>
      </w:pPr>
    </w:p>
    <w:p w:rsidR="00AA1ED0" w:rsidRPr="00326C08" w:rsidRDefault="002C6E5B" w:rsidP="00CD7DE7">
      <w:pPr>
        <w:tabs>
          <w:tab w:val="left" w:pos="288"/>
          <w:tab w:val="left" w:pos="4752"/>
        </w:tabs>
        <w:spacing w:line="240" w:lineRule="exact"/>
        <w:jc w:val="both"/>
        <w:rPr>
          <w:rFonts w:asciiTheme="minorHAnsi" w:hAnsiTheme="minorHAnsi"/>
          <w: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Pr="00326C08">
        <w:rPr>
          <w:rFonts w:asciiTheme="minorHAnsi" w:hAnsiTheme="minorHAnsi"/>
          <w:color w:val="auto"/>
          <w:szCs w:val="24"/>
        </w:rPr>
        <w:t>The CI states:</w:t>
      </w:r>
      <w:r w:rsidR="00DD27B4">
        <w:rPr>
          <w:rFonts w:asciiTheme="minorHAnsi" w:hAnsiTheme="minorHAnsi"/>
          <w:color w:val="auto"/>
          <w:szCs w:val="24"/>
        </w:rPr>
        <w:t xml:space="preserve"> ‘“They removed me from TDRL because of the medication, which was working. They gave me money and told me to go away</w:t>
      </w:r>
      <w:r w:rsidR="003660F8">
        <w:rPr>
          <w:rFonts w:asciiTheme="minorHAnsi" w:hAnsiTheme="minorHAnsi"/>
          <w:color w:val="auto"/>
          <w:szCs w:val="24"/>
        </w:rPr>
        <w:t>. I got cheated all the way around</w:t>
      </w:r>
      <w:r w:rsidR="00DD27B4" w:rsidRPr="00DD27B4">
        <w:rPr>
          <w:rFonts w:asciiTheme="minorHAnsi" w:hAnsiTheme="minorHAnsi"/>
          <w:color w:val="auto"/>
          <w:szCs w:val="24"/>
        </w:rPr>
        <w:t xml:space="preserve">”.  He elaborates no specific contentions regarding rating or coding and mentions no additionally contended conditions.  </w:t>
      </w:r>
    </w:p>
    <w:p w:rsidR="00106AD8" w:rsidRPr="00CD5BD7" w:rsidRDefault="00106AD8" w:rsidP="00CD7DE7">
      <w:pPr>
        <w:pBdr>
          <w:bottom w:val="single" w:sz="12" w:space="1" w:color="auto"/>
        </w:pBdr>
        <w:tabs>
          <w:tab w:val="left" w:pos="288"/>
          <w:tab w:val="left" w:pos="4752"/>
        </w:tabs>
        <w:spacing w:line="240" w:lineRule="exact"/>
        <w:jc w:val="both"/>
        <w:rPr>
          <w:rFonts w:ascii="Calibri" w:hAnsi="Calibri"/>
          <w:color w:val="auto"/>
          <w:szCs w:val="24"/>
        </w:rPr>
      </w:pPr>
    </w:p>
    <w:p w:rsidR="001E3441" w:rsidRDefault="001E3441" w:rsidP="00CD7DE7">
      <w:pPr>
        <w:spacing w:line="240" w:lineRule="exact"/>
        <w:rPr>
          <w:rFonts w:asciiTheme="minorHAnsi" w:hAnsiTheme="minorHAnsi"/>
          <w:color w:val="auto"/>
          <w:u w:val="single"/>
        </w:rPr>
      </w:pPr>
    </w:p>
    <w:p w:rsidR="002338CA" w:rsidRDefault="002C6E5B" w:rsidP="00CD7DE7">
      <w:pPr>
        <w:spacing w:line="240" w:lineRule="exact"/>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3660F8" w:rsidRPr="00326C08" w:rsidRDefault="003660F8" w:rsidP="00CD7DE7">
      <w:pPr>
        <w:spacing w:line="240" w:lineRule="exact"/>
        <w:rPr>
          <w:rFonts w:asciiTheme="minorHAnsi" w:hAnsiTheme="minorHAnsi"/>
          <w:color w:val="auto"/>
        </w:rPr>
      </w:pPr>
    </w:p>
    <w:tbl>
      <w:tblPr>
        <w:tblStyle w:val="TableGrid"/>
        <w:tblW w:w="9432" w:type="dxa"/>
        <w:jc w:val="center"/>
        <w:tblInd w:w="393" w:type="dxa"/>
        <w:tblLayout w:type="fixed"/>
        <w:tblLook w:val="04A0"/>
      </w:tblPr>
      <w:tblGrid>
        <w:gridCol w:w="1800"/>
        <w:gridCol w:w="740"/>
        <w:gridCol w:w="720"/>
        <w:gridCol w:w="630"/>
        <w:gridCol w:w="1710"/>
        <w:gridCol w:w="1402"/>
        <w:gridCol w:w="1028"/>
        <w:gridCol w:w="1402"/>
      </w:tblGrid>
      <w:tr w:rsidR="003660F8" w:rsidRPr="00A543C4" w:rsidTr="00F639C4">
        <w:trPr>
          <w:trHeight w:val="233"/>
          <w:jc w:val="center"/>
        </w:trPr>
        <w:tc>
          <w:tcPr>
            <w:tcW w:w="3890" w:type="dxa"/>
            <w:gridSpan w:val="4"/>
            <w:tcBorders>
              <w:right w:val="thinThickThinSmallGap" w:sz="24" w:space="0" w:color="auto"/>
            </w:tcBorders>
            <w:shd w:val="clear" w:color="auto" w:fill="D9D9D9" w:themeFill="background1" w:themeFillShade="D9"/>
          </w:tcPr>
          <w:p w:rsidR="003660F8" w:rsidRPr="00F639C4" w:rsidRDefault="003660F8" w:rsidP="007C7508">
            <w:pPr>
              <w:spacing w:line="240" w:lineRule="exact"/>
              <w:contextualSpacing/>
              <w:jc w:val="center"/>
              <w:rPr>
                <w:b/>
                <w:color w:val="auto"/>
                <w:sz w:val="18"/>
                <w:szCs w:val="18"/>
              </w:rPr>
            </w:pPr>
            <w:r w:rsidRPr="00F639C4">
              <w:rPr>
                <w:b/>
                <w:color w:val="auto"/>
                <w:sz w:val="18"/>
                <w:szCs w:val="18"/>
              </w:rPr>
              <w:t xml:space="preserve">Service IPEB – Dated </w:t>
            </w:r>
            <w:r w:rsidR="003F1D06" w:rsidRPr="00F639C4">
              <w:rPr>
                <w:b/>
                <w:color w:val="auto"/>
                <w:sz w:val="18"/>
                <w:szCs w:val="18"/>
              </w:rPr>
              <w:t>20061005</w:t>
            </w:r>
          </w:p>
        </w:tc>
        <w:tc>
          <w:tcPr>
            <w:tcW w:w="5542" w:type="dxa"/>
            <w:gridSpan w:val="4"/>
            <w:tcBorders>
              <w:left w:val="thinThickThinSmallGap" w:sz="24" w:space="0" w:color="auto"/>
            </w:tcBorders>
            <w:shd w:val="clear" w:color="auto" w:fill="D9D9D9" w:themeFill="background1" w:themeFillShade="D9"/>
          </w:tcPr>
          <w:p w:rsidR="003660F8" w:rsidRPr="00F639C4" w:rsidRDefault="003660F8" w:rsidP="007C7508">
            <w:pPr>
              <w:spacing w:line="240" w:lineRule="exact"/>
              <w:contextualSpacing/>
              <w:jc w:val="center"/>
              <w:rPr>
                <w:b/>
                <w:i/>
                <w:color w:val="auto"/>
                <w:sz w:val="18"/>
                <w:szCs w:val="18"/>
              </w:rPr>
            </w:pPr>
            <w:r w:rsidRPr="00F639C4">
              <w:rPr>
                <w:b/>
                <w:i/>
                <w:color w:val="auto"/>
                <w:sz w:val="18"/>
                <w:szCs w:val="18"/>
              </w:rPr>
              <w:t>VA (Prior to &amp; After Separation from TDRL)*</w:t>
            </w:r>
            <w:r w:rsidR="00B94477" w:rsidRPr="00F639C4">
              <w:rPr>
                <w:b/>
                <w:i/>
                <w:color w:val="auto"/>
                <w:sz w:val="18"/>
                <w:szCs w:val="18"/>
              </w:rPr>
              <w:t xml:space="preserve"> </w:t>
            </w:r>
            <w:r w:rsidR="0022631D" w:rsidRPr="00F639C4">
              <w:rPr>
                <w:b/>
                <w:i/>
                <w:color w:val="auto"/>
                <w:sz w:val="18"/>
                <w:szCs w:val="18"/>
              </w:rPr>
              <w:t>Effective 20081031</w:t>
            </w:r>
          </w:p>
        </w:tc>
      </w:tr>
      <w:tr w:rsidR="003660F8" w:rsidRPr="00A543C4" w:rsidTr="00F639C4">
        <w:trPr>
          <w:trHeight w:val="233"/>
          <w:jc w:val="center"/>
        </w:trPr>
        <w:tc>
          <w:tcPr>
            <w:tcW w:w="1800" w:type="dxa"/>
            <w:tcBorders>
              <w:bottom w:val="single" w:sz="4" w:space="0" w:color="000000" w:themeColor="text1"/>
            </w:tcBorders>
            <w:shd w:val="clear" w:color="auto" w:fill="D9D9D9" w:themeFill="background1" w:themeFillShade="D9"/>
          </w:tcPr>
          <w:p w:rsidR="003660F8" w:rsidRPr="00F639C4" w:rsidRDefault="003660F8" w:rsidP="007C7508">
            <w:pPr>
              <w:spacing w:line="240" w:lineRule="exact"/>
              <w:contextualSpacing/>
              <w:rPr>
                <w:b/>
                <w:color w:val="auto"/>
                <w:sz w:val="18"/>
                <w:szCs w:val="18"/>
              </w:rPr>
            </w:pPr>
            <w:r w:rsidRPr="00F639C4">
              <w:rPr>
                <w:b/>
                <w:color w:val="auto"/>
                <w:sz w:val="18"/>
                <w:szCs w:val="18"/>
              </w:rPr>
              <w:t>Condition</w:t>
            </w:r>
          </w:p>
        </w:tc>
        <w:tc>
          <w:tcPr>
            <w:tcW w:w="740" w:type="dxa"/>
            <w:vMerge w:val="restart"/>
            <w:tcBorders>
              <w:bottom w:val="single" w:sz="4" w:space="0" w:color="000000" w:themeColor="text1"/>
            </w:tcBorders>
            <w:shd w:val="clear" w:color="auto" w:fill="D9D9D9" w:themeFill="background1" w:themeFillShade="D9"/>
          </w:tcPr>
          <w:p w:rsidR="003660F8" w:rsidRPr="00F639C4" w:rsidRDefault="003660F8" w:rsidP="007C7508">
            <w:pPr>
              <w:spacing w:line="240" w:lineRule="exact"/>
              <w:contextualSpacing/>
              <w:jc w:val="center"/>
              <w:rPr>
                <w:b/>
                <w:color w:val="auto"/>
                <w:sz w:val="18"/>
                <w:szCs w:val="18"/>
              </w:rPr>
            </w:pPr>
            <w:r w:rsidRPr="00F639C4">
              <w:rPr>
                <w:b/>
                <w:color w:val="auto"/>
                <w:sz w:val="18"/>
                <w:szCs w:val="18"/>
              </w:rPr>
              <w:t>Code</w:t>
            </w:r>
          </w:p>
        </w:tc>
        <w:tc>
          <w:tcPr>
            <w:tcW w:w="1350" w:type="dxa"/>
            <w:gridSpan w:val="2"/>
            <w:tcBorders>
              <w:bottom w:val="single" w:sz="4" w:space="0" w:color="000000" w:themeColor="text1"/>
              <w:right w:val="thinThickThinSmallGap" w:sz="24" w:space="0" w:color="auto"/>
            </w:tcBorders>
            <w:shd w:val="clear" w:color="auto" w:fill="D9D9D9" w:themeFill="background1" w:themeFillShade="D9"/>
          </w:tcPr>
          <w:p w:rsidR="003660F8" w:rsidRPr="00F639C4" w:rsidRDefault="003660F8" w:rsidP="007C7508">
            <w:pPr>
              <w:spacing w:line="240" w:lineRule="exact"/>
              <w:contextualSpacing/>
              <w:jc w:val="center"/>
              <w:rPr>
                <w:b/>
                <w:color w:val="auto"/>
                <w:sz w:val="18"/>
                <w:szCs w:val="18"/>
              </w:rPr>
            </w:pPr>
            <w:r w:rsidRPr="00F639C4">
              <w:rPr>
                <w:b/>
                <w:color w:val="auto"/>
                <w:sz w:val="18"/>
                <w:szCs w:val="18"/>
              </w:rPr>
              <w:t>Rating</w:t>
            </w:r>
          </w:p>
        </w:tc>
        <w:tc>
          <w:tcPr>
            <w:tcW w:w="1710" w:type="dxa"/>
            <w:tcBorders>
              <w:left w:val="thinThickThinSmallGap" w:sz="24" w:space="0" w:color="auto"/>
              <w:bottom w:val="single" w:sz="4" w:space="0" w:color="000000" w:themeColor="text1"/>
            </w:tcBorders>
            <w:shd w:val="clear" w:color="auto" w:fill="D9D9D9" w:themeFill="background1" w:themeFillShade="D9"/>
          </w:tcPr>
          <w:p w:rsidR="003660F8" w:rsidRPr="00F639C4" w:rsidRDefault="003660F8" w:rsidP="007C7508">
            <w:pPr>
              <w:spacing w:line="240" w:lineRule="exact"/>
              <w:contextualSpacing/>
              <w:jc w:val="both"/>
              <w:rPr>
                <w:b/>
                <w:color w:val="auto"/>
                <w:sz w:val="18"/>
                <w:szCs w:val="18"/>
              </w:rPr>
            </w:pPr>
            <w:r w:rsidRPr="00F639C4">
              <w:rPr>
                <w:b/>
                <w:color w:val="auto"/>
                <w:sz w:val="18"/>
                <w:szCs w:val="18"/>
              </w:rPr>
              <w:t>Condition</w:t>
            </w:r>
          </w:p>
        </w:tc>
        <w:tc>
          <w:tcPr>
            <w:tcW w:w="1402" w:type="dxa"/>
            <w:vMerge w:val="restart"/>
            <w:shd w:val="clear" w:color="auto" w:fill="D9D9D9" w:themeFill="background1" w:themeFillShade="D9"/>
          </w:tcPr>
          <w:p w:rsidR="003660F8" w:rsidRPr="00F639C4" w:rsidRDefault="003660F8" w:rsidP="007C7508">
            <w:pPr>
              <w:spacing w:line="240" w:lineRule="exact"/>
              <w:contextualSpacing/>
              <w:jc w:val="center"/>
              <w:rPr>
                <w:b/>
                <w:color w:val="auto"/>
                <w:sz w:val="18"/>
                <w:szCs w:val="18"/>
              </w:rPr>
            </w:pPr>
            <w:r w:rsidRPr="00F639C4">
              <w:rPr>
                <w:b/>
                <w:color w:val="auto"/>
                <w:sz w:val="18"/>
                <w:szCs w:val="18"/>
              </w:rPr>
              <w:t>Code</w:t>
            </w:r>
          </w:p>
        </w:tc>
        <w:tc>
          <w:tcPr>
            <w:tcW w:w="1028" w:type="dxa"/>
            <w:vMerge w:val="restart"/>
            <w:shd w:val="clear" w:color="auto" w:fill="D9D9D9" w:themeFill="background1" w:themeFillShade="D9"/>
          </w:tcPr>
          <w:p w:rsidR="003660F8" w:rsidRPr="00F639C4" w:rsidRDefault="003660F8" w:rsidP="007C7508">
            <w:pPr>
              <w:spacing w:line="240" w:lineRule="exact"/>
              <w:contextualSpacing/>
              <w:jc w:val="center"/>
              <w:rPr>
                <w:b/>
                <w:color w:val="auto"/>
                <w:sz w:val="18"/>
                <w:szCs w:val="18"/>
              </w:rPr>
            </w:pPr>
            <w:r w:rsidRPr="00F639C4">
              <w:rPr>
                <w:b/>
                <w:color w:val="auto"/>
                <w:sz w:val="18"/>
                <w:szCs w:val="18"/>
              </w:rPr>
              <w:t>Rating</w:t>
            </w:r>
          </w:p>
        </w:tc>
        <w:tc>
          <w:tcPr>
            <w:tcW w:w="1402" w:type="dxa"/>
            <w:vMerge w:val="restart"/>
            <w:shd w:val="clear" w:color="auto" w:fill="D9D9D9" w:themeFill="background1" w:themeFillShade="D9"/>
          </w:tcPr>
          <w:p w:rsidR="003660F8" w:rsidRPr="00F639C4" w:rsidRDefault="003660F8" w:rsidP="00177E43">
            <w:pPr>
              <w:spacing w:line="240" w:lineRule="exact"/>
              <w:contextualSpacing/>
              <w:jc w:val="center"/>
              <w:rPr>
                <w:b/>
                <w:color w:val="auto"/>
                <w:sz w:val="18"/>
                <w:szCs w:val="18"/>
              </w:rPr>
            </w:pPr>
            <w:r w:rsidRPr="00F639C4">
              <w:rPr>
                <w:b/>
                <w:color w:val="auto"/>
                <w:sz w:val="18"/>
                <w:szCs w:val="18"/>
              </w:rPr>
              <w:t>Exam</w:t>
            </w:r>
          </w:p>
        </w:tc>
      </w:tr>
      <w:tr w:rsidR="00F639C4" w:rsidRPr="00A543C4" w:rsidTr="00F639C4">
        <w:trPr>
          <w:trHeight w:val="152"/>
          <w:jc w:val="center"/>
        </w:trPr>
        <w:tc>
          <w:tcPr>
            <w:tcW w:w="1800" w:type="dxa"/>
            <w:shd w:val="clear" w:color="auto" w:fill="D9D9D9" w:themeFill="background1" w:themeFillShade="D9"/>
          </w:tcPr>
          <w:p w:rsidR="003660F8" w:rsidRPr="00F639C4" w:rsidRDefault="003660F8" w:rsidP="007C7508">
            <w:pPr>
              <w:spacing w:line="240" w:lineRule="exact"/>
              <w:contextualSpacing/>
              <w:rPr>
                <w:b/>
                <w:color w:val="auto"/>
                <w:sz w:val="18"/>
                <w:szCs w:val="18"/>
              </w:rPr>
            </w:pPr>
            <w:r w:rsidRPr="00F639C4">
              <w:rPr>
                <w:b/>
                <w:color w:val="auto"/>
                <w:sz w:val="18"/>
                <w:szCs w:val="18"/>
              </w:rPr>
              <w:t xml:space="preserve">On TDRL - </w:t>
            </w:r>
            <w:r w:rsidR="006C6372" w:rsidRPr="00F639C4">
              <w:rPr>
                <w:b/>
                <w:color w:val="auto"/>
                <w:sz w:val="18"/>
                <w:szCs w:val="18"/>
              </w:rPr>
              <w:t>20050309</w:t>
            </w:r>
          </w:p>
        </w:tc>
        <w:tc>
          <w:tcPr>
            <w:tcW w:w="740" w:type="dxa"/>
            <w:vMerge/>
            <w:shd w:val="clear" w:color="auto" w:fill="D9D9D9" w:themeFill="background1" w:themeFillShade="D9"/>
          </w:tcPr>
          <w:p w:rsidR="003660F8" w:rsidRPr="00F639C4" w:rsidRDefault="003660F8" w:rsidP="007C7508">
            <w:pPr>
              <w:spacing w:line="240" w:lineRule="exact"/>
              <w:contextualSpacing/>
              <w:jc w:val="center"/>
              <w:rPr>
                <w:color w:val="auto"/>
                <w:sz w:val="18"/>
                <w:szCs w:val="18"/>
              </w:rPr>
            </w:pPr>
          </w:p>
        </w:tc>
        <w:tc>
          <w:tcPr>
            <w:tcW w:w="720" w:type="dxa"/>
            <w:tcBorders>
              <w:right w:val="single" w:sz="4" w:space="0" w:color="auto"/>
            </w:tcBorders>
            <w:shd w:val="clear" w:color="auto" w:fill="D9D9D9" w:themeFill="background1" w:themeFillShade="D9"/>
          </w:tcPr>
          <w:p w:rsidR="003660F8" w:rsidRPr="00F639C4" w:rsidRDefault="003660F8" w:rsidP="007C7508">
            <w:pPr>
              <w:spacing w:line="240" w:lineRule="exact"/>
              <w:contextualSpacing/>
              <w:jc w:val="center"/>
              <w:rPr>
                <w:b/>
                <w:color w:val="auto"/>
                <w:sz w:val="18"/>
                <w:szCs w:val="18"/>
              </w:rPr>
            </w:pPr>
            <w:r w:rsidRPr="00F639C4">
              <w:rPr>
                <w:b/>
                <w:color w:val="auto"/>
                <w:sz w:val="18"/>
                <w:szCs w:val="18"/>
              </w:rPr>
              <w:t>TDRL</w:t>
            </w:r>
          </w:p>
        </w:tc>
        <w:tc>
          <w:tcPr>
            <w:tcW w:w="630" w:type="dxa"/>
            <w:tcBorders>
              <w:left w:val="single" w:sz="4" w:space="0" w:color="auto"/>
              <w:right w:val="thinThickThinSmallGap" w:sz="24" w:space="0" w:color="auto"/>
            </w:tcBorders>
            <w:shd w:val="clear" w:color="auto" w:fill="D9D9D9" w:themeFill="background1" w:themeFillShade="D9"/>
          </w:tcPr>
          <w:p w:rsidR="003660F8" w:rsidRPr="00F639C4" w:rsidRDefault="003660F8" w:rsidP="007C7508">
            <w:pPr>
              <w:spacing w:line="240" w:lineRule="exact"/>
              <w:contextualSpacing/>
              <w:jc w:val="center"/>
              <w:rPr>
                <w:b/>
                <w:color w:val="auto"/>
                <w:sz w:val="18"/>
                <w:szCs w:val="18"/>
              </w:rPr>
            </w:pPr>
            <w:r w:rsidRPr="00F639C4">
              <w:rPr>
                <w:b/>
                <w:color w:val="auto"/>
                <w:sz w:val="18"/>
                <w:szCs w:val="18"/>
              </w:rPr>
              <w:t>Sep.</w:t>
            </w:r>
          </w:p>
        </w:tc>
        <w:tc>
          <w:tcPr>
            <w:tcW w:w="1710" w:type="dxa"/>
            <w:tcBorders>
              <w:left w:val="thinThickThinSmallGap" w:sz="24" w:space="0" w:color="auto"/>
            </w:tcBorders>
            <w:shd w:val="clear" w:color="auto" w:fill="D9D9D9" w:themeFill="background1" w:themeFillShade="D9"/>
          </w:tcPr>
          <w:p w:rsidR="003660F8" w:rsidRPr="00F639C4" w:rsidRDefault="003660F8" w:rsidP="007C7508">
            <w:pPr>
              <w:spacing w:line="240" w:lineRule="exact"/>
              <w:contextualSpacing/>
              <w:jc w:val="both"/>
              <w:rPr>
                <w:b/>
                <w:i/>
                <w:color w:val="auto"/>
                <w:sz w:val="18"/>
                <w:szCs w:val="18"/>
              </w:rPr>
            </w:pPr>
          </w:p>
        </w:tc>
        <w:tc>
          <w:tcPr>
            <w:tcW w:w="1402" w:type="dxa"/>
            <w:vMerge/>
            <w:shd w:val="clear" w:color="auto" w:fill="C6D9F1" w:themeFill="text2" w:themeFillTint="33"/>
          </w:tcPr>
          <w:p w:rsidR="003660F8" w:rsidRPr="00F639C4" w:rsidRDefault="003660F8" w:rsidP="007C7508">
            <w:pPr>
              <w:spacing w:line="240" w:lineRule="exact"/>
              <w:contextualSpacing/>
              <w:jc w:val="center"/>
              <w:rPr>
                <w:color w:val="auto"/>
                <w:sz w:val="18"/>
                <w:szCs w:val="18"/>
              </w:rPr>
            </w:pPr>
          </w:p>
        </w:tc>
        <w:tc>
          <w:tcPr>
            <w:tcW w:w="1028" w:type="dxa"/>
            <w:vMerge/>
            <w:shd w:val="clear" w:color="auto" w:fill="C6D9F1" w:themeFill="text2" w:themeFillTint="33"/>
          </w:tcPr>
          <w:p w:rsidR="003660F8" w:rsidRPr="00F639C4" w:rsidRDefault="003660F8" w:rsidP="007C7508">
            <w:pPr>
              <w:spacing w:line="240" w:lineRule="exact"/>
              <w:contextualSpacing/>
              <w:jc w:val="center"/>
              <w:rPr>
                <w:color w:val="auto"/>
                <w:sz w:val="18"/>
                <w:szCs w:val="18"/>
              </w:rPr>
            </w:pPr>
          </w:p>
        </w:tc>
        <w:tc>
          <w:tcPr>
            <w:tcW w:w="1402" w:type="dxa"/>
            <w:vMerge/>
            <w:shd w:val="clear" w:color="auto" w:fill="C6D9F1" w:themeFill="text2" w:themeFillTint="33"/>
          </w:tcPr>
          <w:p w:rsidR="003660F8" w:rsidRPr="00F639C4" w:rsidRDefault="003660F8" w:rsidP="007C7508">
            <w:pPr>
              <w:spacing w:line="240" w:lineRule="exact"/>
              <w:contextualSpacing/>
              <w:jc w:val="center"/>
              <w:rPr>
                <w:color w:val="auto"/>
                <w:sz w:val="18"/>
                <w:szCs w:val="18"/>
              </w:rPr>
            </w:pPr>
          </w:p>
        </w:tc>
      </w:tr>
      <w:tr w:rsidR="00F639C4" w:rsidRPr="00A543C4" w:rsidTr="00F639C4">
        <w:trPr>
          <w:trHeight w:val="125"/>
          <w:jc w:val="center"/>
        </w:trPr>
        <w:tc>
          <w:tcPr>
            <w:tcW w:w="1800" w:type="dxa"/>
            <w:vMerge w:val="restart"/>
            <w:tcBorders>
              <w:right w:val="single" w:sz="4" w:space="0" w:color="auto"/>
            </w:tcBorders>
            <w:shd w:val="clear" w:color="auto" w:fill="FFFFFF" w:themeFill="background1"/>
          </w:tcPr>
          <w:p w:rsidR="003660F8" w:rsidRPr="00F639C4" w:rsidRDefault="006A712A" w:rsidP="007C7508">
            <w:pPr>
              <w:spacing w:line="240" w:lineRule="exact"/>
              <w:contextualSpacing/>
              <w:rPr>
                <w:color w:val="auto"/>
                <w:sz w:val="18"/>
                <w:szCs w:val="18"/>
              </w:rPr>
            </w:pPr>
            <w:r w:rsidRPr="00F639C4">
              <w:rPr>
                <w:color w:val="auto"/>
                <w:sz w:val="18"/>
                <w:szCs w:val="18"/>
              </w:rPr>
              <w:t>Seizure d</w:t>
            </w:r>
            <w:r w:rsidR="003F1D06" w:rsidRPr="00F639C4">
              <w:rPr>
                <w:color w:val="auto"/>
                <w:sz w:val="18"/>
                <w:szCs w:val="18"/>
              </w:rPr>
              <w:t>isorder</w:t>
            </w:r>
          </w:p>
        </w:tc>
        <w:tc>
          <w:tcPr>
            <w:tcW w:w="740" w:type="dxa"/>
            <w:vMerge w:val="restart"/>
            <w:tcBorders>
              <w:left w:val="single" w:sz="4" w:space="0" w:color="auto"/>
            </w:tcBorders>
            <w:shd w:val="clear" w:color="auto" w:fill="FFFFFF" w:themeFill="background1"/>
          </w:tcPr>
          <w:p w:rsidR="003660F8" w:rsidRPr="00F639C4" w:rsidRDefault="003660F8" w:rsidP="007C7508">
            <w:pPr>
              <w:spacing w:line="240" w:lineRule="exact"/>
              <w:contextualSpacing/>
              <w:jc w:val="center"/>
              <w:rPr>
                <w:color w:val="auto"/>
                <w:sz w:val="18"/>
                <w:szCs w:val="18"/>
              </w:rPr>
            </w:pPr>
            <w:r w:rsidRPr="00F639C4">
              <w:rPr>
                <w:color w:val="auto"/>
                <w:sz w:val="18"/>
                <w:szCs w:val="18"/>
              </w:rPr>
              <w:t>8910</w:t>
            </w:r>
          </w:p>
        </w:tc>
        <w:tc>
          <w:tcPr>
            <w:tcW w:w="720" w:type="dxa"/>
            <w:vMerge w:val="restart"/>
            <w:tcBorders>
              <w:right w:val="single" w:sz="4" w:space="0" w:color="auto"/>
            </w:tcBorders>
            <w:shd w:val="clear" w:color="auto" w:fill="FFFFFF" w:themeFill="background1"/>
          </w:tcPr>
          <w:p w:rsidR="003660F8" w:rsidRPr="00F639C4" w:rsidRDefault="003660F8" w:rsidP="007C7508">
            <w:pPr>
              <w:spacing w:line="240" w:lineRule="exact"/>
              <w:contextualSpacing/>
              <w:jc w:val="center"/>
              <w:rPr>
                <w:color w:val="auto"/>
                <w:sz w:val="18"/>
                <w:szCs w:val="18"/>
              </w:rPr>
            </w:pPr>
            <w:r w:rsidRPr="00F639C4">
              <w:rPr>
                <w:color w:val="auto"/>
                <w:sz w:val="18"/>
                <w:szCs w:val="18"/>
              </w:rPr>
              <w:t>40%</w:t>
            </w:r>
          </w:p>
        </w:tc>
        <w:tc>
          <w:tcPr>
            <w:tcW w:w="630" w:type="dxa"/>
            <w:vMerge w:val="restart"/>
            <w:tcBorders>
              <w:left w:val="single" w:sz="4" w:space="0" w:color="auto"/>
              <w:right w:val="thinThickThinSmallGap" w:sz="24" w:space="0" w:color="auto"/>
            </w:tcBorders>
            <w:shd w:val="clear" w:color="auto" w:fill="FFFFFF" w:themeFill="background1"/>
          </w:tcPr>
          <w:p w:rsidR="003660F8" w:rsidRPr="00F639C4" w:rsidRDefault="003F1D06" w:rsidP="007C7508">
            <w:pPr>
              <w:spacing w:line="240" w:lineRule="exact"/>
              <w:contextualSpacing/>
              <w:jc w:val="center"/>
              <w:rPr>
                <w:color w:val="auto"/>
                <w:sz w:val="18"/>
                <w:szCs w:val="18"/>
              </w:rPr>
            </w:pPr>
            <w:r w:rsidRPr="00F639C4">
              <w:rPr>
                <w:color w:val="auto"/>
                <w:sz w:val="18"/>
                <w:szCs w:val="18"/>
              </w:rPr>
              <w:t>1</w:t>
            </w:r>
            <w:r w:rsidR="003660F8" w:rsidRPr="00F639C4">
              <w:rPr>
                <w:color w:val="auto"/>
                <w:sz w:val="18"/>
                <w:szCs w:val="18"/>
              </w:rPr>
              <w:t>0%</w:t>
            </w:r>
          </w:p>
        </w:tc>
        <w:tc>
          <w:tcPr>
            <w:tcW w:w="1710" w:type="dxa"/>
            <w:vMerge w:val="restart"/>
            <w:tcBorders>
              <w:left w:val="thinThickThinSmallGap" w:sz="24" w:space="0" w:color="auto"/>
            </w:tcBorders>
            <w:shd w:val="clear" w:color="auto" w:fill="FFFFFF" w:themeFill="background1"/>
          </w:tcPr>
          <w:p w:rsidR="003660F8" w:rsidRPr="00F639C4" w:rsidRDefault="006A712A" w:rsidP="007C7508">
            <w:pPr>
              <w:spacing w:line="240" w:lineRule="exact"/>
              <w:contextualSpacing/>
              <w:jc w:val="both"/>
              <w:rPr>
                <w:color w:val="auto"/>
                <w:sz w:val="18"/>
                <w:szCs w:val="18"/>
              </w:rPr>
            </w:pPr>
            <w:r w:rsidRPr="00F639C4">
              <w:rPr>
                <w:color w:val="auto"/>
                <w:sz w:val="18"/>
                <w:szCs w:val="18"/>
              </w:rPr>
              <w:t>Seizure d</w:t>
            </w:r>
            <w:r w:rsidR="003660F8" w:rsidRPr="00F639C4">
              <w:rPr>
                <w:color w:val="auto"/>
                <w:sz w:val="18"/>
                <w:szCs w:val="18"/>
              </w:rPr>
              <w:t>isorder</w:t>
            </w:r>
          </w:p>
        </w:tc>
        <w:tc>
          <w:tcPr>
            <w:tcW w:w="1402" w:type="dxa"/>
            <w:vMerge w:val="restart"/>
            <w:shd w:val="clear" w:color="auto" w:fill="FFFFFF" w:themeFill="background1"/>
          </w:tcPr>
          <w:p w:rsidR="003660F8" w:rsidRPr="00F639C4" w:rsidRDefault="008E38AE" w:rsidP="006C2EDC">
            <w:pPr>
              <w:spacing w:line="240" w:lineRule="exact"/>
              <w:contextualSpacing/>
              <w:jc w:val="center"/>
              <w:rPr>
                <w:color w:val="auto"/>
                <w:sz w:val="18"/>
                <w:szCs w:val="18"/>
              </w:rPr>
            </w:pPr>
            <w:r w:rsidRPr="00F639C4">
              <w:rPr>
                <w:color w:val="auto"/>
                <w:sz w:val="18"/>
                <w:szCs w:val="18"/>
              </w:rPr>
              <w:t>8999</w:t>
            </w:r>
            <w:r w:rsidR="006A712A" w:rsidRPr="00F639C4">
              <w:rPr>
                <w:color w:val="auto"/>
                <w:sz w:val="18"/>
                <w:szCs w:val="18"/>
              </w:rPr>
              <w:t>-</w:t>
            </w:r>
            <w:r w:rsidRPr="00F639C4">
              <w:rPr>
                <w:color w:val="auto"/>
                <w:sz w:val="18"/>
                <w:szCs w:val="18"/>
              </w:rPr>
              <w:t>8914</w:t>
            </w:r>
          </w:p>
        </w:tc>
        <w:tc>
          <w:tcPr>
            <w:tcW w:w="1028" w:type="dxa"/>
            <w:shd w:val="clear" w:color="auto" w:fill="FFFFFF" w:themeFill="background1"/>
            <w:vAlign w:val="center"/>
          </w:tcPr>
          <w:p w:rsidR="003660F8" w:rsidRPr="00F639C4" w:rsidRDefault="009964BB" w:rsidP="007C7508">
            <w:pPr>
              <w:spacing w:line="240" w:lineRule="exact"/>
              <w:contextualSpacing/>
              <w:jc w:val="center"/>
              <w:rPr>
                <w:color w:val="auto"/>
                <w:sz w:val="18"/>
                <w:szCs w:val="18"/>
              </w:rPr>
            </w:pPr>
            <w:r w:rsidRPr="00F639C4">
              <w:rPr>
                <w:color w:val="auto"/>
                <w:sz w:val="18"/>
                <w:szCs w:val="18"/>
              </w:rPr>
              <w:t>No rating</w:t>
            </w:r>
          </w:p>
        </w:tc>
        <w:tc>
          <w:tcPr>
            <w:tcW w:w="1402" w:type="dxa"/>
            <w:shd w:val="clear" w:color="auto" w:fill="FFFFFF" w:themeFill="background1"/>
          </w:tcPr>
          <w:p w:rsidR="003660F8" w:rsidRPr="00F639C4" w:rsidRDefault="00B9112B" w:rsidP="006A712A">
            <w:pPr>
              <w:spacing w:line="240" w:lineRule="exact"/>
              <w:contextualSpacing/>
              <w:jc w:val="center"/>
              <w:rPr>
                <w:color w:val="auto"/>
                <w:sz w:val="18"/>
                <w:szCs w:val="18"/>
              </w:rPr>
            </w:pPr>
            <w:r w:rsidRPr="00F639C4">
              <w:rPr>
                <w:color w:val="auto"/>
                <w:sz w:val="18"/>
                <w:szCs w:val="18"/>
              </w:rPr>
              <w:t>STR</w:t>
            </w:r>
          </w:p>
        </w:tc>
      </w:tr>
      <w:tr w:rsidR="00F639C4" w:rsidRPr="00A543C4" w:rsidTr="00F639C4">
        <w:trPr>
          <w:trHeight w:val="125"/>
          <w:jc w:val="center"/>
        </w:trPr>
        <w:tc>
          <w:tcPr>
            <w:tcW w:w="1800" w:type="dxa"/>
            <w:vMerge/>
            <w:tcBorders>
              <w:right w:val="single" w:sz="4" w:space="0" w:color="auto"/>
            </w:tcBorders>
            <w:shd w:val="clear" w:color="auto" w:fill="FFFFFF" w:themeFill="background1"/>
          </w:tcPr>
          <w:p w:rsidR="003660F8" w:rsidRPr="00F639C4" w:rsidRDefault="003660F8" w:rsidP="007C7508">
            <w:pPr>
              <w:spacing w:line="240" w:lineRule="exact"/>
              <w:contextualSpacing/>
              <w:rPr>
                <w:color w:val="auto"/>
                <w:sz w:val="18"/>
                <w:szCs w:val="18"/>
              </w:rPr>
            </w:pPr>
          </w:p>
        </w:tc>
        <w:tc>
          <w:tcPr>
            <w:tcW w:w="740" w:type="dxa"/>
            <w:vMerge/>
            <w:tcBorders>
              <w:left w:val="single" w:sz="4" w:space="0" w:color="auto"/>
            </w:tcBorders>
            <w:shd w:val="clear" w:color="auto" w:fill="FFFFFF" w:themeFill="background1"/>
          </w:tcPr>
          <w:p w:rsidR="003660F8" w:rsidRPr="00F639C4" w:rsidRDefault="003660F8" w:rsidP="007C7508">
            <w:pPr>
              <w:spacing w:line="240" w:lineRule="exact"/>
              <w:contextualSpacing/>
              <w:jc w:val="center"/>
              <w:rPr>
                <w:color w:val="auto"/>
                <w:sz w:val="18"/>
                <w:szCs w:val="18"/>
              </w:rPr>
            </w:pPr>
          </w:p>
        </w:tc>
        <w:tc>
          <w:tcPr>
            <w:tcW w:w="720" w:type="dxa"/>
            <w:vMerge/>
            <w:tcBorders>
              <w:right w:val="single" w:sz="4" w:space="0" w:color="auto"/>
            </w:tcBorders>
            <w:shd w:val="clear" w:color="auto" w:fill="FFFFFF" w:themeFill="background1"/>
          </w:tcPr>
          <w:p w:rsidR="003660F8" w:rsidRPr="00F639C4" w:rsidRDefault="003660F8" w:rsidP="007C7508">
            <w:pPr>
              <w:spacing w:line="240" w:lineRule="exact"/>
              <w:contextualSpacing/>
              <w:jc w:val="center"/>
              <w:rPr>
                <w:color w:val="auto"/>
                <w:sz w:val="18"/>
                <w:szCs w:val="18"/>
              </w:rPr>
            </w:pPr>
          </w:p>
        </w:tc>
        <w:tc>
          <w:tcPr>
            <w:tcW w:w="630" w:type="dxa"/>
            <w:vMerge/>
            <w:tcBorders>
              <w:left w:val="single" w:sz="4" w:space="0" w:color="auto"/>
              <w:right w:val="thinThickThinSmallGap" w:sz="24" w:space="0" w:color="auto"/>
            </w:tcBorders>
            <w:shd w:val="clear" w:color="auto" w:fill="FFFFFF" w:themeFill="background1"/>
          </w:tcPr>
          <w:p w:rsidR="003660F8" w:rsidRPr="00F639C4" w:rsidRDefault="003660F8" w:rsidP="007C7508">
            <w:pPr>
              <w:spacing w:line="240" w:lineRule="exact"/>
              <w:contextualSpacing/>
              <w:jc w:val="center"/>
              <w:rPr>
                <w:color w:val="auto"/>
                <w:sz w:val="18"/>
                <w:szCs w:val="18"/>
              </w:rPr>
            </w:pPr>
          </w:p>
        </w:tc>
        <w:tc>
          <w:tcPr>
            <w:tcW w:w="1710" w:type="dxa"/>
            <w:vMerge/>
            <w:tcBorders>
              <w:left w:val="thinThickThinSmallGap" w:sz="24" w:space="0" w:color="auto"/>
            </w:tcBorders>
            <w:shd w:val="clear" w:color="auto" w:fill="FFFFFF" w:themeFill="background1"/>
          </w:tcPr>
          <w:p w:rsidR="003660F8" w:rsidRPr="00F639C4" w:rsidRDefault="003660F8" w:rsidP="007C7508">
            <w:pPr>
              <w:spacing w:line="240" w:lineRule="exact"/>
              <w:contextualSpacing/>
              <w:jc w:val="both"/>
              <w:rPr>
                <w:color w:val="auto"/>
                <w:sz w:val="18"/>
                <w:szCs w:val="18"/>
              </w:rPr>
            </w:pPr>
          </w:p>
        </w:tc>
        <w:tc>
          <w:tcPr>
            <w:tcW w:w="1402" w:type="dxa"/>
            <w:vMerge/>
            <w:shd w:val="clear" w:color="auto" w:fill="FFFFFF" w:themeFill="background1"/>
            <w:vAlign w:val="center"/>
          </w:tcPr>
          <w:p w:rsidR="003660F8" w:rsidRPr="00F639C4" w:rsidRDefault="003660F8" w:rsidP="007C7508">
            <w:pPr>
              <w:spacing w:line="240" w:lineRule="exact"/>
              <w:contextualSpacing/>
              <w:jc w:val="center"/>
              <w:rPr>
                <w:color w:val="auto"/>
                <w:sz w:val="18"/>
                <w:szCs w:val="18"/>
              </w:rPr>
            </w:pPr>
          </w:p>
        </w:tc>
        <w:tc>
          <w:tcPr>
            <w:tcW w:w="1028" w:type="dxa"/>
            <w:shd w:val="clear" w:color="auto" w:fill="FFFFFF" w:themeFill="background1"/>
            <w:vAlign w:val="center"/>
          </w:tcPr>
          <w:p w:rsidR="003660F8" w:rsidRPr="00F639C4" w:rsidRDefault="009964BB" w:rsidP="007C7508">
            <w:pPr>
              <w:spacing w:line="240" w:lineRule="exact"/>
              <w:contextualSpacing/>
              <w:jc w:val="center"/>
              <w:rPr>
                <w:color w:val="auto"/>
                <w:sz w:val="18"/>
                <w:szCs w:val="18"/>
              </w:rPr>
            </w:pPr>
            <w:r w:rsidRPr="00F639C4">
              <w:rPr>
                <w:color w:val="auto"/>
                <w:sz w:val="18"/>
                <w:szCs w:val="18"/>
              </w:rPr>
              <w:t>1</w:t>
            </w:r>
            <w:r w:rsidR="003660F8" w:rsidRPr="00F639C4">
              <w:rPr>
                <w:color w:val="auto"/>
                <w:sz w:val="18"/>
                <w:szCs w:val="18"/>
              </w:rPr>
              <w:t>0%</w:t>
            </w:r>
          </w:p>
        </w:tc>
        <w:tc>
          <w:tcPr>
            <w:tcW w:w="1402" w:type="dxa"/>
            <w:shd w:val="clear" w:color="auto" w:fill="FFFFFF" w:themeFill="background1"/>
            <w:vAlign w:val="center"/>
          </w:tcPr>
          <w:p w:rsidR="003660F8" w:rsidRPr="00F639C4" w:rsidRDefault="00B9112B" w:rsidP="001E3441">
            <w:pPr>
              <w:spacing w:line="240" w:lineRule="exact"/>
              <w:contextualSpacing/>
              <w:jc w:val="center"/>
              <w:rPr>
                <w:color w:val="auto"/>
                <w:sz w:val="18"/>
                <w:szCs w:val="18"/>
              </w:rPr>
            </w:pPr>
            <w:r w:rsidRPr="00F639C4">
              <w:rPr>
                <w:color w:val="auto"/>
                <w:sz w:val="18"/>
                <w:szCs w:val="18"/>
              </w:rPr>
              <w:t>VATR</w:t>
            </w:r>
            <w:r w:rsidR="00543436">
              <w:rPr>
                <w:color w:val="auto"/>
                <w:sz w:val="18"/>
                <w:szCs w:val="18"/>
              </w:rPr>
              <w:t>*</w:t>
            </w:r>
          </w:p>
        </w:tc>
      </w:tr>
      <w:tr w:rsidR="00F639C4" w:rsidRPr="00A543C4" w:rsidTr="00F639C4">
        <w:trPr>
          <w:trHeight w:val="125"/>
          <w:jc w:val="center"/>
        </w:trPr>
        <w:tc>
          <w:tcPr>
            <w:tcW w:w="1800" w:type="dxa"/>
            <w:vMerge/>
            <w:tcBorders>
              <w:right w:val="single" w:sz="4" w:space="0" w:color="auto"/>
            </w:tcBorders>
            <w:shd w:val="clear" w:color="auto" w:fill="FFFFFF" w:themeFill="background1"/>
          </w:tcPr>
          <w:p w:rsidR="003660F8" w:rsidRPr="00F639C4" w:rsidRDefault="003660F8" w:rsidP="007C7508">
            <w:pPr>
              <w:spacing w:line="240" w:lineRule="exact"/>
              <w:contextualSpacing/>
              <w:rPr>
                <w:color w:val="auto"/>
                <w:sz w:val="18"/>
                <w:szCs w:val="18"/>
              </w:rPr>
            </w:pPr>
          </w:p>
        </w:tc>
        <w:tc>
          <w:tcPr>
            <w:tcW w:w="740" w:type="dxa"/>
            <w:vMerge/>
            <w:tcBorders>
              <w:left w:val="single" w:sz="4" w:space="0" w:color="auto"/>
            </w:tcBorders>
            <w:shd w:val="clear" w:color="auto" w:fill="FFFFFF" w:themeFill="background1"/>
          </w:tcPr>
          <w:p w:rsidR="003660F8" w:rsidRPr="00F639C4" w:rsidRDefault="003660F8" w:rsidP="007C7508">
            <w:pPr>
              <w:spacing w:line="240" w:lineRule="exact"/>
              <w:contextualSpacing/>
              <w:jc w:val="center"/>
              <w:rPr>
                <w:color w:val="auto"/>
                <w:sz w:val="18"/>
                <w:szCs w:val="18"/>
              </w:rPr>
            </w:pPr>
          </w:p>
        </w:tc>
        <w:tc>
          <w:tcPr>
            <w:tcW w:w="720" w:type="dxa"/>
            <w:vMerge/>
            <w:tcBorders>
              <w:right w:val="single" w:sz="4" w:space="0" w:color="auto"/>
            </w:tcBorders>
            <w:shd w:val="clear" w:color="auto" w:fill="FFFFFF" w:themeFill="background1"/>
          </w:tcPr>
          <w:p w:rsidR="003660F8" w:rsidRPr="00F639C4" w:rsidRDefault="003660F8" w:rsidP="007C7508">
            <w:pPr>
              <w:spacing w:line="240" w:lineRule="exact"/>
              <w:contextualSpacing/>
              <w:jc w:val="center"/>
              <w:rPr>
                <w:color w:val="auto"/>
                <w:sz w:val="18"/>
                <w:szCs w:val="18"/>
              </w:rPr>
            </w:pPr>
          </w:p>
        </w:tc>
        <w:tc>
          <w:tcPr>
            <w:tcW w:w="630" w:type="dxa"/>
            <w:vMerge/>
            <w:tcBorders>
              <w:left w:val="single" w:sz="4" w:space="0" w:color="auto"/>
              <w:right w:val="thinThickThinSmallGap" w:sz="24" w:space="0" w:color="auto"/>
            </w:tcBorders>
            <w:shd w:val="clear" w:color="auto" w:fill="FFFFFF" w:themeFill="background1"/>
          </w:tcPr>
          <w:p w:rsidR="003660F8" w:rsidRPr="00F639C4" w:rsidRDefault="003660F8" w:rsidP="007C7508">
            <w:pPr>
              <w:spacing w:line="240" w:lineRule="exact"/>
              <w:contextualSpacing/>
              <w:jc w:val="center"/>
              <w:rPr>
                <w:color w:val="auto"/>
                <w:sz w:val="18"/>
                <w:szCs w:val="18"/>
              </w:rPr>
            </w:pPr>
          </w:p>
        </w:tc>
        <w:tc>
          <w:tcPr>
            <w:tcW w:w="1710" w:type="dxa"/>
            <w:vMerge/>
            <w:tcBorders>
              <w:left w:val="thinThickThinSmallGap" w:sz="24" w:space="0" w:color="auto"/>
            </w:tcBorders>
            <w:shd w:val="clear" w:color="auto" w:fill="FFFFFF" w:themeFill="background1"/>
          </w:tcPr>
          <w:p w:rsidR="003660F8" w:rsidRPr="00F639C4" w:rsidRDefault="003660F8" w:rsidP="007C7508">
            <w:pPr>
              <w:spacing w:line="240" w:lineRule="exact"/>
              <w:contextualSpacing/>
              <w:jc w:val="both"/>
              <w:rPr>
                <w:color w:val="auto"/>
                <w:sz w:val="18"/>
                <w:szCs w:val="18"/>
              </w:rPr>
            </w:pPr>
          </w:p>
        </w:tc>
        <w:tc>
          <w:tcPr>
            <w:tcW w:w="1402" w:type="dxa"/>
            <w:vMerge/>
            <w:shd w:val="clear" w:color="auto" w:fill="FFFFFF" w:themeFill="background1"/>
            <w:vAlign w:val="center"/>
          </w:tcPr>
          <w:p w:rsidR="003660F8" w:rsidRPr="00F639C4" w:rsidRDefault="003660F8" w:rsidP="007C7508">
            <w:pPr>
              <w:spacing w:line="240" w:lineRule="exact"/>
              <w:contextualSpacing/>
              <w:jc w:val="center"/>
              <w:rPr>
                <w:color w:val="auto"/>
                <w:sz w:val="18"/>
                <w:szCs w:val="18"/>
              </w:rPr>
            </w:pPr>
          </w:p>
        </w:tc>
        <w:tc>
          <w:tcPr>
            <w:tcW w:w="1028" w:type="dxa"/>
            <w:shd w:val="clear" w:color="auto" w:fill="FFFFFF" w:themeFill="background1"/>
            <w:vAlign w:val="center"/>
          </w:tcPr>
          <w:p w:rsidR="003660F8" w:rsidRPr="00F639C4" w:rsidRDefault="009F6FFF" w:rsidP="007C7508">
            <w:pPr>
              <w:spacing w:line="240" w:lineRule="exact"/>
              <w:contextualSpacing/>
              <w:jc w:val="center"/>
              <w:rPr>
                <w:color w:val="auto"/>
                <w:sz w:val="18"/>
                <w:szCs w:val="18"/>
              </w:rPr>
            </w:pPr>
            <w:r w:rsidRPr="00F639C4">
              <w:rPr>
                <w:color w:val="auto"/>
                <w:sz w:val="18"/>
                <w:szCs w:val="18"/>
              </w:rPr>
              <w:t>1</w:t>
            </w:r>
            <w:r w:rsidR="003660F8" w:rsidRPr="00F639C4">
              <w:rPr>
                <w:color w:val="auto"/>
                <w:sz w:val="18"/>
                <w:szCs w:val="18"/>
              </w:rPr>
              <w:t>0%</w:t>
            </w:r>
          </w:p>
        </w:tc>
        <w:tc>
          <w:tcPr>
            <w:tcW w:w="1402" w:type="dxa"/>
            <w:shd w:val="clear" w:color="auto" w:fill="FFFFFF" w:themeFill="background1"/>
            <w:vAlign w:val="center"/>
          </w:tcPr>
          <w:p w:rsidR="00B94477" w:rsidRPr="00F639C4" w:rsidRDefault="009964BB" w:rsidP="001E3441">
            <w:pPr>
              <w:spacing w:line="240" w:lineRule="exact"/>
              <w:contextualSpacing/>
              <w:jc w:val="center"/>
              <w:rPr>
                <w:color w:val="auto"/>
                <w:sz w:val="18"/>
                <w:szCs w:val="18"/>
              </w:rPr>
            </w:pPr>
            <w:r w:rsidRPr="00F639C4">
              <w:rPr>
                <w:color w:val="auto"/>
                <w:sz w:val="18"/>
                <w:szCs w:val="18"/>
              </w:rPr>
              <w:t>200</w:t>
            </w:r>
            <w:r w:rsidR="00350021" w:rsidRPr="00F639C4">
              <w:rPr>
                <w:color w:val="auto"/>
                <w:sz w:val="18"/>
                <w:szCs w:val="18"/>
              </w:rPr>
              <w:t>91005</w:t>
            </w:r>
          </w:p>
        </w:tc>
      </w:tr>
      <w:tr w:rsidR="000F6098" w:rsidRPr="00A543C4" w:rsidTr="00F639C4">
        <w:trPr>
          <w:trHeight w:val="125"/>
          <w:jc w:val="center"/>
        </w:trPr>
        <w:tc>
          <w:tcPr>
            <w:tcW w:w="3890" w:type="dxa"/>
            <w:gridSpan w:val="4"/>
            <w:tcBorders>
              <w:right w:val="thinThickThinSmallGap" w:sz="24" w:space="0" w:color="auto"/>
            </w:tcBorders>
            <w:shd w:val="clear" w:color="auto" w:fill="FFFFFF" w:themeFill="background1"/>
          </w:tcPr>
          <w:p w:rsidR="000F6098" w:rsidRPr="00F639C4" w:rsidRDefault="000F6098" w:rsidP="007C7508">
            <w:pPr>
              <w:spacing w:line="240" w:lineRule="exact"/>
              <w:contextualSpacing/>
              <w:jc w:val="center"/>
              <w:rPr>
                <w:color w:val="auto"/>
                <w:sz w:val="18"/>
                <w:szCs w:val="18"/>
              </w:rPr>
            </w:pPr>
            <w:r w:rsidRPr="00F639C4">
              <w:rPr>
                <w:color w:val="auto"/>
                <w:sz w:val="18"/>
                <w:szCs w:val="18"/>
              </w:rPr>
              <w:t>↓No Additional MEB/PEB Entries↓</w:t>
            </w:r>
          </w:p>
        </w:tc>
        <w:tc>
          <w:tcPr>
            <w:tcW w:w="4140" w:type="dxa"/>
            <w:gridSpan w:val="3"/>
            <w:tcBorders>
              <w:left w:val="thinThickThinSmallGap" w:sz="24" w:space="0" w:color="auto"/>
            </w:tcBorders>
            <w:shd w:val="clear" w:color="auto" w:fill="FFFFFF" w:themeFill="background1"/>
          </w:tcPr>
          <w:p w:rsidR="000F6098" w:rsidRPr="00F639C4" w:rsidRDefault="000F6098" w:rsidP="007C7508">
            <w:pPr>
              <w:spacing w:line="240" w:lineRule="exact"/>
              <w:contextualSpacing/>
              <w:jc w:val="center"/>
              <w:rPr>
                <w:color w:val="auto"/>
                <w:sz w:val="18"/>
                <w:szCs w:val="18"/>
              </w:rPr>
            </w:pPr>
            <w:r w:rsidRPr="00F639C4">
              <w:rPr>
                <w:color w:val="auto"/>
                <w:sz w:val="18"/>
                <w:szCs w:val="18"/>
              </w:rPr>
              <w:t>Not Service Connected X 1</w:t>
            </w:r>
          </w:p>
        </w:tc>
        <w:tc>
          <w:tcPr>
            <w:tcW w:w="1402" w:type="dxa"/>
            <w:shd w:val="clear" w:color="auto" w:fill="FFFFFF" w:themeFill="background1"/>
            <w:vAlign w:val="center"/>
          </w:tcPr>
          <w:p w:rsidR="000F6098" w:rsidRPr="00F639C4" w:rsidRDefault="00B9112B" w:rsidP="001E3441">
            <w:pPr>
              <w:spacing w:line="240" w:lineRule="exact"/>
              <w:contextualSpacing/>
              <w:jc w:val="center"/>
              <w:rPr>
                <w:color w:val="auto"/>
                <w:sz w:val="18"/>
                <w:szCs w:val="18"/>
              </w:rPr>
            </w:pPr>
            <w:r w:rsidRPr="00F639C4">
              <w:rPr>
                <w:color w:val="auto"/>
                <w:sz w:val="18"/>
                <w:szCs w:val="18"/>
              </w:rPr>
              <w:t>STR</w:t>
            </w:r>
          </w:p>
        </w:tc>
      </w:tr>
      <w:tr w:rsidR="003660F8" w:rsidRPr="00A543C4" w:rsidTr="00F639C4">
        <w:trPr>
          <w:trHeight w:val="242"/>
          <w:jc w:val="center"/>
        </w:trPr>
        <w:tc>
          <w:tcPr>
            <w:tcW w:w="3890" w:type="dxa"/>
            <w:gridSpan w:val="4"/>
            <w:tcBorders>
              <w:right w:val="thinThickThinSmallGap" w:sz="24" w:space="0" w:color="auto"/>
            </w:tcBorders>
            <w:shd w:val="clear" w:color="auto" w:fill="D9D9D9" w:themeFill="background1" w:themeFillShade="D9"/>
          </w:tcPr>
          <w:p w:rsidR="003660F8" w:rsidRPr="00F639C4" w:rsidRDefault="003660F8" w:rsidP="007C7508">
            <w:pPr>
              <w:spacing w:line="240" w:lineRule="exact"/>
              <w:contextualSpacing/>
              <w:jc w:val="center"/>
              <w:rPr>
                <w:b/>
                <w:color w:val="auto"/>
                <w:sz w:val="18"/>
                <w:szCs w:val="18"/>
              </w:rPr>
            </w:pPr>
            <w:r w:rsidRPr="00F639C4">
              <w:rPr>
                <w:b/>
                <w:color w:val="auto"/>
                <w:sz w:val="18"/>
                <w:szCs w:val="18"/>
              </w:rPr>
              <w:t xml:space="preserve">Final Combined:  </w:t>
            </w:r>
            <w:r w:rsidR="006565B2" w:rsidRPr="00F639C4">
              <w:rPr>
                <w:b/>
                <w:color w:val="auto"/>
                <w:sz w:val="18"/>
                <w:szCs w:val="18"/>
              </w:rPr>
              <w:t>1</w:t>
            </w:r>
            <w:r w:rsidRPr="00F639C4">
              <w:rPr>
                <w:b/>
                <w:color w:val="auto"/>
                <w:sz w:val="18"/>
                <w:szCs w:val="18"/>
              </w:rPr>
              <w:t>0%</w:t>
            </w:r>
          </w:p>
        </w:tc>
        <w:tc>
          <w:tcPr>
            <w:tcW w:w="5542" w:type="dxa"/>
            <w:gridSpan w:val="4"/>
            <w:tcBorders>
              <w:left w:val="thinThickThinSmallGap" w:sz="24" w:space="0" w:color="auto"/>
            </w:tcBorders>
            <w:shd w:val="clear" w:color="auto" w:fill="D9D9D9" w:themeFill="background1" w:themeFillShade="D9"/>
          </w:tcPr>
          <w:p w:rsidR="003660F8" w:rsidRPr="00F639C4" w:rsidRDefault="003660F8" w:rsidP="007C7508">
            <w:pPr>
              <w:spacing w:line="240" w:lineRule="exact"/>
              <w:contextualSpacing/>
              <w:jc w:val="center"/>
              <w:rPr>
                <w:b/>
                <w:color w:val="auto"/>
                <w:sz w:val="18"/>
                <w:szCs w:val="18"/>
              </w:rPr>
            </w:pPr>
            <w:r w:rsidRPr="00F639C4">
              <w:rPr>
                <w:b/>
                <w:color w:val="auto"/>
                <w:sz w:val="18"/>
                <w:szCs w:val="18"/>
              </w:rPr>
              <w:t xml:space="preserve">Total Combined:  </w:t>
            </w:r>
            <w:r w:rsidR="003E7269" w:rsidRPr="00F639C4">
              <w:rPr>
                <w:b/>
                <w:color w:val="auto"/>
                <w:sz w:val="18"/>
                <w:szCs w:val="18"/>
              </w:rPr>
              <w:t>1</w:t>
            </w:r>
            <w:r w:rsidRPr="00F639C4">
              <w:rPr>
                <w:b/>
                <w:color w:val="auto"/>
                <w:sz w:val="18"/>
                <w:szCs w:val="18"/>
              </w:rPr>
              <w:t>0%</w:t>
            </w:r>
          </w:p>
        </w:tc>
      </w:tr>
    </w:tbl>
    <w:p w:rsidR="00B9112B" w:rsidRPr="00543436" w:rsidRDefault="00543436" w:rsidP="005B02E3">
      <w:pPr>
        <w:pBdr>
          <w:bottom w:val="single" w:sz="12" w:space="1" w:color="auto"/>
        </w:pBdr>
        <w:tabs>
          <w:tab w:val="left" w:pos="288"/>
          <w:tab w:val="left" w:pos="4752"/>
        </w:tabs>
        <w:spacing w:line="240" w:lineRule="exact"/>
        <w:rPr>
          <w:rFonts w:ascii="Calibri" w:hAnsi="Calibri"/>
          <w:szCs w:val="24"/>
        </w:rPr>
      </w:pPr>
      <w:r w:rsidRPr="00543436">
        <w:rPr>
          <w:rFonts w:ascii="Calibri" w:hAnsi="Calibri"/>
          <w:color w:val="auto"/>
          <w:szCs w:val="24"/>
        </w:rPr>
        <w:t>*</w:t>
      </w:r>
      <w:r w:rsidRPr="00543436">
        <w:rPr>
          <w:rFonts w:ascii="Calibri" w:hAnsi="Calibri"/>
          <w:color w:val="auto"/>
          <w:sz w:val="18"/>
          <w:szCs w:val="18"/>
        </w:rPr>
        <w:t xml:space="preserve"> VA treatment records</w:t>
      </w:r>
    </w:p>
    <w:p w:rsidR="00543436" w:rsidRPr="00CD5BD7" w:rsidRDefault="00543436"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2C6E5B" w:rsidRDefault="002C6E5B" w:rsidP="0076598F">
      <w:pPr>
        <w:tabs>
          <w:tab w:val="left" w:pos="288"/>
          <w:tab w:val="left" w:pos="4752"/>
        </w:tabs>
        <w:spacing w:line="240" w:lineRule="exact"/>
        <w:jc w:val="both"/>
        <w:rPr>
          <w:rFonts w:asciiTheme="minorHAnsi" w:hAnsiTheme="minorHAnsi"/>
          <w:color w:val="auto"/>
          <w:szCs w:val="24"/>
        </w:rPr>
      </w:pPr>
      <w:r w:rsidRPr="0076598F">
        <w:rPr>
          <w:rFonts w:asciiTheme="minorHAnsi" w:hAnsiTheme="minorHAnsi"/>
          <w:color w:val="auto"/>
          <w:szCs w:val="24"/>
          <w:u w:val="single"/>
        </w:rPr>
        <w:t>ANALYSIS SUMMARY</w:t>
      </w:r>
      <w:r w:rsidRPr="0076598F">
        <w:rPr>
          <w:rFonts w:asciiTheme="minorHAnsi" w:hAnsiTheme="minorHAnsi"/>
          <w:color w:val="auto"/>
          <w:szCs w:val="24"/>
        </w:rPr>
        <w:t>:</w:t>
      </w:r>
      <w:r w:rsidR="00C276CD" w:rsidRPr="0076598F">
        <w:rPr>
          <w:rFonts w:asciiTheme="minorHAnsi" w:hAnsiTheme="minorHAnsi"/>
          <w:color w:val="auto"/>
          <w:szCs w:val="24"/>
        </w:rPr>
        <w:t xml:space="preserve">  </w:t>
      </w:r>
    </w:p>
    <w:p w:rsidR="00F639C4" w:rsidRPr="0076598F" w:rsidRDefault="00F639C4" w:rsidP="0076598F">
      <w:pPr>
        <w:tabs>
          <w:tab w:val="left" w:pos="288"/>
          <w:tab w:val="left" w:pos="4752"/>
        </w:tabs>
        <w:spacing w:line="240" w:lineRule="exact"/>
        <w:jc w:val="both"/>
        <w:rPr>
          <w:rFonts w:asciiTheme="minorHAnsi" w:hAnsiTheme="minorHAnsi"/>
          <w:color w:val="auto"/>
          <w:szCs w:val="24"/>
        </w:rPr>
      </w:pPr>
    </w:p>
    <w:p w:rsidR="0048103D" w:rsidRDefault="00347C6D" w:rsidP="00741984">
      <w:pPr>
        <w:autoSpaceDE w:val="0"/>
        <w:autoSpaceDN w:val="0"/>
        <w:adjustRightInd w:val="0"/>
        <w:spacing w:line="240" w:lineRule="exact"/>
        <w:jc w:val="both"/>
        <w:rPr>
          <w:rFonts w:asciiTheme="minorHAnsi" w:hAnsiTheme="minorHAnsi"/>
          <w:color w:val="auto"/>
          <w:szCs w:val="24"/>
        </w:rPr>
      </w:pPr>
      <w:r w:rsidRPr="0076598F">
        <w:rPr>
          <w:rFonts w:asciiTheme="minorHAnsi" w:hAnsiTheme="minorHAnsi"/>
          <w:color w:val="auto"/>
          <w:szCs w:val="24"/>
          <w:u w:val="single"/>
        </w:rPr>
        <w:t>Seizure Disorder</w:t>
      </w:r>
      <w:r w:rsidR="006C2EDC" w:rsidRPr="0076598F">
        <w:rPr>
          <w:rFonts w:asciiTheme="minorHAnsi" w:hAnsiTheme="minorHAnsi"/>
          <w:color w:val="auto"/>
          <w:szCs w:val="24"/>
        </w:rPr>
        <w:t xml:space="preserve">:  </w:t>
      </w:r>
      <w:r w:rsidR="00D14CE4" w:rsidRPr="0076598F">
        <w:rPr>
          <w:rFonts w:asciiTheme="minorHAnsi" w:hAnsiTheme="minorHAnsi"/>
          <w:color w:val="auto"/>
          <w:szCs w:val="24"/>
        </w:rPr>
        <w:t>The CI had</w:t>
      </w:r>
      <w:r w:rsidR="007820A2">
        <w:rPr>
          <w:rFonts w:asciiTheme="minorHAnsi" w:hAnsiTheme="minorHAnsi"/>
          <w:color w:val="auto"/>
          <w:szCs w:val="24"/>
        </w:rPr>
        <w:t xml:space="preserve"> h</w:t>
      </w:r>
      <w:r w:rsidR="006C2EDC" w:rsidRPr="0076598F">
        <w:rPr>
          <w:rFonts w:asciiTheme="minorHAnsi" w:hAnsiTheme="minorHAnsi"/>
          <w:color w:val="auto"/>
          <w:szCs w:val="24"/>
        </w:rPr>
        <w:t xml:space="preserve">is first seizure on </w:t>
      </w:r>
      <w:r w:rsidR="005B02E3">
        <w:rPr>
          <w:rFonts w:asciiTheme="minorHAnsi" w:hAnsiTheme="minorHAnsi"/>
          <w:color w:val="auto"/>
          <w:szCs w:val="24"/>
        </w:rPr>
        <w:t>A</w:t>
      </w:r>
      <w:r w:rsidR="007820A2">
        <w:rPr>
          <w:rFonts w:asciiTheme="minorHAnsi" w:hAnsiTheme="minorHAnsi"/>
          <w:color w:val="auto"/>
          <w:szCs w:val="24"/>
        </w:rPr>
        <w:t xml:space="preserve">ctive </w:t>
      </w:r>
      <w:r w:rsidR="005B02E3">
        <w:rPr>
          <w:rFonts w:asciiTheme="minorHAnsi" w:hAnsiTheme="minorHAnsi"/>
          <w:color w:val="auto"/>
          <w:szCs w:val="24"/>
        </w:rPr>
        <w:t>D</w:t>
      </w:r>
      <w:r w:rsidR="007820A2">
        <w:rPr>
          <w:rFonts w:asciiTheme="minorHAnsi" w:hAnsiTheme="minorHAnsi"/>
          <w:color w:val="auto"/>
          <w:szCs w:val="24"/>
        </w:rPr>
        <w:t>uty</w:t>
      </w:r>
      <w:r w:rsidR="00F65E80">
        <w:rPr>
          <w:rFonts w:asciiTheme="minorHAnsi" w:hAnsiTheme="minorHAnsi"/>
          <w:color w:val="auto"/>
          <w:szCs w:val="24"/>
        </w:rPr>
        <w:t xml:space="preserve"> on </w:t>
      </w:r>
      <w:r w:rsidR="00A45325">
        <w:rPr>
          <w:rFonts w:asciiTheme="minorHAnsi" w:hAnsiTheme="minorHAnsi"/>
          <w:color w:val="auto"/>
          <w:szCs w:val="24"/>
        </w:rPr>
        <w:t xml:space="preserve">5 June </w:t>
      </w:r>
      <w:r w:rsidR="006C2EDC" w:rsidRPr="0076598F">
        <w:rPr>
          <w:rFonts w:asciiTheme="minorHAnsi" w:hAnsiTheme="minorHAnsi"/>
          <w:color w:val="auto"/>
          <w:szCs w:val="24"/>
        </w:rPr>
        <w:t>2002</w:t>
      </w:r>
      <w:r w:rsidR="00D448A9">
        <w:rPr>
          <w:rFonts w:asciiTheme="minorHAnsi" w:hAnsiTheme="minorHAnsi"/>
          <w:color w:val="auto"/>
          <w:szCs w:val="24"/>
        </w:rPr>
        <w:t xml:space="preserve">.  </w:t>
      </w:r>
      <w:r w:rsidR="008A4B87">
        <w:rPr>
          <w:rFonts w:asciiTheme="minorHAnsi" w:hAnsiTheme="minorHAnsi"/>
          <w:color w:val="auto"/>
          <w:szCs w:val="24"/>
        </w:rPr>
        <w:t>He was started on medication</w:t>
      </w:r>
      <w:r w:rsidR="006F56BC" w:rsidRPr="0076598F">
        <w:rPr>
          <w:rFonts w:asciiTheme="minorHAnsi" w:hAnsiTheme="minorHAnsi"/>
          <w:color w:val="auto"/>
          <w:szCs w:val="24"/>
        </w:rPr>
        <w:t xml:space="preserve"> </w:t>
      </w:r>
      <w:r w:rsidR="00685B7F" w:rsidRPr="0076598F">
        <w:rPr>
          <w:rFonts w:asciiTheme="minorHAnsi" w:hAnsiTheme="minorHAnsi"/>
          <w:color w:val="auto"/>
          <w:szCs w:val="24"/>
        </w:rPr>
        <w:t xml:space="preserve">and </w:t>
      </w:r>
      <w:r w:rsidR="005B02E3">
        <w:rPr>
          <w:rFonts w:asciiTheme="minorHAnsi" w:hAnsiTheme="minorHAnsi"/>
          <w:color w:val="auto"/>
          <w:szCs w:val="24"/>
        </w:rPr>
        <w:t xml:space="preserve">was </w:t>
      </w:r>
      <w:r w:rsidR="00685B7F" w:rsidRPr="0076598F">
        <w:rPr>
          <w:rFonts w:asciiTheme="minorHAnsi" w:hAnsiTheme="minorHAnsi"/>
          <w:color w:val="auto"/>
          <w:szCs w:val="24"/>
        </w:rPr>
        <w:t xml:space="preserve">referred to Neurology where the diagnosis was suspected epileptic seizure.  </w:t>
      </w:r>
      <w:r w:rsidR="006C2EDC" w:rsidRPr="0076598F">
        <w:rPr>
          <w:rFonts w:asciiTheme="minorHAnsi" w:hAnsiTheme="minorHAnsi"/>
          <w:color w:val="auto"/>
          <w:szCs w:val="24"/>
        </w:rPr>
        <w:t>Limite</w:t>
      </w:r>
      <w:r w:rsidR="00CC37DA">
        <w:rPr>
          <w:rFonts w:asciiTheme="minorHAnsi" w:hAnsiTheme="minorHAnsi"/>
          <w:color w:val="auto"/>
          <w:szCs w:val="24"/>
        </w:rPr>
        <w:t xml:space="preserve">d Duty Boards were completed on </w:t>
      </w:r>
      <w:r w:rsidR="00A45325">
        <w:rPr>
          <w:rFonts w:asciiTheme="minorHAnsi" w:hAnsiTheme="minorHAnsi"/>
          <w:color w:val="auto"/>
          <w:szCs w:val="24"/>
        </w:rPr>
        <w:t xml:space="preserve">15 July </w:t>
      </w:r>
      <w:r w:rsidR="006C2EDC" w:rsidRPr="0076598F">
        <w:rPr>
          <w:rFonts w:asciiTheme="minorHAnsi" w:hAnsiTheme="minorHAnsi"/>
          <w:color w:val="auto"/>
          <w:szCs w:val="24"/>
        </w:rPr>
        <w:t>2002</w:t>
      </w:r>
      <w:r w:rsidR="00CC37DA">
        <w:rPr>
          <w:rFonts w:asciiTheme="minorHAnsi" w:hAnsiTheme="minorHAnsi"/>
          <w:color w:val="auto"/>
          <w:szCs w:val="24"/>
        </w:rPr>
        <w:t xml:space="preserve"> and </w:t>
      </w:r>
      <w:r w:rsidR="00A45325">
        <w:rPr>
          <w:rFonts w:asciiTheme="minorHAnsi" w:hAnsiTheme="minorHAnsi"/>
          <w:color w:val="auto"/>
          <w:szCs w:val="24"/>
        </w:rPr>
        <w:t xml:space="preserve">13 February </w:t>
      </w:r>
      <w:r w:rsidR="006C2EDC" w:rsidRPr="0076598F">
        <w:rPr>
          <w:rFonts w:asciiTheme="minorHAnsi" w:hAnsiTheme="minorHAnsi"/>
          <w:color w:val="auto"/>
          <w:szCs w:val="24"/>
        </w:rPr>
        <w:t>2003</w:t>
      </w:r>
      <w:r w:rsidR="00B675AB">
        <w:rPr>
          <w:rFonts w:asciiTheme="minorHAnsi" w:hAnsiTheme="minorHAnsi"/>
          <w:color w:val="auto"/>
          <w:szCs w:val="24"/>
        </w:rPr>
        <w:t xml:space="preserve">.  </w:t>
      </w:r>
      <w:r w:rsidR="006C2EDC" w:rsidRPr="0076598F">
        <w:rPr>
          <w:rFonts w:asciiTheme="minorHAnsi" w:hAnsiTheme="minorHAnsi"/>
          <w:color w:val="auto"/>
          <w:szCs w:val="24"/>
        </w:rPr>
        <w:t xml:space="preserve">EEGs were performed in July 2002, March 2003 and August 2003, with no evidence of epileptic activity.  </w:t>
      </w:r>
      <w:r w:rsidR="0092019A" w:rsidRPr="0076598F">
        <w:rPr>
          <w:rFonts w:asciiTheme="minorHAnsi" w:hAnsiTheme="minorHAnsi"/>
          <w:color w:val="auto"/>
          <w:szCs w:val="24"/>
        </w:rPr>
        <w:t xml:space="preserve"> </w:t>
      </w:r>
      <w:r w:rsidR="00E404B7" w:rsidRPr="0076598F">
        <w:rPr>
          <w:rFonts w:asciiTheme="minorHAnsi" w:hAnsiTheme="minorHAnsi"/>
          <w:color w:val="auto"/>
          <w:szCs w:val="24"/>
        </w:rPr>
        <w:t xml:space="preserve">  </w:t>
      </w:r>
      <w:r w:rsidR="00F65E80">
        <w:rPr>
          <w:rFonts w:asciiTheme="minorHAnsi" w:hAnsiTheme="minorHAnsi"/>
          <w:color w:val="auto"/>
          <w:szCs w:val="24"/>
        </w:rPr>
        <w:t>He</w:t>
      </w:r>
      <w:r w:rsidR="0076598F" w:rsidRPr="0076598F">
        <w:rPr>
          <w:rFonts w:asciiTheme="minorHAnsi" w:hAnsiTheme="minorHAnsi"/>
          <w:color w:val="auto"/>
          <w:szCs w:val="24"/>
        </w:rPr>
        <w:t xml:space="preserve"> remain</w:t>
      </w:r>
      <w:r w:rsidR="00F65E80">
        <w:rPr>
          <w:rFonts w:asciiTheme="minorHAnsi" w:hAnsiTheme="minorHAnsi"/>
          <w:color w:val="auto"/>
          <w:szCs w:val="24"/>
        </w:rPr>
        <w:t>ed</w:t>
      </w:r>
      <w:r w:rsidR="0076598F" w:rsidRPr="0076598F">
        <w:rPr>
          <w:rFonts w:asciiTheme="minorHAnsi" w:hAnsiTheme="minorHAnsi"/>
          <w:color w:val="auto"/>
          <w:szCs w:val="24"/>
        </w:rPr>
        <w:t xml:space="preserve"> seizure free</w:t>
      </w:r>
      <w:r w:rsidR="00F639C4">
        <w:rPr>
          <w:rFonts w:asciiTheme="minorHAnsi" w:hAnsiTheme="minorHAnsi"/>
          <w:color w:val="auto"/>
          <w:szCs w:val="24"/>
        </w:rPr>
        <w:t>,</w:t>
      </w:r>
      <w:r w:rsidR="00D30878">
        <w:rPr>
          <w:rFonts w:asciiTheme="minorHAnsi" w:hAnsiTheme="minorHAnsi"/>
          <w:color w:val="auto"/>
          <w:szCs w:val="24"/>
        </w:rPr>
        <w:t xml:space="preserve"> and the PEB </w:t>
      </w:r>
      <w:r w:rsidR="0092019A" w:rsidRPr="0076598F">
        <w:rPr>
          <w:rFonts w:asciiTheme="minorHAnsi" w:hAnsiTheme="minorHAnsi"/>
          <w:color w:val="auto"/>
          <w:szCs w:val="24"/>
        </w:rPr>
        <w:t>found him fit to continue on active duty</w:t>
      </w:r>
      <w:r w:rsidR="00F639C4" w:rsidRPr="00F639C4">
        <w:rPr>
          <w:rFonts w:asciiTheme="minorHAnsi" w:hAnsiTheme="minorHAnsi"/>
          <w:color w:val="auto"/>
          <w:szCs w:val="24"/>
        </w:rPr>
        <w:t xml:space="preserve"> </w:t>
      </w:r>
      <w:r w:rsidR="00F639C4">
        <w:rPr>
          <w:rFonts w:asciiTheme="minorHAnsi" w:hAnsiTheme="minorHAnsi"/>
          <w:color w:val="auto"/>
          <w:szCs w:val="24"/>
        </w:rPr>
        <w:t>on</w:t>
      </w:r>
      <w:r w:rsidR="00F639C4" w:rsidRPr="0076598F">
        <w:rPr>
          <w:rFonts w:asciiTheme="minorHAnsi" w:hAnsiTheme="minorHAnsi"/>
          <w:color w:val="auto"/>
          <w:szCs w:val="24"/>
        </w:rPr>
        <w:t xml:space="preserve"> </w:t>
      </w:r>
      <w:r w:rsidR="00A45325">
        <w:rPr>
          <w:rFonts w:asciiTheme="minorHAnsi" w:hAnsiTheme="minorHAnsi"/>
          <w:color w:val="auto"/>
          <w:szCs w:val="24"/>
        </w:rPr>
        <w:t xml:space="preserve">20 February </w:t>
      </w:r>
      <w:r w:rsidR="00F639C4" w:rsidRPr="0076598F">
        <w:rPr>
          <w:rFonts w:asciiTheme="minorHAnsi" w:hAnsiTheme="minorHAnsi"/>
          <w:color w:val="auto"/>
          <w:szCs w:val="24"/>
        </w:rPr>
        <w:t>2004</w:t>
      </w:r>
      <w:r w:rsidR="0092019A" w:rsidRPr="0076598F">
        <w:rPr>
          <w:rFonts w:asciiTheme="minorHAnsi" w:hAnsiTheme="minorHAnsi"/>
          <w:color w:val="auto"/>
          <w:szCs w:val="24"/>
        </w:rPr>
        <w:t>.</w:t>
      </w:r>
      <w:r w:rsidR="00D448A9">
        <w:rPr>
          <w:rFonts w:asciiTheme="minorHAnsi" w:hAnsiTheme="minorHAnsi"/>
          <w:color w:val="auto"/>
          <w:szCs w:val="24"/>
        </w:rPr>
        <w:t xml:space="preserve">  </w:t>
      </w:r>
      <w:r w:rsidR="00CC37DA">
        <w:rPr>
          <w:rFonts w:asciiTheme="minorHAnsi" w:hAnsiTheme="minorHAnsi"/>
          <w:color w:val="auto"/>
          <w:szCs w:val="24"/>
        </w:rPr>
        <w:t xml:space="preserve">On </w:t>
      </w:r>
      <w:r w:rsidR="00A45325">
        <w:rPr>
          <w:rFonts w:asciiTheme="minorHAnsi" w:hAnsiTheme="minorHAnsi"/>
          <w:color w:val="auto"/>
          <w:szCs w:val="24"/>
        </w:rPr>
        <w:t xml:space="preserve">12 August </w:t>
      </w:r>
      <w:r w:rsidR="00370247">
        <w:rPr>
          <w:rFonts w:asciiTheme="minorHAnsi" w:hAnsiTheme="minorHAnsi"/>
          <w:color w:val="auto"/>
          <w:szCs w:val="24"/>
        </w:rPr>
        <w:t>2004</w:t>
      </w:r>
      <w:r w:rsidR="00661418">
        <w:rPr>
          <w:rFonts w:asciiTheme="minorHAnsi" w:hAnsiTheme="minorHAnsi"/>
          <w:color w:val="auto"/>
          <w:szCs w:val="24"/>
        </w:rPr>
        <w:t xml:space="preserve"> he had a second</w:t>
      </w:r>
      <w:r w:rsidR="00B675AB">
        <w:rPr>
          <w:rFonts w:asciiTheme="minorHAnsi" w:hAnsiTheme="minorHAnsi"/>
          <w:color w:val="auto"/>
          <w:szCs w:val="24"/>
        </w:rPr>
        <w:t xml:space="preserve"> seizure</w:t>
      </w:r>
      <w:r w:rsidR="00370247">
        <w:rPr>
          <w:rFonts w:asciiTheme="minorHAnsi" w:hAnsiTheme="minorHAnsi"/>
          <w:color w:val="auto"/>
          <w:szCs w:val="24"/>
        </w:rPr>
        <w:t xml:space="preserve">.  The </w:t>
      </w:r>
      <w:r w:rsidR="00A45325">
        <w:rPr>
          <w:rFonts w:asciiTheme="minorHAnsi" w:hAnsiTheme="minorHAnsi"/>
          <w:color w:val="auto"/>
          <w:szCs w:val="24"/>
        </w:rPr>
        <w:t>narrative summary (</w:t>
      </w:r>
      <w:r w:rsidR="00370247">
        <w:rPr>
          <w:rFonts w:asciiTheme="minorHAnsi" w:hAnsiTheme="minorHAnsi"/>
          <w:color w:val="auto"/>
          <w:szCs w:val="24"/>
        </w:rPr>
        <w:t>NARSUM</w:t>
      </w:r>
      <w:r w:rsidR="00A45325">
        <w:rPr>
          <w:rFonts w:asciiTheme="minorHAnsi" w:hAnsiTheme="minorHAnsi"/>
          <w:color w:val="auto"/>
          <w:szCs w:val="24"/>
        </w:rPr>
        <w:t>)</w:t>
      </w:r>
      <w:r w:rsidR="00370247">
        <w:rPr>
          <w:rFonts w:asciiTheme="minorHAnsi" w:hAnsiTheme="minorHAnsi"/>
          <w:color w:val="auto"/>
          <w:szCs w:val="24"/>
        </w:rPr>
        <w:t xml:space="preserve"> </w:t>
      </w:r>
      <w:r w:rsidR="00D448A9">
        <w:rPr>
          <w:rFonts w:asciiTheme="minorHAnsi" w:hAnsiTheme="minorHAnsi"/>
          <w:color w:val="auto"/>
          <w:szCs w:val="24"/>
        </w:rPr>
        <w:t>documented a normal b</w:t>
      </w:r>
      <w:r w:rsidR="00370247">
        <w:rPr>
          <w:rFonts w:asciiTheme="minorHAnsi" w:hAnsiTheme="minorHAnsi"/>
          <w:color w:val="auto"/>
          <w:szCs w:val="24"/>
        </w:rPr>
        <w:t>rain MRI a</w:t>
      </w:r>
      <w:r w:rsidR="00661418">
        <w:rPr>
          <w:rFonts w:asciiTheme="minorHAnsi" w:hAnsiTheme="minorHAnsi"/>
          <w:color w:val="auto"/>
          <w:szCs w:val="24"/>
        </w:rPr>
        <w:t>nd laboratory studies; however,</w:t>
      </w:r>
      <w:r w:rsidR="00D448A9">
        <w:rPr>
          <w:rFonts w:asciiTheme="minorHAnsi" w:hAnsiTheme="minorHAnsi"/>
          <w:color w:val="auto"/>
          <w:szCs w:val="24"/>
        </w:rPr>
        <w:t xml:space="preserve"> </w:t>
      </w:r>
      <w:r w:rsidR="00661418">
        <w:rPr>
          <w:rFonts w:asciiTheme="minorHAnsi" w:hAnsiTheme="minorHAnsi"/>
          <w:color w:val="auto"/>
          <w:szCs w:val="24"/>
        </w:rPr>
        <w:t>the</w:t>
      </w:r>
      <w:r w:rsidR="00D448A9">
        <w:rPr>
          <w:rFonts w:asciiTheme="minorHAnsi" w:hAnsiTheme="minorHAnsi"/>
          <w:color w:val="auto"/>
          <w:szCs w:val="24"/>
        </w:rPr>
        <w:t xml:space="preserve"> EEG show</w:t>
      </w:r>
      <w:r w:rsidR="00370247">
        <w:rPr>
          <w:rFonts w:asciiTheme="minorHAnsi" w:hAnsiTheme="minorHAnsi"/>
          <w:color w:val="auto"/>
          <w:szCs w:val="24"/>
        </w:rPr>
        <w:t>ed occasional right sided sharp w</w:t>
      </w:r>
      <w:r w:rsidR="009C5C78">
        <w:rPr>
          <w:rFonts w:asciiTheme="minorHAnsi" w:hAnsiTheme="minorHAnsi"/>
          <w:color w:val="auto"/>
          <w:szCs w:val="24"/>
        </w:rPr>
        <w:t xml:space="preserve">aves of uncertain significance.  </w:t>
      </w:r>
      <w:r w:rsidR="00370247">
        <w:rPr>
          <w:rFonts w:asciiTheme="minorHAnsi" w:hAnsiTheme="minorHAnsi"/>
          <w:color w:val="auto"/>
          <w:szCs w:val="24"/>
        </w:rPr>
        <w:t>Medicat</w:t>
      </w:r>
      <w:r w:rsidR="00B675AB">
        <w:rPr>
          <w:rFonts w:asciiTheme="minorHAnsi" w:hAnsiTheme="minorHAnsi"/>
          <w:color w:val="auto"/>
          <w:szCs w:val="24"/>
        </w:rPr>
        <w:t>ion was again initiated</w:t>
      </w:r>
      <w:r w:rsidR="00F639C4">
        <w:rPr>
          <w:rFonts w:asciiTheme="minorHAnsi" w:hAnsiTheme="minorHAnsi"/>
          <w:color w:val="auto"/>
          <w:szCs w:val="24"/>
        </w:rPr>
        <w:t>,</w:t>
      </w:r>
      <w:r w:rsidR="008F699D">
        <w:rPr>
          <w:rFonts w:asciiTheme="minorHAnsi" w:hAnsiTheme="minorHAnsi"/>
          <w:color w:val="auto"/>
          <w:szCs w:val="24"/>
        </w:rPr>
        <w:t xml:space="preserve"> and </w:t>
      </w:r>
      <w:r w:rsidR="00E5440B">
        <w:rPr>
          <w:rFonts w:asciiTheme="minorHAnsi" w:hAnsiTheme="minorHAnsi"/>
          <w:color w:val="auto"/>
          <w:szCs w:val="24"/>
        </w:rPr>
        <w:t xml:space="preserve">a six </w:t>
      </w:r>
      <w:r w:rsidR="00E5440B">
        <w:rPr>
          <w:rFonts w:asciiTheme="minorHAnsi" w:hAnsiTheme="minorHAnsi"/>
          <w:color w:val="auto"/>
          <w:szCs w:val="24"/>
        </w:rPr>
        <w:lastRenderedPageBreak/>
        <w:t>month period of limited duty was</w:t>
      </w:r>
      <w:r w:rsidR="008F699D">
        <w:rPr>
          <w:rFonts w:asciiTheme="minorHAnsi" w:hAnsiTheme="minorHAnsi"/>
          <w:color w:val="auto"/>
          <w:szCs w:val="24"/>
        </w:rPr>
        <w:t xml:space="preserve"> recommended</w:t>
      </w:r>
      <w:r w:rsidR="008B370A">
        <w:rPr>
          <w:rFonts w:asciiTheme="minorHAnsi" w:hAnsiTheme="minorHAnsi"/>
          <w:color w:val="auto"/>
          <w:szCs w:val="24"/>
        </w:rPr>
        <w:t xml:space="preserve">.  </w:t>
      </w:r>
      <w:r w:rsidR="008F699D">
        <w:rPr>
          <w:rFonts w:asciiTheme="minorHAnsi" w:hAnsiTheme="minorHAnsi"/>
          <w:color w:val="auto"/>
          <w:szCs w:val="24"/>
        </w:rPr>
        <w:t>The NARSUM</w:t>
      </w:r>
      <w:r w:rsidR="006C11C4">
        <w:rPr>
          <w:rFonts w:asciiTheme="minorHAnsi" w:hAnsiTheme="minorHAnsi"/>
          <w:color w:val="auto"/>
          <w:szCs w:val="24"/>
        </w:rPr>
        <w:t xml:space="preserve"> examiner</w:t>
      </w:r>
      <w:r w:rsidR="008F699D">
        <w:rPr>
          <w:rFonts w:asciiTheme="minorHAnsi" w:hAnsiTheme="minorHAnsi"/>
          <w:color w:val="auto"/>
          <w:szCs w:val="24"/>
        </w:rPr>
        <w:t xml:space="preserve"> recommended referral </w:t>
      </w:r>
      <w:r w:rsidR="00344F9C">
        <w:rPr>
          <w:rFonts w:asciiTheme="minorHAnsi" w:hAnsiTheme="minorHAnsi"/>
          <w:color w:val="auto"/>
          <w:szCs w:val="24"/>
        </w:rPr>
        <w:t xml:space="preserve">of the seizure disorder condition </w:t>
      </w:r>
      <w:r w:rsidR="008F699D">
        <w:rPr>
          <w:rFonts w:asciiTheme="minorHAnsi" w:hAnsiTheme="minorHAnsi"/>
          <w:color w:val="auto"/>
          <w:szCs w:val="24"/>
        </w:rPr>
        <w:t>to the PEB</w:t>
      </w:r>
      <w:r w:rsidR="00344F9C">
        <w:rPr>
          <w:rFonts w:asciiTheme="minorHAnsi" w:hAnsiTheme="minorHAnsi"/>
          <w:color w:val="auto"/>
          <w:szCs w:val="24"/>
        </w:rPr>
        <w:t xml:space="preserve"> as unfitting</w:t>
      </w:r>
      <w:r w:rsidR="008F699D">
        <w:rPr>
          <w:rFonts w:asciiTheme="minorHAnsi" w:hAnsiTheme="minorHAnsi"/>
          <w:color w:val="auto"/>
          <w:szCs w:val="24"/>
        </w:rPr>
        <w:t>.</w:t>
      </w:r>
      <w:r w:rsidR="00D448A9">
        <w:rPr>
          <w:rFonts w:asciiTheme="minorHAnsi" w:hAnsiTheme="minorHAnsi"/>
          <w:color w:val="auto"/>
          <w:szCs w:val="24"/>
        </w:rPr>
        <w:t xml:space="preserve">  </w:t>
      </w:r>
      <w:r w:rsidR="00177E43">
        <w:rPr>
          <w:rFonts w:asciiTheme="minorHAnsi" w:hAnsiTheme="minorHAnsi"/>
          <w:color w:val="auto"/>
          <w:szCs w:val="24"/>
        </w:rPr>
        <w:t>O</w:t>
      </w:r>
      <w:r w:rsidR="001368B6">
        <w:rPr>
          <w:rFonts w:asciiTheme="minorHAnsi" w:hAnsiTheme="minorHAnsi"/>
          <w:color w:val="auto"/>
          <w:szCs w:val="24"/>
        </w:rPr>
        <w:t xml:space="preserve">n </w:t>
      </w:r>
      <w:r w:rsidR="00A45325">
        <w:rPr>
          <w:rFonts w:asciiTheme="minorHAnsi" w:hAnsiTheme="minorHAnsi"/>
          <w:color w:val="auto"/>
          <w:szCs w:val="24"/>
        </w:rPr>
        <w:t xml:space="preserve">14 February </w:t>
      </w:r>
      <w:r w:rsidR="00197AB3">
        <w:rPr>
          <w:rFonts w:asciiTheme="minorHAnsi" w:hAnsiTheme="minorHAnsi"/>
          <w:color w:val="auto"/>
          <w:szCs w:val="24"/>
        </w:rPr>
        <w:t>2005</w:t>
      </w:r>
      <w:r w:rsidR="00D448A9">
        <w:rPr>
          <w:rFonts w:asciiTheme="minorHAnsi" w:hAnsiTheme="minorHAnsi"/>
          <w:color w:val="auto"/>
          <w:szCs w:val="24"/>
        </w:rPr>
        <w:t xml:space="preserve">, </w:t>
      </w:r>
      <w:r w:rsidR="008A4B87">
        <w:rPr>
          <w:rFonts w:asciiTheme="minorHAnsi" w:hAnsiTheme="minorHAnsi"/>
          <w:color w:val="auto"/>
          <w:szCs w:val="24"/>
        </w:rPr>
        <w:t>two weeks before the PEB,</w:t>
      </w:r>
      <w:r w:rsidR="00197AB3">
        <w:rPr>
          <w:rFonts w:asciiTheme="minorHAnsi" w:hAnsiTheme="minorHAnsi"/>
          <w:color w:val="auto"/>
          <w:szCs w:val="24"/>
        </w:rPr>
        <w:t xml:space="preserve"> h</w:t>
      </w:r>
      <w:r w:rsidR="008A4B87">
        <w:rPr>
          <w:rFonts w:asciiTheme="minorHAnsi" w:hAnsiTheme="minorHAnsi"/>
          <w:color w:val="auto"/>
          <w:szCs w:val="24"/>
        </w:rPr>
        <w:t xml:space="preserve">e had a third seizure.  </w:t>
      </w:r>
      <w:r w:rsidR="00177E43">
        <w:rPr>
          <w:rFonts w:asciiTheme="minorHAnsi" w:hAnsiTheme="minorHAnsi"/>
          <w:color w:val="auto"/>
          <w:szCs w:val="24"/>
        </w:rPr>
        <w:t xml:space="preserve">However, the </w:t>
      </w:r>
      <w:r w:rsidR="00A45325">
        <w:rPr>
          <w:rFonts w:asciiTheme="minorHAnsi" w:hAnsiTheme="minorHAnsi"/>
          <w:color w:val="auto"/>
          <w:szCs w:val="24"/>
        </w:rPr>
        <w:t>service treatment record</w:t>
      </w:r>
      <w:r w:rsidR="00177E43">
        <w:rPr>
          <w:rFonts w:asciiTheme="minorHAnsi" w:hAnsiTheme="minorHAnsi"/>
          <w:color w:val="auto"/>
          <w:szCs w:val="24"/>
        </w:rPr>
        <w:t xml:space="preserve"> </w:t>
      </w:r>
      <w:r w:rsidR="00177E43" w:rsidRPr="00177E43">
        <w:rPr>
          <w:rFonts w:asciiTheme="minorHAnsi" w:hAnsiTheme="minorHAnsi"/>
          <w:color w:val="auto"/>
          <w:szCs w:val="24"/>
        </w:rPr>
        <w:t xml:space="preserve">indicated that the CI had stopped his medication of his own accord two months earlier.  </w:t>
      </w:r>
      <w:r w:rsidR="008B4F15" w:rsidRPr="00177E43">
        <w:rPr>
          <w:rFonts w:asciiTheme="minorHAnsi" w:hAnsiTheme="minorHAnsi"/>
          <w:color w:val="auto"/>
          <w:szCs w:val="24"/>
        </w:rPr>
        <w:t xml:space="preserve">The PEB </w:t>
      </w:r>
      <w:r w:rsidR="00344F9C" w:rsidRPr="00177E43">
        <w:rPr>
          <w:rFonts w:asciiTheme="minorHAnsi" w:hAnsiTheme="minorHAnsi"/>
          <w:color w:val="auto"/>
          <w:szCs w:val="24"/>
        </w:rPr>
        <w:t xml:space="preserve">found the seizure disorder to be unfitting, </w:t>
      </w:r>
      <w:r w:rsidR="005B02E3">
        <w:rPr>
          <w:rFonts w:asciiTheme="minorHAnsi" w:hAnsiTheme="minorHAnsi"/>
          <w:color w:val="auto"/>
          <w:szCs w:val="24"/>
        </w:rPr>
        <w:t>coded</w:t>
      </w:r>
      <w:r w:rsidR="00344F9C" w:rsidRPr="00177E43">
        <w:rPr>
          <w:rFonts w:asciiTheme="minorHAnsi" w:hAnsiTheme="minorHAnsi"/>
          <w:color w:val="auto"/>
          <w:szCs w:val="24"/>
        </w:rPr>
        <w:t xml:space="preserve"> 8910</w:t>
      </w:r>
      <w:r w:rsidR="00B675AB" w:rsidRPr="00177E43">
        <w:rPr>
          <w:rFonts w:asciiTheme="minorHAnsi" w:hAnsiTheme="minorHAnsi"/>
          <w:color w:val="auto"/>
          <w:szCs w:val="24"/>
        </w:rPr>
        <w:t xml:space="preserve"> (</w:t>
      </w:r>
      <w:r w:rsidR="008A4B87" w:rsidRPr="00177E43">
        <w:rPr>
          <w:rFonts w:asciiTheme="minorHAnsi" w:hAnsiTheme="minorHAnsi"/>
          <w:color w:val="auto"/>
          <w:szCs w:val="24"/>
        </w:rPr>
        <w:t>e</w:t>
      </w:r>
      <w:r w:rsidR="00B675AB" w:rsidRPr="00177E43">
        <w:rPr>
          <w:rFonts w:asciiTheme="minorHAnsi" w:hAnsiTheme="minorHAnsi"/>
          <w:color w:val="auto"/>
          <w:szCs w:val="24"/>
        </w:rPr>
        <w:t>pilepsy, grand mal</w:t>
      </w:r>
      <w:r w:rsidR="00537354" w:rsidRPr="00177E43">
        <w:rPr>
          <w:rFonts w:asciiTheme="minorHAnsi" w:hAnsiTheme="minorHAnsi"/>
          <w:color w:val="auto"/>
          <w:szCs w:val="24"/>
        </w:rPr>
        <w:t>)</w:t>
      </w:r>
      <w:r w:rsidR="00344F9C" w:rsidRPr="00177E43">
        <w:rPr>
          <w:rFonts w:asciiTheme="minorHAnsi" w:hAnsiTheme="minorHAnsi"/>
          <w:color w:val="auto"/>
          <w:szCs w:val="24"/>
        </w:rPr>
        <w:t xml:space="preserve">, and recommended placement </w:t>
      </w:r>
      <w:r w:rsidR="008B370A" w:rsidRPr="00177E43">
        <w:rPr>
          <w:rFonts w:asciiTheme="minorHAnsi" w:hAnsiTheme="minorHAnsi"/>
          <w:color w:val="auto"/>
          <w:szCs w:val="24"/>
        </w:rPr>
        <w:t xml:space="preserve">on the TDRL with a 40% rating, </w:t>
      </w:r>
      <w:r w:rsidR="00344F9C" w:rsidRPr="00177E43">
        <w:rPr>
          <w:rFonts w:asciiTheme="minorHAnsi" w:hAnsiTheme="minorHAnsi"/>
          <w:color w:val="auto"/>
          <w:szCs w:val="24"/>
        </w:rPr>
        <w:t xml:space="preserve">effective </w:t>
      </w:r>
      <w:r w:rsidR="00A45325">
        <w:rPr>
          <w:rFonts w:asciiTheme="minorHAnsi" w:hAnsiTheme="minorHAnsi"/>
          <w:color w:val="auto"/>
          <w:szCs w:val="24"/>
        </w:rPr>
        <w:t xml:space="preserve">9 March </w:t>
      </w:r>
      <w:r w:rsidR="00344F9C" w:rsidRPr="00177E43">
        <w:rPr>
          <w:rFonts w:asciiTheme="minorHAnsi" w:hAnsiTheme="minorHAnsi"/>
          <w:color w:val="auto"/>
          <w:szCs w:val="24"/>
        </w:rPr>
        <w:t>2005</w:t>
      </w:r>
      <w:r w:rsidR="008D7AE6" w:rsidRPr="00177E43">
        <w:rPr>
          <w:rFonts w:asciiTheme="minorHAnsi" w:hAnsiTheme="minorHAnsi"/>
          <w:color w:val="auto"/>
          <w:szCs w:val="24"/>
        </w:rPr>
        <w:t>.</w:t>
      </w:r>
      <w:r w:rsidR="00741984" w:rsidRPr="00177E43">
        <w:rPr>
          <w:rFonts w:asciiTheme="minorHAnsi" w:hAnsiTheme="minorHAnsi"/>
          <w:color w:val="auto"/>
          <w:szCs w:val="24"/>
        </w:rPr>
        <w:t xml:space="preserve">  </w:t>
      </w:r>
      <w:r w:rsidR="00347554" w:rsidRPr="00177E43">
        <w:rPr>
          <w:rFonts w:asciiTheme="minorHAnsi" w:hAnsiTheme="minorHAnsi"/>
          <w:color w:val="auto"/>
          <w:szCs w:val="24"/>
        </w:rPr>
        <w:t xml:space="preserve">The TDRL </w:t>
      </w:r>
      <w:r w:rsidR="00A45325">
        <w:rPr>
          <w:rFonts w:asciiTheme="minorHAnsi" w:hAnsiTheme="minorHAnsi"/>
          <w:color w:val="auto"/>
          <w:szCs w:val="24"/>
        </w:rPr>
        <w:t>e</w:t>
      </w:r>
      <w:r w:rsidR="00347554" w:rsidRPr="00177E43">
        <w:rPr>
          <w:rFonts w:asciiTheme="minorHAnsi" w:hAnsiTheme="minorHAnsi"/>
          <w:color w:val="auto"/>
          <w:szCs w:val="24"/>
        </w:rPr>
        <w:t>xamination</w:t>
      </w:r>
      <w:r w:rsidR="000F7DFE">
        <w:rPr>
          <w:rFonts w:asciiTheme="minorHAnsi" w:hAnsiTheme="minorHAnsi"/>
          <w:color w:val="auto"/>
          <w:szCs w:val="24"/>
        </w:rPr>
        <w:t xml:space="preserve"> </w:t>
      </w:r>
      <w:r w:rsidR="00F34F31">
        <w:rPr>
          <w:rFonts w:asciiTheme="minorHAnsi" w:hAnsiTheme="minorHAnsi"/>
          <w:color w:val="auto"/>
          <w:szCs w:val="24"/>
        </w:rPr>
        <w:t xml:space="preserve">on </w:t>
      </w:r>
      <w:r w:rsidR="00A45325">
        <w:rPr>
          <w:rFonts w:asciiTheme="minorHAnsi" w:hAnsiTheme="minorHAnsi"/>
          <w:color w:val="auto"/>
          <w:szCs w:val="24"/>
        </w:rPr>
        <w:t xml:space="preserve">1 August </w:t>
      </w:r>
      <w:r w:rsidR="000F7DFE">
        <w:rPr>
          <w:rFonts w:asciiTheme="minorHAnsi" w:hAnsiTheme="minorHAnsi"/>
          <w:color w:val="auto"/>
          <w:szCs w:val="24"/>
        </w:rPr>
        <w:t>2006</w:t>
      </w:r>
      <w:r w:rsidR="00F34F31">
        <w:rPr>
          <w:rFonts w:asciiTheme="minorHAnsi" w:hAnsiTheme="minorHAnsi"/>
          <w:color w:val="auto"/>
          <w:szCs w:val="24"/>
        </w:rPr>
        <w:t>,</w:t>
      </w:r>
      <w:r w:rsidR="000F7DFE">
        <w:rPr>
          <w:rFonts w:asciiTheme="minorHAnsi" w:hAnsiTheme="minorHAnsi"/>
          <w:color w:val="auto"/>
          <w:szCs w:val="24"/>
        </w:rPr>
        <w:t xml:space="preserve"> </w:t>
      </w:r>
      <w:r w:rsidR="00347554">
        <w:rPr>
          <w:rFonts w:asciiTheme="minorHAnsi" w:hAnsiTheme="minorHAnsi"/>
          <w:color w:val="auto"/>
          <w:szCs w:val="24"/>
        </w:rPr>
        <w:t xml:space="preserve">four months before </w:t>
      </w:r>
      <w:r w:rsidR="00640D5C">
        <w:rPr>
          <w:rFonts w:asciiTheme="minorHAnsi" w:hAnsiTheme="minorHAnsi"/>
          <w:color w:val="auto"/>
          <w:szCs w:val="24"/>
        </w:rPr>
        <w:t xml:space="preserve">final </w:t>
      </w:r>
      <w:r w:rsidR="00347554">
        <w:rPr>
          <w:rFonts w:asciiTheme="minorHAnsi" w:hAnsiTheme="minorHAnsi"/>
          <w:color w:val="auto"/>
          <w:szCs w:val="24"/>
        </w:rPr>
        <w:t>separation</w:t>
      </w:r>
      <w:r w:rsidR="00F34F31">
        <w:rPr>
          <w:rFonts w:asciiTheme="minorHAnsi" w:hAnsiTheme="minorHAnsi"/>
          <w:color w:val="auto"/>
          <w:szCs w:val="24"/>
        </w:rPr>
        <w:t>,</w:t>
      </w:r>
      <w:r w:rsidR="00347554">
        <w:rPr>
          <w:rFonts w:asciiTheme="minorHAnsi" w:hAnsiTheme="minorHAnsi"/>
          <w:color w:val="auto"/>
          <w:szCs w:val="24"/>
        </w:rPr>
        <w:t xml:space="preserve"> </w:t>
      </w:r>
      <w:r w:rsidR="000F7DFE">
        <w:rPr>
          <w:rFonts w:asciiTheme="minorHAnsi" w:hAnsiTheme="minorHAnsi"/>
          <w:color w:val="auto"/>
          <w:szCs w:val="24"/>
        </w:rPr>
        <w:t xml:space="preserve">noted that </w:t>
      </w:r>
      <w:r w:rsidR="008A4B87">
        <w:rPr>
          <w:rFonts w:asciiTheme="minorHAnsi" w:hAnsiTheme="minorHAnsi"/>
          <w:color w:val="auto"/>
          <w:szCs w:val="24"/>
        </w:rPr>
        <w:t>he was compliant with</w:t>
      </w:r>
      <w:r w:rsidR="003B6E2F">
        <w:rPr>
          <w:rFonts w:asciiTheme="minorHAnsi" w:hAnsiTheme="minorHAnsi"/>
          <w:color w:val="auto"/>
          <w:szCs w:val="24"/>
        </w:rPr>
        <w:t xml:space="preserve"> medication</w:t>
      </w:r>
      <w:r w:rsidR="008A4B87">
        <w:rPr>
          <w:rFonts w:asciiTheme="minorHAnsi" w:hAnsiTheme="minorHAnsi"/>
          <w:color w:val="auto"/>
          <w:szCs w:val="24"/>
        </w:rPr>
        <w:t xml:space="preserve">, </w:t>
      </w:r>
      <w:r w:rsidR="00853FB8">
        <w:rPr>
          <w:rFonts w:asciiTheme="minorHAnsi" w:hAnsiTheme="minorHAnsi"/>
          <w:color w:val="auto"/>
          <w:szCs w:val="24"/>
        </w:rPr>
        <w:t xml:space="preserve">was seizure free during the TDRL period, and </w:t>
      </w:r>
      <w:r w:rsidR="008A4B87">
        <w:rPr>
          <w:rFonts w:asciiTheme="minorHAnsi" w:hAnsiTheme="minorHAnsi"/>
          <w:color w:val="auto"/>
          <w:szCs w:val="24"/>
        </w:rPr>
        <w:t>had a normal</w:t>
      </w:r>
      <w:r w:rsidR="000F7DFE">
        <w:rPr>
          <w:rFonts w:asciiTheme="minorHAnsi" w:hAnsiTheme="minorHAnsi"/>
          <w:color w:val="auto"/>
          <w:szCs w:val="24"/>
        </w:rPr>
        <w:t xml:space="preserve"> ph</w:t>
      </w:r>
      <w:r w:rsidR="00853FB8">
        <w:rPr>
          <w:rFonts w:asciiTheme="minorHAnsi" w:hAnsiTheme="minorHAnsi"/>
          <w:color w:val="auto"/>
          <w:szCs w:val="24"/>
        </w:rPr>
        <w:t>ysical examination with</w:t>
      </w:r>
      <w:r w:rsidR="008A4B87">
        <w:rPr>
          <w:rFonts w:asciiTheme="minorHAnsi" w:hAnsiTheme="minorHAnsi"/>
          <w:color w:val="auto"/>
          <w:szCs w:val="24"/>
        </w:rPr>
        <w:t xml:space="preserve"> a good prognosis</w:t>
      </w:r>
      <w:r w:rsidR="00F34F31">
        <w:rPr>
          <w:rFonts w:asciiTheme="minorHAnsi" w:hAnsiTheme="minorHAnsi"/>
          <w:color w:val="auto"/>
          <w:szCs w:val="24"/>
        </w:rPr>
        <w:t xml:space="preserve">.  </w:t>
      </w:r>
      <w:r w:rsidR="003B6E2F">
        <w:rPr>
          <w:rFonts w:asciiTheme="minorHAnsi" w:hAnsiTheme="minorHAnsi"/>
          <w:color w:val="auto"/>
          <w:szCs w:val="24"/>
        </w:rPr>
        <w:t>The PEB</w:t>
      </w:r>
      <w:r w:rsidR="00347554">
        <w:rPr>
          <w:rFonts w:asciiTheme="minorHAnsi" w:hAnsiTheme="minorHAnsi"/>
          <w:color w:val="auto"/>
          <w:szCs w:val="24"/>
        </w:rPr>
        <w:t xml:space="preserve"> </w:t>
      </w:r>
      <w:r w:rsidR="00923E02">
        <w:rPr>
          <w:rFonts w:asciiTheme="minorHAnsi" w:hAnsiTheme="minorHAnsi"/>
          <w:color w:val="auto"/>
          <w:szCs w:val="24"/>
        </w:rPr>
        <w:t>found the seizure disorder to be unfitting, code 8910, and recommended separation from the TDRL with a 10% permanent rating</w:t>
      </w:r>
      <w:r w:rsidR="00853FB8">
        <w:rPr>
          <w:rFonts w:asciiTheme="minorHAnsi" w:hAnsiTheme="minorHAnsi"/>
          <w:color w:val="auto"/>
          <w:szCs w:val="24"/>
        </w:rPr>
        <w:t>.</w:t>
      </w:r>
    </w:p>
    <w:p w:rsidR="00741984" w:rsidRDefault="00741984" w:rsidP="006A712A">
      <w:pPr>
        <w:spacing w:line="240" w:lineRule="exact"/>
        <w:jc w:val="both"/>
        <w:rPr>
          <w:rFonts w:asciiTheme="minorHAnsi" w:hAnsiTheme="minorHAnsi"/>
          <w:color w:val="auto"/>
          <w:szCs w:val="24"/>
        </w:rPr>
      </w:pPr>
    </w:p>
    <w:p w:rsidR="00B17979" w:rsidRDefault="0048103D" w:rsidP="006A712A">
      <w:pPr>
        <w:spacing w:line="240" w:lineRule="exact"/>
        <w:jc w:val="both"/>
        <w:rPr>
          <w:rFonts w:asciiTheme="minorHAnsi" w:hAnsiTheme="minorHAnsi"/>
          <w:color w:val="auto"/>
          <w:szCs w:val="24"/>
        </w:rPr>
      </w:pPr>
      <w:r>
        <w:rPr>
          <w:rFonts w:asciiTheme="minorHAnsi" w:hAnsiTheme="minorHAnsi"/>
          <w:color w:val="auto"/>
          <w:szCs w:val="24"/>
        </w:rPr>
        <w:t xml:space="preserve">After separation he </w:t>
      </w:r>
      <w:r w:rsidR="00F639C4">
        <w:rPr>
          <w:rFonts w:asciiTheme="minorHAnsi" w:hAnsiTheme="minorHAnsi"/>
          <w:color w:val="auto"/>
          <w:szCs w:val="24"/>
        </w:rPr>
        <w:t>continued</w:t>
      </w:r>
      <w:r>
        <w:rPr>
          <w:rFonts w:asciiTheme="minorHAnsi" w:hAnsiTheme="minorHAnsi"/>
          <w:color w:val="auto"/>
          <w:szCs w:val="24"/>
        </w:rPr>
        <w:t xml:space="preserve"> to recei</w:t>
      </w:r>
      <w:r w:rsidR="008A4B87">
        <w:rPr>
          <w:rFonts w:asciiTheme="minorHAnsi" w:hAnsiTheme="minorHAnsi"/>
          <w:color w:val="auto"/>
          <w:szCs w:val="24"/>
        </w:rPr>
        <w:t>ve treatment from the VA</w:t>
      </w:r>
      <w:r w:rsidR="00F639C4">
        <w:rPr>
          <w:rFonts w:asciiTheme="minorHAnsi" w:hAnsiTheme="minorHAnsi"/>
          <w:color w:val="auto"/>
          <w:szCs w:val="24"/>
        </w:rPr>
        <w:t>,</w:t>
      </w:r>
      <w:r w:rsidR="008A4B87">
        <w:rPr>
          <w:rFonts w:asciiTheme="minorHAnsi" w:hAnsiTheme="minorHAnsi"/>
          <w:color w:val="auto"/>
          <w:szCs w:val="24"/>
        </w:rPr>
        <w:t xml:space="preserve"> and remained</w:t>
      </w:r>
      <w:r>
        <w:rPr>
          <w:rFonts w:asciiTheme="minorHAnsi" w:hAnsiTheme="minorHAnsi"/>
          <w:color w:val="auto"/>
          <w:szCs w:val="24"/>
        </w:rPr>
        <w:t xml:space="preserve"> compliant with </w:t>
      </w:r>
      <w:r w:rsidR="00F34F31">
        <w:rPr>
          <w:rFonts w:asciiTheme="minorHAnsi" w:hAnsiTheme="minorHAnsi"/>
          <w:color w:val="auto"/>
          <w:szCs w:val="24"/>
        </w:rPr>
        <w:t>seizure medication</w:t>
      </w:r>
      <w:r>
        <w:rPr>
          <w:rFonts w:asciiTheme="minorHAnsi" w:hAnsiTheme="minorHAnsi"/>
          <w:color w:val="auto"/>
          <w:szCs w:val="24"/>
        </w:rPr>
        <w:t>.</w:t>
      </w:r>
      <w:r w:rsidR="00177E43">
        <w:rPr>
          <w:rFonts w:asciiTheme="minorHAnsi" w:hAnsiTheme="minorHAnsi"/>
          <w:color w:val="auto"/>
          <w:szCs w:val="24"/>
        </w:rPr>
        <w:t xml:space="preserve">  </w:t>
      </w:r>
      <w:r w:rsidR="009251DF">
        <w:rPr>
          <w:rFonts w:asciiTheme="minorHAnsi" w:hAnsiTheme="minorHAnsi"/>
          <w:color w:val="auto"/>
          <w:szCs w:val="24"/>
        </w:rPr>
        <w:t>The</w:t>
      </w:r>
      <w:r w:rsidR="00F34F31">
        <w:rPr>
          <w:rFonts w:asciiTheme="minorHAnsi" w:hAnsiTheme="minorHAnsi"/>
          <w:color w:val="auto"/>
          <w:szCs w:val="24"/>
        </w:rPr>
        <w:t xml:space="preserve"> VA Rating Decision </w:t>
      </w:r>
      <w:r w:rsidR="00A45325">
        <w:rPr>
          <w:rFonts w:asciiTheme="minorHAnsi" w:hAnsiTheme="minorHAnsi"/>
          <w:color w:val="auto"/>
          <w:szCs w:val="24"/>
        </w:rPr>
        <w:t xml:space="preserve">dated 6 April </w:t>
      </w:r>
      <w:r>
        <w:rPr>
          <w:rFonts w:asciiTheme="minorHAnsi" w:hAnsiTheme="minorHAnsi"/>
          <w:color w:val="auto"/>
          <w:szCs w:val="24"/>
        </w:rPr>
        <w:t>2009</w:t>
      </w:r>
      <w:r w:rsidR="00F34F31">
        <w:rPr>
          <w:rFonts w:asciiTheme="minorHAnsi" w:hAnsiTheme="minorHAnsi"/>
          <w:color w:val="auto"/>
          <w:szCs w:val="24"/>
        </w:rPr>
        <w:t>,</w:t>
      </w:r>
      <w:r w:rsidR="000F6098">
        <w:rPr>
          <w:rFonts w:asciiTheme="minorHAnsi" w:hAnsiTheme="minorHAnsi"/>
          <w:color w:val="auto"/>
          <w:szCs w:val="24"/>
        </w:rPr>
        <w:t xml:space="preserve"> 29 months after separation</w:t>
      </w:r>
      <w:r w:rsidR="00F34F31">
        <w:rPr>
          <w:rFonts w:asciiTheme="minorHAnsi" w:hAnsiTheme="minorHAnsi"/>
          <w:color w:val="auto"/>
          <w:szCs w:val="24"/>
        </w:rPr>
        <w:t>,</w:t>
      </w:r>
      <w:r>
        <w:rPr>
          <w:rFonts w:asciiTheme="minorHAnsi" w:hAnsiTheme="minorHAnsi"/>
          <w:color w:val="auto"/>
          <w:szCs w:val="24"/>
        </w:rPr>
        <w:t xml:space="preserve"> </w:t>
      </w:r>
      <w:r w:rsidR="00F639C4">
        <w:rPr>
          <w:rFonts w:asciiTheme="minorHAnsi" w:hAnsiTheme="minorHAnsi"/>
          <w:color w:val="auto"/>
          <w:szCs w:val="24"/>
        </w:rPr>
        <w:t xml:space="preserve">indicated </w:t>
      </w:r>
      <w:r>
        <w:rPr>
          <w:rFonts w:asciiTheme="minorHAnsi" w:hAnsiTheme="minorHAnsi"/>
          <w:color w:val="auto"/>
          <w:szCs w:val="24"/>
        </w:rPr>
        <w:t>service connected seizure disorder, code</w:t>
      </w:r>
      <w:r w:rsidR="005B02E3">
        <w:rPr>
          <w:rFonts w:asciiTheme="minorHAnsi" w:hAnsiTheme="minorHAnsi"/>
          <w:color w:val="auto"/>
          <w:szCs w:val="24"/>
        </w:rPr>
        <w:t>d</w:t>
      </w:r>
      <w:r>
        <w:rPr>
          <w:rFonts w:asciiTheme="minorHAnsi" w:hAnsiTheme="minorHAnsi"/>
          <w:color w:val="auto"/>
          <w:szCs w:val="24"/>
        </w:rPr>
        <w:t xml:space="preserve"> 8999-8914</w:t>
      </w:r>
      <w:r w:rsidR="00537354">
        <w:rPr>
          <w:rFonts w:asciiTheme="minorHAnsi" w:hAnsiTheme="minorHAnsi"/>
          <w:color w:val="auto"/>
          <w:szCs w:val="24"/>
        </w:rPr>
        <w:t xml:space="preserve"> (psychomotor epilepsy)</w:t>
      </w:r>
      <w:r>
        <w:rPr>
          <w:rFonts w:asciiTheme="minorHAnsi" w:hAnsiTheme="minorHAnsi"/>
          <w:color w:val="auto"/>
          <w:szCs w:val="24"/>
        </w:rPr>
        <w:t>,</w:t>
      </w:r>
      <w:r w:rsidR="00B17979">
        <w:rPr>
          <w:rFonts w:asciiTheme="minorHAnsi" w:hAnsiTheme="minorHAnsi"/>
          <w:color w:val="auto"/>
          <w:szCs w:val="24"/>
        </w:rPr>
        <w:t xml:space="preserve"> with a 10% rating.  </w:t>
      </w:r>
    </w:p>
    <w:p w:rsidR="008B370A" w:rsidRDefault="008B370A" w:rsidP="006A712A">
      <w:pPr>
        <w:spacing w:line="240" w:lineRule="exact"/>
        <w:jc w:val="both"/>
        <w:rPr>
          <w:rFonts w:asciiTheme="minorHAnsi" w:hAnsiTheme="minorHAnsi"/>
          <w:color w:val="auto"/>
          <w:szCs w:val="24"/>
        </w:rPr>
      </w:pPr>
    </w:p>
    <w:p w:rsidR="00D72B47" w:rsidRDefault="00537354" w:rsidP="006A712A">
      <w:pPr>
        <w:spacing w:line="240" w:lineRule="exact"/>
        <w:jc w:val="both"/>
        <w:rPr>
          <w:rFonts w:asciiTheme="minorHAnsi" w:hAnsiTheme="minorHAnsi"/>
          <w:color w:val="auto"/>
          <w:szCs w:val="24"/>
        </w:rPr>
      </w:pPr>
      <w:r w:rsidRPr="00557E6F">
        <w:rPr>
          <w:rFonts w:asciiTheme="minorHAnsi" w:hAnsiTheme="minorHAnsi"/>
          <w:color w:val="auto"/>
          <w:szCs w:val="24"/>
        </w:rPr>
        <w:t xml:space="preserve">The Board reviewed and concurred </w:t>
      </w:r>
      <w:r w:rsidR="005B02E3">
        <w:rPr>
          <w:rFonts w:asciiTheme="minorHAnsi" w:hAnsiTheme="minorHAnsi"/>
          <w:color w:val="auto"/>
          <w:szCs w:val="24"/>
        </w:rPr>
        <w:t>that the</w:t>
      </w:r>
      <w:r w:rsidRPr="00557E6F">
        <w:rPr>
          <w:rFonts w:asciiTheme="minorHAnsi" w:hAnsiTheme="minorHAnsi"/>
          <w:color w:val="auto"/>
          <w:szCs w:val="24"/>
        </w:rPr>
        <w:t xml:space="preserve"> TDRL rating </w:t>
      </w:r>
      <w:r w:rsidR="005B02E3">
        <w:rPr>
          <w:rFonts w:asciiTheme="minorHAnsi" w:hAnsiTheme="minorHAnsi"/>
          <w:color w:val="auto"/>
          <w:szCs w:val="24"/>
        </w:rPr>
        <w:t xml:space="preserve">did not exceed </w:t>
      </w:r>
      <w:r w:rsidRPr="00557E6F">
        <w:rPr>
          <w:rFonts w:asciiTheme="minorHAnsi" w:hAnsiTheme="minorHAnsi"/>
          <w:color w:val="auto"/>
          <w:szCs w:val="24"/>
        </w:rPr>
        <w:t xml:space="preserve">40% IAW VASRD </w:t>
      </w:r>
      <w:r w:rsidRPr="00557E6F">
        <w:rPr>
          <w:rFonts w:asciiTheme="minorHAnsi" w:eastAsiaTheme="minorHAnsi" w:hAnsiTheme="minorHAnsi"/>
          <w:color w:val="auto"/>
          <w:szCs w:val="24"/>
        </w:rPr>
        <w:t xml:space="preserve">§4.124a. </w:t>
      </w:r>
      <w:r>
        <w:rPr>
          <w:rFonts w:asciiTheme="minorHAnsi" w:eastAsiaTheme="minorHAnsi" w:hAnsiTheme="minorHAnsi"/>
          <w:color w:val="auto"/>
          <w:szCs w:val="24"/>
        </w:rPr>
        <w:t xml:space="preserve"> </w:t>
      </w:r>
      <w:r>
        <w:rPr>
          <w:rFonts w:asciiTheme="minorHAnsi" w:hAnsiTheme="minorHAnsi"/>
          <w:color w:val="auto"/>
          <w:szCs w:val="24"/>
        </w:rPr>
        <w:t>The Board then considered</w:t>
      </w:r>
      <w:r w:rsidRPr="002163CB">
        <w:rPr>
          <w:rFonts w:asciiTheme="minorHAnsi" w:hAnsiTheme="minorHAnsi"/>
          <w:color w:val="auto"/>
          <w:szCs w:val="24"/>
        </w:rPr>
        <w:t xml:space="preserve"> the most appropriate fit with VASRD 4.124a criteria for its permanent rating recommendation</w:t>
      </w:r>
      <w:r>
        <w:rPr>
          <w:rFonts w:asciiTheme="minorHAnsi" w:hAnsiTheme="minorHAnsi"/>
          <w:color w:val="auto"/>
          <w:szCs w:val="24"/>
        </w:rPr>
        <w:t>.</w:t>
      </w:r>
      <w:r w:rsidRPr="002163CB">
        <w:rPr>
          <w:rFonts w:asciiTheme="minorHAnsi" w:hAnsiTheme="minorHAnsi"/>
          <w:color w:val="auto"/>
          <w:szCs w:val="24"/>
        </w:rPr>
        <w:t xml:space="preserve"> </w:t>
      </w:r>
      <w:r>
        <w:rPr>
          <w:rFonts w:asciiTheme="minorHAnsi" w:hAnsiTheme="minorHAnsi"/>
          <w:color w:val="auto"/>
          <w:szCs w:val="24"/>
        </w:rPr>
        <w:t xml:space="preserve"> </w:t>
      </w:r>
      <w:r w:rsidR="00853FB8">
        <w:rPr>
          <w:rFonts w:asciiTheme="minorHAnsi" w:hAnsiTheme="minorHAnsi"/>
          <w:color w:val="auto"/>
          <w:szCs w:val="24"/>
        </w:rPr>
        <w:t>The</w:t>
      </w:r>
      <w:r w:rsidR="00741984">
        <w:rPr>
          <w:rFonts w:asciiTheme="minorHAnsi" w:hAnsiTheme="minorHAnsi"/>
          <w:color w:val="auto"/>
          <w:szCs w:val="24"/>
        </w:rPr>
        <w:t xml:space="preserve"> </w:t>
      </w:r>
      <w:r w:rsidR="008D4659">
        <w:rPr>
          <w:rFonts w:asciiTheme="minorHAnsi" w:hAnsiTheme="minorHAnsi"/>
          <w:color w:val="auto"/>
          <w:szCs w:val="24"/>
        </w:rPr>
        <w:t xml:space="preserve">nature of his </w:t>
      </w:r>
      <w:r w:rsidR="00741984">
        <w:rPr>
          <w:rFonts w:asciiTheme="minorHAnsi" w:hAnsiTheme="minorHAnsi"/>
          <w:color w:val="auto"/>
          <w:szCs w:val="24"/>
        </w:rPr>
        <w:t xml:space="preserve">seizures were consistent with the VASRD criteria for major seizures as defined in </w:t>
      </w:r>
      <w:r w:rsidR="00741984" w:rsidRPr="00A946AA">
        <w:rPr>
          <w:rFonts w:asciiTheme="minorHAnsi" w:hAnsiTheme="minorHAnsi"/>
          <w:color w:val="auto"/>
          <w:szCs w:val="24"/>
        </w:rPr>
        <w:t>§</w:t>
      </w:r>
      <w:r w:rsidR="00741984">
        <w:rPr>
          <w:rFonts w:asciiTheme="minorHAnsi" w:hAnsiTheme="minorHAnsi"/>
          <w:color w:val="auto"/>
          <w:szCs w:val="24"/>
        </w:rPr>
        <w:t xml:space="preserve">4.124a.  </w:t>
      </w:r>
      <w:r w:rsidR="00B17979">
        <w:rPr>
          <w:rFonts w:asciiTheme="minorHAnsi" w:hAnsiTheme="minorHAnsi"/>
          <w:color w:val="auto"/>
          <w:szCs w:val="24"/>
        </w:rPr>
        <w:t>Both the PEB and the VA used codes that refer to the General Rating Formula for Major and Minor Epileptic Sei</w:t>
      </w:r>
      <w:r w:rsidR="004E23B9">
        <w:rPr>
          <w:rFonts w:asciiTheme="minorHAnsi" w:hAnsiTheme="minorHAnsi"/>
          <w:color w:val="auto"/>
          <w:szCs w:val="24"/>
        </w:rPr>
        <w:t>zures and neither code offers a rating</w:t>
      </w:r>
      <w:r w:rsidR="00B17979">
        <w:rPr>
          <w:rFonts w:asciiTheme="minorHAnsi" w:hAnsiTheme="minorHAnsi"/>
          <w:color w:val="auto"/>
          <w:szCs w:val="24"/>
        </w:rPr>
        <w:t xml:space="preserve"> advantage to the CI.  The evaluation of 10% was assigned due to the established diagnosis of epilepsy and the continuing use of medication.</w:t>
      </w:r>
      <w:r w:rsidR="00853FB8">
        <w:rPr>
          <w:rFonts w:asciiTheme="minorHAnsi" w:hAnsiTheme="minorHAnsi"/>
          <w:color w:val="auto"/>
          <w:szCs w:val="24"/>
        </w:rPr>
        <w:t xml:space="preserve">  </w:t>
      </w:r>
      <w:r w:rsidR="008D4659">
        <w:rPr>
          <w:rFonts w:asciiTheme="minorHAnsi" w:hAnsiTheme="minorHAnsi"/>
          <w:color w:val="auto"/>
          <w:szCs w:val="24"/>
        </w:rPr>
        <w:t>His</w:t>
      </w:r>
      <w:r w:rsidR="00BD51D7">
        <w:rPr>
          <w:rFonts w:asciiTheme="minorHAnsi" w:hAnsiTheme="minorHAnsi"/>
          <w:color w:val="auto"/>
          <w:szCs w:val="24"/>
        </w:rPr>
        <w:t xml:space="preserve"> third seizure that occurred on </w:t>
      </w:r>
      <w:r w:rsidR="00A45325">
        <w:rPr>
          <w:rFonts w:asciiTheme="minorHAnsi" w:hAnsiTheme="minorHAnsi"/>
          <w:color w:val="auto"/>
          <w:szCs w:val="24"/>
        </w:rPr>
        <w:t xml:space="preserve">14 February </w:t>
      </w:r>
      <w:r w:rsidR="00BD51D7">
        <w:rPr>
          <w:rFonts w:asciiTheme="minorHAnsi" w:hAnsiTheme="minorHAnsi"/>
          <w:color w:val="auto"/>
          <w:szCs w:val="24"/>
        </w:rPr>
        <w:t>2005</w:t>
      </w:r>
      <w:r w:rsidR="00E636F1">
        <w:rPr>
          <w:rFonts w:asciiTheme="minorHAnsi" w:hAnsiTheme="minorHAnsi"/>
          <w:color w:val="auto"/>
          <w:szCs w:val="24"/>
        </w:rPr>
        <w:t>, 21</w:t>
      </w:r>
      <w:r w:rsidR="00741984">
        <w:rPr>
          <w:rFonts w:asciiTheme="minorHAnsi" w:hAnsiTheme="minorHAnsi"/>
          <w:color w:val="auto"/>
          <w:szCs w:val="24"/>
        </w:rPr>
        <w:t xml:space="preserve"> months before separation,</w:t>
      </w:r>
      <w:r w:rsidR="00BD51D7">
        <w:rPr>
          <w:rFonts w:asciiTheme="minorHAnsi" w:hAnsiTheme="minorHAnsi"/>
          <w:color w:val="auto"/>
          <w:szCs w:val="24"/>
        </w:rPr>
        <w:t xml:space="preserve"> was </w:t>
      </w:r>
      <w:r w:rsidR="00CC3DBB">
        <w:rPr>
          <w:rFonts w:asciiTheme="minorHAnsi" w:hAnsiTheme="minorHAnsi"/>
          <w:color w:val="auto"/>
          <w:szCs w:val="24"/>
        </w:rPr>
        <w:t xml:space="preserve">not </w:t>
      </w:r>
      <w:r w:rsidR="00BD51D7">
        <w:rPr>
          <w:rFonts w:asciiTheme="minorHAnsi" w:hAnsiTheme="minorHAnsi"/>
          <w:color w:val="auto"/>
          <w:szCs w:val="24"/>
        </w:rPr>
        <w:t>noted in the DES File for PEB consideration</w:t>
      </w:r>
      <w:r w:rsidR="008D4659">
        <w:rPr>
          <w:rFonts w:asciiTheme="minorHAnsi" w:hAnsiTheme="minorHAnsi"/>
          <w:color w:val="auto"/>
          <w:szCs w:val="24"/>
        </w:rPr>
        <w:t>, this was likely due to medication non compliance and according to the VASRD seizures that occur due to medication non compliance are not to be considered in the rating decision</w:t>
      </w:r>
      <w:r w:rsidR="00BD51D7">
        <w:rPr>
          <w:rFonts w:asciiTheme="minorHAnsi" w:hAnsiTheme="minorHAnsi"/>
          <w:color w:val="auto"/>
          <w:szCs w:val="24"/>
        </w:rPr>
        <w:t xml:space="preserve">.  Neither the TDRL </w:t>
      </w:r>
      <w:r w:rsidR="00A45325">
        <w:rPr>
          <w:rFonts w:asciiTheme="minorHAnsi" w:hAnsiTheme="minorHAnsi"/>
          <w:color w:val="auto"/>
          <w:szCs w:val="24"/>
        </w:rPr>
        <w:t>e</w:t>
      </w:r>
      <w:r w:rsidR="00BD51D7">
        <w:rPr>
          <w:rFonts w:asciiTheme="minorHAnsi" w:hAnsiTheme="minorHAnsi"/>
          <w:color w:val="auto"/>
          <w:szCs w:val="24"/>
        </w:rPr>
        <w:t xml:space="preserve">xamination nor the JDETS Work Card noted that seizure.  Since it </w:t>
      </w:r>
      <w:r w:rsidR="005B02E3">
        <w:rPr>
          <w:rFonts w:asciiTheme="minorHAnsi" w:hAnsiTheme="minorHAnsi"/>
          <w:color w:val="auto"/>
          <w:szCs w:val="24"/>
        </w:rPr>
        <w:t>had been</w:t>
      </w:r>
      <w:r w:rsidR="00BD51D7">
        <w:rPr>
          <w:rFonts w:asciiTheme="minorHAnsi" w:hAnsiTheme="minorHAnsi"/>
          <w:color w:val="auto"/>
          <w:szCs w:val="24"/>
        </w:rPr>
        <w:t xml:space="preserve"> over two years since the seizure in August 2004 a 10% rating was applied.  The Board carefully considered all evidence, </w:t>
      </w:r>
      <w:r w:rsidR="00BD51D7" w:rsidRPr="002163CB">
        <w:rPr>
          <w:rFonts w:asciiTheme="minorHAnsi" w:hAnsiTheme="minorHAnsi"/>
          <w:color w:val="auto"/>
          <w:szCs w:val="24"/>
        </w:rPr>
        <w:t>mindful of VASRD §4</w:t>
      </w:r>
      <w:r w:rsidR="00BD51D7">
        <w:rPr>
          <w:rFonts w:asciiTheme="minorHAnsi" w:hAnsiTheme="minorHAnsi"/>
          <w:color w:val="auto"/>
          <w:szCs w:val="24"/>
        </w:rPr>
        <w:t>.3 (reasonable doubt), and</w:t>
      </w:r>
      <w:r w:rsidR="00BD51D7" w:rsidRPr="002163CB">
        <w:rPr>
          <w:rFonts w:asciiTheme="minorHAnsi" w:hAnsiTheme="minorHAnsi"/>
          <w:color w:val="auto"/>
          <w:szCs w:val="24"/>
        </w:rPr>
        <w:t xml:space="preserve"> recommends a permanent disability rating of </w:t>
      </w:r>
      <w:r w:rsidR="00BD51D7" w:rsidRPr="001C52EA">
        <w:rPr>
          <w:rFonts w:asciiTheme="minorHAnsi" w:hAnsiTheme="minorHAnsi"/>
          <w:color w:val="auto"/>
          <w:szCs w:val="24"/>
        </w:rPr>
        <w:t>10%</w:t>
      </w:r>
      <w:r w:rsidR="00BD51D7">
        <w:rPr>
          <w:rFonts w:asciiTheme="minorHAnsi" w:hAnsiTheme="minorHAnsi"/>
          <w:color w:val="auto"/>
          <w:szCs w:val="24"/>
        </w:rPr>
        <w:t xml:space="preserve"> </w:t>
      </w:r>
      <w:r w:rsidR="00BD51D7" w:rsidRPr="002163CB">
        <w:rPr>
          <w:rFonts w:asciiTheme="minorHAnsi" w:hAnsiTheme="minorHAnsi"/>
          <w:color w:val="auto"/>
          <w:szCs w:val="24"/>
        </w:rPr>
        <w:t>in this case.</w:t>
      </w:r>
    </w:p>
    <w:p w:rsidR="00527300" w:rsidRPr="002163CB" w:rsidRDefault="00527300" w:rsidP="006A712A">
      <w:pPr>
        <w:spacing w:line="240" w:lineRule="exact"/>
        <w:jc w:val="both"/>
        <w:rPr>
          <w:rFonts w:asciiTheme="minorHAnsi" w:hAnsiTheme="minorHAnsi"/>
          <w:color w:val="auto"/>
          <w:szCs w:val="24"/>
        </w:rPr>
      </w:pPr>
    </w:p>
    <w:p w:rsidR="00347C6D" w:rsidRPr="002163CB" w:rsidRDefault="00347C6D" w:rsidP="00347C6D">
      <w:pPr>
        <w:spacing w:line="240" w:lineRule="exact"/>
        <w:jc w:val="both"/>
        <w:rPr>
          <w:rFonts w:asciiTheme="minorHAnsi" w:hAnsiTheme="minorHAnsi"/>
          <w:color w:val="auto"/>
          <w:szCs w:val="24"/>
        </w:rPr>
      </w:pPr>
      <w:r w:rsidRPr="002163CB">
        <w:rPr>
          <w:rFonts w:asciiTheme="minorHAnsi" w:hAnsiTheme="minorHAnsi"/>
          <w:color w:val="auto"/>
          <w:szCs w:val="24"/>
          <w:u w:val="single"/>
        </w:rPr>
        <w:t>Remaining Conditions</w:t>
      </w:r>
      <w:r w:rsidRPr="002163CB">
        <w:rPr>
          <w:rFonts w:asciiTheme="minorHAnsi" w:hAnsiTheme="minorHAnsi"/>
          <w:color w:val="auto"/>
          <w:szCs w:val="24"/>
        </w:rPr>
        <w:t xml:space="preserve">:  </w:t>
      </w:r>
      <w:r w:rsidR="00F639C4">
        <w:rPr>
          <w:rFonts w:asciiTheme="minorHAnsi" w:hAnsiTheme="minorHAnsi"/>
          <w:color w:val="auto"/>
          <w:szCs w:val="24"/>
        </w:rPr>
        <w:t xml:space="preserve">Left </w:t>
      </w:r>
      <w:proofErr w:type="spellStart"/>
      <w:r w:rsidR="00F639C4">
        <w:rPr>
          <w:rFonts w:asciiTheme="minorHAnsi" w:hAnsiTheme="minorHAnsi"/>
          <w:color w:val="auto"/>
          <w:szCs w:val="24"/>
        </w:rPr>
        <w:t>v</w:t>
      </w:r>
      <w:r w:rsidR="005A4FF2">
        <w:rPr>
          <w:rFonts w:asciiTheme="minorHAnsi" w:hAnsiTheme="minorHAnsi"/>
          <w:color w:val="auto"/>
          <w:szCs w:val="24"/>
        </w:rPr>
        <w:t>aricocele</w:t>
      </w:r>
      <w:proofErr w:type="spellEnd"/>
      <w:r w:rsidR="005A4FF2">
        <w:rPr>
          <w:rFonts w:asciiTheme="minorHAnsi" w:hAnsiTheme="minorHAnsi"/>
          <w:color w:val="auto"/>
          <w:szCs w:val="24"/>
        </w:rPr>
        <w:t xml:space="preserve"> was</w:t>
      </w:r>
      <w:r w:rsidR="005A4FF2" w:rsidRPr="005A4FF2">
        <w:rPr>
          <w:rFonts w:asciiTheme="minorHAnsi" w:hAnsiTheme="minorHAnsi"/>
          <w:color w:val="auto"/>
          <w:szCs w:val="24"/>
        </w:rPr>
        <w:t xml:space="preserve"> identified in the DES file</w:t>
      </w:r>
      <w:r w:rsidR="001E3441">
        <w:rPr>
          <w:rFonts w:asciiTheme="minorHAnsi" w:hAnsiTheme="minorHAnsi"/>
          <w:color w:val="auto"/>
          <w:szCs w:val="24"/>
        </w:rPr>
        <w:t>.  It was not</w:t>
      </w:r>
      <w:r w:rsidR="005A4FF2" w:rsidRPr="005A4FF2">
        <w:rPr>
          <w:rFonts w:asciiTheme="minorHAnsi" w:hAnsiTheme="minorHAnsi"/>
          <w:color w:val="auto"/>
          <w:szCs w:val="24"/>
        </w:rPr>
        <w:t xml:space="preserve"> clinicall</w:t>
      </w:r>
      <w:r w:rsidR="001E3441">
        <w:rPr>
          <w:rFonts w:asciiTheme="minorHAnsi" w:hAnsiTheme="minorHAnsi"/>
          <w:color w:val="auto"/>
          <w:szCs w:val="24"/>
        </w:rPr>
        <w:t xml:space="preserve">y active during the MEB period, </w:t>
      </w:r>
      <w:r w:rsidR="00E83088">
        <w:rPr>
          <w:rFonts w:asciiTheme="minorHAnsi" w:hAnsiTheme="minorHAnsi"/>
          <w:color w:val="auto"/>
          <w:szCs w:val="24"/>
        </w:rPr>
        <w:t>or</w:t>
      </w:r>
      <w:r w:rsidR="001E3441">
        <w:rPr>
          <w:rFonts w:asciiTheme="minorHAnsi" w:hAnsiTheme="minorHAnsi"/>
          <w:color w:val="auto"/>
          <w:szCs w:val="24"/>
        </w:rPr>
        <w:t xml:space="preserve"> the basis for </w:t>
      </w:r>
      <w:r w:rsidR="00F639C4">
        <w:rPr>
          <w:rFonts w:asciiTheme="minorHAnsi" w:hAnsiTheme="minorHAnsi"/>
          <w:color w:val="auto"/>
          <w:szCs w:val="24"/>
        </w:rPr>
        <w:t>a LIMDU</w:t>
      </w:r>
      <w:r w:rsidR="001E3441">
        <w:rPr>
          <w:rFonts w:asciiTheme="minorHAnsi" w:hAnsiTheme="minorHAnsi"/>
          <w:color w:val="auto"/>
          <w:szCs w:val="24"/>
        </w:rPr>
        <w:t xml:space="preserve"> or</w:t>
      </w:r>
      <w:r w:rsidR="005A4FF2" w:rsidRPr="005A4FF2">
        <w:rPr>
          <w:rFonts w:asciiTheme="minorHAnsi" w:hAnsiTheme="minorHAnsi"/>
          <w:color w:val="auto"/>
          <w:szCs w:val="24"/>
        </w:rPr>
        <w:t xml:space="preserve"> implicated in the </w:t>
      </w:r>
      <w:r w:rsidR="00F639C4">
        <w:rPr>
          <w:rFonts w:asciiTheme="minorHAnsi" w:hAnsiTheme="minorHAnsi"/>
          <w:color w:val="auto"/>
          <w:szCs w:val="24"/>
        </w:rPr>
        <w:t>N</w:t>
      </w:r>
      <w:r w:rsidR="005A4FF2" w:rsidRPr="005A4FF2">
        <w:rPr>
          <w:rFonts w:asciiTheme="minorHAnsi" w:hAnsiTheme="minorHAnsi"/>
          <w:color w:val="auto"/>
          <w:szCs w:val="24"/>
        </w:rPr>
        <w:t>on-</w:t>
      </w:r>
      <w:r w:rsidR="00F639C4">
        <w:rPr>
          <w:rFonts w:asciiTheme="minorHAnsi" w:hAnsiTheme="minorHAnsi"/>
          <w:color w:val="auto"/>
          <w:szCs w:val="24"/>
        </w:rPr>
        <w:t>M</w:t>
      </w:r>
      <w:r w:rsidR="005A4FF2" w:rsidRPr="005A4FF2">
        <w:rPr>
          <w:rFonts w:asciiTheme="minorHAnsi" w:hAnsiTheme="minorHAnsi"/>
          <w:color w:val="auto"/>
          <w:szCs w:val="24"/>
        </w:rPr>
        <w:t xml:space="preserve">edical </w:t>
      </w:r>
      <w:r w:rsidR="00F639C4">
        <w:rPr>
          <w:rFonts w:asciiTheme="minorHAnsi" w:hAnsiTheme="minorHAnsi"/>
          <w:color w:val="auto"/>
          <w:szCs w:val="24"/>
        </w:rPr>
        <w:t>A</w:t>
      </w:r>
      <w:r w:rsidR="005A4FF2" w:rsidRPr="005A4FF2">
        <w:rPr>
          <w:rFonts w:asciiTheme="minorHAnsi" w:hAnsiTheme="minorHAnsi"/>
          <w:color w:val="auto"/>
          <w:szCs w:val="24"/>
        </w:rPr>
        <w:t>ssessment (NMA)</w:t>
      </w:r>
      <w:r w:rsidR="001E3441">
        <w:rPr>
          <w:rFonts w:asciiTheme="minorHAnsi" w:hAnsiTheme="minorHAnsi"/>
          <w:color w:val="auto"/>
          <w:szCs w:val="24"/>
        </w:rPr>
        <w:t>.  The condition was</w:t>
      </w:r>
      <w:r w:rsidR="005A4FF2" w:rsidRPr="005A4FF2">
        <w:rPr>
          <w:rFonts w:asciiTheme="minorHAnsi" w:hAnsiTheme="minorHAnsi"/>
          <w:color w:val="auto"/>
          <w:szCs w:val="24"/>
        </w:rPr>
        <w:t xml:space="preserve"> reviewed by the </w:t>
      </w:r>
      <w:r w:rsidR="00A45325">
        <w:rPr>
          <w:rFonts w:asciiTheme="minorHAnsi" w:hAnsiTheme="minorHAnsi"/>
          <w:color w:val="auto"/>
          <w:szCs w:val="24"/>
        </w:rPr>
        <w:t>a</w:t>
      </w:r>
      <w:r w:rsidR="005A4FF2" w:rsidRPr="005A4FF2">
        <w:rPr>
          <w:rFonts w:asciiTheme="minorHAnsi" w:hAnsiTheme="minorHAnsi"/>
          <w:color w:val="auto"/>
          <w:szCs w:val="24"/>
        </w:rPr>
        <w:t xml:space="preserve">ction </w:t>
      </w:r>
      <w:r w:rsidR="00A45325">
        <w:rPr>
          <w:rFonts w:asciiTheme="minorHAnsi" w:hAnsiTheme="minorHAnsi"/>
          <w:color w:val="auto"/>
          <w:szCs w:val="24"/>
        </w:rPr>
        <w:t>o</w:t>
      </w:r>
      <w:r w:rsidR="005A4FF2" w:rsidRPr="005A4FF2">
        <w:rPr>
          <w:rFonts w:asciiTheme="minorHAnsi" w:hAnsiTheme="minorHAnsi"/>
          <w:color w:val="auto"/>
          <w:szCs w:val="24"/>
        </w:rPr>
        <w:t xml:space="preserve">fficer and considered by the Board.  It was determined that </w:t>
      </w:r>
      <w:r w:rsidR="001E3441">
        <w:rPr>
          <w:rFonts w:asciiTheme="minorHAnsi" w:hAnsiTheme="minorHAnsi"/>
          <w:color w:val="auto"/>
          <w:szCs w:val="24"/>
        </w:rPr>
        <w:t>it</w:t>
      </w:r>
      <w:r w:rsidR="005A4FF2" w:rsidRPr="005A4FF2">
        <w:rPr>
          <w:rFonts w:asciiTheme="minorHAnsi" w:hAnsiTheme="minorHAnsi"/>
          <w:color w:val="auto"/>
          <w:szCs w:val="24"/>
        </w:rPr>
        <w:t xml:space="preserve"> could </w:t>
      </w:r>
      <w:r w:rsidR="001E3441">
        <w:rPr>
          <w:rFonts w:asciiTheme="minorHAnsi" w:hAnsiTheme="minorHAnsi"/>
          <w:color w:val="auto"/>
          <w:szCs w:val="24"/>
        </w:rPr>
        <w:t xml:space="preserve">not </w:t>
      </w:r>
      <w:r w:rsidR="005A4FF2" w:rsidRPr="005A4FF2">
        <w:rPr>
          <w:rFonts w:asciiTheme="minorHAnsi" w:hAnsiTheme="minorHAnsi"/>
          <w:color w:val="auto"/>
          <w:szCs w:val="24"/>
        </w:rPr>
        <w:t xml:space="preserve">be argued as unfitting and subject to separation rating. </w:t>
      </w:r>
      <w:r w:rsidRPr="002163CB">
        <w:rPr>
          <w:rFonts w:asciiTheme="minorHAnsi" w:hAnsiTheme="minorHAnsi"/>
          <w:color w:val="auto"/>
          <w:szCs w:val="24"/>
        </w:rPr>
        <w:t>No other conditions were identified in the available documentation, and no other conditions were service connected with a compensable rating by the VA within twelve months of separation or contended by the CI.  The Board, therefore, has no reasonable basis for recommending any additional unfitting conditions for separation rating.</w:t>
      </w:r>
    </w:p>
    <w:p w:rsidR="003A77CB" w:rsidRPr="00CD5BD7" w:rsidRDefault="003A77CB" w:rsidP="003A77CB">
      <w:pPr>
        <w:pBdr>
          <w:bottom w:val="single" w:sz="12" w:space="1" w:color="auto"/>
        </w:pBdr>
        <w:tabs>
          <w:tab w:val="left" w:pos="288"/>
          <w:tab w:val="left" w:pos="4752"/>
        </w:tabs>
        <w:spacing w:line="240" w:lineRule="exact"/>
        <w:jc w:val="both"/>
        <w:rPr>
          <w:rFonts w:ascii="Calibri" w:hAnsi="Calibri"/>
          <w:color w:val="auto"/>
          <w:szCs w:val="24"/>
        </w:rPr>
      </w:pPr>
    </w:p>
    <w:p w:rsidR="003A77CB" w:rsidRPr="00CD5BD7" w:rsidRDefault="003A77CB" w:rsidP="003A77CB">
      <w:pPr>
        <w:tabs>
          <w:tab w:val="left" w:pos="288"/>
          <w:tab w:val="left" w:pos="4752"/>
        </w:tabs>
        <w:spacing w:line="240" w:lineRule="exact"/>
        <w:rPr>
          <w:rFonts w:ascii="Calibri" w:hAnsi="Calibri"/>
          <w:color w:val="000080"/>
          <w:szCs w:val="24"/>
        </w:rPr>
      </w:pPr>
    </w:p>
    <w:p w:rsidR="00347C6D" w:rsidRPr="005A2BE9" w:rsidRDefault="00347C6D" w:rsidP="00347C6D">
      <w:pPr>
        <w:spacing w:line="240" w:lineRule="exact"/>
        <w:jc w:val="both"/>
        <w:rPr>
          <w:rFonts w:asciiTheme="minorHAnsi" w:eastAsiaTheme="minorHAnsi" w:hAnsiTheme="minorHAnsi"/>
          <w:color w:val="auto"/>
          <w:szCs w:val="24"/>
        </w:rPr>
      </w:pPr>
      <w:r w:rsidRPr="002163CB">
        <w:rPr>
          <w:rFonts w:asciiTheme="minorHAnsi" w:hAnsiTheme="minorHAnsi"/>
          <w:color w:val="auto"/>
          <w:szCs w:val="24"/>
          <w:u w:val="single"/>
        </w:rPr>
        <w:t>BOARD FINDINGS</w:t>
      </w:r>
      <w:r w:rsidRPr="002163CB">
        <w:rPr>
          <w:rFonts w:asciiTheme="minorHAnsi" w:hAnsiTheme="minorHAnsi"/>
          <w:color w:val="auto"/>
          <w:szCs w:val="24"/>
        </w:rPr>
        <w:t>:</w:t>
      </w:r>
      <w:r w:rsidRPr="002163CB">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5A2BE9">
        <w:rPr>
          <w:rFonts w:asciiTheme="minorHAnsi" w:eastAsiaTheme="minorHAnsi" w:hAnsiTheme="minorHAnsi"/>
          <w:color w:val="auto"/>
          <w:szCs w:val="24"/>
        </w:rPr>
        <w:t xml:space="preserve">  </w:t>
      </w:r>
      <w:r w:rsidRPr="002163CB">
        <w:rPr>
          <w:rFonts w:asciiTheme="minorHAnsi" w:eastAsiaTheme="minorHAnsi" w:hAnsiTheme="minorHAnsi"/>
          <w:color w:val="auto"/>
          <w:szCs w:val="24"/>
        </w:rPr>
        <w:t>In the matte</w:t>
      </w:r>
      <w:r w:rsidR="001E3441">
        <w:rPr>
          <w:rFonts w:asciiTheme="minorHAnsi" w:eastAsiaTheme="minorHAnsi" w:hAnsiTheme="minorHAnsi"/>
          <w:color w:val="auto"/>
          <w:szCs w:val="24"/>
        </w:rPr>
        <w:t>r of the seizure d</w:t>
      </w:r>
      <w:r w:rsidRPr="002163CB">
        <w:rPr>
          <w:rFonts w:asciiTheme="minorHAnsi" w:eastAsiaTheme="minorHAnsi" w:hAnsiTheme="minorHAnsi"/>
          <w:color w:val="auto"/>
          <w:szCs w:val="24"/>
        </w:rPr>
        <w:t xml:space="preserve">isorder the Board </w:t>
      </w:r>
      <w:r w:rsidRPr="007775EE">
        <w:rPr>
          <w:rFonts w:asciiTheme="minorHAnsi" w:eastAsiaTheme="minorHAnsi" w:hAnsiTheme="minorHAnsi"/>
          <w:color w:val="auto"/>
          <w:szCs w:val="24"/>
        </w:rPr>
        <w:t>unanimously</w:t>
      </w:r>
      <w:r w:rsidRPr="002163CB">
        <w:rPr>
          <w:rFonts w:asciiTheme="minorHAnsi" w:eastAsiaTheme="minorHAnsi" w:hAnsiTheme="minorHAnsi"/>
          <w:color w:val="auto"/>
          <w:szCs w:val="24"/>
        </w:rPr>
        <w:t xml:space="preserve"> recommends a TDRL rating of </w:t>
      </w:r>
      <w:r w:rsidRPr="007328FC">
        <w:rPr>
          <w:rFonts w:asciiTheme="minorHAnsi" w:eastAsiaTheme="minorHAnsi" w:hAnsiTheme="minorHAnsi"/>
          <w:color w:val="auto"/>
          <w:szCs w:val="24"/>
        </w:rPr>
        <w:t>40%</w:t>
      </w:r>
      <w:r w:rsidRPr="002163CB">
        <w:rPr>
          <w:rFonts w:asciiTheme="minorHAnsi" w:eastAsiaTheme="minorHAnsi" w:hAnsiTheme="minorHAnsi"/>
          <w:color w:val="auto"/>
          <w:szCs w:val="24"/>
        </w:rPr>
        <w:t xml:space="preserve"> and permanent rating of </w:t>
      </w:r>
      <w:r w:rsidR="00C7091F" w:rsidRPr="007775EE">
        <w:rPr>
          <w:rFonts w:asciiTheme="minorHAnsi" w:eastAsiaTheme="minorHAnsi" w:hAnsiTheme="minorHAnsi"/>
          <w:color w:val="auto"/>
          <w:szCs w:val="24"/>
        </w:rPr>
        <w:t>1</w:t>
      </w:r>
      <w:r w:rsidRPr="007775EE">
        <w:rPr>
          <w:rFonts w:asciiTheme="minorHAnsi" w:eastAsiaTheme="minorHAnsi" w:hAnsiTheme="minorHAnsi"/>
          <w:color w:val="auto"/>
          <w:szCs w:val="24"/>
        </w:rPr>
        <w:t>0</w:t>
      </w:r>
      <w:r w:rsidR="007328FC" w:rsidRPr="007775EE">
        <w:rPr>
          <w:rFonts w:asciiTheme="minorHAnsi" w:eastAsiaTheme="minorHAnsi" w:hAnsiTheme="minorHAnsi"/>
          <w:color w:val="auto"/>
          <w:szCs w:val="24"/>
        </w:rPr>
        <w:t>%</w:t>
      </w:r>
      <w:r w:rsidRPr="002163CB">
        <w:rPr>
          <w:rFonts w:asciiTheme="minorHAnsi" w:eastAsiaTheme="minorHAnsi" w:hAnsiTheme="minorHAnsi"/>
          <w:color w:val="auto"/>
          <w:szCs w:val="24"/>
        </w:rPr>
        <w:t xml:space="preserve"> coded 8910.</w:t>
      </w:r>
      <w:r w:rsidR="005A2BE9">
        <w:rPr>
          <w:rFonts w:asciiTheme="minorHAnsi" w:eastAsiaTheme="minorHAnsi" w:hAnsiTheme="minorHAnsi"/>
          <w:color w:val="auto"/>
          <w:szCs w:val="24"/>
        </w:rPr>
        <w:t xml:space="preserve">  </w:t>
      </w:r>
      <w:r w:rsidRPr="002163CB">
        <w:rPr>
          <w:rFonts w:asciiTheme="minorHAnsi" w:hAnsiTheme="minorHAnsi"/>
          <w:color w:val="auto"/>
          <w:szCs w:val="24"/>
        </w:rPr>
        <w:t xml:space="preserve">The Board </w:t>
      </w:r>
      <w:r w:rsidRPr="007328FC">
        <w:rPr>
          <w:rFonts w:asciiTheme="minorHAnsi" w:hAnsiTheme="minorHAnsi"/>
          <w:color w:val="auto"/>
          <w:szCs w:val="24"/>
        </w:rPr>
        <w:t>unanimously</w:t>
      </w:r>
      <w:r w:rsidRPr="002163CB">
        <w:rPr>
          <w:rFonts w:asciiTheme="minorHAnsi" w:hAnsiTheme="minorHAnsi"/>
          <w:color w:val="auto"/>
          <w:szCs w:val="24"/>
        </w:rPr>
        <w:t xml:space="preserve"> agrees that there were </w:t>
      </w:r>
      <w:r w:rsidRPr="007328FC">
        <w:rPr>
          <w:rFonts w:asciiTheme="minorHAnsi" w:hAnsiTheme="minorHAnsi"/>
          <w:color w:val="auto"/>
          <w:szCs w:val="24"/>
        </w:rPr>
        <w:t>no other conditions eligible</w:t>
      </w:r>
      <w:r w:rsidRPr="002163CB">
        <w:rPr>
          <w:rFonts w:asciiTheme="minorHAnsi" w:hAnsiTheme="minorHAnsi"/>
          <w:color w:val="auto"/>
          <w:szCs w:val="24"/>
        </w:rPr>
        <w:t xml:space="preserve"> for Board consideration which could be recommended as additionally unfitting for rating at separation.</w:t>
      </w:r>
    </w:p>
    <w:p w:rsidR="003A77CB" w:rsidRPr="00CD5BD7" w:rsidRDefault="003A77CB" w:rsidP="003A77CB">
      <w:pPr>
        <w:pBdr>
          <w:bottom w:val="single" w:sz="12" w:space="1" w:color="auto"/>
        </w:pBdr>
        <w:tabs>
          <w:tab w:val="left" w:pos="288"/>
          <w:tab w:val="left" w:pos="4752"/>
        </w:tabs>
        <w:spacing w:line="240" w:lineRule="exact"/>
        <w:jc w:val="both"/>
        <w:rPr>
          <w:rFonts w:ascii="Calibri" w:hAnsi="Calibri"/>
          <w:color w:val="auto"/>
          <w:szCs w:val="24"/>
        </w:rPr>
      </w:pPr>
    </w:p>
    <w:p w:rsidR="003A77CB" w:rsidRPr="00CD5BD7" w:rsidRDefault="003A77CB" w:rsidP="003A77CB">
      <w:pPr>
        <w:tabs>
          <w:tab w:val="left" w:pos="288"/>
          <w:tab w:val="left" w:pos="4752"/>
        </w:tabs>
        <w:spacing w:line="240" w:lineRule="exact"/>
        <w:rPr>
          <w:rFonts w:ascii="Calibri" w:hAnsi="Calibri"/>
          <w:color w:val="000080"/>
          <w:szCs w:val="24"/>
        </w:rPr>
      </w:pPr>
    </w:p>
    <w:p w:rsidR="00E9091F" w:rsidRPr="007775EE" w:rsidRDefault="00347C6D" w:rsidP="00E9091F">
      <w:pPr>
        <w:spacing w:line="240" w:lineRule="exact"/>
        <w:rPr>
          <w:rFonts w:asciiTheme="minorHAnsi" w:hAnsiTheme="minorHAnsi"/>
          <w:color w:val="auto"/>
          <w:szCs w:val="24"/>
        </w:rPr>
      </w:pPr>
      <w:r w:rsidRPr="002163CB">
        <w:rPr>
          <w:rFonts w:asciiTheme="minorHAnsi" w:hAnsiTheme="minorHAnsi"/>
          <w:color w:val="auto"/>
          <w:szCs w:val="24"/>
          <w:u w:val="single"/>
        </w:rPr>
        <w:t>RECOMMENDATION</w:t>
      </w:r>
      <w:r w:rsidRPr="002163CB">
        <w:rPr>
          <w:rFonts w:asciiTheme="minorHAnsi" w:hAnsiTheme="minorHAnsi"/>
          <w:color w:val="auto"/>
          <w:szCs w:val="24"/>
        </w:rPr>
        <w:t xml:space="preserve">: </w:t>
      </w:r>
      <w:r w:rsidR="005B02E3">
        <w:rPr>
          <w:rFonts w:asciiTheme="minorHAnsi" w:hAnsiTheme="minorHAnsi"/>
          <w:color w:val="auto"/>
          <w:szCs w:val="24"/>
        </w:rPr>
        <w:t xml:space="preserve"> </w:t>
      </w:r>
      <w:r w:rsidR="00E9091F" w:rsidRPr="007775EE">
        <w:rPr>
          <w:rFonts w:asciiTheme="minorHAnsi" w:hAnsiTheme="minorHAnsi"/>
          <w:color w:val="auto"/>
          <w:szCs w:val="24"/>
        </w:rPr>
        <w:t>The Board, therefore, recommends that there be no recharacterization of the CI’s disability and separation determination, as follows:</w:t>
      </w:r>
    </w:p>
    <w:p w:rsidR="00E9091F" w:rsidRPr="008D4659" w:rsidRDefault="00E9091F" w:rsidP="008D4659">
      <w:pPr>
        <w:spacing w:line="240" w:lineRule="exact"/>
        <w:rPr>
          <w:rFonts w:asciiTheme="minorHAnsi" w:hAnsiTheme="minorHAnsi"/>
          <w:color w:val="auto"/>
          <w:szCs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347C6D" w:rsidRPr="00631993" w:rsidTr="007C7508">
        <w:trPr>
          <w:jc w:val="center"/>
        </w:trPr>
        <w:tc>
          <w:tcPr>
            <w:tcW w:w="4950" w:type="dxa"/>
            <w:shd w:val="clear" w:color="auto" w:fill="D9D9D9"/>
          </w:tcPr>
          <w:p w:rsidR="00347C6D" w:rsidRPr="00631993" w:rsidRDefault="00347C6D" w:rsidP="007C7508">
            <w:pPr>
              <w:tabs>
                <w:tab w:val="left" w:pos="288"/>
                <w:tab w:val="left" w:pos="4752"/>
              </w:tabs>
              <w:spacing w:line="240" w:lineRule="exact"/>
              <w:jc w:val="both"/>
              <w:rPr>
                <w:rFonts w:asciiTheme="minorHAnsi" w:hAnsiTheme="minorHAnsi"/>
                <w:b/>
                <w:color w:val="auto"/>
                <w:szCs w:val="24"/>
              </w:rPr>
            </w:pPr>
            <w:r w:rsidRPr="00631993">
              <w:rPr>
                <w:rFonts w:asciiTheme="minorHAnsi" w:hAnsiTheme="minorHAnsi"/>
                <w:b/>
                <w:color w:val="auto"/>
                <w:szCs w:val="24"/>
              </w:rPr>
              <w:lastRenderedPageBreak/>
              <w:t>UNFITTING CONDITION</w:t>
            </w:r>
          </w:p>
        </w:tc>
        <w:tc>
          <w:tcPr>
            <w:tcW w:w="1710" w:type="dxa"/>
            <w:shd w:val="clear" w:color="auto" w:fill="D9D9D9"/>
          </w:tcPr>
          <w:p w:rsidR="00347C6D" w:rsidRPr="00631993" w:rsidRDefault="00347C6D" w:rsidP="007C7508">
            <w:pPr>
              <w:tabs>
                <w:tab w:val="left" w:pos="288"/>
                <w:tab w:val="left" w:pos="4752"/>
              </w:tabs>
              <w:spacing w:line="240" w:lineRule="exact"/>
              <w:jc w:val="center"/>
              <w:rPr>
                <w:rFonts w:asciiTheme="minorHAnsi" w:hAnsiTheme="minorHAnsi"/>
                <w:b/>
                <w:color w:val="auto"/>
                <w:szCs w:val="24"/>
              </w:rPr>
            </w:pPr>
            <w:r w:rsidRPr="00631993">
              <w:rPr>
                <w:rFonts w:asciiTheme="minorHAnsi" w:hAnsiTheme="minorHAnsi"/>
                <w:b/>
                <w:color w:val="auto"/>
                <w:szCs w:val="24"/>
              </w:rPr>
              <w:t>VASRD CODE</w:t>
            </w:r>
          </w:p>
        </w:tc>
        <w:tc>
          <w:tcPr>
            <w:tcW w:w="1170" w:type="dxa"/>
            <w:shd w:val="clear" w:color="auto" w:fill="D9D9D9"/>
          </w:tcPr>
          <w:p w:rsidR="00347C6D" w:rsidRPr="00631993" w:rsidRDefault="00347C6D" w:rsidP="007C7508">
            <w:pPr>
              <w:tabs>
                <w:tab w:val="left" w:pos="288"/>
                <w:tab w:val="left" w:pos="4752"/>
              </w:tabs>
              <w:spacing w:line="240" w:lineRule="exact"/>
              <w:jc w:val="center"/>
              <w:rPr>
                <w:rFonts w:asciiTheme="minorHAnsi" w:hAnsiTheme="minorHAnsi"/>
                <w:b/>
                <w:color w:val="auto"/>
                <w:szCs w:val="24"/>
              </w:rPr>
            </w:pPr>
            <w:r w:rsidRPr="00631993">
              <w:rPr>
                <w:rFonts w:asciiTheme="minorHAnsi" w:hAnsiTheme="minorHAnsi"/>
                <w:b/>
                <w:color w:val="auto"/>
                <w:szCs w:val="24"/>
              </w:rPr>
              <w:t>TDRL RATING</w:t>
            </w:r>
          </w:p>
        </w:tc>
        <w:tc>
          <w:tcPr>
            <w:tcW w:w="1530" w:type="dxa"/>
            <w:shd w:val="pct15" w:color="auto" w:fill="auto"/>
          </w:tcPr>
          <w:p w:rsidR="00347C6D" w:rsidRPr="00631993" w:rsidRDefault="00347C6D" w:rsidP="007C7508">
            <w:pPr>
              <w:tabs>
                <w:tab w:val="left" w:pos="288"/>
                <w:tab w:val="left" w:pos="4752"/>
              </w:tabs>
              <w:spacing w:line="240" w:lineRule="exact"/>
              <w:jc w:val="center"/>
              <w:rPr>
                <w:rFonts w:asciiTheme="minorHAnsi" w:hAnsiTheme="minorHAnsi"/>
                <w:b/>
                <w:color w:val="auto"/>
                <w:szCs w:val="24"/>
              </w:rPr>
            </w:pPr>
            <w:r w:rsidRPr="00631993">
              <w:rPr>
                <w:rFonts w:asciiTheme="minorHAnsi" w:hAnsiTheme="minorHAnsi"/>
                <w:b/>
                <w:color w:val="auto"/>
                <w:szCs w:val="24"/>
              </w:rPr>
              <w:t>PERMANENT</w:t>
            </w:r>
          </w:p>
          <w:p w:rsidR="00347C6D" w:rsidRPr="00631993" w:rsidRDefault="00347C6D" w:rsidP="007C7508">
            <w:pPr>
              <w:tabs>
                <w:tab w:val="left" w:pos="288"/>
                <w:tab w:val="left" w:pos="4752"/>
              </w:tabs>
              <w:spacing w:line="240" w:lineRule="exact"/>
              <w:jc w:val="center"/>
              <w:rPr>
                <w:rFonts w:asciiTheme="minorHAnsi" w:hAnsiTheme="minorHAnsi"/>
                <w:b/>
                <w:color w:val="auto"/>
                <w:szCs w:val="24"/>
              </w:rPr>
            </w:pPr>
            <w:r w:rsidRPr="00631993">
              <w:rPr>
                <w:rFonts w:asciiTheme="minorHAnsi" w:hAnsiTheme="minorHAnsi"/>
                <w:b/>
                <w:color w:val="auto"/>
                <w:szCs w:val="24"/>
              </w:rPr>
              <w:t>RATING</w:t>
            </w:r>
          </w:p>
        </w:tc>
      </w:tr>
      <w:tr w:rsidR="00347C6D" w:rsidRPr="00631993" w:rsidTr="007C7508">
        <w:trPr>
          <w:trHeight w:val="188"/>
          <w:jc w:val="center"/>
        </w:trPr>
        <w:tc>
          <w:tcPr>
            <w:tcW w:w="4950" w:type="dxa"/>
          </w:tcPr>
          <w:p w:rsidR="00347C6D" w:rsidRPr="00631993" w:rsidRDefault="003802D8" w:rsidP="007C750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Seizure d</w:t>
            </w:r>
            <w:r w:rsidR="00347C6D" w:rsidRPr="00631993">
              <w:rPr>
                <w:rFonts w:asciiTheme="minorHAnsi" w:hAnsiTheme="minorHAnsi"/>
                <w:color w:val="auto"/>
                <w:szCs w:val="24"/>
              </w:rPr>
              <w:t>isorder</w:t>
            </w:r>
          </w:p>
        </w:tc>
        <w:tc>
          <w:tcPr>
            <w:tcW w:w="1710" w:type="dxa"/>
            <w:tcBorders>
              <w:bottom w:val="single" w:sz="4" w:space="0" w:color="000000"/>
            </w:tcBorders>
          </w:tcPr>
          <w:p w:rsidR="00347C6D" w:rsidRPr="00631993" w:rsidRDefault="00347C6D" w:rsidP="007C7508">
            <w:pPr>
              <w:tabs>
                <w:tab w:val="left" w:pos="288"/>
                <w:tab w:val="left" w:pos="4752"/>
              </w:tabs>
              <w:spacing w:line="240" w:lineRule="exact"/>
              <w:jc w:val="center"/>
              <w:rPr>
                <w:rFonts w:asciiTheme="minorHAnsi" w:hAnsiTheme="minorHAnsi"/>
                <w:color w:val="auto"/>
                <w:szCs w:val="24"/>
              </w:rPr>
            </w:pPr>
            <w:r w:rsidRPr="00631993">
              <w:rPr>
                <w:rFonts w:asciiTheme="minorHAnsi" w:hAnsiTheme="minorHAnsi"/>
                <w:color w:val="auto"/>
                <w:szCs w:val="24"/>
              </w:rPr>
              <w:t>8910</w:t>
            </w:r>
          </w:p>
        </w:tc>
        <w:tc>
          <w:tcPr>
            <w:tcW w:w="1170" w:type="dxa"/>
            <w:tcBorders>
              <w:bottom w:val="single" w:sz="4" w:space="0" w:color="000000"/>
            </w:tcBorders>
          </w:tcPr>
          <w:p w:rsidR="00347C6D" w:rsidRPr="00631993" w:rsidRDefault="00347C6D" w:rsidP="007C7508">
            <w:pPr>
              <w:tabs>
                <w:tab w:val="left" w:pos="288"/>
                <w:tab w:val="left" w:pos="4752"/>
              </w:tabs>
              <w:spacing w:line="240" w:lineRule="exact"/>
              <w:jc w:val="center"/>
              <w:rPr>
                <w:rFonts w:asciiTheme="minorHAnsi" w:hAnsiTheme="minorHAnsi"/>
                <w:color w:val="auto"/>
                <w:szCs w:val="24"/>
              </w:rPr>
            </w:pPr>
            <w:r w:rsidRPr="00631993">
              <w:rPr>
                <w:rFonts w:asciiTheme="minorHAnsi" w:hAnsiTheme="minorHAnsi"/>
                <w:color w:val="auto"/>
                <w:szCs w:val="24"/>
              </w:rPr>
              <w:t>40%</w:t>
            </w:r>
          </w:p>
        </w:tc>
        <w:tc>
          <w:tcPr>
            <w:tcW w:w="1530" w:type="dxa"/>
            <w:tcBorders>
              <w:bottom w:val="single" w:sz="4" w:space="0" w:color="000000"/>
            </w:tcBorders>
          </w:tcPr>
          <w:p w:rsidR="00347C6D" w:rsidRPr="00631993" w:rsidRDefault="00270F9B" w:rsidP="007C7508">
            <w:pPr>
              <w:tabs>
                <w:tab w:val="left" w:pos="288"/>
                <w:tab w:val="left" w:pos="4752"/>
              </w:tabs>
              <w:spacing w:line="240" w:lineRule="exact"/>
              <w:jc w:val="center"/>
              <w:rPr>
                <w:rFonts w:asciiTheme="minorHAnsi" w:hAnsiTheme="minorHAnsi"/>
                <w:color w:val="auto"/>
                <w:szCs w:val="24"/>
              </w:rPr>
            </w:pPr>
            <w:r w:rsidRPr="007775EE">
              <w:rPr>
                <w:rFonts w:asciiTheme="minorHAnsi" w:hAnsiTheme="minorHAnsi"/>
                <w:color w:val="auto"/>
                <w:szCs w:val="24"/>
              </w:rPr>
              <w:t>1</w:t>
            </w:r>
            <w:r w:rsidR="00347C6D" w:rsidRPr="007775EE">
              <w:rPr>
                <w:rFonts w:asciiTheme="minorHAnsi" w:hAnsiTheme="minorHAnsi"/>
                <w:color w:val="auto"/>
                <w:szCs w:val="24"/>
              </w:rPr>
              <w:t>0%</w:t>
            </w:r>
          </w:p>
        </w:tc>
      </w:tr>
      <w:tr w:rsidR="00347C6D" w:rsidRPr="00631993" w:rsidTr="007C7508">
        <w:tblPrEx>
          <w:tblLook w:val="0000"/>
        </w:tblPrEx>
        <w:trPr>
          <w:gridBefore w:val="1"/>
          <w:wBefore w:w="4950" w:type="dxa"/>
          <w:trHeight w:val="188"/>
          <w:jc w:val="center"/>
        </w:trPr>
        <w:tc>
          <w:tcPr>
            <w:tcW w:w="1710" w:type="dxa"/>
            <w:tcBorders>
              <w:left w:val="single" w:sz="4" w:space="0" w:color="auto"/>
            </w:tcBorders>
            <w:shd w:val="pct15" w:color="auto" w:fill="auto"/>
          </w:tcPr>
          <w:p w:rsidR="00347C6D" w:rsidRPr="00631993" w:rsidRDefault="00347C6D" w:rsidP="007C7508">
            <w:pPr>
              <w:tabs>
                <w:tab w:val="left" w:pos="288"/>
                <w:tab w:val="left" w:pos="4752"/>
              </w:tabs>
              <w:spacing w:line="240" w:lineRule="exact"/>
              <w:jc w:val="center"/>
              <w:rPr>
                <w:rFonts w:asciiTheme="minorHAnsi" w:hAnsiTheme="minorHAnsi"/>
                <w:b/>
                <w:color w:val="auto"/>
                <w:szCs w:val="24"/>
              </w:rPr>
            </w:pPr>
            <w:r w:rsidRPr="00631993">
              <w:rPr>
                <w:rFonts w:asciiTheme="minorHAnsi" w:hAnsiTheme="minorHAnsi"/>
                <w:b/>
                <w:color w:val="auto"/>
                <w:szCs w:val="24"/>
              </w:rPr>
              <w:t>COMBINED</w:t>
            </w:r>
          </w:p>
        </w:tc>
        <w:tc>
          <w:tcPr>
            <w:tcW w:w="1170" w:type="dxa"/>
            <w:tcBorders>
              <w:left w:val="single" w:sz="4" w:space="0" w:color="auto"/>
            </w:tcBorders>
            <w:shd w:val="pct15" w:color="auto" w:fill="auto"/>
          </w:tcPr>
          <w:p w:rsidR="00347C6D" w:rsidRPr="00631993" w:rsidRDefault="00347C6D" w:rsidP="007C7508">
            <w:pPr>
              <w:tabs>
                <w:tab w:val="left" w:pos="288"/>
                <w:tab w:val="left" w:pos="4752"/>
              </w:tabs>
              <w:spacing w:line="240" w:lineRule="exact"/>
              <w:jc w:val="center"/>
              <w:rPr>
                <w:rFonts w:asciiTheme="minorHAnsi" w:hAnsiTheme="minorHAnsi"/>
                <w:b/>
                <w:color w:val="auto"/>
                <w:szCs w:val="24"/>
              </w:rPr>
            </w:pPr>
            <w:r w:rsidRPr="00631993">
              <w:rPr>
                <w:rFonts w:asciiTheme="minorHAnsi" w:hAnsiTheme="minorHAnsi"/>
                <w:b/>
                <w:color w:val="auto"/>
                <w:szCs w:val="24"/>
              </w:rPr>
              <w:t>40%</w:t>
            </w:r>
          </w:p>
        </w:tc>
        <w:tc>
          <w:tcPr>
            <w:tcW w:w="1530" w:type="dxa"/>
            <w:shd w:val="pct15" w:color="auto" w:fill="auto"/>
          </w:tcPr>
          <w:p w:rsidR="00347C6D" w:rsidRPr="00631993" w:rsidRDefault="00270F9B" w:rsidP="007C7508">
            <w:pPr>
              <w:tabs>
                <w:tab w:val="left" w:pos="288"/>
                <w:tab w:val="left" w:pos="4752"/>
              </w:tabs>
              <w:spacing w:line="240" w:lineRule="exact"/>
              <w:jc w:val="center"/>
              <w:rPr>
                <w:rFonts w:asciiTheme="minorHAnsi" w:hAnsiTheme="minorHAnsi"/>
                <w:b/>
                <w:color w:val="auto"/>
                <w:szCs w:val="24"/>
              </w:rPr>
            </w:pPr>
            <w:r w:rsidRPr="007775EE">
              <w:rPr>
                <w:rFonts w:asciiTheme="minorHAnsi" w:hAnsiTheme="minorHAnsi"/>
                <w:b/>
                <w:color w:val="auto"/>
                <w:szCs w:val="24"/>
              </w:rPr>
              <w:t>1</w:t>
            </w:r>
            <w:r w:rsidR="00347C6D" w:rsidRPr="007775EE">
              <w:rPr>
                <w:rFonts w:asciiTheme="minorHAnsi" w:hAnsiTheme="minorHAnsi"/>
                <w:b/>
                <w:color w:val="auto"/>
                <w:szCs w:val="24"/>
              </w:rPr>
              <w:t>0%</w:t>
            </w:r>
          </w:p>
        </w:tc>
      </w:tr>
    </w:tbl>
    <w:p w:rsidR="00106AD8" w:rsidRPr="002163CB" w:rsidRDefault="00347C6D" w:rsidP="002163CB">
      <w:pPr>
        <w:tabs>
          <w:tab w:val="left" w:pos="288"/>
          <w:tab w:val="left" w:pos="1710"/>
        </w:tabs>
        <w:spacing w:line="240" w:lineRule="exact"/>
        <w:rPr>
          <w:rFonts w:asciiTheme="minorHAnsi" w:hAnsiTheme="minorHAnsi"/>
          <w:caps/>
          <w:color w:val="auto"/>
          <w:u w:val="single"/>
        </w:rPr>
      </w:pPr>
      <w:r w:rsidRPr="00631993">
        <w:rPr>
          <w:rFonts w:asciiTheme="minorHAnsi" w:hAnsiTheme="minorHAnsi"/>
          <w:color w:val="auto"/>
          <w:u w:val="single"/>
        </w:rPr>
        <w:t>______________________________________________________________________________</w:t>
      </w:r>
    </w:p>
    <w:p w:rsidR="00106AD8" w:rsidRPr="00CD5BD7" w:rsidRDefault="00106AD8" w:rsidP="00106AD8">
      <w:pPr>
        <w:tabs>
          <w:tab w:val="left" w:pos="288"/>
          <w:tab w:val="left" w:pos="4752"/>
        </w:tabs>
        <w:spacing w:line="240" w:lineRule="exact"/>
        <w:rPr>
          <w:rFonts w:ascii="Calibri" w:hAnsi="Calibri"/>
          <w:color w:val="000080"/>
          <w:szCs w:val="24"/>
        </w:rPr>
      </w:pPr>
    </w:p>
    <w:p w:rsidR="00D91DA6"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w:t>
      </w:r>
      <w:r w:rsidR="00737EFE">
        <w:rPr>
          <w:rFonts w:asciiTheme="minorHAnsi" w:hAnsiTheme="minorHAnsi"/>
          <w:color w:val="auto"/>
        </w:rPr>
        <w:t>xhibit</w:t>
      </w:r>
      <w:r w:rsidR="00AC6840">
        <w:rPr>
          <w:rFonts w:asciiTheme="minorHAnsi" w:hAnsiTheme="minorHAnsi"/>
          <w:color w:val="auto"/>
        </w:rPr>
        <w:t xml:space="preserve"> A.  DD Form </w:t>
      </w:r>
      <w:proofErr w:type="gramStart"/>
      <w:r w:rsidR="00AC6840">
        <w:rPr>
          <w:rFonts w:asciiTheme="minorHAnsi" w:hAnsiTheme="minorHAnsi"/>
          <w:color w:val="auto"/>
        </w:rPr>
        <w:t>294,</w:t>
      </w:r>
      <w:proofErr w:type="gramEnd"/>
      <w:r w:rsidR="00AC6840">
        <w:rPr>
          <w:rFonts w:asciiTheme="minorHAnsi" w:hAnsiTheme="minorHAnsi"/>
          <w:color w:val="auto"/>
        </w:rPr>
        <w:t xml:space="preserve"> dated 20090225</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B522CD" w:rsidRPr="00006186"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E95718" w:rsidRDefault="00E95718">
      <w:pPr>
        <w:rPr>
          <w:rFonts w:asciiTheme="minorHAnsi" w:hAnsiTheme="minorHAnsi"/>
          <w:color w:val="auto"/>
        </w:rPr>
      </w:pPr>
      <w:r>
        <w:rPr>
          <w:rFonts w:asciiTheme="minorHAnsi" w:hAnsiTheme="minorHAnsi"/>
          <w:color w:val="auto"/>
        </w:rPr>
        <w:br w:type="page"/>
      </w:r>
    </w:p>
    <w:p w:rsidR="00E9091F" w:rsidRDefault="00E9091F" w:rsidP="00B427B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95718" w:rsidRPr="00E95718" w:rsidRDefault="00E95718" w:rsidP="00E95718">
      <w:pPr>
        <w:jc w:val="both"/>
        <w:rPr>
          <w:color w:val="auto"/>
        </w:rPr>
      </w:pPr>
      <w:r w:rsidRPr="00E95718">
        <w:rPr>
          <w:color w:val="auto"/>
        </w:rPr>
        <w:t xml:space="preserve">MEMORANDUM FOR DIRECTOR, SECRETARY OF THE NAVY COUNCIL OF REVIEW       </w:t>
      </w:r>
    </w:p>
    <w:p w:rsidR="00E95718" w:rsidRPr="00E95718" w:rsidRDefault="00E95718" w:rsidP="00E95718">
      <w:pPr>
        <w:tabs>
          <w:tab w:val="left" w:pos="1890"/>
        </w:tabs>
        <w:jc w:val="both"/>
        <w:rPr>
          <w:color w:val="auto"/>
        </w:rPr>
      </w:pPr>
      <w:r w:rsidRPr="00E95718">
        <w:rPr>
          <w:color w:val="auto"/>
        </w:rPr>
        <w:t xml:space="preserve">                               </w:t>
      </w:r>
      <w:r w:rsidRPr="00E95718">
        <w:rPr>
          <w:color w:val="auto"/>
        </w:rPr>
        <w:tab/>
        <w:t xml:space="preserve">         BOARDS </w:t>
      </w:r>
    </w:p>
    <w:p w:rsidR="00E95718" w:rsidRPr="00E95718" w:rsidRDefault="00E95718" w:rsidP="00E95718">
      <w:pPr>
        <w:jc w:val="both"/>
        <w:rPr>
          <w:color w:val="auto"/>
        </w:rPr>
      </w:pPr>
    </w:p>
    <w:p w:rsidR="00E95718" w:rsidRPr="00E95718" w:rsidRDefault="00E95718" w:rsidP="00E95718">
      <w:pPr>
        <w:jc w:val="both"/>
        <w:rPr>
          <w:color w:val="auto"/>
        </w:rPr>
      </w:pPr>
      <w:proofErr w:type="spellStart"/>
      <w:r w:rsidRPr="00E95718">
        <w:rPr>
          <w:color w:val="auto"/>
        </w:rPr>
        <w:t>Subj</w:t>
      </w:r>
      <w:proofErr w:type="spellEnd"/>
      <w:r w:rsidRPr="00E95718">
        <w:rPr>
          <w:color w:val="auto"/>
        </w:rPr>
        <w:t>:  PHYSICAL DISABILITY BOARD OF REVIEW (PDBR) RECOMMENDATION</w:t>
      </w:r>
    </w:p>
    <w:p w:rsidR="00E95718" w:rsidRPr="00E95718" w:rsidRDefault="00E95718" w:rsidP="00E95718">
      <w:pPr>
        <w:jc w:val="both"/>
        <w:rPr>
          <w:color w:val="auto"/>
        </w:rPr>
      </w:pPr>
      <w:r w:rsidRPr="00E95718">
        <w:rPr>
          <w:color w:val="auto"/>
        </w:rPr>
        <w:t xml:space="preserve">          ICO </w:t>
      </w:r>
      <w:r>
        <w:rPr>
          <w:color w:val="auto"/>
        </w:rPr>
        <w:t>XXXXX</w:t>
      </w:r>
      <w:r w:rsidRPr="00E95718">
        <w:rPr>
          <w:color w:val="auto"/>
        </w:rPr>
        <w:t>, FORMER USN</w:t>
      </w:r>
    </w:p>
    <w:p w:rsidR="00E95718" w:rsidRPr="00E95718" w:rsidRDefault="00E95718" w:rsidP="00E95718">
      <w:pPr>
        <w:jc w:val="both"/>
        <w:rPr>
          <w:color w:val="auto"/>
        </w:rPr>
      </w:pPr>
    </w:p>
    <w:p w:rsidR="00E95718" w:rsidRPr="00E95718" w:rsidRDefault="00E95718" w:rsidP="00E95718">
      <w:pPr>
        <w:jc w:val="both"/>
        <w:rPr>
          <w:color w:val="auto"/>
        </w:rPr>
      </w:pPr>
      <w:r w:rsidRPr="00E95718">
        <w:rPr>
          <w:color w:val="auto"/>
        </w:rPr>
        <w:t>Ref:   (a) DoDI 6040.44</w:t>
      </w:r>
    </w:p>
    <w:p w:rsidR="00E95718" w:rsidRPr="00E95718" w:rsidRDefault="00E95718" w:rsidP="00E95718">
      <w:pPr>
        <w:jc w:val="both"/>
        <w:rPr>
          <w:color w:val="auto"/>
        </w:rPr>
      </w:pPr>
      <w:r w:rsidRPr="00E95718">
        <w:rPr>
          <w:color w:val="auto"/>
        </w:rPr>
        <w:t xml:space="preserve">          (b) PDBR </w:t>
      </w:r>
      <w:proofErr w:type="spellStart"/>
      <w:r w:rsidRPr="00E95718">
        <w:rPr>
          <w:color w:val="auto"/>
        </w:rPr>
        <w:t>ltr</w:t>
      </w:r>
      <w:proofErr w:type="spellEnd"/>
      <w:r w:rsidRPr="00E95718">
        <w:rPr>
          <w:color w:val="auto"/>
        </w:rPr>
        <w:t xml:space="preserve"> </w:t>
      </w:r>
      <w:proofErr w:type="spellStart"/>
      <w:r w:rsidRPr="00E95718">
        <w:rPr>
          <w:color w:val="auto"/>
        </w:rPr>
        <w:t>dtd</w:t>
      </w:r>
      <w:proofErr w:type="spellEnd"/>
      <w:r w:rsidRPr="00E95718">
        <w:rPr>
          <w:color w:val="auto"/>
        </w:rPr>
        <w:t xml:space="preserve"> 7 Jul 11</w:t>
      </w:r>
    </w:p>
    <w:p w:rsidR="00E95718" w:rsidRPr="00E95718" w:rsidRDefault="00E95718" w:rsidP="00E95718">
      <w:pPr>
        <w:jc w:val="both"/>
        <w:rPr>
          <w:color w:val="auto"/>
        </w:rPr>
      </w:pPr>
    </w:p>
    <w:p w:rsidR="00E95718" w:rsidRPr="00E95718" w:rsidRDefault="00E95718" w:rsidP="00E95718">
      <w:pPr>
        <w:rPr>
          <w:color w:val="auto"/>
        </w:rPr>
      </w:pPr>
      <w:r w:rsidRPr="00E95718">
        <w:rPr>
          <w:color w:val="auto"/>
        </w:rPr>
        <w:t xml:space="preserve">      I have reviewed the subject case pursuant to reference (a) and, for the reasons set forth in reference (b), approve the recommendation of the Physical Disability Board of Review Mr. </w:t>
      </w:r>
      <w:r>
        <w:rPr>
          <w:color w:val="auto"/>
        </w:rPr>
        <w:t>XXXXXX</w:t>
      </w:r>
      <w:r w:rsidRPr="00E95718">
        <w:rPr>
          <w:color w:val="auto"/>
        </w:rPr>
        <w:t>’s records not be corrected to reflect a change in either his characterization of separation or in the disability rating previously assigned by the Department of the Navy’s Physical Evaluation Board.</w:t>
      </w:r>
    </w:p>
    <w:p w:rsidR="00E95718" w:rsidRPr="00E95718" w:rsidRDefault="00E95718" w:rsidP="00E95718">
      <w:pPr>
        <w:jc w:val="both"/>
        <w:rPr>
          <w:color w:val="auto"/>
        </w:rPr>
      </w:pPr>
    </w:p>
    <w:p w:rsidR="00E95718" w:rsidRPr="00E95718" w:rsidRDefault="00E95718" w:rsidP="00E95718">
      <w:pPr>
        <w:jc w:val="both"/>
        <w:rPr>
          <w:color w:val="auto"/>
        </w:rPr>
      </w:pPr>
    </w:p>
    <w:p w:rsidR="00E95718" w:rsidRPr="00E95718" w:rsidRDefault="00E95718" w:rsidP="00E95718">
      <w:pPr>
        <w:jc w:val="both"/>
        <w:rPr>
          <w:color w:val="auto"/>
        </w:rPr>
      </w:pPr>
    </w:p>
    <w:p w:rsidR="00E95718" w:rsidRPr="00E95718" w:rsidRDefault="00E95718" w:rsidP="00E95718">
      <w:pPr>
        <w:tabs>
          <w:tab w:val="left" w:pos="4680"/>
        </w:tabs>
        <w:jc w:val="both"/>
        <w:rPr>
          <w:color w:val="auto"/>
        </w:rPr>
      </w:pPr>
      <w:r w:rsidRPr="00E95718">
        <w:rPr>
          <w:color w:val="auto"/>
        </w:rPr>
        <w:tab/>
      </w:r>
    </w:p>
    <w:p w:rsidR="00E95718" w:rsidRPr="00E95718" w:rsidRDefault="00E95718" w:rsidP="00E95718">
      <w:pPr>
        <w:jc w:val="both"/>
        <w:rPr>
          <w:color w:val="auto"/>
        </w:rPr>
      </w:pPr>
      <w:r w:rsidRPr="00E95718">
        <w:rPr>
          <w:color w:val="auto"/>
        </w:rPr>
        <w:tab/>
        <w:t xml:space="preserve">     </w:t>
      </w:r>
      <w:r w:rsidRPr="00E95718">
        <w:rPr>
          <w:color w:val="auto"/>
        </w:rPr>
        <w:tab/>
      </w:r>
      <w:r w:rsidRPr="00E95718">
        <w:rPr>
          <w:color w:val="auto"/>
        </w:rPr>
        <w:tab/>
      </w:r>
      <w:r w:rsidRPr="00E95718">
        <w:rPr>
          <w:color w:val="auto"/>
        </w:rPr>
        <w:tab/>
      </w:r>
      <w:r w:rsidRPr="00E95718">
        <w:rPr>
          <w:color w:val="auto"/>
        </w:rPr>
        <w:tab/>
      </w:r>
      <w:r w:rsidRPr="00E95718">
        <w:rPr>
          <w:color w:val="auto"/>
        </w:rPr>
        <w:tab/>
        <w:t>Assistant General Counsel</w:t>
      </w:r>
    </w:p>
    <w:p w:rsidR="00E95718" w:rsidRPr="00E95718" w:rsidRDefault="00E95718" w:rsidP="00E95718">
      <w:pPr>
        <w:jc w:val="both"/>
        <w:rPr>
          <w:color w:val="auto"/>
        </w:rPr>
      </w:pPr>
      <w:r w:rsidRPr="00E95718">
        <w:rPr>
          <w:color w:val="auto"/>
        </w:rPr>
        <w:tab/>
      </w:r>
      <w:r w:rsidRPr="00E95718">
        <w:rPr>
          <w:color w:val="auto"/>
        </w:rPr>
        <w:tab/>
      </w:r>
      <w:r w:rsidRPr="00E95718">
        <w:rPr>
          <w:color w:val="auto"/>
        </w:rPr>
        <w:tab/>
      </w:r>
      <w:r w:rsidRPr="00E95718">
        <w:rPr>
          <w:color w:val="auto"/>
        </w:rPr>
        <w:tab/>
      </w:r>
      <w:r w:rsidRPr="00E95718">
        <w:rPr>
          <w:color w:val="auto"/>
        </w:rPr>
        <w:tab/>
      </w:r>
      <w:r w:rsidRPr="00E95718">
        <w:rPr>
          <w:color w:val="auto"/>
        </w:rPr>
        <w:tab/>
        <w:t xml:space="preserve">     (Manpower &amp; Reserve Affairs)</w:t>
      </w:r>
    </w:p>
    <w:p w:rsidR="00E95718" w:rsidRDefault="00E95718" w:rsidP="00E95718">
      <w:pPr>
        <w:jc w:val="both"/>
      </w:pPr>
      <w:r>
        <w:tab/>
      </w:r>
      <w:r>
        <w:tab/>
      </w:r>
      <w:r>
        <w:tab/>
      </w:r>
      <w:r>
        <w:tab/>
      </w:r>
      <w:r>
        <w:tab/>
      </w:r>
      <w:r>
        <w:tab/>
        <w:t xml:space="preserve">  </w:t>
      </w:r>
    </w:p>
    <w:p w:rsidR="00E9091F" w:rsidRDefault="00E9091F" w:rsidP="00B427B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E9091F"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14E" w:rsidRDefault="00D5614E">
      <w:r>
        <w:separator/>
      </w:r>
    </w:p>
  </w:endnote>
  <w:endnote w:type="continuationSeparator" w:id="0">
    <w:p w:rsidR="00D5614E" w:rsidRDefault="00D561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08" w:rsidRDefault="00E22D15">
    <w:pPr>
      <w:pStyle w:val="Footer"/>
      <w:framePr w:wrap="around" w:vAnchor="text" w:hAnchor="margin" w:xAlign="center" w:y="1"/>
      <w:rPr>
        <w:rStyle w:val="PageNumber"/>
      </w:rPr>
    </w:pPr>
    <w:r>
      <w:rPr>
        <w:rStyle w:val="PageNumber"/>
      </w:rPr>
      <w:fldChar w:fldCharType="begin"/>
    </w:r>
    <w:r w:rsidR="007C7508">
      <w:rPr>
        <w:rStyle w:val="PageNumber"/>
      </w:rPr>
      <w:instrText xml:space="preserve">PAGE  </w:instrText>
    </w:r>
    <w:r>
      <w:rPr>
        <w:rStyle w:val="PageNumber"/>
      </w:rPr>
      <w:fldChar w:fldCharType="separate"/>
    </w:r>
    <w:r w:rsidR="007C7508">
      <w:rPr>
        <w:rStyle w:val="PageNumber"/>
        <w:noProof/>
      </w:rPr>
      <w:t>2</w:t>
    </w:r>
    <w:r>
      <w:rPr>
        <w:rStyle w:val="PageNumber"/>
      </w:rPr>
      <w:fldChar w:fldCharType="end"/>
    </w:r>
  </w:p>
  <w:p w:rsidR="007C7508" w:rsidRDefault="007C750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08" w:rsidRPr="00AC713F" w:rsidRDefault="00E22D15">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C750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E95718">
      <w:rPr>
        <w:rStyle w:val="PageNumber"/>
        <w:rFonts w:asciiTheme="minorHAnsi" w:hAnsiTheme="minorHAnsi"/>
        <w:noProof/>
        <w:color w:val="auto"/>
      </w:rPr>
      <w:t>3</w:t>
    </w:r>
    <w:r w:rsidRPr="00AC713F">
      <w:rPr>
        <w:rStyle w:val="PageNumber"/>
        <w:rFonts w:asciiTheme="minorHAnsi" w:hAnsiTheme="minorHAnsi"/>
        <w:color w:val="auto"/>
      </w:rPr>
      <w:fldChar w:fldCharType="end"/>
    </w:r>
  </w:p>
  <w:p w:rsidR="007C7508" w:rsidRPr="00396779" w:rsidRDefault="007C7508" w:rsidP="002B0749">
    <w:pPr>
      <w:pStyle w:val="Footer"/>
      <w:jc w:val="right"/>
      <w:rPr>
        <w:rFonts w:asciiTheme="minorHAnsi" w:hAnsiTheme="minorHAnsi"/>
        <w:color w:val="auto"/>
      </w:rPr>
    </w:pPr>
    <w:r>
      <w:tab/>
    </w:r>
    <w:r>
      <w:tab/>
    </w:r>
    <w:r w:rsidRPr="001F2933">
      <w:rPr>
        <w:rFonts w:asciiTheme="minorHAnsi" w:hAnsiTheme="minorHAnsi"/>
        <w:caps/>
        <w:color w:val="auto"/>
      </w:rPr>
      <w:t>PD</w:t>
    </w:r>
    <w:r>
      <w:rPr>
        <w:rFonts w:asciiTheme="minorHAnsi" w:hAnsiTheme="minorHAnsi"/>
        <w:caps/>
        <w:color w:val="auto"/>
      </w:rPr>
      <w:t>200900278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14E" w:rsidRDefault="00D5614E">
      <w:r>
        <w:separator/>
      </w:r>
    </w:p>
  </w:footnote>
  <w:footnote w:type="continuationSeparator" w:id="0">
    <w:p w:rsidR="00D5614E" w:rsidRDefault="00D56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268"/>
    <w:multiLevelType w:val="hybridMultilevel"/>
    <w:tmpl w:val="5F4E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77460"/>
    <w:multiLevelType w:val="hybridMultilevel"/>
    <w:tmpl w:val="721C0E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925693"/>
    <w:multiLevelType w:val="hybridMultilevel"/>
    <w:tmpl w:val="138A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F0C18"/>
    <w:multiLevelType w:val="hybridMultilevel"/>
    <w:tmpl w:val="42C0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56925"/>
    <w:multiLevelType w:val="hybridMultilevel"/>
    <w:tmpl w:val="DEC85EF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41DA0"/>
    <w:multiLevelType w:val="hybridMultilevel"/>
    <w:tmpl w:val="75408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AA07F8B"/>
    <w:multiLevelType w:val="hybridMultilevel"/>
    <w:tmpl w:val="A782AE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6E392C"/>
    <w:multiLevelType w:val="hybridMultilevel"/>
    <w:tmpl w:val="30EC38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7"/>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18786"/>
  </w:hdrShapeDefaults>
  <w:footnotePr>
    <w:numRestart w:val="eachSect"/>
    <w:footnote w:id="-1"/>
    <w:footnote w:id="0"/>
  </w:footnotePr>
  <w:endnotePr>
    <w:endnote w:id="-1"/>
    <w:endnote w:id="0"/>
  </w:endnotePr>
  <w:compat/>
  <w:rsids>
    <w:rsidRoot w:val="001C28D1"/>
    <w:rsid w:val="00004628"/>
    <w:rsid w:val="0000478B"/>
    <w:rsid w:val="000059FA"/>
    <w:rsid w:val="00006186"/>
    <w:rsid w:val="00006F87"/>
    <w:rsid w:val="00010ABA"/>
    <w:rsid w:val="00012428"/>
    <w:rsid w:val="00013417"/>
    <w:rsid w:val="000145C2"/>
    <w:rsid w:val="0001473F"/>
    <w:rsid w:val="00014A9E"/>
    <w:rsid w:val="0001713A"/>
    <w:rsid w:val="00021361"/>
    <w:rsid w:val="00022CF3"/>
    <w:rsid w:val="00023913"/>
    <w:rsid w:val="00023BE7"/>
    <w:rsid w:val="00023D43"/>
    <w:rsid w:val="00032E07"/>
    <w:rsid w:val="000332CA"/>
    <w:rsid w:val="0003374E"/>
    <w:rsid w:val="00033D59"/>
    <w:rsid w:val="000344E6"/>
    <w:rsid w:val="00035C3A"/>
    <w:rsid w:val="00036E4B"/>
    <w:rsid w:val="000379D0"/>
    <w:rsid w:val="00040FC4"/>
    <w:rsid w:val="000416F8"/>
    <w:rsid w:val="00042C26"/>
    <w:rsid w:val="00043382"/>
    <w:rsid w:val="00044623"/>
    <w:rsid w:val="00046582"/>
    <w:rsid w:val="00051622"/>
    <w:rsid w:val="00052234"/>
    <w:rsid w:val="0005277D"/>
    <w:rsid w:val="00053D7C"/>
    <w:rsid w:val="000577C9"/>
    <w:rsid w:val="000629D3"/>
    <w:rsid w:val="0006431E"/>
    <w:rsid w:val="00065E21"/>
    <w:rsid w:val="00072433"/>
    <w:rsid w:val="00075702"/>
    <w:rsid w:val="00077233"/>
    <w:rsid w:val="000775C2"/>
    <w:rsid w:val="000806AD"/>
    <w:rsid w:val="00081D83"/>
    <w:rsid w:val="00082482"/>
    <w:rsid w:val="00083136"/>
    <w:rsid w:val="00087051"/>
    <w:rsid w:val="0008708B"/>
    <w:rsid w:val="00091497"/>
    <w:rsid w:val="00091E3B"/>
    <w:rsid w:val="00092619"/>
    <w:rsid w:val="00092C66"/>
    <w:rsid w:val="00094E4F"/>
    <w:rsid w:val="000A15EC"/>
    <w:rsid w:val="000A2BCE"/>
    <w:rsid w:val="000A41E3"/>
    <w:rsid w:val="000A4BBA"/>
    <w:rsid w:val="000A5071"/>
    <w:rsid w:val="000A7B8F"/>
    <w:rsid w:val="000B4C99"/>
    <w:rsid w:val="000C06F6"/>
    <w:rsid w:val="000C0A7F"/>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2672"/>
    <w:rsid w:val="000F427B"/>
    <w:rsid w:val="000F6098"/>
    <w:rsid w:val="000F7181"/>
    <w:rsid w:val="000F7DFE"/>
    <w:rsid w:val="001008C1"/>
    <w:rsid w:val="001023DB"/>
    <w:rsid w:val="001035E8"/>
    <w:rsid w:val="00103CCF"/>
    <w:rsid w:val="0010417F"/>
    <w:rsid w:val="001042D2"/>
    <w:rsid w:val="0010530E"/>
    <w:rsid w:val="00105C07"/>
    <w:rsid w:val="00106372"/>
    <w:rsid w:val="00106AD8"/>
    <w:rsid w:val="00107EC5"/>
    <w:rsid w:val="001103CD"/>
    <w:rsid w:val="00114F20"/>
    <w:rsid w:val="001211AF"/>
    <w:rsid w:val="001219DF"/>
    <w:rsid w:val="00122ABE"/>
    <w:rsid w:val="00122E0D"/>
    <w:rsid w:val="001231DC"/>
    <w:rsid w:val="00124A43"/>
    <w:rsid w:val="001251FC"/>
    <w:rsid w:val="001272AE"/>
    <w:rsid w:val="001315DD"/>
    <w:rsid w:val="0013525F"/>
    <w:rsid w:val="00135385"/>
    <w:rsid w:val="001364D1"/>
    <w:rsid w:val="001368B6"/>
    <w:rsid w:val="00142EBA"/>
    <w:rsid w:val="00143B79"/>
    <w:rsid w:val="00150B8A"/>
    <w:rsid w:val="00150DCB"/>
    <w:rsid w:val="00151912"/>
    <w:rsid w:val="00153740"/>
    <w:rsid w:val="001541C5"/>
    <w:rsid w:val="0015623F"/>
    <w:rsid w:val="00156585"/>
    <w:rsid w:val="00156BA9"/>
    <w:rsid w:val="00160C59"/>
    <w:rsid w:val="00161761"/>
    <w:rsid w:val="00165527"/>
    <w:rsid w:val="00166182"/>
    <w:rsid w:val="00166F0F"/>
    <w:rsid w:val="001711D3"/>
    <w:rsid w:val="001745DD"/>
    <w:rsid w:val="00176B56"/>
    <w:rsid w:val="00177659"/>
    <w:rsid w:val="001779E5"/>
    <w:rsid w:val="00177E43"/>
    <w:rsid w:val="00182A4C"/>
    <w:rsid w:val="00183F77"/>
    <w:rsid w:val="001844D8"/>
    <w:rsid w:val="00184F81"/>
    <w:rsid w:val="00185DA8"/>
    <w:rsid w:val="00185ECB"/>
    <w:rsid w:val="001865E0"/>
    <w:rsid w:val="001870F0"/>
    <w:rsid w:val="00190E48"/>
    <w:rsid w:val="0019122C"/>
    <w:rsid w:val="0019273F"/>
    <w:rsid w:val="001936DA"/>
    <w:rsid w:val="00193814"/>
    <w:rsid w:val="00193AD5"/>
    <w:rsid w:val="00193EB7"/>
    <w:rsid w:val="00194930"/>
    <w:rsid w:val="00197AB3"/>
    <w:rsid w:val="001A08CD"/>
    <w:rsid w:val="001A0A1E"/>
    <w:rsid w:val="001A224A"/>
    <w:rsid w:val="001A5320"/>
    <w:rsid w:val="001A5E62"/>
    <w:rsid w:val="001A6848"/>
    <w:rsid w:val="001A7538"/>
    <w:rsid w:val="001B0B1A"/>
    <w:rsid w:val="001B1E61"/>
    <w:rsid w:val="001B4EC2"/>
    <w:rsid w:val="001B5B59"/>
    <w:rsid w:val="001B60E0"/>
    <w:rsid w:val="001B7C8C"/>
    <w:rsid w:val="001C181A"/>
    <w:rsid w:val="001C1877"/>
    <w:rsid w:val="001C2053"/>
    <w:rsid w:val="001C252F"/>
    <w:rsid w:val="001C28D1"/>
    <w:rsid w:val="001C492F"/>
    <w:rsid w:val="001C52EA"/>
    <w:rsid w:val="001C5CFC"/>
    <w:rsid w:val="001C7418"/>
    <w:rsid w:val="001C7EBE"/>
    <w:rsid w:val="001D0051"/>
    <w:rsid w:val="001D0765"/>
    <w:rsid w:val="001D2224"/>
    <w:rsid w:val="001D31AA"/>
    <w:rsid w:val="001D468D"/>
    <w:rsid w:val="001D4F88"/>
    <w:rsid w:val="001D68CF"/>
    <w:rsid w:val="001D6A8C"/>
    <w:rsid w:val="001D7A56"/>
    <w:rsid w:val="001E15C0"/>
    <w:rsid w:val="001E18E0"/>
    <w:rsid w:val="001E18E2"/>
    <w:rsid w:val="001E19D0"/>
    <w:rsid w:val="001E2A30"/>
    <w:rsid w:val="001E3441"/>
    <w:rsid w:val="001F2933"/>
    <w:rsid w:val="001F4D2D"/>
    <w:rsid w:val="0020002C"/>
    <w:rsid w:val="00200AA0"/>
    <w:rsid w:val="00202325"/>
    <w:rsid w:val="0020241C"/>
    <w:rsid w:val="00202736"/>
    <w:rsid w:val="00203652"/>
    <w:rsid w:val="00205B4F"/>
    <w:rsid w:val="002060B6"/>
    <w:rsid w:val="002066B5"/>
    <w:rsid w:val="002119B6"/>
    <w:rsid w:val="00212B40"/>
    <w:rsid w:val="00213BD0"/>
    <w:rsid w:val="00215ED6"/>
    <w:rsid w:val="00216049"/>
    <w:rsid w:val="002163CB"/>
    <w:rsid w:val="00217606"/>
    <w:rsid w:val="00217C09"/>
    <w:rsid w:val="00220C92"/>
    <w:rsid w:val="00220F5C"/>
    <w:rsid w:val="00225196"/>
    <w:rsid w:val="00225CB4"/>
    <w:rsid w:val="00226309"/>
    <w:rsid w:val="0022631D"/>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07FC"/>
    <w:rsid w:val="0025183C"/>
    <w:rsid w:val="002528EC"/>
    <w:rsid w:val="00255049"/>
    <w:rsid w:val="00257DE5"/>
    <w:rsid w:val="00260531"/>
    <w:rsid w:val="0026318D"/>
    <w:rsid w:val="00270864"/>
    <w:rsid w:val="00270F9B"/>
    <w:rsid w:val="002712F7"/>
    <w:rsid w:val="0027159C"/>
    <w:rsid w:val="00273682"/>
    <w:rsid w:val="00274549"/>
    <w:rsid w:val="00274E46"/>
    <w:rsid w:val="00276C86"/>
    <w:rsid w:val="002810A4"/>
    <w:rsid w:val="0028168B"/>
    <w:rsid w:val="00281F0B"/>
    <w:rsid w:val="00284A26"/>
    <w:rsid w:val="00284A7F"/>
    <w:rsid w:val="00287006"/>
    <w:rsid w:val="00292AB2"/>
    <w:rsid w:val="00294437"/>
    <w:rsid w:val="00295D90"/>
    <w:rsid w:val="002A13BF"/>
    <w:rsid w:val="002A3237"/>
    <w:rsid w:val="002A58B7"/>
    <w:rsid w:val="002A5943"/>
    <w:rsid w:val="002A5C3C"/>
    <w:rsid w:val="002A685E"/>
    <w:rsid w:val="002A72C7"/>
    <w:rsid w:val="002B03B2"/>
    <w:rsid w:val="002B0749"/>
    <w:rsid w:val="002B2645"/>
    <w:rsid w:val="002B5CE7"/>
    <w:rsid w:val="002B6FA0"/>
    <w:rsid w:val="002C4CDC"/>
    <w:rsid w:val="002C5F10"/>
    <w:rsid w:val="002C690E"/>
    <w:rsid w:val="002C6E5B"/>
    <w:rsid w:val="002C7C88"/>
    <w:rsid w:val="002D18B4"/>
    <w:rsid w:val="002D231A"/>
    <w:rsid w:val="002E15D1"/>
    <w:rsid w:val="002E1877"/>
    <w:rsid w:val="002E1C31"/>
    <w:rsid w:val="002E2DB2"/>
    <w:rsid w:val="002E333A"/>
    <w:rsid w:val="002E3474"/>
    <w:rsid w:val="002E400C"/>
    <w:rsid w:val="002E4856"/>
    <w:rsid w:val="002E49C3"/>
    <w:rsid w:val="002E5114"/>
    <w:rsid w:val="002E6610"/>
    <w:rsid w:val="002E7570"/>
    <w:rsid w:val="002E764B"/>
    <w:rsid w:val="002E79C4"/>
    <w:rsid w:val="002F0E28"/>
    <w:rsid w:val="002F287E"/>
    <w:rsid w:val="002F2D63"/>
    <w:rsid w:val="002F7F81"/>
    <w:rsid w:val="00300A36"/>
    <w:rsid w:val="00302B1A"/>
    <w:rsid w:val="0030678B"/>
    <w:rsid w:val="00310CD7"/>
    <w:rsid w:val="00311C8D"/>
    <w:rsid w:val="00320CA6"/>
    <w:rsid w:val="0032136A"/>
    <w:rsid w:val="00323E70"/>
    <w:rsid w:val="00325BA2"/>
    <w:rsid w:val="00326C08"/>
    <w:rsid w:val="00326F7F"/>
    <w:rsid w:val="003320E8"/>
    <w:rsid w:val="0033334F"/>
    <w:rsid w:val="0033555E"/>
    <w:rsid w:val="00336805"/>
    <w:rsid w:val="00337351"/>
    <w:rsid w:val="00341A54"/>
    <w:rsid w:val="00344F9C"/>
    <w:rsid w:val="0034669F"/>
    <w:rsid w:val="00347554"/>
    <w:rsid w:val="00347C6D"/>
    <w:rsid w:val="00350021"/>
    <w:rsid w:val="00351498"/>
    <w:rsid w:val="00352B22"/>
    <w:rsid w:val="00354547"/>
    <w:rsid w:val="003567DE"/>
    <w:rsid w:val="003574F3"/>
    <w:rsid w:val="0036137A"/>
    <w:rsid w:val="0036319E"/>
    <w:rsid w:val="003632A4"/>
    <w:rsid w:val="00363362"/>
    <w:rsid w:val="003660F8"/>
    <w:rsid w:val="003678C0"/>
    <w:rsid w:val="00367D4F"/>
    <w:rsid w:val="00370247"/>
    <w:rsid w:val="00370743"/>
    <w:rsid w:val="00370EF5"/>
    <w:rsid w:val="0037135B"/>
    <w:rsid w:val="00372251"/>
    <w:rsid w:val="0037520D"/>
    <w:rsid w:val="00375724"/>
    <w:rsid w:val="00375809"/>
    <w:rsid w:val="0037628C"/>
    <w:rsid w:val="00376B81"/>
    <w:rsid w:val="00377BD2"/>
    <w:rsid w:val="003802D8"/>
    <w:rsid w:val="003821E1"/>
    <w:rsid w:val="00383F25"/>
    <w:rsid w:val="00384866"/>
    <w:rsid w:val="003857D4"/>
    <w:rsid w:val="00385D6F"/>
    <w:rsid w:val="00387095"/>
    <w:rsid w:val="00390092"/>
    <w:rsid w:val="00393651"/>
    <w:rsid w:val="00395489"/>
    <w:rsid w:val="00395E12"/>
    <w:rsid w:val="00396779"/>
    <w:rsid w:val="00397DB7"/>
    <w:rsid w:val="003A105F"/>
    <w:rsid w:val="003A27B2"/>
    <w:rsid w:val="003A40B4"/>
    <w:rsid w:val="003A41BA"/>
    <w:rsid w:val="003A6A99"/>
    <w:rsid w:val="003A77CB"/>
    <w:rsid w:val="003A7FF8"/>
    <w:rsid w:val="003B0EF6"/>
    <w:rsid w:val="003B17AC"/>
    <w:rsid w:val="003B227A"/>
    <w:rsid w:val="003B5854"/>
    <w:rsid w:val="003B6764"/>
    <w:rsid w:val="003B6E2F"/>
    <w:rsid w:val="003B7A1F"/>
    <w:rsid w:val="003C28A7"/>
    <w:rsid w:val="003C6068"/>
    <w:rsid w:val="003D2BA3"/>
    <w:rsid w:val="003D3C22"/>
    <w:rsid w:val="003D7089"/>
    <w:rsid w:val="003D7DDB"/>
    <w:rsid w:val="003E02C7"/>
    <w:rsid w:val="003E0543"/>
    <w:rsid w:val="003E0B5A"/>
    <w:rsid w:val="003E31E3"/>
    <w:rsid w:val="003E46D1"/>
    <w:rsid w:val="003E6214"/>
    <w:rsid w:val="003E7269"/>
    <w:rsid w:val="003E7F4B"/>
    <w:rsid w:val="003F070E"/>
    <w:rsid w:val="003F1D06"/>
    <w:rsid w:val="003F4209"/>
    <w:rsid w:val="003F58B0"/>
    <w:rsid w:val="004007E9"/>
    <w:rsid w:val="00401825"/>
    <w:rsid w:val="00401BBC"/>
    <w:rsid w:val="00403BFB"/>
    <w:rsid w:val="00403FA2"/>
    <w:rsid w:val="00404169"/>
    <w:rsid w:val="00404B45"/>
    <w:rsid w:val="00406CC5"/>
    <w:rsid w:val="004074A4"/>
    <w:rsid w:val="004101B2"/>
    <w:rsid w:val="004123D7"/>
    <w:rsid w:val="00412658"/>
    <w:rsid w:val="004172DB"/>
    <w:rsid w:val="00421485"/>
    <w:rsid w:val="00422B75"/>
    <w:rsid w:val="00425771"/>
    <w:rsid w:val="00433F36"/>
    <w:rsid w:val="0043503A"/>
    <w:rsid w:val="0044384F"/>
    <w:rsid w:val="00443F59"/>
    <w:rsid w:val="00444F80"/>
    <w:rsid w:val="00446018"/>
    <w:rsid w:val="00450532"/>
    <w:rsid w:val="004522FF"/>
    <w:rsid w:val="004543BC"/>
    <w:rsid w:val="0045645D"/>
    <w:rsid w:val="004574C6"/>
    <w:rsid w:val="00457BCF"/>
    <w:rsid w:val="00457DCE"/>
    <w:rsid w:val="00460E3F"/>
    <w:rsid w:val="00462F68"/>
    <w:rsid w:val="004668E4"/>
    <w:rsid w:val="00466CED"/>
    <w:rsid w:val="00467592"/>
    <w:rsid w:val="00467690"/>
    <w:rsid w:val="00470C3C"/>
    <w:rsid w:val="004718E7"/>
    <w:rsid w:val="00472535"/>
    <w:rsid w:val="004761CC"/>
    <w:rsid w:val="00480D4A"/>
    <w:rsid w:val="00480FF7"/>
    <w:rsid w:val="0048103D"/>
    <w:rsid w:val="00481DA1"/>
    <w:rsid w:val="0048205C"/>
    <w:rsid w:val="0048328E"/>
    <w:rsid w:val="00484212"/>
    <w:rsid w:val="0049255F"/>
    <w:rsid w:val="00493388"/>
    <w:rsid w:val="0049445D"/>
    <w:rsid w:val="00495350"/>
    <w:rsid w:val="00497156"/>
    <w:rsid w:val="004A0C79"/>
    <w:rsid w:val="004A24D2"/>
    <w:rsid w:val="004A3214"/>
    <w:rsid w:val="004A4136"/>
    <w:rsid w:val="004A417B"/>
    <w:rsid w:val="004A4222"/>
    <w:rsid w:val="004A46CB"/>
    <w:rsid w:val="004A6B1C"/>
    <w:rsid w:val="004B03F3"/>
    <w:rsid w:val="004B0CC9"/>
    <w:rsid w:val="004B1BC3"/>
    <w:rsid w:val="004B214E"/>
    <w:rsid w:val="004B2536"/>
    <w:rsid w:val="004B6AF3"/>
    <w:rsid w:val="004B715E"/>
    <w:rsid w:val="004B7169"/>
    <w:rsid w:val="004B79C9"/>
    <w:rsid w:val="004C5E33"/>
    <w:rsid w:val="004C68A2"/>
    <w:rsid w:val="004C6CDA"/>
    <w:rsid w:val="004D0BB9"/>
    <w:rsid w:val="004D10D4"/>
    <w:rsid w:val="004D16BD"/>
    <w:rsid w:val="004D2AAB"/>
    <w:rsid w:val="004D6F2B"/>
    <w:rsid w:val="004E0248"/>
    <w:rsid w:val="004E21A3"/>
    <w:rsid w:val="004E23B9"/>
    <w:rsid w:val="004E32EA"/>
    <w:rsid w:val="004E6866"/>
    <w:rsid w:val="004F3222"/>
    <w:rsid w:val="004F3BFA"/>
    <w:rsid w:val="005000AB"/>
    <w:rsid w:val="005025EE"/>
    <w:rsid w:val="00503513"/>
    <w:rsid w:val="00507389"/>
    <w:rsid w:val="00507C69"/>
    <w:rsid w:val="00510588"/>
    <w:rsid w:val="0051146C"/>
    <w:rsid w:val="00514449"/>
    <w:rsid w:val="005157BD"/>
    <w:rsid w:val="005214A3"/>
    <w:rsid w:val="005222E7"/>
    <w:rsid w:val="00523A8B"/>
    <w:rsid w:val="00523E04"/>
    <w:rsid w:val="00524306"/>
    <w:rsid w:val="0052590B"/>
    <w:rsid w:val="00525CA2"/>
    <w:rsid w:val="00526591"/>
    <w:rsid w:val="00527178"/>
    <w:rsid w:val="00527300"/>
    <w:rsid w:val="005278CB"/>
    <w:rsid w:val="00534D42"/>
    <w:rsid w:val="005350A5"/>
    <w:rsid w:val="00536379"/>
    <w:rsid w:val="00537238"/>
    <w:rsid w:val="00537354"/>
    <w:rsid w:val="005400C5"/>
    <w:rsid w:val="00540BEF"/>
    <w:rsid w:val="00542C9A"/>
    <w:rsid w:val="00542E64"/>
    <w:rsid w:val="00543436"/>
    <w:rsid w:val="005436C2"/>
    <w:rsid w:val="005442D4"/>
    <w:rsid w:val="0054586A"/>
    <w:rsid w:val="0054631F"/>
    <w:rsid w:val="0055288D"/>
    <w:rsid w:val="0055307E"/>
    <w:rsid w:val="00553F6E"/>
    <w:rsid w:val="00555259"/>
    <w:rsid w:val="00555838"/>
    <w:rsid w:val="00557E6F"/>
    <w:rsid w:val="00560D57"/>
    <w:rsid w:val="00562A94"/>
    <w:rsid w:val="00563607"/>
    <w:rsid w:val="005709F7"/>
    <w:rsid w:val="005710A9"/>
    <w:rsid w:val="00571D1B"/>
    <w:rsid w:val="005738F5"/>
    <w:rsid w:val="0058039C"/>
    <w:rsid w:val="00593043"/>
    <w:rsid w:val="00595BF0"/>
    <w:rsid w:val="005A1846"/>
    <w:rsid w:val="005A258C"/>
    <w:rsid w:val="005A2BE9"/>
    <w:rsid w:val="005A3560"/>
    <w:rsid w:val="005A378B"/>
    <w:rsid w:val="005A464E"/>
    <w:rsid w:val="005A4FF2"/>
    <w:rsid w:val="005A69C8"/>
    <w:rsid w:val="005A6C99"/>
    <w:rsid w:val="005A7D5D"/>
    <w:rsid w:val="005B011A"/>
    <w:rsid w:val="005B02E3"/>
    <w:rsid w:val="005B1D8F"/>
    <w:rsid w:val="005B1E94"/>
    <w:rsid w:val="005B5B3D"/>
    <w:rsid w:val="005B64CF"/>
    <w:rsid w:val="005C16F3"/>
    <w:rsid w:val="005C3758"/>
    <w:rsid w:val="005C4606"/>
    <w:rsid w:val="005D4918"/>
    <w:rsid w:val="005E3064"/>
    <w:rsid w:val="005E72B2"/>
    <w:rsid w:val="005E7E72"/>
    <w:rsid w:val="005F1115"/>
    <w:rsid w:val="005F1AB6"/>
    <w:rsid w:val="005F27F2"/>
    <w:rsid w:val="005F3AFE"/>
    <w:rsid w:val="005F424D"/>
    <w:rsid w:val="005F6B6D"/>
    <w:rsid w:val="006038C5"/>
    <w:rsid w:val="00604ED3"/>
    <w:rsid w:val="00605AAB"/>
    <w:rsid w:val="00606BEB"/>
    <w:rsid w:val="00607DC3"/>
    <w:rsid w:val="0061014A"/>
    <w:rsid w:val="0061054B"/>
    <w:rsid w:val="00613E26"/>
    <w:rsid w:val="00615641"/>
    <w:rsid w:val="00616959"/>
    <w:rsid w:val="006211D0"/>
    <w:rsid w:val="00624D0C"/>
    <w:rsid w:val="0062569D"/>
    <w:rsid w:val="006274B4"/>
    <w:rsid w:val="006307BA"/>
    <w:rsid w:val="006315BA"/>
    <w:rsid w:val="00632D52"/>
    <w:rsid w:val="00634C4A"/>
    <w:rsid w:val="0063532E"/>
    <w:rsid w:val="00637BDC"/>
    <w:rsid w:val="00640D5C"/>
    <w:rsid w:val="006418C9"/>
    <w:rsid w:val="00642BD6"/>
    <w:rsid w:val="00642E09"/>
    <w:rsid w:val="00644359"/>
    <w:rsid w:val="00645046"/>
    <w:rsid w:val="0064527A"/>
    <w:rsid w:val="00645EA2"/>
    <w:rsid w:val="00653D2D"/>
    <w:rsid w:val="006549CE"/>
    <w:rsid w:val="006565B2"/>
    <w:rsid w:val="006573F2"/>
    <w:rsid w:val="00661418"/>
    <w:rsid w:val="00662F08"/>
    <w:rsid w:val="00663589"/>
    <w:rsid w:val="006708E3"/>
    <w:rsid w:val="00670DDC"/>
    <w:rsid w:val="00671447"/>
    <w:rsid w:val="00671EB4"/>
    <w:rsid w:val="0067443B"/>
    <w:rsid w:val="00683569"/>
    <w:rsid w:val="00684E2B"/>
    <w:rsid w:val="00685B7F"/>
    <w:rsid w:val="006867BC"/>
    <w:rsid w:val="00690FDA"/>
    <w:rsid w:val="00691E61"/>
    <w:rsid w:val="00692B2E"/>
    <w:rsid w:val="00693C5E"/>
    <w:rsid w:val="00694EEA"/>
    <w:rsid w:val="006951A4"/>
    <w:rsid w:val="006955B4"/>
    <w:rsid w:val="00696476"/>
    <w:rsid w:val="006A10FA"/>
    <w:rsid w:val="006A40E6"/>
    <w:rsid w:val="006A5C07"/>
    <w:rsid w:val="006A712A"/>
    <w:rsid w:val="006A75FA"/>
    <w:rsid w:val="006B07D5"/>
    <w:rsid w:val="006B1309"/>
    <w:rsid w:val="006B153A"/>
    <w:rsid w:val="006B3923"/>
    <w:rsid w:val="006B3F3E"/>
    <w:rsid w:val="006B5923"/>
    <w:rsid w:val="006B67D9"/>
    <w:rsid w:val="006B6C14"/>
    <w:rsid w:val="006B715E"/>
    <w:rsid w:val="006C11C4"/>
    <w:rsid w:val="006C1D6E"/>
    <w:rsid w:val="006C2EDC"/>
    <w:rsid w:val="006C2EF6"/>
    <w:rsid w:val="006C3A68"/>
    <w:rsid w:val="006C6372"/>
    <w:rsid w:val="006C6AB1"/>
    <w:rsid w:val="006D2D39"/>
    <w:rsid w:val="006D411D"/>
    <w:rsid w:val="006D4E0E"/>
    <w:rsid w:val="006D5CE2"/>
    <w:rsid w:val="006D628E"/>
    <w:rsid w:val="006E06D1"/>
    <w:rsid w:val="006E0E35"/>
    <w:rsid w:val="006E1313"/>
    <w:rsid w:val="006E2DC8"/>
    <w:rsid w:val="006E7356"/>
    <w:rsid w:val="006E77C8"/>
    <w:rsid w:val="006F149D"/>
    <w:rsid w:val="006F1A46"/>
    <w:rsid w:val="006F4F06"/>
    <w:rsid w:val="006F56BC"/>
    <w:rsid w:val="006F5A4E"/>
    <w:rsid w:val="006F6005"/>
    <w:rsid w:val="00701143"/>
    <w:rsid w:val="00703B6C"/>
    <w:rsid w:val="00705C40"/>
    <w:rsid w:val="00706005"/>
    <w:rsid w:val="00706482"/>
    <w:rsid w:val="00706BEF"/>
    <w:rsid w:val="00707ECE"/>
    <w:rsid w:val="00710CE8"/>
    <w:rsid w:val="007116BC"/>
    <w:rsid w:val="0071566B"/>
    <w:rsid w:val="007165CE"/>
    <w:rsid w:val="00720968"/>
    <w:rsid w:val="00721705"/>
    <w:rsid w:val="00721D12"/>
    <w:rsid w:val="00721F8B"/>
    <w:rsid w:val="007228A7"/>
    <w:rsid w:val="00722D0D"/>
    <w:rsid w:val="007237CE"/>
    <w:rsid w:val="00724688"/>
    <w:rsid w:val="00727F2D"/>
    <w:rsid w:val="0073062D"/>
    <w:rsid w:val="0073254D"/>
    <w:rsid w:val="007328FC"/>
    <w:rsid w:val="00736A49"/>
    <w:rsid w:val="00737EFE"/>
    <w:rsid w:val="00741984"/>
    <w:rsid w:val="007419A1"/>
    <w:rsid w:val="00741AB4"/>
    <w:rsid w:val="00741CFD"/>
    <w:rsid w:val="00743B71"/>
    <w:rsid w:val="00743C2D"/>
    <w:rsid w:val="00743E36"/>
    <w:rsid w:val="00743FE9"/>
    <w:rsid w:val="007446F7"/>
    <w:rsid w:val="00744EBB"/>
    <w:rsid w:val="00745B0A"/>
    <w:rsid w:val="007468AC"/>
    <w:rsid w:val="00746AE2"/>
    <w:rsid w:val="00750C82"/>
    <w:rsid w:val="00756296"/>
    <w:rsid w:val="007608F5"/>
    <w:rsid w:val="00760CD8"/>
    <w:rsid w:val="0076100C"/>
    <w:rsid w:val="007612A5"/>
    <w:rsid w:val="00763F95"/>
    <w:rsid w:val="007651ED"/>
    <w:rsid w:val="0076598F"/>
    <w:rsid w:val="00766C87"/>
    <w:rsid w:val="007775EE"/>
    <w:rsid w:val="00780378"/>
    <w:rsid w:val="00781BD4"/>
    <w:rsid w:val="007820A2"/>
    <w:rsid w:val="00784226"/>
    <w:rsid w:val="00784832"/>
    <w:rsid w:val="00785D77"/>
    <w:rsid w:val="00786111"/>
    <w:rsid w:val="0078621C"/>
    <w:rsid w:val="00791F1E"/>
    <w:rsid w:val="00794F3D"/>
    <w:rsid w:val="00796045"/>
    <w:rsid w:val="007968AC"/>
    <w:rsid w:val="007969AB"/>
    <w:rsid w:val="00797882"/>
    <w:rsid w:val="007978E8"/>
    <w:rsid w:val="007A0B39"/>
    <w:rsid w:val="007A14A4"/>
    <w:rsid w:val="007A168F"/>
    <w:rsid w:val="007A2508"/>
    <w:rsid w:val="007A28E4"/>
    <w:rsid w:val="007A3BB3"/>
    <w:rsid w:val="007A5AD1"/>
    <w:rsid w:val="007A5B7B"/>
    <w:rsid w:val="007B0A06"/>
    <w:rsid w:val="007B1DD1"/>
    <w:rsid w:val="007B22F4"/>
    <w:rsid w:val="007B2390"/>
    <w:rsid w:val="007B5C5C"/>
    <w:rsid w:val="007B7B37"/>
    <w:rsid w:val="007B7C41"/>
    <w:rsid w:val="007C11E9"/>
    <w:rsid w:val="007C21BA"/>
    <w:rsid w:val="007C433E"/>
    <w:rsid w:val="007C4452"/>
    <w:rsid w:val="007C4B3C"/>
    <w:rsid w:val="007C4DB1"/>
    <w:rsid w:val="007C5884"/>
    <w:rsid w:val="007C6046"/>
    <w:rsid w:val="007C7508"/>
    <w:rsid w:val="007D0292"/>
    <w:rsid w:val="007D21AC"/>
    <w:rsid w:val="007D3882"/>
    <w:rsid w:val="007D568A"/>
    <w:rsid w:val="007D574E"/>
    <w:rsid w:val="007D6BFE"/>
    <w:rsid w:val="007E08A7"/>
    <w:rsid w:val="007E2046"/>
    <w:rsid w:val="007E3883"/>
    <w:rsid w:val="007E4FBB"/>
    <w:rsid w:val="007E55BF"/>
    <w:rsid w:val="007E71B1"/>
    <w:rsid w:val="007E7B4E"/>
    <w:rsid w:val="007F0CE2"/>
    <w:rsid w:val="007F0EFF"/>
    <w:rsid w:val="007F1375"/>
    <w:rsid w:val="007F624F"/>
    <w:rsid w:val="00803850"/>
    <w:rsid w:val="00804385"/>
    <w:rsid w:val="0080509E"/>
    <w:rsid w:val="00805AFD"/>
    <w:rsid w:val="008078D8"/>
    <w:rsid w:val="008115A0"/>
    <w:rsid w:val="00811D5B"/>
    <w:rsid w:val="00816A50"/>
    <w:rsid w:val="00817713"/>
    <w:rsid w:val="008220F1"/>
    <w:rsid w:val="0082340B"/>
    <w:rsid w:val="00825CEF"/>
    <w:rsid w:val="00827DB6"/>
    <w:rsid w:val="008304B2"/>
    <w:rsid w:val="00830999"/>
    <w:rsid w:val="00830D5E"/>
    <w:rsid w:val="00830F69"/>
    <w:rsid w:val="00833418"/>
    <w:rsid w:val="00834458"/>
    <w:rsid w:val="00835841"/>
    <w:rsid w:val="00837465"/>
    <w:rsid w:val="00840036"/>
    <w:rsid w:val="008409DE"/>
    <w:rsid w:val="00841243"/>
    <w:rsid w:val="00841457"/>
    <w:rsid w:val="0084374E"/>
    <w:rsid w:val="00843A5A"/>
    <w:rsid w:val="00844842"/>
    <w:rsid w:val="00844DD0"/>
    <w:rsid w:val="00845263"/>
    <w:rsid w:val="0084763B"/>
    <w:rsid w:val="00847876"/>
    <w:rsid w:val="0085089F"/>
    <w:rsid w:val="0085206E"/>
    <w:rsid w:val="00852AD4"/>
    <w:rsid w:val="00852BA8"/>
    <w:rsid w:val="00853718"/>
    <w:rsid w:val="00853FB8"/>
    <w:rsid w:val="008541EF"/>
    <w:rsid w:val="00856AC7"/>
    <w:rsid w:val="00856FA4"/>
    <w:rsid w:val="0086162B"/>
    <w:rsid w:val="00861D5C"/>
    <w:rsid w:val="00865207"/>
    <w:rsid w:val="008656A7"/>
    <w:rsid w:val="00866231"/>
    <w:rsid w:val="00866669"/>
    <w:rsid w:val="00871262"/>
    <w:rsid w:val="00871D4E"/>
    <w:rsid w:val="00871E7B"/>
    <w:rsid w:val="00875B51"/>
    <w:rsid w:val="00875F2D"/>
    <w:rsid w:val="008764DC"/>
    <w:rsid w:val="00877A40"/>
    <w:rsid w:val="00882CC2"/>
    <w:rsid w:val="00883930"/>
    <w:rsid w:val="00896535"/>
    <w:rsid w:val="00896683"/>
    <w:rsid w:val="0089750B"/>
    <w:rsid w:val="00897589"/>
    <w:rsid w:val="008A4A20"/>
    <w:rsid w:val="008A4B87"/>
    <w:rsid w:val="008A63A9"/>
    <w:rsid w:val="008A7F7E"/>
    <w:rsid w:val="008B00FF"/>
    <w:rsid w:val="008B04DB"/>
    <w:rsid w:val="008B27FD"/>
    <w:rsid w:val="008B370A"/>
    <w:rsid w:val="008B3AF2"/>
    <w:rsid w:val="008B3B87"/>
    <w:rsid w:val="008B446D"/>
    <w:rsid w:val="008B4F15"/>
    <w:rsid w:val="008B515D"/>
    <w:rsid w:val="008B5D31"/>
    <w:rsid w:val="008B6705"/>
    <w:rsid w:val="008C22F3"/>
    <w:rsid w:val="008C5BF4"/>
    <w:rsid w:val="008C77F7"/>
    <w:rsid w:val="008D4659"/>
    <w:rsid w:val="008D72D2"/>
    <w:rsid w:val="008D795D"/>
    <w:rsid w:val="008D7AE6"/>
    <w:rsid w:val="008D7B07"/>
    <w:rsid w:val="008E1E94"/>
    <w:rsid w:val="008E222A"/>
    <w:rsid w:val="008E2D99"/>
    <w:rsid w:val="008E38AE"/>
    <w:rsid w:val="008E4A60"/>
    <w:rsid w:val="008E744D"/>
    <w:rsid w:val="008F1E08"/>
    <w:rsid w:val="008F39E3"/>
    <w:rsid w:val="008F699D"/>
    <w:rsid w:val="00900D8F"/>
    <w:rsid w:val="009014E3"/>
    <w:rsid w:val="009026E8"/>
    <w:rsid w:val="00906EB7"/>
    <w:rsid w:val="009076D7"/>
    <w:rsid w:val="009102BF"/>
    <w:rsid w:val="00911490"/>
    <w:rsid w:val="009115F2"/>
    <w:rsid w:val="00914ADB"/>
    <w:rsid w:val="0092019A"/>
    <w:rsid w:val="00920983"/>
    <w:rsid w:val="00923B25"/>
    <w:rsid w:val="00923E02"/>
    <w:rsid w:val="0092402E"/>
    <w:rsid w:val="009251DF"/>
    <w:rsid w:val="009259BA"/>
    <w:rsid w:val="00926FCB"/>
    <w:rsid w:val="0093311A"/>
    <w:rsid w:val="00942645"/>
    <w:rsid w:val="00950A3A"/>
    <w:rsid w:val="00950D50"/>
    <w:rsid w:val="0095340A"/>
    <w:rsid w:val="00954581"/>
    <w:rsid w:val="0095466C"/>
    <w:rsid w:val="00954E5B"/>
    <w:rsid w:val="009576BC"/>
    <w:rsid w:val="00960357"/>
    <w:rsid w:val="0096168C"/>
    <w:rsid w:val="00961840"/>
    <w:rsid w:val="00962F2D"/>
    <w:rsid w:val="00964BB8"/>
    <w:rsid w:val="009650EA"/>
    <w:rsid w:val="009672CD"/>
    <w:rsid w:val="00972996"/>
    <w:rsid w:val="009732B8"/>
    <w:rsid w:val="00974443"/>
    <w:rsid w:val="00975C72"/>
    <w:rsid w:val="00976869"/>
    <w:rsid w:val="00977740"/>
    <w:rsid w:val="00977CB4"/>
    <w:rsid w:val="009809B8"/>
    <w:rsid w:val="0098222D"/>
    <w:rsid w:val="00985099"/>
    <w:rsid w:val="00990513"/>
    <w:rsid w:val="009908F1"/>
    <w:rsid w:val="0099263A"/>
    <w:rsid w:val="0099421F"/>
    <w:rsid w:val="009964BB"/>
    <w:rsid w:val="009A0DE3"/>
    <w:rsid w:val="009A1643"/>
    <w:rsid w:val="009A215A"/>
    <w:rsid w:val="009A49D3"/>
    <w:rsid w:val="009A4F1B"/>
    <w:rsid w:val="009A5236"/>
    <w:rsid w:val="009A66C5"/>
    <w:rsid w:val="009A79BA"/>
    <w:rsid w:val="009B14D1"/>
    <w:rsid w:val="009B1534"/>
    <w:rsid w:val="009B4963"/>
    <w:rsid w:val="009B4A3B"/>
    <w:rsid w:val="009B69D3"/>
    <w:rsid w:val="009B7BA7"/>
    <w:rsid w:val="009C0938"/>
    <w:rsid w:val="009C22C8"/>
    <w:rsid w:val="009C3F82"/>
    <w:rsid w:val="009C5C78"/>
    <w:rsid w:val="009C72DD"/>
    <w:rsid w:val="009C7DF5"/>
    <w:rsid w:val="009D056C"/>
    <w:rsid w:val="009D060F"/>
    <w:rsid w:val="009D1ADE"/>
    <w:rsid w:val="009D37CA"/>
    <w:rsid w:val="009E09D0"/>
    <w:rsid w:val="009E0DCF"/>
    <w:rsid w:val="009E1283"/>
    <w:rsid w:val="009E3A7F"/>
    <w:rsid w:val="009E4A50"/>
    <w:rsid w:val="009E57B1"/>
    <w:rsid w:val="009E6379"/>
    <w:rsid w:val="009F31DA"/>
    <w:rsid w:val="009F6FFF"/>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1B4"/>
    <w:rsid w:val="00A2270B"/>
    <w:rsid w:val="00A23B89"/>
    <w:rsid w:val="00A23FE3"/>
    <w:rsid w:val="00A248C3"/>
    <w:rsid w:val="00A2496E"/>
    <w:rsid w:val="00A258B7"/>
    <w:rsid w:val="00A32743"/>
    <w:rsid w:val="00A3586F"/>
    <w:rsid w:val="00A414A9"/>
    <w:rsid w:val="00A42084"/>
    <w:rsid w:val="00A44CCA"/>
    <w:rsid w:val="00A44D75"/>
    <w:rsid w:val="00A4532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527B"/>
    <w:rsid w:val="00A76094"/>
    <w:rsid w:val="00A768E2"/>
    <w:rsid w:val="00A82C52"/>
    <w:rsid w:val="00A83BFF"/>
    <w:rsid w:val="00A85D86"/>
    <w:rsid w:val="00A86CB6"/>
    <w:rsid w:val="00A90D55"/>
    <w:rsid w:val="00A944D8"/>
    <w:rsid w:val="00A946AA"/>
    <w:rsid w:val="00A94EE6"/>
    <w:rsid w:val="00A959E7"/>
    <w:rsid w:val="00A95BBA"/>
    <w:rsid w:val="00A95CE6"/>
    <w:rsid w:val="00A961EE"/>
    <w:rsid w:val="00AA04B3"/>
    <w:rsid w:val="00AA1253"/>
    <w:rsid w:val="00AA1ED0"/>
    <w:rsid w:val="00AA28EF"/>
    <w:rsid w:val="00AA3593"/>
    <w:rsid w:val="00AA38CA"/>
    <w:rsid w:val="00AA493E"/>
    <w:rsid w:val="00AA4E71"/>
    <w:rsid w:val="00AA5275"/>
    <w:rsid w:val="00AA68F7"/>
    <w:rsid w:val="00AA73AF"/>
    <w:rsid w:val="00AA7814"/>
    <w:rsid w:val="00AB089B"/>
    <w:rsid w:val="00AB0A8A"/>
    <w:rsid w:val="00AB1754"/>
    <w:rsid w:val="00AB27DD"/>
    <w:rsid w:val="00AC439D"/>
    <w:rsid w:val="00AC484E"/>
    <w:rsid w:val="00AC6840"/>
    <w:rsid w:val="00AC713F"/>
    <w:rsid w:val="00AC7E90"/>
    <w:rsid w:val="00AD067E"/>
    <w:rsid w:val="00AD0B9B"/>
    <w:rsid w:val="00AD2801"/>
    <w:rsid w:val="00AD6870"/>
    <w:rsid w:val="00AD68C5"/>
    <w:rsid w:val="00AE083B"/>
    <w:rsid w:val="00AE1273"/>
    <w:rsid w:val="00AE2D29"/>
    <w:rsid w:val="00AE2DB2"/>
    <w:rsid w:val="00AE4624"/>
    <w:rsid w:val="00AE5E14"/>
    <w:rsid w:val="00AE6115"/>
    <w:rsid w:val="00AE625B"/>
    <w:rsid w:val="00AF1668"/>
    <w:rsid w:val="00AF4FA5"/>
    <w:rsid w:val="00B03558"/>
    <w:rsid w:val="00B07955"/>
    <w:rsid w:val="00B07F65"/>
    <w:rsid w:val="00B11385"/>
    <w:rsid w:val="00B140B8"/>
    <w:rsid w:val="00B14FAA"/>
    <w:rsid w:val="00B15D30"/>
    <w:rsid w:val="00B17979"/>
    <w:rsid w:val="00B20624"/>
    <w:rsid w:val="00B23436"/>
    <w:rsid w:val="00B237F1"/>
    <w:rsid w:val="00B24F33"/>
    <w:rsid w:val="00B26354"/>
    <w:rsid w:val="00B26CA0"/>
    <w:rsid w:val="00B32179"/>
    <w:rsid w:val="00B33007"/>
    <w:rsid w:val="00B331A9"/>
    <w:rsid w:val="00B36569"/>
    <w:rsid w:val="00B40A05"/>
    <w:rsid w:val="00B40A3E"/>
    <w:rsid w:val="00B41ED0"/>
    <w:rsid w:val="00B427BB"/>
    <w:rsid w:val="00B449EE"/>
    <w:rsid w:val="00B46582"/>
    <w:rsid w:val="00B50227"/>
    <w:rsid w:val="00B50510"/>
    <w:rsid w:val="00B51F2B"/>
    <w:rsid w:val="00B522CD"/>
    <w:rsid w:val="00B55143"/>
    <w:rsid w:val="00B555C8"/>
    <w:rsid w:val="00B55917"/>
    <w:rsid w:val="00B643A6"/>
    <w:rsid w:val="00B64DD6"/>
    <w:rsid w:val="00B6710C"/>
    <w:rsid w:val="00B675AB"/>
    <w:rsid w:val="00B67E84"/>
    <w:rsid w:val="00B72076"/>
    <w:rsid w:val="00B72303"/>
    <w:rsid w:val="00B726D8"/>
    <w:rsid w:val="00B72C72"/>
    <w:rsid w:val="00B7370A"/>
    <w:rsid w:val="00B748F2"/>
    <w:rsid w:val="00B75E9C"/>
    <w:rsid w:val="00B82277"/>
    <w:rsid w:val="00B87AAB"/>
    <w:rsid w:val="00B9112B"/>
    <w:rsid w:val="00B91676"/>
    <w:rsid w:val="00B94477"/>
    <w:rsid w:val="00B95833"/>
    <w:rsid w:val="00BA1824"/>
    <w:rsid w:val="00BA1B55"/>
    <w:rsid w:val="00BA2D98"/>
    <w:rsid w:val="00BA30D1"/>
    <w:rsid w:val="00BA30E1"/>
    <w:rsid w:val="00BA4609"/>
    <w:rsid w:val="00BA5BE2"/>
    <w:rsid w:val="00BA7F46"/>
    <w:rsid w:val="00BB0A0A"/>
    <w:rsid w:val="00BB133C"/>
    <w:rsid w:val="00BB45B5"/>
    <w:rsid w:val="00BB4649"/>
    <w:rsid w:val="00BB54F6"/>
    <w:rsid w:val="00BB6064"/>
    <w:rsid w:val="00BC09D1"/>
    <w:rsid w:val="00BC1CF3"/>
    <w:rsid w:val="00BC3573"/>
    <w:rsid w:val="00BC6E07"/>
    <w:rsid w:val="00BC7F82"/>
    <w:rsid w:val="00BD40AB"/>
    <w:rsid w:val="00BD51D7"/>
    <w:rsid w:val="00BD6297"/>
    <w:rsid w:val="00BD6806"/>
    <w:rsid w:val="00BD7433"/>
    <w:rsid w:val="00BD7831"/>
    <w:rsid w:val="00BD7C10"/>
    <w:rsid w:val="00BE046F"/>
    <w:rsid w:val="00BE0DEB"/>
    <w:rsid w:val="00BE2FC1"/>
    <w:rsid w:val="00BE4366"/>
    <w:rsid w:val="00BE4D01"/>
    <w:rsid w:val="00BE5835"/>
    <w:rsid w:val="00BE6365"/>
    <w:rsid w:val="00BF0B7F"/>
    <w:rsid w:val="00BF4720"/>
    <w:rsid w:val="00BF4F49"/>
    <w:rsid w:val="00BF74F4"/>
    <w:rsid w:val="00BF7B4F"/>
    <w:rsid w:val="00BF7B63"/>
    <w:rsid w:val="00C038EC"/>
    <w:rsid w:val="00C0457F"/>
    <w:rsid w:val="00C05C6D"/>
    <w:rsid w:val="00C1026D"/>
    <w:rsid w:val="00C1122B"/>
    <w:rsid w:val="00C13B34"/>
    <w:rsid w:val="00C13F26"/>
    <w:rsid w:val="00C1474E"/>
    <w:rsid w:val="00C16E9F"/>
    <w:rsid w:val="00C1713D"/>
    <w:rsid w:val="00C177F1"/>
    <w:rsid w:val="00C17EE6"/>
    <w:rsid w:val="00C22F3A"/>
    <w:rsid w:val="00C23311"/>
    <w:rsid w:val="00C24BE7"/>
    <w:rsid w:val="00C25978"/>
    <w:rsid w:val="00C261C6"/>
    <w:rsid w:val="00C26E7C"/>
    <w:rsid w:val="00C276CD"/>
    <w:rsid w:val="00C30A97"/>
    <w:rsid w:val="00C31DDC"/>
    <w:rsid w:val="00C34326"/>
    <w:rsid w:val="00C36201"/>
    <w:rsid w:val="00C368E8"/>
    <w:rsid w:val="00C36C3D"/>
    <w:rsid w:val="00C372C7"/>
    <w:rsid w:val="00C41AD8"/>
    <w:rsid w:val="00C42443"/>
    <w:rsid w:val="00C42CBA"/>
    <w:rsid w:val="00C5019E"/>
    <w:rsid w:val="00C5377C"/>
    <w:rsid w:val="00C53E8A"/>
    <w:rsid w:val="00C54DF3"/>
    <w:rsid w:val="00C560A7"/>
    <w:rsid w:val="00C56FC8"/>
    <w:rsid w:val="00C60F23"/>
    <w:rsid w:val="00C62EB2"/>
    <w:rsid w:val="00C7091F"/>
    <w:rsid w:val="00C71BEC"/>
    <w:rsid w:val="00C74D3A"/>
    <w:rsid w:val="00C77A38"/>
    <w:rsid w:val="00C80511"/>
    <w:rsid w:val="00C826F5"/>
    <w:rsid w:val="00C82FBE"/>
    <w:rsid w:val="00C83740"/>
    <w:rsid w:val="00C84AD1"/>
    <w:rsid w:val="00C85579"/>
    <w:rsid w:val="00C863E5"/>
    <w:rsid w:val="00C87BE6"/>
    <w:rsid w:val="00C87F76"/>
    <w:rsid w:val="00C9194D"/>
    <w:rsid w:val="00C931FC"/>
    <w:rsid w:val="00C932C5"/>
    <w:rsid w:val="00C9650E"/>
    <w:rsid w:val="00CA068D"/>
    <w:rsid w:val="00CA1228"/>
    <w:rsid w:val="00CA282D"/>
    <w:rsid w:val="00CA4670"/>
    <w:rsid w:val="00CA6B1A"/>
    <w:rsid w:val="00CB148F"/>
    <w:rsid w:val="00CB20DC"/>
    <w:rsid w:val="00CB23DC"/>
    <w:rsid w:val="00CB2487"/>
    <w:rsid w:val="00CB28E2"/>
    <w:rsid w:val="00CB47D3"/>
    <w:rsid w:val="00CB5DAD"/>
    <w:rsid w:val="00CB7A3E"/>
    <w:rsid w:val="00CB7FF7"/>
    <w:rsid w:val="00CC0D0E"/>
    <w:rsid w:val="00CC19B3"/>
    <w:rsid w:val="00CC2044"/>
    <w:rsid w:val="00CC2199"/>
    <w:rsid w:val="00CC37DA"/>
    <w:rsid w:val="00CC39D2"/>
    <w:rsid w:val="00CC3DBB"/>
    <w:rsid w:val="00CC69EC"/>
    <w:rsid w:val="00CD15BE"/>
    <w:rsid w:val="00CD1EF2"/>
    <w:rsid w:val="00CD2A67"/>
    <w:rsid w:val="00CD32BD"/>
    <w:rsid w:val="00CD34C7"/>
    <w:rsid w:val="00CD5653"/>
    <w:rsid w:val="00CD5E6D"/>
    <w:rsid w:val="00CD63C8"/>
    <w:rsid w:val="00CD7DE7"/>
    <w:rsid w:val="00CE4D21"/>
    <w:rsid w:val="00CE7508"/>
    <w:rsid w:val="00CF158D"/>
    <w:rsid w:val="00CF4394"/>
    <w:rsid w:val="00D000A9"/>
    <w:rsid w:val="00D005DB"/>
    <w:rsid w:val="00D0064E"/>
    <w:rsid w:val="00D00981"/>
    <w:rsid w:val="00D02596"/>
    <w:rsid w:val="00D0280D"/>
    <w:rsid w:val="00D06D6C"/>
    <w:rsid w:val="00D07A72"/>
    <w:rsid w:val="00D10577"/>
    <w:rsid w:val="00D1323B"/>
    <w:rsid w:val="00D14BAE"/>
    <w:rsid w:val="00D14CE4"/>
    <w:rsid w:val="00D1648B"/>
    <w:rsid w:val="00D16819"/>
    <w:rsid w:val="00D1703A"/>
    <w:rsid w:val="00D17DD9"/>
    <w:rsid w:val="00D20AC0"/>
    <w:rsid w:val="00D2321B"/>
    <w:rsid w:val="00D23DE4"/>
    <w:rsid w:val="00D24529"/>
    <w:rsid w:val="00D26873"/>
    <w:rsid w:val="00D30878"/>
    <w:rsid w:val="00D31683"/>
    <w:rsid w:val="00D336C8"/>
    <w:rsid w:val="00D339E8"/>
    <w:rsid w:val="00D3662E"/>
    <w:rsid w:val="00D40B1F"/>
    <w:rsid w:val="00D40D75"/>
    <w:rsid w:val="00D448A9"/>
    <w:rsid w:val="00D449F0"/>
    <w:rsid w:val="00D50C8C"/>
    <w:rsid w:val="00D5110E"/>
    <w:rsid w:val="00D52393"/>
    <w:rsid w:val="00D523E4"/>
    <w:rsid w:val="00D5279D"/>
    <w:rsid w:val="00D52A1B"/>
    <w:rsid w:val="00D52FCC"/>
    <w:rsid w:val="00D53F14"/>
    <w:rsid w:val="00D54BE4"/>
    <w:rsid w:val="00D560DC"/>
    <w:rsid w:val="00D5614E"/>
    <w:rsid w:val="00D60483"/>
    <w:rsid w:val="00D604C0"/>
    <w:rsid w:val="00D61ABB"/>
    <w:rsid w:val="00D63577"/>
    <w:rsid w:val="00D67FD7"/>
    <w:rsid w:val="00D71A47"/>
    <w:rsid w:val="00D72B47"/>
    <w:rsid w:val="00D74261"/>
    <w:rsid w:val="00D7441B"/>
    <w:rsid w:val="00D75A91"/>
    <w:rsid w:val="00D76AB2"/>
    <w:rsid w:val="00D80490"/>
    <w:rsid w:val="00D829AD"/>
    <w:rsid w:val="00D82EE2"/>
    <w:rsid w:val="00D844C9"/>
    <w:rsid w:val="00D8545C"/>
    <w:rsid w:val="00D87788"/>
    <w:rsid w:val="00D877C8"/>
    <w:rsid w:val="00D907B0"/>
    <w:rsid w:val="00D910C2"/>
    <w:rsid w:val="00D9168C"/>
    <w:rsid w:val="00D9189B"/>
    <w:rsid w:val="00D91DA6"/>
    <w:rsid w:val="00D9706F"/>
    <w:rsid w:val="00D972D4"/>
    <w:rsid w:val="00DA195B"/>
    <w:rsid w:val="00DA33F1"/>
    <w:rsid w:val="00DA6B55"/>
    <w:rsid w:val="00DA6B97"/>
    <w:rsid w:val="00DB0015"/>
    <w:rsid w:val="00DB1823"/>
    <w:rsid w:val="00DB205C"/>
    <w:rsid w:val="00DB2AAD"/>
    <w:rsid w:val="00DB626D"/>
    <w:rsid w:val="00DB6365"/>
    <w:rsid w:val="00DB718C"/>
    <w:rsid w:val="00DC0BF1"/>
    <w:rsid w:val="00DC3D3F"/>
    <w:rsid w:val="00DC41C3"/>
    <w:rsid w:val="00DC6B40"/>
    <w:rsid w:val="00DC73E4"/>
    <w:rsid w:val="00DD27B4"/>
    <w:rsid w:val="00DD286D"/>
    <w:rsid w:val="00DD2958"/>
    <w:rsid w:val="00DD2CAF"/>
    <w:rsid w:val="00DD3593"/>
    <w:rsid w:val="00DD64E0"/>
    <w:rsid w:val="00DE0C67"/>
    <w:rsid w:val="00DE3E75"/>
    <w:rsid w:val="00DE6952"/>
    <w:rsid w:val="00DE7E74"/>
    <w:rsid w:val="00DF071B"/>
    <w:rsid w:val="00DF1D21"/>
    <w:rsid w:val="00DF6EF8"/>
    <w:rsid w:val="00E00A69"/>
    <w:rsid w:val="00E017F0"/>
    <w:rsid w:val="00E01A0E"/>
    <w:rsid w:val="00E041E4"/>
    <w:rsid w:val="00E1012B"/>
    <w:rsid w:val="00E103C8"/>
    <w:rsid w:val="00E1085B"/>
    <w:rsid w:val="00E1308B"/>
    <w:rsid w:val="00E14581"/>
    <w:rsid w:val="00E15539"/>
    <w:rsid w:val="00E16541"/>
    <w:rsid w:val="00E221EB"/>
    <w:rsid w:val="00E22D15"/>
    <w:rsid w:val="00E2536E"/>
    <w:rsid w:val="00E25B8A"/>
    <w:rsid w:val="00E2632B"/>
    <w:rsid w:val="00E322F7"/>
    <w:rsid w:val="00E3369B"/>
    <w:rsid w:val="00E36D76"/>
    <w:rsid w:val="00E404B7"/>
    <w:rsid w:val="00E405EA"/>
    <w:rsid w:val="00E408B7"/>
    <w:rsid w:val="00E41637"/>
    <w:rsid w:val="00E42787"/>
    <w:rsid w:val="00E42789"/>
    <w:rsid w:val="00E43F59"/>
    <w:rsid w:val="00E45BF2"/>
    <w:rsid w:val="00E464F0"/>
    <w:rsid w:val="00E50BEB"/>
    <w:rsid w:val="00E5440B"/>
    <w:rsid w:val="00E548FA"/>
    <w:rsid w:val="00E57ED4"/>
    <w:rsid w:val="00E60566"/>
    <w:rsid w:val="00E6092F"/>
    <w:rsid w:val="00E60F23"/>
    <w:rsid w:val="00E62049"/>
    <w:rsid w:val="00E629DA"/>
    <w:rsid w:val="00E636F1"/>
    <w:rsid w:val="00E6469F"/>
    <w:rsid w:val="00E670F8"/>
    <w:rsid w:val="00E67FAC"/>
    <w:rsid w:val="00E7200B"/>
    <w:rsid w:val="00E72B20"/>
    <w:rsid w:val="00E738CB"/>
    <w:rsid w:val="00E73C88"/>
    <w:rsid w:val="00E74437"/>
    <w:rsid w:val="00E7443D"/>
    <w:rsid w:val="00E80845"/>
    <w:rsid w:val="00E81C3E"/>
    <w:rsid w:val="00E82B6D"/>
    <w:rsid w:val="00E83088"/>
    <w:rsid w:val="00E9091F"/>
    <w:rsid w:val="00E95699"/>
    <w:rsid w:val="00E95718"/>
    <w:rsid w:val="00EA1177"/>
    <w:rsid w:val="00EA118B"/>
    <w:rsid w:val="00EA11B6"/>
    <w:rsid w:val="00EA2181"/>
    <w:rsid w:val="00EA2DD8"/>
    <w:rsid w:val="00EA4475"/>
    <w:rsid w:val="00EA681F"/>
    <w:rsid w:val="00EA77B4"/>
    <w:rsid w:val="00EB3307"/>
    <w:rsid w:val="00EB3823"/>
    <w:rsid w:val="00EB47D8"/>
    <w:rsid w:val="00EB57D3"/>
    <w:rsid w:val="00EB5EFD"/>
    <w:rsid w:val="00EB679F"/>
    <w:rsid w:val="00EB76E4"/>
    <w:rsid w:val="00EC0E65"/>
    <w:rsid w:val="00EC2938"/>
    <w:rsid w:val="00EC38EF"/>
    <w:rsid w:val="00EC50C9"/>
    <w:rsid w:val="00EC58B4"/>
    <w:rsid w:val="00EC5BB2"/>
    <w:rsid w:val="00ED12F0"/>
    <w:rsid w:val="00ED4773"/>
    <w:rsid w:val="00ED664B"/>
    <w:rsid w:val="00ED6875"/>
    <w:rsid w:val="00ED6A61"/>
    <w:rsid w:val="00EE03BB"/>
    <w:rsid w:val="00EE0B44"/>
    <w:rsid w:val="00EE2C0B"/>
    <w:rsid w:val="00EE6FE0"/>
    <w:rsid w:val="00EE704A"/>
    <w:rsid w:val="00EE7840"/>
    <w:rsid w:val="00EF4C74"/>
    <w:rsid w:val="00EF5268"/>
    <w:rsid w:val="00EF608E"/>
    <w:rsid w:val="00EF7884"/>
    <w:rsid w:val="00F0044B"/>
    <w:rsid w:val="00F04428"/>
    <w:rsid w:val="00F04957"/>
    <w:rsid w:val="00F05807"/>
    <w:rsid w:val="00F06099"/>
    <w:rsid w:val="00F07052"/>
    <w:rsid w:val="00F0706C"/>
    <w:rsid w:val="00F10D01"/>
    <w:rsid w:val="00F11EBE"/>
    <w:rsid w:val="00F12BA8"/>
    <w:rsid w:val="00F130D0"/>
    <w:rsid w:val="00F136B0"/>
    <w:rsid w:val="00F14933"/>
    <w:rsid w:val="00F1516A"/>
    <w:rsid w:val="00F17FE4"/>
    <w:rsid w:val="00F22A26"/>
    <w:rsid w:val="00F24072"/>
    <w:rsid w:val="00F26432"/>
    <w:rsid w:val="00F3197A"/>
    <w:rsid w:val="00F32139"/>
    <w:rsid w:val="00F33D56"/>
    <w:rsid w:val="00F34E08"/>
    <w:rsid w:val="00F34F31"/>
    <w:rsid w:val="00F41D91"/>
    <w:rsid w:val="00F42363"/>
    <w:rsid w:val="00F46964"/>
    <w:rsid w:val="00F46F9A"/>
    <w:rsid w:val="00F470FD"/>
    <w:rsid w:val="00F50F30"/>
    <w:rsid w:val="00F5126A"/>
    <w:rsid w:val="00F5126E"/>
    <w:rsid w:val="00F522CC"/>
    <w:rsid w:val="00F55B26"/>
    <w:rsid w:val="00F56D9E"/>
    <w:rsid w:val="00F61C83"/>
    <w:rsid w:val="00F639C4"/>
    <w:rsid w:val="00F65E80"/>
    <w:rsid w:val="00F6636A"/>
    <w:rsid w:val="00F667C5"/>
    <w:rsid w:val="00F67E31"/>
    <w:rsid w:val="00F718A8"/>
    <w:rsid w:val="00F72183"/>
    <w:rsid w:val="00F76D01"/>
    <w:rsid w:val="00F81C35"/>
    <w:rsid w:val="00F82643"/>
    <w:rsid w:val="00F82981"/>
    <w:rsid w:val="00F8311F"/>
    <w:rsid w:val="00F83248"/>
    <w:rsid w:val="00F83376"/>
    <w:rsid w:val="00F853AE"/>
    <w:rsid w:val="00F93C74"/>
    <w:rsid w:val="00F93DCC"/>
    <w:rsid w:val="00F9435D"/>
    <w:rsid w:val="00F97740"/>
    <w:rsid w:val="00FA2F7B"/>
    <w:rsid w:val="00FA3C97"/>
    <w:rsid w:val="00FA78C8"/>
    <w:rsid w:val="00FB09FE"/>
    <w:rsid w:val="00FB101D"/>
    <w:rsid w:val="00FB1725"/>
    <w:rsid w:val="00FB1AB8"/>
    <w:rsid w:val="00FB593A"/>
    <w:rsid w:val="00FB6410"/>
    <w:rsid w:val="00FB6E82"/>
    <w:rsid w:val="00FC0042"/>
    <w:rsid w:val="00FC20F1"/>
    <w:rsid w:val="00FC2A13"/>
    <w:rsid w:val="00FC4284"/>
    <w:rsid w:val="00FC4576"/>
    <w:rsid w:val="00FC78FB"/>
    <w:rsid w:val="00FC7DBC"/>
    <w:rsid w:val="00FD05F5"/>
    <w:rsid w:val="00FD076A"/>
    <w:rsid w:val="00FD0AA0"/>
    <w:rsid w:val="00FD1D5A"/>
    <w:rsid w:val="00FD5059"/>
    <w:rsid w:val="00FD554D"/>
    <w:rsid w:val="00FE6469"/>
    <w:rsid w:val="00FF0EFB"/>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030997">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D06C1-B812-43DB-87D3-DB8DE285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2011-07-06T12:57:00Z</cp:lastPrinted>
  <dcterms:created xsi:type="dcterms:W3CDTF">2012-03-06T21:27:00Z</dcterms:created>
  <dcterms:modified xsi:type="dcterms:W3CDTF">2012-03-06T21:27:00Z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