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5E015B" w:rsidRPr="005E015B" w:rsidRDefault="005E015B" w:rsidP="005E015B">
      <w:pPr>
        <w:tabs>
          <w:tab w:val="left" w:pos="288"/>
          <w:tab w:val="left" w:pos="4752"/>
        </w:tabs>
        <w:spacing w:line="240" w:lineRule="exact"/>
        <w:rPr>
          <w:color w:val="000080"/>
        </w:rPr>
      </w:pPr>
      <w:r w:rsidRPr="005E015B">
        <w:rPr>
          <w:color w:val="000080"/>
        </w:rPr>
        <w:t>NAME:</w:t>
      </w:r>
      <w:r w:rsidRPr="005E015B">
        <w:rPr>
          <w:color w:val="000080"/>
        </w:rPr>
        <w:tab/>
      </w:r>
      <w:r w:rsidRPr="005E015B">
        <w:rPr>
          <w:color w:val="000080"/>
        </w:rPr>
        <w:tab/>
        <w:t>BRANCH OF SERVICE: ARMY</w:t>
      </w:r>
    </w:p>
    <w:p w:rsidR="00737A61" w:rsidRDefault="005E015B" w:rsidP="005E015B">
      <w:pPr>
        <w:tabs>
          <w:tab w:val="left" w:pos="288"/>
          <w:tab w:val="left" w:pos="4752"/>
        </w:tabs>
        <w:spacing w:line="240" w:lineRule="exact"/>
        <w:rPr>
          <w:color w:val="000080"/>
        </w:rPr>
      </w:pPr>
      <w:r w:rsidRPr="005E015B">
        <w:rPr>
          <w:color w:val="000080"/>
        </w:rPr>
        <w:t>CASE NUMBER:  PD0900276</w:t>
      </w:r>
      <w:r w:rsidRPr="005E015B">
        <w:rPr>
          <w:color w:val="000080"/>
        </w:rPr>
        <w:tab/>
      </w:r>
      <w:r w:rsidRPr="005E015B">
        <w:rPr>
          <w:color w:val="000080"/>
        </w:rPr>
        <w:tab/>
        <w:t>BOARD DATE: 2010</w:t>
      </w:r>
      <w:r>
        <w:rPr>
          <w:color w:val="000080"/>
        </w:rPr>
        <w:t>0325</w:t>
      </w:r>
    </w:p>
    <w:p w:rsidR="00CA4670" w:rsidRDefault="005E015B" w:rsidP="005E015B">
      <w:pPr>
        <w:tabs>
          <w:tab w:val="left" w:pos="288"/>
          <w:tab w:val="left" w:pos="4752"/>
        </w:tabs>
        <w:spacing w:line="240" w:lineRule="exact"/>
        <w:rPr>
          <w:rFonts w:ascii="Calibri" w:hAnsi="Calibri"/>
          <w:color w:val="000080"/>
        </w:rPr>
      </w:pPr>
      <w:r w:rsidRPr="005E015B">
        <w:rPr>
          <w:color w:val="000080"/>
        </w:rPr>
        <w:t>SEPARATION DATE: 20050202</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2C6E5B" w:rsidRPr="00C97502" w:rsidRDefault="002C6E5B" w:rsidP="00C97502">
      <w:pPr>
        <w:tabs>
          <w:tab w:val="left" w:pos="288"/>
          <w:tab w:val="left" w:pos="4752"/>
        </w:tabs>
        <w:spacing w:line="240" w:lineRule="exact"/>
        <w:jc w:val="both"/>
        <w:rPr>
          <w:color w:val="000080"/>
        </w:rPr>
      </w:pPr>
      <w:r w:rsidRPr="00C97502">
        <w:rPr>
          <w:color w:val="000080"/>
          <w:u w:val="single"/>
        </w:rPr>
        <w:t>SUMMARY OF CASE</w:t>
      </w:r>
      <w:r w:rsidRPr="00C97502">
        <w:rPr>
          <w:color w:val="000080"/>
        </w:rPr>
        <w:t xml:space="preserve">:  This covered individual (CI) was </w:t>
      </w:r>
      <w:r w:rsidR="009E13CA" w:rsidRPr="00C97502">
        <w:rPr>
          <w:color w:val="000080"/>
        </w:rPr>
        <w:t>an active duty enlisted soldier (</w:t>
      </w:r>
      <w:r w:rsidR="00737A61" w:rsidRPr="00737A61">
        <w:rPr>
          <w:color w:val="000080"/>
        </w:rPr>
        <w:t xml:space="preserve">Military Occupational Specialty </w:t>
      </w:r>
      <w:r w:rsidR="00737A61">
        <w:rPr>
          <w:color w:val="000080"/>
        </w:rPr>
        <w:t>(</w:t>
      </w:r>
      <w:r w:rsidR="009E13CA" w:rsidRPr="00C97502">
        <w:rPr>
          <w:color w:val="000080"/>
        </w:rPr>
        <w:t>MOS</w:t>
      </w:r>
      <w:r w:rsidR="00737A61">
        <w:rPr>
          <w:color w:val="000080"/>
        </w:rPr>
        <w:t>)</w:t>
      </w:r>
      <w:r w:rsidR="009E13CA" w:rsidRPr="00C97502">
        <w:rPr>
          <w:color w:val="000080"/>
        </w:rPr>
        <w:t xml:space="preserve"> 13B, Cannon Crewmember) </w:t>
      </w:r>
      <w:r w:rsidRPr="00C97502">
        <w:rPr>
          <w:color w:val="000080"/>
        </w:rPr>
        <w:t>medically separated from the Army in 200</w:t>
      </w:r>
      <w:r w:rsidR="009E13CA" w:rsidRPr="00C97502">
        <w:rPr>
          <w:color w:val="000080"/>
        </w:rPr>
        <w:t>5</w:t>
      </w:r>
      <w:r w:rsidRPr="00C97502">
        <w:rPr>
          <w:color w:val="000080"/>
        </w:rPr>
        <w:t xml:space="preserve"> after </w:t>
      </w:r>
      <w:r w:rsidR="009E13CA" w:rsidRPr="00C97502">
        <w:rPr>
          <w:color w:val="000080"/>
        </w:rPr>
        <w:t>3</w:t>
      </w:r>
      <w:r w:rsidRPr="00C97502">
        <w:rPr>
          <w:color w:val="000080"/>
        </w:rPr>
        <w:t xml:space="preserve"> years of service.  The medical basis for the separation was </w:t>
      </w:r>
      <w:r w:rsidR="009E13CA" w:rsidRPr="00C97502">
        <w:rPr>
          <w:color w:val="000080"/>
        </w:rPr>
        <w:t xml:space="preserve">post-traumatic stress disorder (PTSD).  </w:t>
      </w:r>
      <w:r w:rsidR="006D6607" w:rsidRPr="00C97502">
        <w:rPr>
          <w:color w:val="000080"/>
        </w:rPr>
        <w:t>He presented to Behavioral Health services</w:t>
      </w:r>
      <w:r w:rsidR="00650E82" w:rsidRPr="00C97502">
        <w:rPr>
          <w:color w:val="000080"/>
        </w:rPr>
        <w:t xml:space="preserve"> in 2004 after a 2003 combat deployment in Kuwait.  </w:t>
      </w:r>
      <w:r w:rsidR="00245DB2" w:rsidRPr="00C97502">
        <w:rPr>
          <w:color w:val="000080"/>
        </w:rPr>
        <w:t xml:space="preserve">Criterion A stressors were documented and an Axis I diagnosis of PTSD </w:t>
      </w:r>
      <w:r w:rsidR="006D6607" w:rsidRPr="00C97502">
        <w:rPr>
          <w:color w:val="000080"/>
        </w:rPr>
        <w:t xml:space="preserve">was confirmed by a psychiatrist.  </w:t>
      </w:r>
      <w:r w:rsidR="00245DB2" w:rsidRPr="00C97502">
        <w:rPr>
          <w:color w:val="000080"/>
        </w:rPr>
        <w:t>He was managed as an</w:t>
      </w:r>
      <w:r w:rsidR="00C97502">
        <w:rPr>
          <w:color w:val="000080"/>
        </w:rPr>
        <w:t xml:space="preserve"> outpatient with individual/</w:t>
      </w:r>
      <w:r w:rsidR="00245DB2" w:rsidRPr="00C97502">
        <w:rPr>
          <w:color w:val="000080"/>
        </w:rPr>
        <w:t xml:space="preserve">group psychotherapy and </w:t>
      </w:r>
      <w:r w:rsidR="00C97502">
        <w:rPr>
          <w:color w:val="000080"/>
        </w:rPr>
        <w:t>psychotherapeutic medications</w:t>
      </w:r>
      <w:r w:rsidR="00245DB2" w:rsidRPr="00C97502">
        <w:rPr>
          <w:color w:val="000080"/>
        </w:rPr>
        <w:t xml:space="preserve">.  He continued to suffer sleep loss and characteristic PTSD symptoms impairing military performance.  He was placed on a permanent P3 profile and underwent a </w:t>
      </w:r>
      <w:r w:rsidR="00F54637">
        <w:rPr>
          <w:color w:val="000080"/>
        </w:rPr>
        <w:t>M</w:t>
      </w:r>
      <w:r w:rsidR="00427792">
        <w:rPr>
          <w:color w:val="000080"/>
        </w:rPr>
        <w:t xml:space="preserve">edical </w:t>
      </w:r>
      <w:r w:rsidR="00F54637">
        <w:rPr>
          <w:color w:val="000080"/>
        </w:rPr>
        <w:t>E</w:t>
      </w:r>
      <w:r w:rsidR="00427792">
        <w:rPr>
          <w:color w:val="000080"/>
        </w:rPr>
        <w:t xml:space="preserve">valuation </w:t>
      </w:r>
      <w:r w:rsidR="00F54637">
        <w:rPr>
          <w:color w:val="000080"/>
        </w:rPr>
        <w:t>B</w:t>
      </w:r>
      <w:r w:rsidR="00427792">
        <w:rPr>
          <w:color w:val="000080"/>
        </w:rPr>
        <w:t>oard (</w:t>
      </w:r>
      <w:r w:rsidR="00245DB2" w:rsidRPr="00C97502">
        <w:rPr>
          <w:color w:val="000080"/>
        </w:rPr>
        <w:t>MEB</w:t>
      </w:r>
      <w:r w:rsidR="00427792">
        <w:rPr>
          <w:color w:val="000080"/>
        </w:rPr>
        <w:t>)</w:t>
      </w:r>
      <w:r w:rsidR="00245DB2" w:rsidRPr="00C97502">
        <w:rPr>
          <w:color w:val="000080"/>
        </w:rPr>
        <w:t xml:space="preserve">.  </w:t>
      </w:r>
      <w:r w:rsidR="006D6607" w:rsidRPr="00C97502">
        <w:rPr>
          <w:color w:val="000080"/>
        </w:rPr>
        <w:t xml:space="preserve">PTSD was forwarded to the </w:t>
      </w:r>
      <w:r w:rsidR="00427792">
        <w:rPr>
          <w:color w:val="000080"/>
        </w:rPr>
        <w:t>Physical Evaluation Board (</w:t>
      </w:r>
      <w:r w:rsidR="006D6607" w:rsidRPr="00C97502">
        <w:rPr>
          <w:color w:val="000080"/>
        </w:rPr>
        <w:t>PEB</w:t>
      </w:r>
      <w:r w:rsidR="00427792">
        <w:rPr>
          <w:color w:val="000080"/>
        </w:rPr>
        <w:t>)</w:t>
      </w:r>
      <w:r w:rsidR="006D6607" w:rsidRPr="00C97502">
        <w:rPr>
          <w:color w:val="000080"/>
        </w:rPr>
        <w:t xml:space="preserve"> as medically unacceptable IAW AR 40-501.  </w:t>
      </w:r>
      <w:r w:rsidR="00245DB2" w:rsidRPr="00C97502">
        <w:rPr>
          <w:color w:val="000080"/>
        </w:rPr>
        <w:t xml:space="preserve">No other significant medical conditions were identified by the MEB or forwarded on </w:t>
      </w:r>
      <w:r w:rsidR="006D6607" w:rsidRPr="00C97502">
        <w:rPr>
          <w:color w:val="000080"/>
        </w:rPr>
        <w:t xml:space="preserve">the DA </w:t>
      </w:r>
      <w:r w:rsidR="00427792">
        <w:rPr>
          <w:color w:val="000080"/>
        </w:rPr>
        <w:t xml:space="preserve">Form </w:t>
      </w:r>
      <w:r w:rsidR="006D6607" w:rsidRPr="00C97502">
        <w:rPr>
          <w:color w:val="000080"/>
        </w:rPr>
        <w:t>3947.  The CI was determined to be unfit for PTSD which was rated for mild social an</w:t>
      </w:r>
      <w:r w:rsidR="00B901C6" w:rsidRPr="00C97502">
        <w:rPr>
          <w:color w:val="000080"/>
        </w:rPr>
        <w:t>d industrial impairment, and he</w:t>
      </w:r>
      <w:r w:rsidR="006D6607" w:rsidRPr="00C97502">
        <w:rPr>
          <w:color w:val="000080"/>
        </w:rPr>
        <w:t xml:space="preserve"> was medically separated with a disability rating of 10%.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3E0B5A" w:rsidRPr="00C97502" w:rsidRDefault="002C6E5B" w:rsidP="00C97502">
      <w:pPr>
        <w:tabs>
          <w:tab w:val="left" w:pos="288"/>
          <w:tab w:val="left" w:pos="4752"/>
        </w:tabs>
        <w:spacing w:line="240" w:lineRule="exact"/>
        <w:jc w:val="both"/>
        <w:rPr>
          <w:color w:val="000080"/>
        </w:rPr>
      </w:pPr>
      <w:r w:rsidRPr="00C97502">
        <w:rPr>
          <w:color w:val="000080"/>
          <w:u w:val="single"/>
        </w:rPr>
        <w:t>CI CONTENTION</w:t>
      </w:r>
      <w:r w:rsidRPr="00C97502">
        <w:rPr>
          <w:color w:val="000080"/>
        </w:rPr>
        <w:t>:  The CI states:</w:t>
      </w:r>
      <w:r w:rsidR="00C932C5" w:rsidRPr="00C97502">
        <w:rPr>
          <w:color w:val="000080"/>
        </w:rPr>
        <w:t xml:space="preserve"> ‘</w:t>
      </w:r>
      <w:r w:rsidR="00E4251C" w:rsidRPr="00C97502">
        <w:rPr>
          <w:color w:val="000080"/>
        </w:rPr>
        <w:t>I was assigned less than 50% disability rating by the military for my unfitting PTSD upon discharge from active duty.  The PDBR should assign the highest final disability rating applicable consistent with 38 CFR 4.129 and DOD policy.</w:t>
      </w:r>
      <w:r w:rsidR="00C932C5" w:rsidRPr="00C97502">
        <w:rPr>
          <w:color w:val="000080"/>
        </w:rPr>
        <w:t>’</w:t>
      </w:r>
      <w:r w:rsidR="00896535" w:rsidRPr="00C97502">
        <w:rPr>
          <w:color w:val="000080"/>
        </w:rPr>
        <w:t xml:space="preserve">  He mentions no additionally contended conditions.</w:t>
      </w:r>
      <w:r w:rsidR="003E0B5A" w:rsidRPr="00C97502">
        <w:rPr>
          <w:color w:val="000080"/>
        </w:rPr>
        <w:t xml:space="preserve"> </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Default="002C6E5B" w:rsidP="00875F2D">
      <w:pPr>
        <w:tabs>
          <w:tab w:val="left" w:pos="288"/>
          <w:tab w:val="left" w:pos="4752"/>
        </w:tabs>
        <w:spacing w:line="240" w:lineRule="exact"/>
        <w:jc w:val="both"/>
        <w:rPr>
          <w:rFonts w:ascii="Calibri" w:hAnsi="Calibri"/>
          <w:color w:val="000080"/>
        </w:rPr>
      </w:pPr>
      <w:r w:rsidRPr="00AE3316">
        <w:rPr>
          <w:rFonts w:ascii="Calibri" w:hAnsi="Calibri"/>
          <w:color w:val="000080"/>
          <w:u w:val="single"/>
        </w:rPr>
        <w:t>RATING COMPARISON</w:t>
      </w:r>
      <w:r w:rsidRPr="00AE3316">
        <w:rPr>
          <w:rFonts w:ascii="Calibri" w:hAnsi="Calibri"/>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2520"/>
        <w:gridCol w:w="720"/>
        <w:gridCol w:w="810"/>
        <w:gridCol w:w="2340"/>
        <w:gridCol w:w="1080"/>
        <w:gridCol w:w="810"/>
        <w:gridCol w:w="990"/>
      </w:tblGrid>
      <w:tr w:rsidR="00684E2B" w:rsidTr="00604B57">
        <w:trPr>
          <w:trHeight w:val="233"/>
        </w:trPr>
        <w:tc>
          <w:tcPr>
            <w:tcW w:w="4050" w:type="dxa"/>
            <w:gridSpan w:val="3"/>
            <w:tcBorders>
              <w:right w:val="thinThickThinSmallGap" w:sz="24" w:space="0" w:color="auto"/>
            </w:tcBorders>
            <w:shd w:val="clear" w:color="auto" w:fill="C6D9F1" w:themeFill="text2" w:themeFillTint="33"/>
          </w:tcPr>
          <w:p w:rsidR="00684E2B" w:rsidRPr="00BC09D1" w:rsidRDefault="00684E2B" w:rsidP="00EB4D3B">
            <w:pPr>
              <w:pStyle w:val="ListParagraph"/>
              <w:spacing w:after="0" w:line="240" w:lineRule="auto"/>
              <w:ind w:left="0"/>
              <w:jc w:val="center"/>
              <w:rPr>
                <w:rFonts w:cs="Times New Roman"/>
                <w:b/>
                <w:sz w:val="20"/>
                <w:szCs w:val="20"/>
              </w:rPr>
            </w:pPr>
            <w:r w:rsidRPr="00BC09D1">
              <w:rPr>
                <w:rFonts w:cs="Times New Roman"/>
                <w:b/>
                <w:sz w:val="20"/>
                <w:szCs w:val="20"/>
              </w:rPr>
              <w:t>Service PEB</w:t>
            </w:r>
            <w:r w:rsidR="002B2645">
              <w:rPr>
                <w:rFonts w:cs="Times New Roman"/>
                <w:b/>
                <w:sz w:val="20"/>
                <w:szCs w:val="20"/>
              </w:rPr>
              <w:t xml:space="preserve"> – Dated </w:t>
            </w:r>
            <w:r w:rsidR="00EB4D3B">
              <w:rPr>
                <w:rFonts w:cs="Times New Roman"/>
                <w:b/>
                <w:sz w:val="20"/>
                <w:szCs w:val="20"/>
              </w:rPr>
              <w:t>20041129</w:t>
            </w:r>
          </w:p>
        </w:tc>
        <w:tc>
          <w:tcPr>
            <w:tcW w:w="5220" w:type="dxa"/>
            <w:gridSpan w:val="4"/>
            <w:tcBorders>
              <w:left w:val="thinThickThinSmallGap" w:sz="24" w:space="0" w:color="auto"/>
            </w:tcBorders>
            <w:shd w:val="clear" w:color="auto" w:fill="C6D9F1" w:themeFill="text2" w:themeFillTint="33"/>
          </w:tcPr>
          <w:p w:rsidR="00684E2B" w:rsidRPr="00BC09D1" w:rsidRDefault="00684E2B" w:rsidP="00EB4D3B">
            <w:pPr>
              <w:pStyle w:val="ListParagraph"/>
              <w:spacing w:after="0" w:line="240" w:lineRule="auto"/>
              <w:ind w:left="0"/>
              <w:jc w:val="center"/>
              <w:rPr>
                <w:rFonts w:cs="Times New Roman"/>
                <w:b/>
                <w:sz w:val="20"/>
                <w:szCs w:val="20"/>
              </w:rPr>
            </w:pPr>
            <w:r w:rsidRPr="00BC09D1">
              <w:rPr>
                <w:rFonts w:cs="Times New Roman"/>
                <w:b/>
                <w:sz w:val="20"/>
                <w:szCs w:val="20"/>
              </w:rPr>
              <w:t>VA (</w:t>
            </w:r>
            <w:r w:rsidR="00EB4D3B">
              <w:rPr>
                <w:rFonts w:cs="Times New Roman"/>
                <w:b/>
                <w:sz w:val="20"/>
                <w:szCs w:val="20"/>
              </w:rPr>
              <w:t>3</w:t>
            </w:r>
            <w:r w:rsidRPr="00BC09D1">
              <w:rPr>
                <w:rFonts w:cs="Times New Roman"/>
                <w:b/>
                <w:sz w:val="20"/>
                <w:szCs w:val="20"/>
              </w:rPr>
              <w:t xml:space="preserve"> Mo. after Separation)</w:t>
            </w:r>
            <w:r w:rsidR="000C3C13">
              <w:rPr>
                <w:rFonts w:cs="Times New Roman"/>
                <w:b/>
                <w:sz w:val="20"/>
                <w:szCs w:val="20"/>
              </w:rPr>
              <w:t xml:space="preserve"> – All Effective </w:t>
            </w:r>
            <w:r w:rsidR="00EB4D3B">
              <w:rPr>
                <w:rFonts w:cs="Times New Roman"/>
                <w:b/>
                <w:sz w:val="20"/>
                <w:szCs w:val="20"/>
              </w:rPr>
              <w:t>20050203</w:t>
            </w:r>
          </w:p>
        </w:tc>
      </w:tr>
      <w:tr w:rsidR="002B2645" w:rsidTr="00604B57">
        <w:trPr>
          <w:trHeight w:val="233"/>
        </w:trPr>
        <w:tc>
          <w:tcPr>
            <w:tcW w:w="2520" w:type="dxa"/>
            <w:tcBorders>
              <w:bottom w:val="single" w:sz="4" w:space="0" w:color="000000" w:themeColor="text1"/>
            </w:tcBorders>
            <w:shd w:val="clear" w:color="auto" w:fill="C6D9F1" w:themeFill="text2" w:themeFillTint="33"/>
          </w:tcPr>
          <w:p w:rsidR="002B2645" w:rsidRPr="00BC09D1" w:rsidRDefault="002B2645"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2B2645" w:rsidRPr="00BC09D1" w:rsidRDefault="002B2645"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BC09D1" w:rsidRDefault="002B2645"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2340" w:type="dxa"/>
            <w:tcBorders>
              <w:left w:val="thinThickThinSmallGap" w:sz="24" w:space="0" w:color="auto"/>
              <w:bottom w:val="single" w:sz="4" w:space="0" w:color="000000" w:themeColor="text1"/>
            </w:tcBorders>
            <w:shd w:val="clear" w:color="auto" w:fill="C6D9F1" w:themeFill="text2" w:themeFillTint="33"/>
          </w:tcPr>
          <w:p w:rsidR="002B2645" w:rsidRPr="00BC09D1" w:rsidRDefault="002B2645"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1080" w:type="dxa"/>
            <w:tcBorders>
              <w:bottom w:val="single" w:sz="4" w:space="0" w:color="000000" w:themeColor="text1"/>
            </w:tcBorders>
            <w:shd w:val="clear" w:color="auto" w:fill="C6D9F1" w:themeFill="text2" w:themeFillTint="33"/>
          </w:tcPr>
          <w:p w:rsidR="002B2645" w:rsidRPr="00BC09D1" w:rsidRDefault="002B2645"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2B2645" w:rsidRPr="00BC09D1" w:rsidRDefault="002B2645"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tcBorders>
            <w:shd w:val="clear" w:color="auto" w:fill="C6D9F1" w:themeFill="text2" w:themeFillTint="33"/>
          </w:tcPr>
          <w:p w:rsidR="002B2645" w:rsidRPr="00BC09D1" w:rsidRDefault="002B2645" w:rsidP="00F37554">
            <w:pPr>
              <w:pStyle w:val="ListParagraph"/>
              <w:spacing w:after="0" w:line="240" w:lineRule="auto"/>
              <w:ind w:left="0"/>
              <w:jc w:val="center"/>
              <w:rPr>
                <w:rFonts w:cs="Times New Roman"/>
                <w:b/>
                <w:sz w:val="20"/>
                <w:szCs w:val="20"/>
              </w:rPr>
            </w:pPr>
            <w:r w:rsidRPr="00BC09D1">
              <w:rPr>
                <w:rFonts w:cs="Times New Roman"/>
                <w:b/>
                <w:sz w:val="20"/>
                <w:szCs w:val="20"/>
              </w:rPr>
              <w:t>Exam</w:t>
            </w:r>
          </w:p>
        </w:tc>
      </w:tr>
      <w:tr w:rsidR="00EB4D3B" w:rsidTr="00604B57">
        <w:trPr>
          <w:trHeight w:val="152"/>
        </w:trPr>
        <w:tc>
          <w:tcPr>
            <w:tcW w:w="2520" w:type="dxa"/>
            <w:shd w:val="clear" w:color="auto" w:fill="FFFFFF" w:themeFill="background1"/>
          </w:tcPr>
          <w:p w:rsidR="00EB4D3B" w:rsidRPr="00411B2F" w:rsidRDefault="00EB4D3B" w:rsidP="00EB4D3B">
            <w:pPr>
              <w:pStyle w:val="ListParagraph"/>
              <w:spacing w:after="0" w:line="240" w:lineRule="auto"/>
              <w:ind w:left="0"/>
              <w:rPr>
                <w:sz w:val="18"/>
                <w:szCs w:val="18"/>
              </w:rPr>
            </w:pPr>
            <w:r>
              <w:rPr>
                <w:sz w:val="18"/>
                <w:szCs w:val="18"/>
              </w:rPr>
              <w:t>PTSD</w:t>
            </w:r>
          </w:p>
        </w:tc>
        <w:tc>
          <w:tcPr>
            <w:tcW w:w="720" w:type="dxa"/>
            <w:shd w:val="clear" w:color="auto" w:fill="FFFFFF" w:themeFill="background1"/>
          </w:tcPr>
          <w:p w:rsidR="00EB4D3B" w:rsidRPr="00411B2F" w:rsidRDefault="00EB4D3B" w:rsidP="000B29B5">
            <w:pPr>
              <w:pStyle w:val="ListParagraph"/>
              <w:spacing w:after="0" w:line="240" w:lineRule="exact"/>
              <w:ind w:left="0"/>
              <w:jc w:val="center"/>
              <w:rPr>
                <w:rFonts w:cs="Times New Roman"/>
                <w:sz w:val="18"/>
                <w:szCs w:val="18"/>
              </w:rPr>
            </w:pPr>
            <w:r w:rsidRPr="00411B2F">
              <w:rPr>
                <w:rFonts w:cs="Times New Roman"/>
                <w:sz w:val="18"/>
                <w:szCs w:val="18"/>
              </w:rPr>
              <w:t>9411</w:t>
            </w:r>
          </w:p>
        </w:tc>
        <w:tc>
          <w:tcPr>
            <w:tcW w:w="810" w:type="dxa"/>
            <w:tcBorders>
              <w:right w:val="thinThickThinSmallGap" w:sz="24" w:space="0" w:color="auto"/>
            </w:tcBorders>
            <w:shd w:val="clear" w:color="auto" w:fill="FFFFFF" w:themeFill="background1"/>
          </w:tcPr>
          <w:p w:rsidR="00EB4D3B" w:rsidRPr="00411B2F" w:rsidRDefault="00EB4D3B" w:rsidP="000B29B5">
            <w:pPr>
              <w:pStyle w:val="ListParagraph"/>
              <w:spacing w:after="0" w:line="240" w:lineRule="exact"/>
              <w:ind w:left="0"/>
              <w:jc w:val="center"/>
              <w:rPr>
                <w:rFonts w:cs="Times New Roman"/>
                <w:sz w:val="18"/>
                <w:szCs w:val="18"/>
              </w:rPr>
            </w:pPr>
            <w:r w:rsidRPr="00411B2F">
              <w:rPr>
                <w:rFonts w:cs="Times New Roman"/>
                <w:sz w:val="18"/>
                <w:szCs w:val="18"/>
              </w:rPr>
              <w:t>10%</w:t>
            </w:r>
          </w:p>
        </w:tc>
        <w:tc>
          <w:tcPr>
            <w:tcW w:w="2340" w:type="dxa"/>
            <w:tcBorders>
              <w:left w:val="thinThickThinSmallGap" w:sz="24" w:space="0" w:color="auto"/>
            </w:tcBorders>
            <w:shd w:val="clear" w:color="auto" w:fill="FFFFFF" w:themeFill="background1"/>
          </w:tcPr>
          <w:p w:rsidR="00EB4D3B" w:rsidRPr="00411B2F" w:rsidRDefault="00EB4D3B" w:rsidP="000B29B5">
            <w:pPr>
              <w:pStyle w:val="ListParagraph"/>
              <w:spacing w:after="0" w:line="240" w:lineRule="exact"/>
              <w:ind w:left="0"/>
              <w:rPr>
                <w:rFonts w:cs="Times New Roman"/>
                <w:sz w:val="20"/>
                <w:szCs w:val="20"/>
              </w:rPr>
            </w:pPr>
            <w:r>
              <w:rPr>
                <w:rFonts w:cs="Times New Roman"/>
                <w:sz w:val="20"/>
                <w:szCs w:val="20"/>
              </w:rPr>
              <w:t>PTSD</w:t>
            </w:r>
          </w:p>
        </w:tc>
        <w:tc>
          <w:tcPr>
            <w:tcW w:w="1080" w:type="dxa"/>
            <w:shd w:val="clear" w:color="auto" w:fill="FFFFFF" w:themeFill="background1"/>
          </w:tcPr>
          <w:p w:rsidR="00EB4D3B" w:rsidRPr="00774369" w:rsidRDefault="00EB4D3B" w:rsidP="000B29B5">
            <w:pPr>
              <w:spacing w:line="240" w:lineRule="exact"/>
              <w:jc w:val="center"/>
              <w:rPr>
                <w:rFonts w:eastAsiaTheme="minorEastAsia"/>
                <w:color w:val="auto"/>
                <w:sz w:val="18"/>
                <w:szCs w:val="18"/>
              </w:rPr>
            </w:pPr>
            <w:r w:rsidRPr="00774369">
              <w:rPr>
                <w:rFonts w:eastAsiaTheme="minorEastAsia"/>
                <w:color w:val="auto"/>
                <w:sz w:val="18"/>
                <w:szCs w:val="18"/>
              </w:rPr>
              <w:t>9411</w:t>
            </w:r>
          </w:p>
        </w:tc>
        <w:tc>
          <w:tcPr>
            <w:tcW w:w="810" w:type="dxa"/>
            <w:shd w:val="clear" w:color="auto" w:fill="FFFFFF" w:themeFill="background1"/>
          </w:tcPr>
          <w:p w:rsidR="00EB4D3B" w:rsidRPr="00774369" w:rsidRDefault="00EB4D3B" w:rsidP="000B29B5">
            <w:pPr>
              <w:spacing w:line="240" w:lineRule="exact"/>
              <w:jc w:val="center"/>
              <w:rPr>
                <w:rFonts w:eastAsiaTheme="minorEastAsia"/>
                <w:color w:val="auto"/>
                <w:sz w:val="18"/>
                <w:szCs w:val="18"/>
              </w:rPr>
            </w:pPr>
            <w:r>
              <w:rPr>
                <w:rFonts w:eastAsiaTheme="minorEastAsia"/>
                <w:color w:val="auto"/>
                <w:sz w:val="18"/>
                <w:szCs w:val="18"/>
              </w:rPr>
              <w:t>70</w:t>
            </w:r>
            <w:r w:rsidRPr="00774369">
              <w:rPr>
                <w:rFonts w:eastAsiaTheme="minorEastAsia"/>
                <w:color w:val="auto"/>
                <w:sz w:val="18"/>
                <w:szCs w:val="18"/>
              </w:rPr>
              <w:t>%</w:t>
            </w:r>
          </w:p>
        </w:tc>
        <w:tc>
          <w:tcPr>
            <w:tcW w:w="990" w:type="dxa"/>
            <w:shd w:val="clear" w:color="auto" w:fill="FFFFFF" w:themeFill="background1"/>
          </w:tcPr>
          <w:p w:rsidR="00EB4D3B" w:rsidRPr="00750339" w:rsidRDefault="00EB4D3B" w:rsidP="000B29B5">
            <w:pPr>
              <w:spacing w:line="240" w:lineRule="exact"/>
              <w:jc w:val="center"/>
              <w:rPr>
                <w:rFonts w:eastAsiaTheme="minorEastAsia"/>
                <w:color w:val="auto"/>
                <w:sz w:val="18"/>
                <w:szCs w:val="18"/>
              </w:rPr>
            </w:pPr>
            <w:r w:rsidRPr="00750339">
              <w:rPr>
                <w:color w:val="auto"/>
                <w:sz w:val="18"/>
                <w:szCs w:val="18"/>
              </w:rPr>
              <w:t>20050516</w:t>
            </w:r>
          </w:p>
        </w:tc>
      </w:tr>
      <w:tr w:rsidR="00EB4D3B" w:rsidTr="00604B57">
        <w:trPr>
          <w:trHeight w:val="143"/>
        </w:trPr>
        <w:tc>
          <w:tcPr>
            <w:tcW w:w="4050" w:type="dxa"/>
            <w:gridSpan w:val="3"/>
            <w:vMerge w:val="restart"/>
            <w:tcBorders>
              <w:right w:val="thinThickThinSmallGap" w:sz="24" w:space="0" w:color="auto"/>
            </w:tcBorders>
            <w:shd w:val="clear" w:color="auto" w:fill="FFFFFF" w:themeFill="background1"/>
          </w:tcPr>
          <w:p w:rsidR="00EB4D3B" w:rsidRPr="00BC09D1" w:rsidRDefault="00EB4D3B" w:rsidP="00F37554">
            <w:pPr>
              <w:pStyle w:val="ListParagraph"/>
              <w:spacing w:after="0" w:line="240" w:lineRule="auto"/>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w:t>
            </w:r>
            <w:r w:rsidR="00427792">
              <w:rPr>
                <w:rFonts w:eastAsiaTheme="minorEastAsia"/>
                <w:sz w:val="18"/>
                <w:szCs w:val="18"/>
              </w:rPr>
              <w:t xml:space="preserve">FORM </w:t>
            </w:r>
            <w:r w:rsidRPr="00BC09D1">
              <w:rPr>
                <w:rFonts w:eastAsiaTheme="minorEastAsia"/>
                <w:sz w:val="18"/>
                <w:szCs w:val="18"/>
              </w:rPr>
              <w:t>3947 Entr</w:t>
            </w:r>
            <w:r>
              <w:rPr>
                <w:rFonts w:eastAsiaTheme="minorEastAsia"/>
                <w:sz w:val="18"/>
                <w:szCs w:val="18"/>
              </w:rPr>
              <w:t>ies.↓</w:t>
            </w:r>
          </w:p>
        </w:tc>
        <w:tc>
          <w:tcPr>
            <w:tcW w:w="2340" w:type="dxa"/>
            <w:tcBorders>
              <w:left w:val="thinThickThinSmallGap" w:sz="24" w:space="0" w:color="auto"/>
            </w:tcBorders>
            <w:shd w:val="clear" w:color="auto" w:fill="FFFFFF" w:themeFill="background1"/>
          </w:tcPr>
          <w:p w:rsidR="00EB4D3B" w:rsidRPr="00B865F6" w:rsidRDefault="00EB4D3B" w:rsidP="000B29B5">
            <w:pPr>
              <w:rPr>
                <w:rFonts w:eastAsiaTheme="minorEastAsia"/>
                <w:color w:val="auto"/>
                <w:sz w:val="18"/>
                <w:szCs w:val="18"/>
                <w:highlight w:val="yellow"/>
              </w:rPr>
            </w:pPr>
            <w:r w:rsidRPr="00DB6FCD">
              <w:rPr>
                <w:rFonts w:eastAsiaTheme="minorEastAsia"/>
                <w:color w:val="auto"/>
                <w:sz w:val="18"/>
                <w:szCs w:val="18"/>
              </w:rPr>
              <w:t>Chronic Right Ankle Strain</w:t>
            </w:r>
          </w:p>
        </w:tc>
        <w:tc>
          <w:tcPr>
            <w:tcW w:w="1080" w:type="dxa"/>
            <w:shd w:val="clear" w:color="auto" w:fill="FFFFFF" w:themeFill="background1"/>
          </w:tcPr>
          <w:p w:rsidR="00EB4D3B" w:rsidRPr="00052C4E" w:rsidRDefault="00EB4D3B" w:rsidP="000B29B5">
            <w:pPr>
              <w:jc w:val="center"/>
              <w:rPr>
                <w:rFonts w:eastAsiaTheme="minorEastAsia"/>
                <w:color w:val="auto"/>
                <w:sz w:val="18"/>
                <w:szCs w:val="18"/>
              </w:rPr>
            </w:pPr>
            <w:r>
              <w:rPr>
                <w:rFonts w:eastAsiaTheme="minorEastAsia"/>
                <w:color w:val="auto"/>
                <w:sz w:val="18"/>
                <w:szCs w:val="18"/>
              </w:rPr>
              <w:t>5271</w:t>
            </w:r>
          </w:p>
        </w:tc>
        <w:tc>
          <w:tcPr>
            <w:tcW w:w="810" w:type="dxa"/>
            <w:shd w:val="clear" w:color="auto" w:fill="FFFFFF" w:themeFill="background1"/>
          </w:tcPr>
          <w:p w:rsidR="00EB4D3B" w:rsidRPr="00052C4E" w:rsidRDefault="00EB4D3B" w:rsidP="000B29B5">
            <w:pPr>
              <w:jc w:val="center"/>
              <w:rPr>
                <w:rFonts w:eastAsiaTheme="minorEastAsia"/>
                <w:color w:val="auto"/>
                <w:sz w:val="18"/>
                <w:szCs w:val="18"/>
              </w:rPr>
            </w:pPr>
            <w:r>
              <w:rPr>
                <w:rFonts w:eastAsiaTheme="minorEastAsia"/>
                <w:color w:val="auto"/>
                <w:sz w:val="18"/>
                <w:szCs w:val="18"/>
              </w:rPr>
              <w:t>10</w:t>
            </w:r>
            <w:r w:rsidRPr="00DB6FCD">
              <w:rPr>
                <w:rFonts w:eastAsiaTheme="minorEastAsia"/>
                <w:color w:val="auto"/>
                <w:sz w:val="18"/>
                <w:szCs w:val="18"/>
              </w:rPr>
              <w:t>%</w:t>
            </w:r>
          </w:p>
        </w:tc>
        <w:tc>
          <w:tcPr>
            <w:tcW w:w="990" w:type="dxa"/>
            <w:shd w:val="clear" w:color="auto" w:fill="FFFFFF" w:themeFill="background1"/>
          </w:tcPr>
          <w:p w:rsidR="00EB4D3B" w:rsidRPr="00BC09D1" w:rsidRDefault="00EB4D3B" w:rsidP="00F37554">
            <w:pPr>
              <w:pStyle w:val="ListParagraph"/>
              <w:spacing w:after="0" w:line="240" w:lineRule="auto"/>
              <w:ind w:left="0"/>
              <w:jc w:val="center"/>
              <w:rPr>
                <w:rFonts w:cs="Times New Roman"/>
                <w:sz w:val="18"/>
                <w:szCs w:val="18"/>
              </w:rPr>
            </w:pPr>
            <w:r w:rsidRPr="00750339">
              <w:rPr>
                <w:sz w:val="18"/>
                <w:szCs w:val="18"/>
              </w:rPr>
              <w:t>200505</w:t>
            </w:r>
            <w:r>
              <w:rPr>
                <w:sz w:val="18"/>
                <w:szCs w:val="18"/>
              </w:rPr>
              <w:t>23</w:t>
            </w:r>
          </w:p>
        </w:tc>
      </w:tr>
      <w:tr w:rsidR="00EB4D3B" w:rsidTr="00604B57">
        <w:trPr>
          <w:trHeight w:val="143"/>
        </w:trPr>
        <w:tc>
          <w:tcPr>
            <w:tcW w:w="4050" w:type="dxa"/>
            <w:gridSpan w:val="3"/>
            <w:vMerge/>
            <w:tcBorders>
              <w:right w:val="thinThickThinSmallGap" w:sz="24" w:space="0" w:color="auto"/>
            </w:tcBorders>
            <w:shd w:val="clear" w:color="auto" w:fill="FFFFFF" w:themeFill="background1"/>
          </w:tcPr>
          <w:p w:rsidR="00EB4D3B" w:rsidRDefault="00EB4D3B" w:rsidP="00F37554">
            <w:pPr>
              <w:pStyle w:val="ListParagraph"/>
              <w:spacing w:after="0" w:line="240" w:lineRule="auto"/>
              <w:ind w:left="0"/>
              <w:jc w:val="center"/>
              <w:rPr>
                <w:rFonts w:eastAsiaTheme="minorEastAsia"/>
                <w:sz w:val="18"/>
                <w:szCs w:val="18"/>
              </w:rPr>
            </w:pPr>
          </w:p>
        </w:tc>
        <w:tc>
          <w:tcPr>
            <w:tcW w:w="2340" w:type="dxa"/>
            <w:tcBorders>
              <w:left w:val="thinThickThinSmallGap" w:sz="24" w:space="0" w:color="auto"/>
            </w:tcBorders>
            <w:shd w:val="clear" w:color="auto" w:fill="FFFFFF" w:themeFill="background1"/>
          </w:tcPr>
          <w:p w:rsidR="00EB4D3B" w:rsidRPr="00DB6FCD" w:rsidRDefault="00EB4D3B" w:rsidP="000B29B5">
            <w:pPr>
              <w:rPr>
                <w:rFonts w:eastAsiaTheme="minorEastAsia"/>
                <w:color w:val="auto"/>
                <w:sz w:val="18"/>
                <w:szCs w:val="18"/>
              </w:rPr>
            </w:pPr>
            <w:r w:rsidRPr="00DB6FCD">
              <w:rPr>
                <w:rFonts w:eastAsiaTheme="minorEastAsia"/>
                <w:color w:val="auto"/>
                <w:sz w:val="18"/>
                <w:szCs w:val="18"/>
              </w:rPr>
              <w:t>Hypertension</w:t>
            </w:r>
          </w:p>
        </w:tc>
        <w:tc>
          <w:tcPr>
            <w:tcW w:w="1080" w:type="dxa"/>
            <w:shd w:val="clear" w:color="auto" w:fill="FFFFFF" w:themeFill="background1"/>
          </w:tcPr>
          <w:p w:rsidR="00EB4D3B" w:rsidRPr="00DB6FCD" w:rsidRDefault="00EB4D3B" w:rsidP="000B29B5">
            <w:pPr>
              <w:jc w:val="center"/>
              <w:rPr>
                <w:rFonts w:eastAsiaTheme="minorEastAsia"/>
                <w:color w:val="auto"/>
                <w:sz w:val="18"/>
                <w:szCs w:val="18"/>
              </w:rPr>
            </w:pPr>
            <w:r w:rsidRPr="00DB6FCD">
              <w:rPr>
                <w:rFonts w:eastAsiaTheme="minorEastAsia"/>
                <w:color w:val="auto"/>
                <w:sz w:val="18"/>
                <w:szCs w:val="18"/>
              </w:rPr>
              <w:t>7101</w:t>
            </w:r>
          </w:p>
        </w:tc>
        <w:tc>
          <w:tcPr>
            <w:tcW w:w="810" w:type="dxa"/>
            <w:shd w:val="clear" w:color="auto" w:fill="FFFFFF" w:themeFill="background1"/>
          </w:tcPr>
          <w:p w:rsidR="00EB4D3B" w:rsidRPr="00DB6FCD" w:rsidRDefault="00EB4D3B" w:rsidP="000B29B5">
            <w:pPr>
              <w:jc w:val="center"/>
              <w:rPr>
                <w:rFonts w:eastAsiaTheme="minorEastAsia"/>
                <w:color w:val="auto"/>
                <w:sz w:val="18"/>
                <w:szCs w:val="18"/>
              </w:rPr>
            </w:pPr>
            <w:r w:rsidRPr="00DB6FCD">
              <w:rPr>
                <w:rFonts w:eastAsiaTheme="minorEastAsia"/>
                <w:color w:val="auto"/>
                <w:sz w:val="18"/>
                <w:szCs w:val="18"/>
              </w:rPr>
              <w:t>10%</w:t>
            </w:r>
          </w:p>
        </w:tc>
        <w:tc>
          <w:tcPr>
            <w:tcW w:w="990" w:type="dxa"/>
            <w:shd w:val="clear" w:color="auto" w:fill="FFFFFF" w:themeFill="background1"/>
          </w:tcPr>
          <w:p w:rsidR="00EB4D3B" w:rsidRPr="00BC09D1" w:rsidRDefault="00EB4D3B" w:rsidP="00F37554">
            <w:pPr>
              <w:pStyle w:val="ListParagraph"/>
              <w:spacing w:after="0" w:line="240" w:lineRule="auto"/>
              <w:ind w:left="0"/>
              <w:jc w:val="center"/>
              <w:rPr>
                <w:rFonts w:cs="Times New Roman"/>
                <w:sz w:val="18"/>
                <w:szCs w:val="18"/>
              </w:rPr>
            </w:pPr>
            <w:r w:rsidRPr="00750339">
              <w:rPr>
                <w:sz w:val="18"/>
                <w:szCs w:val="18"/>
              </w:rPr>
              <w:t>200505</w:t>
            </w:r>
            <w:r>
              <w:rPr>
                <w:sz w:val="18"/>
                <w:szCs w:val="18"/>
              </w:rPr>
              <w:t>23</w:t>
            </w:r>
          </w:p>
        </w:tc>
      </w:tr>
      <w:tr w:rsidR="00EB4D3B" w:rsidTr="00604B57">
        <w:trPr>
          <w:trHeight w:val="143"/>
        </w:trPr>
        <w:tc>
          <w:tcPr>
            <w:tcW w:w="4050" w:type="dxa"/>
            <w:gridSpan w:val="3"/>
            <w:vMerge/>
            <w:tcBorders>
              <w:right w:val="thinThickThinSmallGap" w:sz="24" w:space="0" w:color="auto"/>
            </w:tcBorders>
            <w:shd w:val="clear" w:color="auto" w:fill="FFFFFF" w:themeFill="background1"/>
          </w:tcPr>
          <w:p w:rsidR="00EB4D3B" w:rsidRDefault="00EB4D3B" w:rsidP="00F37554">
            <w:pPr>
              <w:pStyle w:val="ListParagraph"/>
              <w:spacing w:after="0" w:line="240" w:lineRule="auto"/>
              <w:ind w:left="0"/>
              <w:jc w:val="center"/>
              <w:rPr>
                <w:rFonts w:eastAsiaTheme="minorEastAsia"/>
                <w:sz w:val="18"/>
                <w:szCs w:val="18"/>
              </w:rPr>
            </w:pPr>
          </w:p>
        </w:tc>
        <w:tc>
          <w:tcPr>
            <w:tcW w:w="2340" w:type="dxa"/>
            <w:tcBorders>
              <w:left w:val="thinThickThinSmallGap" w:sz="24" w:space="0" w:color="auto"/>
            </w:tcBorders>
            <w:shd w:val="clear" w:color="auto" w:fill="FFFFFF" w:themeFill="background1"/>
          </w:tcPr>
          <w:p w:rsidR="00EB4D3B" w:rsidRPr="00DB6FCD" w:rsidRDefault="00EB4D3B" w:rsidP="000B29B5">
            <w:pPr>
              <w:rPr>
                <w:rFonts w:eastAsiaTheme="minorEastAsia"/>
                <w:color w:val="auto"/>
                <w:sz w:val="18"/>
                <w:szCs w:val="18"/>
              </w:rPr>
            </w:pPr>
            <w:r w:rsidRPr="00DB6FCD">
              <w:rPr>
                <w:rFonts w:eastAsiaTheme="minorEastAsia"/>
                <w:color w:val="auto"/>
                <w:sz w:val="18"/>
                <w:szCs w:val="18"/>
              </w:rPr>
              <w:t xml:space="preserve">Right Shoulder Strain </w:t>
            </w:r>
          </w:p>
        </w:tc>
        <w:tc>
          <w:tcPr>
            <w:tcW w:w="1080" w:type="dxa"/>
            <w:shd w:val="clear" w:color="auto" w:fill="FFFFFF" w:themeFill="background1"/>
          </w:tcPr>
          <w:p w:rsidR="00EB4D3B" w:rsidRPr="00DB6FCD" w:rsidRDefault="00EB4D3B" w:rsidP="000B29B5">
            <w:pPr>
              <w:jc w:val="center"/>
              <w:rPr>
                <w:rFonts w:eastAsiaTheme="minorEastAsia"/>
                <w:color w:val="auto"/>
                <w:sz w:val="18"/>
                <w:szCs w:val="18"/>
              </w:rPr>
            </w:pPr>
            <w:r w:rsidRPr="00DB6FCD">
              <w:rPr>
                <w:rFonts w:eastAsiaTheme="minorEastAsia"/>
                <w:color w:val="auto"/>
                <w:sz w:val="18"/>
                <w:szCs w:val="18"/>
              </w:rPr>
              <w:t>5299-5201</w:t>
            </w:r>
          </w:p>
        </w:tc>
        <w:tc>
          <w:tcPr>
            <w:tcW w:w="810" w:type="dxa"/>
            <w:shd w:val="clear" w:color="auto" w:fill="FFFFFF" w:themeFill="background1"/>
          </w:tcPr>
          <w:p w:rsidR="00EB4D3B" w:rsidRPr="00DB6FCD" w:rsidRDefault="00EB4D3B" w:rsidP="000B29B5">
            <w:pPr>
              <w:jc w:val="center"/>
              <w:rPr>
                <w:rFonts w:eastAsiaTheme="minorEastAsia"/>
                <w:color w:val="auto"/>
                <w:sz w:val="18"/>
                <w:szCs w:val="18"/>
              </w:rPr>
            </w:pPr>
            <w:r w:rsidRPr="00DB6FCD">
              <w:rPr>
                <w:rFonts w:eastAsiaTheme="minorEastAsia"/>
                <w:color w:val="auto"/>
                <w:sz w:val="18"/>
                <w:szCs w:val="18"/>
              </w:rPr>
              <w:t>10%</w:t>
            </w:r>
          </w:p>
        </w:tc>
        <w:tc>
          <w:tcPr>
            <w:tcW w:w="990" w:type="dxa"/>
            <w:shd w:val="clear" w:color="auto" w:fill="FFFFFF" w:themeFill="background1"/>
          </w:tcPr>
          <w:p w:rsidR="00EB4D3B" w:rsidRPr="00BC09D1" w:rsidRDefault="00EB4D3B" w:rsidP="00F37554">
            <w:pPr>
              <w:pStyle w:val="ListParagraph"/>
              <w:spacing w:after="0" w:line="240" w:lineRule="auto"/>
              <w:ind w:left="0"/>
              <w:jc w:val="center"/>
              <w:rPr>
                <w:rFonts w:cs="Times New Roman"/>
                <w:sz w:val="18"/>
                <w:szCs w:val="18"/>
              </w:rPr>
            </w:pPr>
            <w:r w:rsidRPr="00750339">
              <w:rPr>
                <w:sz w:val="18"/>
                <w:szCs w:val="18"/>
              </w:rPr>
              <w:t>200505</w:t>
            </w:r>
            <w:r>
              <w:rPr>
                <w:sz w:val="18"/>
                <w:szCs w:val="18"/>
              </w:rPr>
              <w:t>23</w:t>
            </w:r>
          </w:p>
        </w:tc>
      </w:tr>
      <w:tr w:rsidR="00EB4D3B" w:rsidTr="00604B57">
        <w:trPr>
          <w:trHeight w:val="197"/>
        </w:trPr>
        <w:tc>
          <w:tcPr>
            <w:tcW w:w="4050" w:type="dxa"/>
            <w:gridSpan w:val="3"/>
            <w:vMerge/>
            <w:tcBorders>
              <w:right w:val="thinThickThinSmallGap" w:sz="24" w:space="0" w:color="auto"/>
            </w:tcBorders>
            <w:shd w:val="clear" w:color="auto" w:fill="FFFFFF" w:themeFill="background1"/>
          </w:tcPr>
          <w:p w:rsidR="00EB4D3B" w:rsidRPr="00BC09D1" w:rsidRDefault="00EB4D3B" w:rsidP="00F37554">
            <w:pPr>
              <w:pStyle w:val="ListParagraph"/>
              <w:spacing w:after="0" w:line="240" w:lineRule="auto"/>
              <w:ind w:left="0"/>
              <w:jc w:val="center"/>
              <w:rPr>
                <w:rFonts w:cs="Times New Roman"/>
                <w:b/>
                <w:sz w:val="18"/>
                <w:szCs w:val="18"/>
              </w:rPr>
            </w:pPr>
          </w:p>
        </w:tc>
        <w:tc>
          <w:tcPr>
            <w:tcW w:w="4230" w:type="dxa"/>
            <w:gridSpan w:val="3"/>
            <w:tcBorders>
              <w:left w:val="thinThickThinSmallGap" w:sz="24" w:space="0" w:color="auto"/>
            </w:tcBorders>
            <w:shd w:val="clear" w:color="auto" w:fill="FFFFFF" w:themeFill="background1"/>
          </w:tcPr>
          <w:p w:rsidR="00EB4D3B" w:rsidRPr="00BC09D1" w:rsidRDefault="00EB4D3B" w:rsidP="00690FDA">
            <w:pPr>
              <w:pStyle w:val="ListParagraph"/>
              <w:spacing w:after="0" w:line="240" w:lineRule="auto"/>
              <w:ind w:left="0"/>
              <w:jc w:val="center"/>
              <w:rPr>
                <w:rFonts w:cs="Times New Roman"/>
                <w:sz w:val="18"/>
                <w:szCs w:val="18"/>
              </w:rPr>
            </w:pPr>
            <w:r>
              <w:rPr>
                <w:rFonts w:cs="Times New Roman"/>
                <w:sz w:val="18"/>
                <w:szCs w:val="18"/>
              </w:rPr>
              <w:t>Non</w:t>
            </w:r>
            <w:r w:rsidRPr="00BC09D1">
              <w:rPr>
                <w:rFonts w:cs="Times New Roman"/>
                <w:sz w:val="18"/>
                <w:szCs w:val="18"/>
              </w:rPr>
              <w:t xml:space="preserve">-PEB X  </w:t>
            </w:r>
            <w:r>
              <w:rPr>
                <w:rFonts w:cs="Times New Roman"/>
                <w:sz w:val="18"/>
                <w:szCs w:val="18"/>
              </w:rPr>
              <w:t>1</w:t>
            </w:r>
            <w:r w:rsidRPr="00BC09D1">
              <w:rPr>
                <w:rFonts w:cs="Times New Roman"/>
                <w:sz w:val="18"/>
                <w:szCs w:val="18"/>
              </w:rPr>
              <w:t xml:space="preserve"> / NSC X </w:t>
            </w:r>
            <w:r>
              <w:rPr>
                <w:rFonts w:cs="Times New Roman"/>
                <w:sz w:val="18"/>
                <w:szCs w:val="18"/>
              </w:rPr>
              <w:t>4</w:t>
            </w:r>
          </w:p>
        </w:tc>
        <w:tc>
          <w:tcPr>
            <w:tcW w:w="990" w:type="dxa"/>
            <w:shd w:val="clear" w:color="auto" w:fill="FFFFFF" w:themeFill="background1"/>
          </w:tcPr>
          <w:p w:rsidR="00EB4D3B" w:rsidRPr="00BC09D1" w:rsidRDefault="00EB4D3B" w:rsidP="00F37554">
            <w:pPr>
              <w:pStyle w:val="ListParagraph"/>
              <w:spacing w:after="0" w:line="240" w:lineRule="auto"/>
              <w:ind w:left="0"/>
              <w:jc w:val="center"/>
              <w:rPr>
                <w:rFonts w:cs="Times New Roman"/>
                <w:sz w:val="18"/>
                <w:szCs w:val="18"/>
              </w:rPr>
            </w:pPr>
          </w:p>
        </w:tc>
      </w:tr>
      <w:tr w:rsidR="00EB4D3B" w:rsidTr="00604B57">
        <w:trPr>
          <w:trHeight w:val="242"/>
        </w:trPr>
        <w:tc>
          <w:tcPr>
            <w:tcW w:w="4050" w:type="dxa"/>
            <w:gridSpan w:val="3"/>
            <w:tcBorders>
              <w:right w:val="thinThickThinSmallGap" w:sz="24" w:space="0" w:color="auto"/>
            </w:tcBorders>
            <w:shd w:val="clear" w:color="auto" w:fill="C6D9F1" w:themeFill="text2" w:themeFillTint="33"/>
          </w:tcPr>
          <w:p w:rsidR="00EB4D3B" w:rsidRPr="00BC09D1" w:rsidRDefault="00EB4D3B" w:rsidP="00F37554">
            <w:pPr>
              <w:pStyle w:val="ListParagraph"/>
              <w:spacing w:after="0" w:line="240" w:lineRule="auto"/>
              <w:ind w:left="0"/>
              <w:jc w:val="center"/>
              <w:rPr>
                <w:rFonts w:cs="Times New Roman"/>
                <w:b/>
                <w:sz w:val="20"/>
                <w:szCs w:val="20"/>
              </w:rPr>
            </w:pPr>
            <w:r w:rsidRPr="00BC09D1">
              <w:rPr>
                <w:rFonts w:cs="Times New Roman"/>
                <w:b/>
                <w:sz w:val="20"/>
                <w:szCs w:val="20"/>
              </w:rPr>
              <w:t xml:space="preserve">TOTAL Combined:  </w:t>
            </w:r>
            <w:r>
              <w:rPr>
                <w:rFonts w:cs="Times New Roman"/>
                <w:b/>
                <w:sz w:val="20"/>
                <w:szCs w:val="20"/>
              </w:rPr>
              <w:t>1</w:t>
            </w:r>
            <w:r w:rsidRPr="00BC09D1">
              <w:rPr>
                <w:rFonts w:cs="Times New Roman"/>
                <w:b/>
                <w:sz w:val="20"/>
                <w:szCs w:val="20"/>
              </w:rPr>
              <w:t>0%</w:t>
            </w:r>
          </w:p>
        </w:tc>
        <w:tc>
          <w:tcPr>
            <w:tcW w:w="5220" w:type="dxa"/>
            <w:gridSpan w:val="4"/>
            <w:tcBorders>
              <w:left w:val="thinThickThinSmallGap" w:sz="24" w:space="0" w:color="auto"/>
            </w:tcBorders>
            <w:shd w:val="clear" w:color="auto" w:fill="C6D9F1" w:themeFill="text2" w:themeFillTint="33"/>
          </w:tcPr>
          <w:p w:rsidR="00EB4D3B" w:rsidRPr="00BC09D1" w:rsidRDefault="00EB4D3B" w:rsidP="00F37554">
            <w:pPr>
              <w:pStyle w:val="ListParagraph"/>
              <w:spacing w:after="0" w:line="240" w:lineRule="auto"/>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Pr>
                <w:rFonts w:cs="Times New Roman"/>
                <w:b/>
                <w:sz w:val="20"/>
                <w:szCs w:val="20"/>
              </w:rPr>
              <w:t>): 8</w:t>
            </w:r>
            <w:r w:rsidRPr="00BC09D1">
              <w:rPr>
                <w:rFonts w:cs="Times New Roman"/>
                <w:b/>
                <w:sz w:val="20"/>
                <w:szCs w:val="20"/>
              </w:rPr>
              <w:t xml:space="preserve">0%                                                                         </w:t>
            </w:r>
            <w:r w:rsidRPr="00BC09D1">
              <w:rPr>
                <w:rFonts w:cs="Times New Roman"/>
                <w:color w:val="00000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737A61" w:rsidRDefault="00604B57" w:rsidP="00737A61">
      <w:pPr>
        <w:rPr>
          <w:rFonts w:asciiTheme="minorHAnsi" w:hAnsiTheme="minorHAnsi"/>
          <w:color w:val="000080"/>
          <w:szCs w:val="24"/>
          <w:u w:val="single"/>
        </w:rPr>
      </w:pPr>
      <w:r>
        <w:rPr>
          <w:rFonts w:asciiTheme="minorHAnsi" w:hAnsiTheme="minorHAnsi"/>
          <w:color w:val="000080"/>
          <w:szCs w:val="24"/>
          <w:u w:val="single"/>
        </w:rPr>
        <w:br w:type="page"/>
      </w:r>
      <w:r w:rsidR="002C6E5B" w:rsidRPr="00C97502">
        <w:rPr>
          <w:color w:val="000080"/>
          <w:u w:val="single"/>
        </w:rPr>
        <w:lastRenderedPageBreak/>
        <w:t>ANALYSIS SUMMARY</w:t>
      </w:r>
      <w:r w:rsidR="002C6E5B" w:rsidRPr="00C97502">
        <w:rPr>
          <w:color w:val="000080"/>
        </w:rPr>
        <w:t>:</w:t>
      </w:r>
    </w:p>
    <w:p w:rsidR="002C6E5B" w:rsidRPr="00C97502" w:rsidRDefault="002C6E5B" w:rsidP="002C6E5B">
      <w:pPr>
        <w:tabs>
          <w:tab w:val="left" w:pos="288"/>
          <w:tab w:val="left" w:pos="4752"/>
        </w:tabs>
        <w:spacing w:line="240" w:lineRule="exact"/>
        <w:jc w:val="both"/>
        <w:rPr>
          <w:color w:val="000080"/>
        </w:rPr>
      </w:pPr>
    </w:p>
    <w:p w:rsidR="002C6E5B" w:rsidRPr="00C97502" w:rsidRDefault="00604B57" w:rsidP="00C97502">
      <w:pPr>
        <w:tabs>
          <w:tab w:val="left" w:pos="288"/>
          <w:tab w:val="left" w:pos="4752"/>
        </w:tabs>
        <w:spacing w:line="240" w:lineRule="exact"/>
        <w:jc w:val="both"/>
        <w:rPr>
          <w:color w:val="000080"/>
        </w:rPr>
      </w:pPr>
      <w:proofErr w:type="gramStart"/>
      <w:r w:rsidRPr="00C97502">
        <w:rPr>
          <w:color w:val="000080"/>
          <w:u w:val="single"/>
        </w:rPr>
        <w:t>PTSD</w:t>
      </w:r>
      <w:r w:rsidR="002C6E5B" w:rsidRPr="00C97502">
        <w:rPr>
          <w:color w:val="000080"/>
        </w:rPr>
        <w:t>.</w:t>
      </w:r>
      <w:proofErr w:type="gramEnd"/>
      <w:r w:rsidR="002C6E5B" w:rsidRPr="00C97502">
        <w:rPr>
          <w:color w:val="000080"/>
        </w:rPr>
        <w:t xml:space="preserve">  </w:t>
      </w:r>
      <w:r w:rsidRPr="00C97502">
        <w:rPr>
          <w:color w:val="000080"/>
        </w:rPr>
        <w:t xml:space="preserve">The PEB </w:t>
      </w:r>
      <w:r w:rsidR="002D33CB" w:rsidRPr="00C97502">
        <w:rPr>
          <w:color w:val="000080"/>
        </w:rPr>
        <w:t xml:space="preserve">decision referenced AR 40-501 and applied the language of </w:t>
      </w:r>
      <w:proofErr w:type="spellStart"/>
      <w:r w:rsidRPr="00C97502">
        <w:rPr>
          <w:color w:val="000080"/>
        </w:rPr>
        <w:t>DoDI</w:t>
      </w:r>
      <w:proofErr w:type="spellEnd"/>
      <w:r w:rsidRPr="00C97502">
        <w:rPr>
          <w:color w:val="000080"/>
        </w:rPr>
        <w:t xml:space="preserve"> 1332.39 </w:t>
      </w:r>
      <w:r w:rsidR="002D33CB" w:rsidRPr="00C97502">
        <w:rPr>
          <w:color w:val="000080"/>
        </w:rPr>
        <w:t>in regards to its 10% rating determination for PTSD.  This case</w:t>
      </w:r>
      <w:r w:rsidRPr="00C97502">
        <w:rPr>
          <w:color w:val="000080"/>
        </w:rPr>
        <w:t xml:space="preserve"> preceded the promulgation of </w:t>
      </w:r>
      <w:r w:rsidR="00427792">
        <w:rPr>
          <w:color w:val="000080"/>
        </w:rPr>
        <w:t>Veterans Administration Schedule for Rating Disabilities (</w:t>
      </w:r>
      <w:r w:rsidRPr="00C97502">
        <w:rPr>
          <w:color w:val="000080"/>
        </w:rPr>
        <w:t>VASRD</w:t>
      </w:r>
      <w:r w:rsidR="00427792">
        <w:rPr>
          <w:color w:val="000080"/>
        </w:rPr>
        <w:t>)</w:t>
      </w:r>
      <w:r w:rsidRPr="00C97502">
        <w:rPr>
          <w:color w:val="000080"/>
        </w:rPr>
        <w:t xml:space="preserve"> §4.129.  IAW </w:t>
      </w:r>
      <w:proofErr w:type="spellStart"/>
      <w:r w:rsidRPr="00C97502">
        <w:rPr>
          <w:color w:val="000080"/>
        </w:rPr>
        <w:t>DoDI</w:t>
      </w:r>
      <w:proofErr w:type="spellEnd"/>
      <w:r w:rsidRPr="00C97502">
        <w:rPr>
          <w:color w:val="000080"/>
        </w:rPr>
        <w:t xml:space="preserve"> 6040.44 and DOD guidance (which applies current VASRD §4.129 to all Board cases), the Board is obligated to recommend a minimum 50% </w:t>
      </w:r>
      <w:r w:rsidR="00D214D4">
        <w:rPr>
          <w:color w:val="000080"/>
        </w:rPr>
        <w:t xml:space="preserve">PTSD </w:t>
      </w:r>
      <w:r w:rsidRPr="00C97502">
        <w:rPr>
          <w:color w:val="000080"/>
        </w:rPr>
        <w:t xml:space="preserve">rating for a retroactive six month period of </w:t>
      </w:r>
      <w:r w:rsidR="00427792" w:rsidRPr="00427792">
        <w:rPr>
          <w:color w:val="000080"/>
        </w:rPr>
        <w:t xml:space="preserve">Temporary Disability Retired List </w:t>
      </w:r>
      <w:r w:rsidR="00427792">
        <w:rPr>
          <w:color w:val="000080"/>
        </w:rPr>
        <w:t>(</w:t>
      </w:r>
      <w:r w:rsidRPr="00C97502">
        <w:rPr>
          <w:color w:val="000080"/>
        </w:rPr>
        <w:t>TDRL</w:t>
      </w:r>
      <w:r w:rsidR="00427792">
        <w:rPr>
          <w:color w:val="000080"/>
        </w:rPr>
        <w:t>)</w:t>
      </w:r>
      <w:r w:rsidRPr="00C97502">
        <w:rPr>
          <w:color w:val="000080"/>
        </w:rPr>
        <w:t xml:space="preserve">.  The Board must then determine the most appropriate fit with VASRD §4.130 criteria at six months for its permanent rating recommendation.  </w:t>
      </w:r>
      <w:r w:rsidR="001921A0" w:rsidRPr="00C97502">
        <w:rPr>
          <w:color w:val="000080"/>
        </w:rPr>
        <w:t>In this case</w:t>
      </w:r>
      <w:r w:rsidR="002D33CB" w:rsidRPr="00C97502">
        <w:rPr>
          <w:color w:val="000080"/>
        </w:rPr>
        <w:t xml:space="preserve"> the most proximate </w:t>
      </w:r>
      <w:r w:rsidR="008B48EF" w:rsidRPr="00C97502">
        <w:rPr>
          <w:color w:val="000080"/>
        </w:rPr>
        <w:t>source of evidence</w:t>
      </w:r>
      <w:r w:rsidR="002D33CB" w:rsidRPr="00C97502">
        <w:rPr>
          <w:color w:val="000080"/>
        </w:rPr>
        <w:t xml:space="preserve"> on which to base the permanent rating </w:t>
      </w:r>
      <w:r w:rsidR="008B48EF" w:rsidRPr="00C97502">
        <w:rPr>
          <w:color w:val="000080"/>
        </w:rPr>
        <w:t>recommendation is the VA psychiatric rating evaluation three months after separation</w:t>
      </w:r>
      <w:r w:rsidR="001921A0" w:rsidRPr="00C97502">
        <w:rPr>
          <w:color w:val="000080"/>
        </w:rPr>
        <w:t xml:space="preserve">, although the MEB evaluation serves as </w:t>
      </w:r>
      <w:r w:rsidR="00C03581" w:rsidRPr="00C97502">
        <w:rPr>
          <w:color w:val="000080"/>
        </w:rPr>
        <w:t xml:space="preserve">a </w:t>
      </w:r>
      <w:r w:rsidR="001921A0" w:rsidRPr="00C97502">
        <w:rPr>
          <w:color w:val="000080"/>
        </w:rPr>
        <w:t>reference point</w:t>
      </w:r>
      <w:r w:rsidR="00C03581" w:rsidRPr="00C97502">
        <w:rPr>
          <w:color w:val="000080"/>
        </w:rPr>
        <w:t xml:space="preserve"> and carries relevant probative value.</w:t>
      </w:r>
      <w:r w:rsidR="001921A0" w:rsidRPr="00C97502">
        <w:rPr>
          <w:color w:val="000080"/>
        </w:rPr>
        <w:t xml:space="preserve"> </w:t>
      </w:r>
    </w:p>
    <w:p w:rsidR="001921A0" w:rsidRPr="00C97502" w:rsidRDefault="001921A0" w:rsidP="00C97502">
      <w:pPr>
        <w:tabs>
          <w:tab w:val="left" w:pos="288"/>
          <w:tab w:val="left" w:pos="4752"/>
        </w:tabs>
        <w:spacing w:line="240" w:lineRule="exact"/>
        <w:jc w:val="both"/>
        <w:rPr>
          <w:color w:val="000080"/>
        </w:rPr>
      </w:pPr>
    </w:p>
    <w:p w:rsidR="00DF2B63" w:rsidRPr="00C97502" w:rsidRDefault="00DC12E8" w:rsidP="00C97502">
      <w:pPr>
        <w:tabs>
          <w:tab w:val="left" w:pos="288"/>
          <w:tab w:val="left" w:pos="4752"/>
        </w:tabs>
        <w:spacing w:line="240" w:lineRule="exact"/>
        <w:jc w:val="both"/>
        <w:rPr>
          <w:color w:val="000080"/>
        </w:rPr>
      </w:pPr>
      <w:r w:rsidRPr="00C97502">
        <w:rPr>
          <w:color w:val="000080"/>
        </w:rPr>
        <w:t xml:space="preserve">The psychiatric </w:t>
      </w:r>
      <w:r w:rsidR="00427792">
        <w:rPr>
          <w:color w:val="000080"/>
        </w:rPr>
        <w:t>narrative summary (</w:t>
      </w:r>
      <w:r w:rsidRPr="00C97502">
        <w:rPr>
          <w:color w:val="000080"/>
        </w:rPr>
        <w:t>NARSUM</w:t>
      </w:r>
      <w:r w:rsidR="00427792">
        <w:rPr>
          <w:color w:val="000080"/>
        </w:rPr>
        <w:t>)</w:t>
      </w:r>
      <w:r w:rsidRPr="00C97502">
        <w:rPr>
          <w:color w:val="000080"/>
        </w:rPr>
        <w:t xml:space="preserve"> described mild to moderate PTSD symptoms.  The CI had responded to </w:t>
      </w:r>
      <w:r w:rsidR="00D214D4">
        <w:rPr>
          <w:color w:val="000080"/>
        </w:rPr>
        <w:t>pharmacologic</w:t>
      </w:r>
      <w:r w:rsidRPr="00C97502">
        <w:rPr>
          <w:color w:val="000080"/>
        </w:rPr>
        <w:t xml:space="preserve"> (three psycho</w:t>
      </w:r>
      <w:r w:rsidR="007D2F83" w:rsidRPr="00C97502">
        <w:rPr>
          <w:color w:val="000080"/>
        </w:rPr>
        <w:t>therapeutic</w:t>
      </w:r>
      <w:r w:rsidRPr="00C97502">
        <w:rPr>
          <w:color w:val="000080"/>
        </w:rPr>
        <w:t xml:space="preserve"> medications) and outpatient therapy but ‘continued to have insomnia, nightmares, daytime anxiety, and irritability’.  </w:t>
      </w:r>
      <w:r w:rsidR="00702143" w:rsidRPr="00C97502">
        <w:rPr>
          <w:color w:val="000080"/>
        </w:rPr>
        <w:t xml:space="preserve">Other than an ‘anxious and irritable’ affect, his mental status examination was normal.  </w:t>
      </w:r>
      <w:r w:rsidR="00085769" w:rsidRPr="00C97502">
        <w:rPr>
          <w:color w:val="000080"/>
        </w:rPr>
        <w:t>H</w:t>
      </w:r>
      <w:r w:rsidR="00702143" w:rsidRPr="00C97502">
        <w:rPr>
          <w:color w:val="000080"/>
        </w:rPr>
        <w:t xml:space="preserve">is impairment for military duty was opined as ‘marked’ and his social and industrial adaptability as ‘mild’ by the </w:t>
      </w:r>
      <w:r w:rsidR="00E511FE" w:rsidRPr="00C97502">
        <w:rPr>
          <w:color w:val="000080"/>
        </w:rPr>
        <w:t xml:space="preserve">MEB psychiatrist.  The </w:t>
      </w:r>
      <w:r w:rsidR="00702143" w:rsidRPr="00C97502">
        <w:rPr>
          <w:color w:val="000080"/>
        </w:rPr>
        <w:t xml:space="preserve">Commander’s statement notes that he was an ‘adequate soldier’, but </w:t>
      </w:r>
      <w:r w:rsidR="00085769" w:rsidRPr="00C97502">
        <w:rPr>
          <w:color w:val="000080"/>
        </w:rPr>
        <w:t xml:space="preserve">noted the limitations of his profile ‘combined with his mental capacity’ as rendering him incapable of performing in his MOS.  </w:t>
      </w:r>
      <w:r w:rsidR="00B901C6" w:rsidRPr="00C97502">
        <w:rPr>
          <w:color w:val="000080"/>
        </w:rPr>
        <w:t xml:space="preserve">At the time of separation he was an E-1 reduced from E-4 after a physical assault on an NCO.  </w:t>
      </w:r>
      <w:r w:rsidR="00085769" w:rsidRPr="00C97502">
        <w:rPr>
          <w:color w:val="000080"/>
        </w:rPr>
        <w:t xml:space="preserve">Although the PEB’s 10% rating could be defended under AR 40-501 and </w:t>
      </w:r>
      <w:proofErr w:type="spellStart"/>
      <w:r w:rsidR="00085769" w:rsidRPr="00C97502">
        <w:rPr>
          <w:color w:val="000080"/>
        </w:rPr>
        <w:t>DoDI</w:t>
      </w:r>
      <w:proofErr w:type="spellEnd"/>
      <w:r w:rsidR="00085769" w:rsidRPr="00C97502">
        <w:rPr>
          <w:color w:val="000080"/>
        </w:rPr>
        <w:t xml:space="preserve"> 1332.</w:t>
      </w:r>
      <w:r w:rsidR="00065315">
        <w:rPr>
          <w:color w:val="000080"/>
        </w:rPr>
        <w:t>3</w:t>
      </w:r>
      <w:r w:rsidR="00085769" w:rsidRPr="00C97502">
        <w:rPr>
          <w:color w:val="000080"/>
        </w:rPr>
        <w:t xml:space="preserve">9, the Action Officer opines that an appropriate VASRD-based rating at separation would have been 30% (independent of the concession to a §4.129 rating </w:t>
      </w:r>
      <w:r w:rsidR="007D2F83" w:rsidRPr="00C97502">
        <w:rPr>
          <w:color w:val="000080"/>
        </w:rPr>
        <w:t xml:space="preserve">of 50% </w:t>
      </w:r>
      <w:r w:rsidR="00085769" w:rsidRPr="00C97502">
        <w:rPr>
          <w:color w:val="000080"/>
        </w:rPr>
        <w:t>as discussed above).</w:t>
      </w:r>
      <w:r w:rsidR="000E4A46" w:rsidRPr="00C97502">
        <w:rPr>
          <w:color w:val="000080"/>
        </w:rPr>
        <w:t xml:space="preserve">  </w:t>
      </w:r>
    </w:p>
    <w:p w:rsidR="00DF2B63" w:rsidRPr="00C97502" w:rsidRDefault="00DF2B63" w:rsidP="00C97502">
      <w:pPr>
        <w:tabs>
          <w:tab w:val="left" w:pos="288"/>
          <w:tab w:val="left" w:pos="4752"/>
        </w:tabs>
        <w:spacing w:line="240" w:lineRule="exact"/>
        <w:jc w:val="both"/>
        <w:rPr>
          <w:color w:val="000080"/>
        </w:rPr>
      </w:pPr>
    </w:p>
    <w:p w:rsidR="00060150" w:rsidRPr="00C97502" w:rsidRDefault="001921A0" w:rsidP="00C97502">
      <w:pPr>
        <w:tabs>
          <w:tab w:val="left" w:pos="288"/>
          <w:tab w:val="left" w:pos="4752"/>
        </w:tabs>
        <w:spacing w:line="240" w:lineRule="exact"/>
        <w:jc w:val="both"/>
        <w:rPr>
          <w:color w:val="000080"/>
        </w:rPr>
      </w:pPr>
      <w:r w:rsidRPr="00C97502">
        <w:rPr>
          <w:color w:val="000080"/>
        </w:rPr>
        <w:t xml:space="preserve">The CI’s symptoms at </w:t>
      </w:r>
      <w:r w:rsidR="000E4A46" w:rsidRPr="00C97502">
        <w:rPr>
          <w:color w:val="000080"/>
        </w:rPr>
        <w:t xml:space="preserve">the VA evaluation three months </w:t>
      </w:r>
      <w:r w:rsidR="00DF2B63" w:rsidRPr="00C97502">
        <w:rPr>
          <w:color w:val="000080"/>
        </w:rPr>
        <w:t xml:space="preserve">later </w:t>
      </w:r>
      <w:r w:rsidR="000E4A46" w:rsidRPr="00C97502">
        <w:rPr>
          <w:color w:val="000080"/>
        </w:rPr>
        <w:t xml:space="preserve">appear to be somewhat worse, although this may be due to the fact that they were elaborated in more detail than in the NARSUM.  He </w:t>
      </w:r>
      <w:r w:rsidR="00060150" w:rsidRPr="00C97502">
        <w:rPr>
          <w:color w:val="000080"/>
        </w:rPr>
        <w:t xml:space="preserve">continued to experience daily symptoms of PTSD and stated he was only averaging 3+ hours of sleep nightly.  His anxiety level was heightened and he reported ‘daily’ panic attacks.  The VA psychiatrist opined a significant element of depression </w:t>
      </w:r>
      <w:r w:rsidR="00DF2B63" w:rsidRPr="00C97502">
        <w:rPr>
          <w:color w:val="000080"/>
        </w:rPr>
        <w:t>including</w:t>
      </w:r>
      <w:r w:rsidR="00060150" w:rsidRPr="00C97502">
        <w:rPr>
          <w:color w:val="000080"/>
        </w:rPr>
        <w:t xml:space="preserve"> some vegetative symptoms (psychomotor retardation, fatigue, diminished concentration, decreased appetite).  The exam </w:t>
      </w:r>
      <w:r w:rsidR="007D2F83" w:rsidRPr="00C97502">
        <w:rPr>
          <w:color w:val="000080"/>
        </w:rPr>
        <w:t>noted</w:t>
      </w:r>
      <w:r w:rsidR="00060150" w:rsidRPr="00C97502">
        <w:rPr>
          <w:color w:val="000080"/>
        </w:rPr>
        <w:t xml:space="preserve"> </w:t>
      </w:r>
      <w:r w:rsidR="007D2F83" w:rsidRPr="00C97502">
        <w:rPr>
          <w:color w:val="000080"/>
        </w:rPr>
        <w:t>‘</w:t>
      </w:r>
      <w:r w:rsidR="00060150" w:rsidRPr="00C97502">
        <w:rPr>
          <w:color w:val="000080"/>
        </w:rPr>
        <w:t>auditory hallucinations</w:t>
      </w:r>
      <w:r w:rsidR="007D2F83" w:rsidRPr="00C97502">
        <w:rPr>
          <w:color w:val="000080"/>
        </w:rPr>
        <w:t xml:space="preserve">’ </w:t>
      </w:r>
      <w:r w:rsidR="00060150" w:rsidRPr="00C97502">
        <w:rPr>
          <w:color w:val="000080"/>
        </w:rPr>
        <w:t>quoting the CI</w:t>
      </w:r>
      <w:r w:rsidR="007D2F83" w:rsidRPr="00C97502">
        <w:rPr>
          <w:color w:val="000080"/>
        </w:rPr>
        <w:t>,</w:t>
      </w:r>
      <w:r w:rsidR="00060150" w:rsidRPr="00C97502">
        <w:rPr>
          <w:color w:val="000080"/>
        </w:rPr>
        <w:t xml:space="preserve"> ‘</w:t>
      </w:r>
      <w:r w:rsidR="007D2F83" w:rsidRPr="00C97502">
        <w:rPr>
          <w:color w:val="000080"/>
        </w:rPr>
        <w:t xml:space="preserve">I </w:t>
      </w:r>
      <w:r w:rsidR="00060150" w:rsidRPr="00C97502">
        <w:rPr>
          <w:color w:val="000080"/>
        </w:rPr>
        <w:t>still feel like at times I'm talking to my NCO on the radio on my headset</w:t>
      </w:r>
      <w:r w:rsidR="007D2F83" w:rsidRPr="00C97502">
        <w:rPr>
          <w:color w:val="000080"/>
        </w:rPr>
        <w:t>.</w:t>
      </w:r>
      <w:r w:rsidR="00060150" w:rsidRPr="00C97502">
        <w:rPr>
          <w:color w:val="000080"/>
        </w:rPr>
        <w:t>’</w:t>
      </w:r>
      <w:r w:rsidR="007D2F83" w:rsidRPr="00C97502">
        <w:rPr>
          <w:color w:val="000080"/>
        </w:rPr>
        <w:t xml:space="preserve">  </w:t>
      </w:r>
      <w:r w:rsidR="0064345F" w:rsidRPr="00C97502">
        <w:rPr>
          <w:color w:val="000080"/>
        </w:rPr>
        <w:t xml:space="preserve">The Action Officer believes this to be a speculative basis for diagnosing hallucinations and that psychotic features of any sort are incongruent with the total picture in this case.  </w:t>
      </w:r>
      <w:r w:rsidR="007D2F83" w:rsidRPr="00C97502">
        <w:rPr>
          <w:color w:val="000080"/>
        </w:rPr>
        <w:t xml:space="preserve">These </w:t>
      </w:r>
      <w:r w:rsidR="00DF2B63" w:rsidRPr="00C97502">
        <w:rPr>
          <w:color w:val="000080"/>
        </w:rPr>
        <w:t>additional features</w:t>
      </w:r>
      <w:r w:rsidR="007D2F83" w:rsidRPr="00C97502">
        <w:rPr>
          <w:color w:val="000080"/>
        </w:rPr>
        <w:t xml:space="preserve"> were not documented in the service exam or in the service treatment notes.  In spite of the</w:t>
      </w:r>
      <w:r w:rsidR="00DF2B63" w:rsidRPr="00C97502">
        <w:rPr>
          <w:color w:val="000080"/>
        </w:rPr>
        <w:t xml:space="preserve"> </w:t>
      </w:r>
      <w:r w:rsidR="007D2F83" w:rsidRPr="00C97502">
        <w:rPr>
          <w:color w:val="000080"/>
        </w:rPr>
        <w:t xml:space="preserve">additional symptoms, </w:t>
      </w:r>
      <w:r w:rsidR="00DF2B63" w:rsidRPr="00C97502">
        <w:rPr>
          <w:color w:val="000080"/>
        </w:rPr>
        <w:t xml:space="preserve">the mental status examination remained </w:t>
      </w:r>
      <w:r w:rsidR="00DF2B63" w:rsidRPr="00C97502">
        <w:rPr>
          <w:color w:val="000080"/>
        </w:rPr>
        <w:lastRenderedPageBreak/>
        <w:t xml:space="preserve">normal except for mood described as ‘solemn demeanor’.  There was no suicidal ideation or objective cognitive deficits.  </w:t>
      </w:r>
      <w:r w:rsidR="007D2F83" w:rsidRPr="00C97502">
        <w:rPr>
          <w:color w:val="000080"/>
        </w:rPr>
        <w:t xml:space="preserve">At the time of the VA evaluation the CI was </w:t>
      </w:r>
      <w:r w:rsidR="007A065C" w:rsidRPr="00C97502">
        <w:rPr>
          <w:color w:val="000080"/>
        </w:rPr>
        <w:t>prescribed</w:t>
      </w:r>
      <w:r w:rsidR="007D2F83" w:rsidRPr="00C97502">
        <w:rPr>
          <w:color w:val="000080"/>
        </w:rPr>
        <w:t xml:space="preserve"> two psychotherapeutic medications</w:t>
      </w:r>
      <w:r w:rsidR="00DF2B63" w:rsidRPr="00C97502">
        <w:rPr>
          <w:color w:val="000080"/>
        </w:rPr>
        <w:t>.  His social and recreational life was constricted, but he was not totally isolat</w:t>
      </w:r>
      <w:r w:rsidR="00E511FE" w:rsidRPr="00C97502">
        <w:rPr>
          <w:color w:val="000080"/>
        </w:rPr>
        <w:t>ed</w:t>
      </w:r>
      <w:r w:rsidR="00DF2B63" w:rsidRPr="00C97502">
        <w:rPr>
          <w:color w:val="000080"/>
        </w:rPr>
        <w:t>.  His marriage was intact.  The Global Assessment of Functioning (GAF) score was 49, reflecting moderate to severe</w:t>
      </w:r>
      <w:r w:rsidR="00437EE4" w:rsidRPr="00C97502">
        <w:rPr>
          <w:color w:val="000080"/>
        </w:rPr>
        <w:t xml:space="preserve"> impairment.  The VA psychiatrist stated that the GAF score was lowered on</w:t>
      </w:r>
      <w:r w:rsidR="0064345F" w:rsidRPr="00C97502">
        <w:rPr>
          <w:color w:val="000080"/>
        </w:rPr>
        <w:t xml:space="preserve"> the basis of the hallucinations noted above</w:t>
      </w:r>
      <w:r w:rsidR="00437EE4" w:rsidRPr="00C97502">
        <w:rPr>
          <w:color w:val="000080"/>
        </w:rPr>
        <w:t>.  The CI was fully employed as a housekeeping supervisor in a nursing home.  The only mental health interference with work activities noted wa</w:t>
      </w:r>
      <w:r w:rsidR="00D214D4">
        <w:rPr>
          <w:color w:val="000080"/>
        </w:rPr>
        <w:t>s irritability with co-workers (</w:t>
      </w:r>
      <w:r w:rsidR="00437EE4" w:rsidRPr="00C97502">
        <w:rPr>
          <w:color w:val="000080"/>
        </w:rPr>
        <w:t>not associated with physical or verbal outbursts</w:t>
      </w:r>
      <w:r w:rsidR="00D214D4">
        <w:rPr>
          <w:color w:val="000080"/>
        </w:rPr>
        <w:t>)</w:t>
      </w:r>
      <w:r w:rsidR="00437EE4" w:rsidRPr="00C97502">
        <w:rPr>
          <w:color w:val="000080"/>
        </w:rPr>
        <w:t xml:space="preserve">.  It was stated specifically that he had not lost any time at work because of </w:t>
      </w:r>
      <w:r w:rsidR="00132F17" w:rsidRPr="00C97502">
        <w:rPr>
          <w:color w:val="000080"/>
        </w:rPr>
        <w:t>the</w:t>
      </w:r>
      <w:r w:rsidR="00437EE4" w:rsidRPr="00C97502">
        <w:rPr>
          <w:color w:val="000080"/>
        </w:rPr>
        <w:t xml:space="preserve"> </w:t>
      </w:r>
      <w:r w:rsidR="00D214D4">
        <w:rPr>
          <w:color w:val="000080"/>
        </w:rPr>
        <w:t>psychiatric</w:t>
      </w:r>
      <w:r w:rsidR="00E511FE" w:rsidRPr="00C97502">
        <w:rPr>
          <w:color w:val="000080"/>
        </w:rPr>
        <w:t xml:space="preserve"> </w:t>
      </w:r>
      <w:r w:rsidR="00437EE4" w:rsidRPr="00C97502">
        <w:rPr>
          <w:color w:val="000080"/>
        </w:rPr>
        <w:t xml:space="preserve">condition.  </w:t>
      </w:r>
      <w:r w:rsidR="0064345F" w:rsidRPr="00C97502">
        <w:rPr>
          <w:color w:val="000080"/>
        </w:rPr>
        <w:t xml:space="preserve">It should also be noted that the CI remained employed at the time of his re-evaluation by the VA 16 months after separation.  </w:t>
      </w:r>
      <w:r w:rsidR="00132F17" w:rsidRPr="00C97502">
        <w:rPr>
          <w:color w:val="000080"/>
        </w:rPr>
        <w:t xml:space="preserve">The VA psychiatrist opined that PTSD had a ‘moderate negative impact on his occupational functioning’ and ‘moderate to severe negative impact on his social relationships’.  </w:t>
      </w:r>
      <w:r w:rsidR="007A065C" w:rsidRPr="00C97502">
        <w:rPr>
          <w:color w:val="000080"/>
        </w:rPr>
        <w:t>The VA examiner also noted the coexistence of bipolar disorder and referenced a past history of it.  The MEB exam listed a diagnosis of panic disorder at the age of 18 as the only past psychiatric history.  This raises the question of some non-PTSD contribution to the VASRD rating, although that cannot be confirmed or quantified to an extent that would affect the Board’s recommendation.</w:t>
      </w:r>
    </w:p>
    <w:p w:rsidR="007A065C" w:rsidRPr="00C97502" w:rsidRDefault="007A065C" w:rsidP="00C97502">
      <w:pPr>
        <w:tabs>
          <w:tab w:val="left" w:pos="288"/>
          <w:tab w:val="left" w:pos="4752"/>
        </w:tabs>
        <w:spacing w:line="240" w:lineRule="exact"/>
        <w:jc w:val="both"/>
        <w:rPr>
          <w:color w:val="000080"/>
        </w:rPr>
      </w:pPr>
    </w:p>
    <w:p w:rsidR="007A065C" w:rsidRPr="00C97502" w:rsidRDefault="007A065C" w:rsidP="00C97502">
      <w:pPr>
        <w:tabs>
          <w:tab w:val="left" w:pos="288"/>
          <w:tab w:val="left" w:pos="4752"/>
        </w:tabs>
        <w:spacing w:line="240" w:lineRule="exact"/>
        <w:jc w:val="both"/>
        <w:rPr>
          <w:color w:val="000080"/>
        </w:rPr>
      </w:pPr>
      <w:r w:rsidRPr="00C97502">
        <w:rPr>
          <w:color w:val="000080"/>
        </w:rPr>
        <w:t xml:space="preserve">The Board directs its attention to the permanent rating recommendation for PTSD.  The VA rating decision </w:t>
      </w:r>
      <w:r w:rsidR="00C70BD0" w:rsidRPr="00C97502">
        <w:rPr>
          <w:color w:val="000080"/>
        </w:rPr>
        <w:t>did not offer a specific</w:t>
      </w:r>
      <w:r w:rsidR="00157F07" w:rsidRPr="00C97502">
        <w:rPr>
          <w:color w:val="000080"/>
        </w:rPr>
        <w:t xml:space="preserve"> rationale for its</w:t>
      </w:r>
      <w:r w:rsidR="00C70BD0" w:rsidRPr="00C97502">
        <w:rPr>
          <w:color w:val="000080"/>
        </w:rPr>
        <w:t xml:space="preserve"> relatively severe </w:t>
      </w:r>
      <w:r w:rsidR="00157F07" w:rsidRPr="00C97502">
        <w:rPr>
          <w:color w:val="000080"/>
        </w:rPr>
        <w:t>70% PTSD determination</w:t>
      </w:r>
      <w:r w:rsidR="00C70BD0" w:rsidRPr="00C97502">
        <w:rPr>
          <w:color w:val="000080"/>
        </w:rPr>
        <w:t xml:space="preserve"> in a fully employed veteran.  Typically this rating is </w:t>
      </w:r>
      <w:r w:rsidR="00DB6EFC" w:rsidRPr="00C97502">
        <w:rPr>
          <w:color w:val="000080"/>
        </w:rPr>
        <w:t>applied to</w:t>
      </w:r>
      <w:r w:rsidR="00C70BD0" w:rsidRPr="00C97502">
        <w:rPr>
          <w:color w:val="000080"/>
        </w:rPr>
        <w:t xml:space="preserve"> unemployed </w:t>
      </w:r>
      <w:r w:rsidR="000B0A41" w:rsidRPr="00C97502">
        <w:rPr>
          <w:color w:val="000080"/>
        </w:rPr>
        <w:t xml:space="preserve">or at least under-employed </w:t>
      </w:r>
      <w:r w:rsidR="00C70BD0" w:rsidRPr="00C97502">
        <w:rPr>
          <w:color w:val="000080"/>
        </w:rPr>
        <w:t xml:space="preserve">veterans with a history of psychiatric admissions and more severe symptoms.  The 70% rating </w:t>
      </w:r>
      <w:r w:rsidR="00157F07" w:rsidRPr="00C97502">
        <w:rPr>
          <w:color w:val="000080"/>
        </w:rPr>
        <w:t xml:space="preserve">under §4.130 </w:t>
      </w:r>
      <w:r w:rsidR="00C70BD0" w:rsidRPr="00C97502">
        <w:rPr>
          <w:color w:val="000080"/>
        </w:rPr>
        <w:t xml:space="preserve">lists nine features or symptoms as </w:t>
      </w:r>
      <w:r w:rsidR="00DB6EFC" w:rsidRPr="00C97502">
        <w:rPr>
          <w:color w:val="000080"/>
        </w:rPr>
        <w:t xml:space="preserve">examples </w:t>
      </w:r>
      <w:r w:rsidR="00157F07" w:rsidRPr="00C97502">
        <w:rPr>
          <w:color w:val="000080"/>
        </w:rPr>
        <w:t>for</w:t>
      </w:r>
      <w:r w:rsidR="00DB6EFC" w:rsidRPr="00C97502">
        <w:rPr>
          <w:color w:val="000080"/>
        </w:rPr>
        <w:t xml:space="preserve"> this </w:t>
      </w:r>
      <w:r w:rsidR="00157F07" w:rsidRPr="00C97502">
        <w:rPr>
          <w:color w:val="000080"/>
        </w:rPr>
        <w:t>level of impairment</w:t>
      </w:r>
      <w:r w:rsidR="00DB6EFC" w:rsidRPr="00C97502">
        <w:rPr>
          <w:color w:val="000080"/>
        </w:rPr>
        <w:t xml:space="preserve">.  This case displayed only one, i.e., difficulty in adapting to stressful circumstances.  The Board therefore cannot support </w:t>
      </w:r>
      <w:r w:rsidR="00157F07" w:rsidRPr="00C97502">
        <w:rPr>
          <w:color w:val="000080"/>
        </w:rPr>
        <w:t xml:space="preserve">a recommendation of 70% </w:t>
      </w:r>
      <w:r w:rsidR="00CB0479" w:rsidRPr="00C97502">
        <w:rPr>
          <w:color w:val="000080"/>
        </w:rPr>
        <w:t>as per the VA’s determination</w:t>
      </w:r>
      <w:r w:rsidR="000B0A41" w:rsidRPr="00C97502">
        <w:rPr>
          <w:color w:val="000080"/>
        </w:rPr>
        <w:t xml:space="preserve">. </w:t>
      </w:r>
      <w:r w:rsidR="00DB6EFC" w:rsidRPr="00C97502">
        <w:rPr>
          <w:color w:val="000080"/>
        </w:rPr>
        <w:t xml:space="preserve"> </w:t>
      </w:r>
      <w:r w:rsidR="000B0A41" w:rsidRPr="00C97502">
        <w:rPr>
          <w:color w:val="000080"/>
        </w:rPr>
        <w:t xml:space="preserve">It </w:t>
      </w:r>
      <w:r w:rsidR="00DB6EFC" w:rsidRPr="00C97502">
        <w:rPr>
          <w:color w:val="000080"/>
        </w:rPr>
        <w:t>deliberated primarily between the 50% and 30</w:t>
      </w:r>
      <w:r w:rsidR="000B0A41" w:rsidRPr="00C97502">
        <w:rPr>
          <w:color w:val="000080"/>
        </w:rPr>
        <w:t>% rating descriptions</w:t>
      </w:r>
      <w:r w:rsidR="00DB6EFC" w:rsidRPr="00C97502">
        <w:rPr>
          <w:color w:val="000080"/>
        </w:rPr>
        <w:t xml:space="preserve"> </w:t>
      </w:r>
      <w:r w:rsidR="00325F59" w:rsidRPr="00C97502">
        <w:rPr>
          <w:color w:val="000080"/>
        </w:rPr>
        <w:t xml:space="preserve">in §4.130.  Although at the time of the VA rating examination there was not convincing ‘reduced reliability and productivity’ for the occupational impairment as described for the 50% rating, there was considerably more social impairment.  As noted above for the 70% rating, the 50% rating lists nine examples of symptoms.  </w:t>
      </w:r>
      <w:r w:rsidR="005602FC" w:rsidRPr="00C97502">
        <w:rPr>
          <w:color w:val="000080"/>
        </w:rPr>
        <w:t>Of these, five were documented features of the CI’s history.  The CI’s case would easily meet the 30% rating description, even before the probable worsening after separation.  After due deliberation, the Board agreed that there was enough reasonable doubt in favor of the CI to support a recommendation of 50% as the permanent PTSD disability rating in this case.</w:t>
      </w:r>
    </w:p>
    <w:p w:rsidR="0073254D" w:rsidRPr="00C97502" w:rsidRDefault="0073254D" w:rsidP="00C97502">
      <w:pPr>
        <w:tabs>
          <w:tab w:val="left" w:pos="288"/>
          <w:tab w:val="left" w:pos="4752"/>
        </w:tabs>
        <w:spacing w:line="240" w:lineRule="exact"/>
        <w:jc w:val="both"/>
        <w:rPr>
          <w:color w:val="000080"/>
        </w:rPr>
      </w:pPr>
    </w:p>
    <w:p w:rsidR="00AD6913" w:rsidRDefault="002C6E5B" w:rsidP="00C97502">
      <w:pPr>
        <w:tabs>
          <w:tab w:val="left" w:pos="288"/>
          <w:tab w:val="left" w:pos="4752"/>
        </w:tabs>
        <w:spacing w:line="240" w:lineRule="exact"/>
        <w:jc w:val="both"/>
        <w:rPr>
          <w:rFonts w:asciiTheme="minorHAnsi" w:eastAsiaTheme="minorHAnsi" w:hAnsiTheme="minorHAnsi"/>
          <w:color w:val="auto"/>
          <w:szCs w:val="24"/>
        </w:rPr>
      </w:pPr>
      <w:proofErr w:type="gramStart"/>
      <w:r w:rsidRPr="00C97502">
        <w:rPr>
          <w:color w:val="000080"/>
          <w:u w:val="single"/>
        </w:rPr>
        <w:t>Other Conditions</w:t>
      </w:r>
      <w:r w:rsidRPr="00C97502">
        <w:rPr>
          <w:color w:val="000080"/>
        </w:rPr>
        <w:t>.</w:t>
      </w:r>
      <w:proofErr w:type="gramEnd"/>
      <w:r w:rsidRPr="00C97502">
        <w:rPr>
          <w:color w:val="000080"/>
        </w:rPr>
        <w:t xml:space="preserve">  </w:t>
      </w:r>
      <w:r w:rsidR="000B0A41" w:rsidRPr="00C97502">
        <w:rPr>
          <w:color w:val="000080"/>
        </w:rPr>
        <w:t xml:space="preserve">The NARSUM did not document any additional medical conditions and none were forwarded for PEB adjudication on the DA </w:t>
      </w:r>
      <w:r w:rsidR="00427792">
        <w:rPr>
          <w:color w:val="000080"/>
        </w:rPr>
        <w:t xml:space="preserve">Form </w:t>
      </w:r>
      <w:r w:rsidR="000B0A41" w:rsidRPr="00C97502">
        <w:rPr>
          <w:color w:val="000080"/>
        </w:rPr>
        <w:t xml:space="preserve">3947.  The only other conditions mentioned in the </w:t>
      </w:r>
      <w:r w:rsidR="000B0A41" w:rsidRPr="00C97502">
        <w:rPr>
          <w:color w:val="000080"/>
        </w:rPr>
        <w:lastRenderedPageBreak/>
        <w:t xml:space="preserve">MEB physical exam were a history of a broken toe and history of </w:t>
      </w:r>
      <w:proofErr w:type="spellStart"/>
      <w:r w:rsidR="000B0A41" w:rsidRPr="00C97502">
        <w:rPr>
          <w:color w:val="000080"/>
        </w:rPr>
        <w:t>pilonidal</w:t>
      </w:r>
      <w:proofErr w:type="spellEnd"/>
      <w:r w:rsidR="000B0A41" w:rsidRPr="00C97502">
        <w:rPr>
          <w:color w:val="000080"/>
        </w:rPr>
        <w:t xml:space="preserve"> cyst related by the CI.  Neither was under active treatment at the time of separation.  The toe condition received a non-compensable rating by the VA and the </w:t>
      </w:r>
      <w:proofErr w:type="spellStart"/>
      <w:r w:rsidR="000B0A41" w:rsidRPr="00C97502">
        <w:rPr>
          <w:color w:val="000080"/>
        </w:rPr>
        <w:t>pilonidal</w:t>
      </w:r>
      <w:proofErr w:type="spellEnd"/>
      <w:r w:rsidR="000B0A41" w:rsidRPr="00C97502">
        <w:rPr>
          <w:color w:val="000080"/>
        </w:rPr>
        <w:t xml:space="preserve"> cyst was not coded.  </w:t>
      </w:r>
      <w:r w:rsidR="00AD6913" w:rsidRPr="00C97502">
        <w:rPr>
          <w:color w:val="000080"/>
        </w:rPr>
        <w:t xml:space="preserve">Although it was not identified </w:t>
      </w:r>
      <w:r w:rsidR="00CB0479" w:rsidRPr="00C97502">
        <w:rPr>
          <w:color w:val="000080"/>
        </w:rPr>
        <w:t>specifically</w:t>
      </w:r>
      <w:r w:rsidR="00AD6913" w:rsidRPr="00C97502">
        <w:rPr>
          <w:color w:val="000080"/>
        </w:rPr>
        <w:t xml:space="preserve"> in the NARSUM, there is evidence that the CI was being treated for borderline hypertension in the service.  This received a 10% rating from the VA, but asymptomatic uncomplicated hypertension cannot be linked to fitness for additional rating at separation.  There were no additional conditions noted in the Commander’s statement or in the physical profile.  Right ankle and right </w:t>
      </w:r>
      <w:r w:rsidR="00CB0479" w:rsidRPr="00C97502">
        <w:rPr>
          <w:color w:val="000080"/>
        </w:rPr>
        <w:t>shoulder conditions</w:t>
      </w:r>
      <w:r w:rsidR="00AD6913" w:rsidRPr="00C97502">
        <w:rPr>
          <w:color w:val="000080"/>
        </w:rPr>
        <w:t xml:space="preserve"> were rated by the VA at </w:t>
      </w:r>
      <w:r w:rsidR="00CB0479" w:rsidRPr="00C97502">
        <w:rPr>
          <w:color w:val="000080"/>
        </w:rPr>
        <w:t>separation</w:t>
      </w:r>
      <w:r w:rsidR="00AD6913" w:rsidRPr="00C97502">
        <w:rPr>
          <w:color w:val="000080"/>
        </w:rPr>
        <w:t xml:space="preserve">, but the Board does not have the authority under </w:t>
      </w:r>
      <w:proofErr w:type="spellStart"/>
      <w:r w:rsidR="00AD6913" w:rsidRPr="00C97502">
        <w:rPr>
          <w:color w:val="000080"/>
        </w:rPr>
        <w:t>DoDI</w:t>
      </w:r>
      <w:proofErr w:type="spellEnd"/>
      <w:r w:rsidR="00AD6913" w:rsidRPr="00C97502">
        <w:rPr>
          <w:color w:val="000080"/>
        </w:rPr>
        <w:t xml:space="preserve"> 6040.44 to render fitness or rating recommendations for any conditions not considered by the </w:t>
      </w:r>
      <w:r w:rsidR="00427792">
        <w:rPr>
          <w:color w:val="000080"/>
        </w:rPr>
        <w:t>Disability Evaluation System (</w:t>
      </w:r>
      <w:r w:rsidR="00AD6913" w:rsidRPr="00C97502">
        <w:rPr>
          <w:color w:val="000080"/>
        </w:rPr>
        <w:t>DES</w:t>
      </w:r>
      <w:r w:rsidR="00427792">
        <w:rPr>
          <w:color w:val="000080"/>
        </w:rPr>
        <w:t>)</w:t>
      </w:r>
      <w:r w:rsidR="00AD6913" w:rsidRPr="00C97502">
        <w:rPr>
          <w:color w:val="000080"/>
        </w:rPr>
        <w:t xml:space="preserve">.  The ankle and shoulder conditions and any contended conditions not covered above remain eligible for </w:t>
      </w:r>
      <w:r w:rsidR="00427792" w:rsidRPr="00427792">
        <w:rPr>
          <w:color w:val="000080"/>
        </w:rPr>
        <w:t xml:space="preserve">Army Board for Correction of Military Records </w:t>
      </w:r>
      <w:r w:rsidR="00427792">
        <w:rPr>
          <w:color w:val="000080"/>
        </w:rPr>
        <w:t>(</w:t>
      </w:r>
      <w:r w:rsidR="00AD6913" w:rsidRPr="00C97502">
        <w:rPr>
          <w:color w:val="000080"/>
        </w:rPr>
        <w:t>ABMCR</w:t>
      </w:r>
      <w:r w:rsidR="00427792">
        <w:rPr>
          <w:color w:val="000080"/>
        </w:rPr>
        <w:t>)</w:t>
      </w:r>
      <w:r w:rsidR="00AD6913" w:rsidRPr="00C97502">
        <w:rPr>
          <w:color w:val="000080"/>
        </w:rPr>
        <w:t xml:space="preserve"> consideration. </w:t>
      </w:r>
      <w:r w:rsidR="00AD6913">
        <w:rPr>
          <w:rFonts w:asciiTheme="minorHAnsi" w:eastAsiaTheme="minorHAnsi" w:hAnsiTheme="minorHAnsi"/>
          <w:color w:val="auto"/>
          <w:szCs w:val="24"/>
        </w:rPr>
        <w:t xml:space="preserve"> </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276DD4" w:rsidRPr="00C97502" w:rsidRDefault="00C56FC8" w:rsidP="00C97502">
      <w:pPr>
        <w:tabs>
          <w:tab w:val="left" w:pos="288"/>
          <w:tab w:val="left" w:pos="4752"/>
        </w:tabs>
        <w:spacing w:line="240" w:lineRule="exact"/>
        <w:jc w:val="both"/>
        <w:rPr>
          <w:color w:val="000080"/>
        </w:rPr>
      </w:pPr>
      <w:r w:rsidRPr="00C97502">
        <w:rPr>
          <w:color w:val="000080"/>
          <w:u w:val="single"/>
        </w:rPr>
        <w:t>BOARD FINDINGS</w:t>
      </w:r>
      <w:r w:rsidRPr="00C97502">
        <w:rPr>
          <w:color w:val="000080"/>
        </w:rPr>
        <w:t xml:space="preserve">:  IAW </w:t>
      </w:r>
      <w:proofErr w:type="spellStart"/>
      <w:r w:rsidRPr="00C97502">
        <w:rPr>
          <w:color w:val="000080"/>
        </w:rPr>
        <w:t>DoDI</w:t>
      </w:r>
      <w:proofErr w:type="spellEnd"/>
      <w:r w:rsidRPr="00C97502">
        <w:rPr>
          <w:color w:val="000080"/>
        </w:rPr>
        <w:t xml:space="preserve"> 6040.44, provisions of </w:t>
      </w:r>
      <w:proofErr w:type="spellStart"/>
      <w:r w:rsidRPr="00C97502">
        <w:rPr>
          <w:color w:val="000080"/>
        </w:rPr>
        <w:t>DoD</w:t>
      </w:r>
      <w:proofErr w:type="spellEnd"/>
      <w:r w:rsidRPr="00C97502">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C97502">
        <w:rPr>
          <w:color w:val="000080"/>
        </w:rPr>
        <w:t xml:space="preserve"> </w:t>
      </w:r>
      <w:r w:rsidR="00AD6913" w:rsidRPr="00C97502">
        <w:rPr>
          <w:color w:val="000080"/>
        </w:rPr>
        <w:t xml:space="preserve">As discussed above, PEB reliance on </w:t>
      </w:r>
      <w:r w:rsidR="00276DD4" w:rsidRPr="00C97502">
        <w:rPr>
          <w:color w:val="000080"/>
        </w:rPr>
        <w:t xml:space="preserve">AR 40-501 and by extension </w:t>
      </w:r>
      <w:proofErr w:type="spellStart"/>
      <w:r w:rsidR="00276DD4" w:rsidRPr="00C97502">
        <w:rPr>
          <w:color w:val="000080"/>
        </w:rPr>
        <w:t>DoDI</w:t>
      </w:r>
      <w:proofErr w:type="spellEnd"/>
      <w:r w:rsidR="00276DD4" w:rsidRPr="00C97502">
        <w:rPr>
          <w:color w:val="000080"/>
        </w:rPr>
        <w:t xml:space="preserve"> 1332.39</w:t>
      </w:r>
      <w:r w:rsidR="00AD6913" w:rsidRPr="00C97502">
        <w:rPr>
          <w:color w:val="000080"/>
        </w:rPr>
        <w:t xml:space="preserve"> for rating </w:t>
      </w:r>
      <w:r w:rsidR="00276DD4" w:rsidRPr="00C97502">
        <w:rPr>
          <w:color w:val="000080"/>
        </w:rPr>
        <w:t>PTSD</w:t>
      </w:r>
      <w:r w:rsidR="00AD6913" w:rsidRPr="00C97502">
        <w:rPr>
          <w:color w:val="000080"/>
        </w:rPr>
        <w:t xml:space="preserve"> was operant in this case and the condition was adjudicated independently of that regulation </w:t>
      </w:r>
      <w:r w:rsidR="00CB0479" w:rsidRPr="00C97502">
        <w:rPr>
          <w:color w:val="000080"/>
        </w:rPr>
        <w:t xml:space="preserve">and instruction </w:t>
      </w:r>
      <w:r w:rsidR="00AD6913" w:rsidRPr="00C97502">
        <w:rPr>
          <w:color w:val="000080"/>
        </w:rPr>
        <w:t xml:space="preserve">by the Board. </w:t>
      </w:r>
      <w:r w:rsidR="00276DD4" w:rsidRPr="00C97502">
        <w:rPr>
          <w:color w:val="000080"/>
        </w:rPr>
        <w:t xml:space="preserve"> In the matter of the PTSD condition, the Board unanimously recommends an initial TDRL rating of 50% in retroactive compliance with VASRD §4.129 as DOD directed; and a 50% permanent rating at 6 months IAW VASRD §4.130.  In the matter of the </w:t>
      </w:r>
      <w:r w:rsidR="008512E8" w:rsidRPr="00C97502">
        <w:rPr>
          <w:color w:val="000080"/>
        </w:rPr>
        <w:t xml:space="preserve">toe fracture, </w:t>
      </w:r>
      <w:proofErr w:type="spellStart"/>
      <w:r w:rsidR="008512E8" w:rsidRPr="00C97502">
        <w:rPr>
          <w:color w:val="000080"/>
        </w:rPr>
        <w:t>pilonidal</w:t>
      </w:r>
      <w:proofErr w:type="spellEnd"/>
      <w:r w:rsidR="008512E8" w:rsidRPr="00C97502">
        <w:rPr>
          <w:color w:val="000080"/>
        </w:rPr>
        <w:t xml:space="preserve"> cyst</w:t>
      </w:r>
      <w:r w:rsidR="00276DD4" w:rsidRPr="00C97502">
        <w:rPr>
          <w:color w:val="000080"/>
        </w:rPr>
        <w:t xml:space="preserve">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8512E8" w:rsidRPr="00C97502" w:rsidRDefault="00C56FC8" w:rsidP="00C97502">
      <w:pPr>
        <w:tabs>
          <w:tab w:val="left" w:pos="288"/>
          <w:tab w:val="left" w:pos="4752"/>
        </w:tabs>
        <w:spacing w:line="240" w:lineRule="exact"/>
        <w:jc w:val="both"/>
        <w:rPr>
          <w:color w:val="000080"/>
        </w:rPr>
      </w:pPr>
      <w:r w:rsidRPr="00C97502">
        <w:rPr>
          <w:color w:val="000080"/>
          <w:u w:val="single"/>
        </w:rPr>
        <w:t>RECOMMENDATION</w:t>
      </w:r>
      <w:r w:rsidRPr="00C97502">
        <w:rPr>
          <w:color w:val="000080"/>
        </w:rPr>
        <w:t xml:space="preserve">: </w:t>
      </w:r>
      <w:r w:rsidR="008512E8" w:rsidRPr="00C97502">
        <w:rPr>
          <w:color w:val="000080"/>
        </w:rPr>
        <w:t xml:space="preserve">The Board recommends that the CI’s prior determination be modified as follows; TDRL at 50% for 6 months following CI’s prior medical separation (PTSD at minimum of 50% IAW §4.129 and </w:t>
      </w:r>
      <w:proofErr w:type="spellStart"/>
      <w:proofErr w:type="gramStart"/>
      <w:r w:rsidR="008512E8" w:rsidRPr="00C97502">
        <w:rPr>
          <w:color w:val="000080"/>
        </w:rPr>
        <w:t>DoD</w:t>
      </w:r>
      <w:proofErr w:type="spellEnd"/>
      <w:proofErr w:type="gramEnd"/>
      <w:r w:rsidR="008512E8" w:rsidRPr="00C97502">
        <w:rPr>
          <w:color w:val="000080"/>
        </w:rPr>
        <w:t xml:space="preserve"> direction) and then a permanent 50% disability retirement as below.</w:t>
      </w:r>
    </w:p>
    <w:p w:rsidR="008512E8" w:rsidRDefault="008512E8" w:rsidP="008512E8">
      <w:pPr>
        <w:tabs>
          <w:tab w:val="left" w:pos="288"/>
          <w:tab w:val="left" w:pos="4752"/>
        </w:tabs>
        <w:spacing w:line="240" w:lineRule="exact"/>
        <w:jc w:val="both"/>
        <w:rPr>
          <w:rFonts w:asciiTheme="minorHAnsi" w:hAnsiTheme="minorHAnsi"/>
          <w:color w:val="FF000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BF45B7" w:rsidRPr="00FB7355" w:rsidTr="00852E21">
        <w:tc>
          <w:tcPr>
            <w:tcW w:w="4950" w:type="dxa"/>
            <w:shd w:val="clear" w:color="auto" w:fill="D9D9D9"/>
          </w:tcPr>
          <w:p w:rsidR="00BF45B7" w:rsidRPr="003543FF" w:rsidRDefault="00BF45B7" w:rsidP="00852E21">
            <w:pPr>
              <w:tabs>
                <w:tab w:val="left" w:pos="288"/>
                <w:tab w:val="left" w:pos="4752"/>
              </w:tabs>
              <w:spacing w:line="240" w:lineRule="exact"/>
              <w:jc w:val="center"/>
              <w:rPr>
                <w:b/>
                <w:color w:val="000080"/>
                <w:szCs w:val="24"/>
              </w:rPr>
            </w:pPr>
            <w:r>
              <w:rPr>
                <w:b/>
                <w:color w:val="000080"/>
                <w:szCs w:val="24"/>
              </w:rPr>
              <w:t>UNFITTING CONDITION</w:t>
            </w:r>
          </w:p>
        </w:tc>
        <w:tc>
          <w:tcPr>
            <w:tcW w:w="1710" w:type="dxa"/>
            <w:shd w:val="clear" w:color="auto" w:fill="D9D9D9"/>
          </w:tcPr>
          <w:p w:rsidR="00BF45B7" w:rsidRPr="003543FF" w:rsidRDefault="00BF45B7" w:rsidP="00852E21">
            <w:pPr>
              <w:tabs>
                <w:tab w:val="left" w:pos="288"/>
                <w:tab w:val="left" w:pos="4752"/>
              </w:tabs>
              <w:spacing w:line="240" w:lineRule="exact"/>
              <w:jc w:val="center"/>
              <w:rPr>
                <w:b/>
                <w:color w:val="000080"/>
                <w:szCs w:val="24"/>
              </w:rPr>
            </w:pPr>
            <w:r w:rsidRPr="003543FF">
              <w:rPr>
                <w:b/>
                <w:color w:val="000080"/>
                <w:szCs w:val="24"/>
              </w:rPr>
              <w:t>VASRD C</w:t>
            </w:r>
            <w:r>
              <w:rPr>
                <w:b/>
                <w:color w:val="000080"/>
                <w:szCs w:val="24"/>
              </w:rPr>
              <w:t>ODE</w:t>
            </w:r>
          </w:p>
        </w:tc>
        <w:tc>
          <w:tcPr>
            <w:tcW w:w="1170" w:type="dxa"/>
            <w:shd w:val="clear" w:color="auto" w:fill="D9D9D9"/>
          </w:tcPr>
          <w:p w:rsidR="00BF45B7" w:rsidRPr="003543FF" w:rsidRDefault="00BF45B7" w:rsidP="00852E21">
            <w:pPr>
              <w:tabs>
                <w:tab w:val="left" w:pos="288"/>
                <w:tab w:val="left" w:pos="4752"/>
              </w:tabs>
              <w:spacing w:line="240" w:lineRule="exact"/>
              <w:jc w:val="center"/>
              <w:rPr>
                <w:b/>
                <w:color w:val="000080"/>
                <w:szCs w:val="24"/>
              </w:rPr>
            </w:pPr>
            <w:r w:rsidRPr="003543FF">
              <w:rPr>
                <w:b/>
                <w:color w:val="000080"/>
                <w:szCs w:val="24"/>
              </w:rPr>
              <w:t>TDRL R</w:t>
            </w:r>
            <w:r>
              <w:rPr>
                <w:b/>
                <w:color w:val="000080"/>
                <w:szCs w:val="24"/>
              </w:rPr>
              <w:t>ATING</w:t>
            </w:r>
          </w:p>
        </w:tc>
        <w:tc>
          <w:tcPr>
            <w:tcW w:w="1530" w:type="dxa"/>
            <w:shd w:val="pct15" w:color="auto" w:fill="auto"/>
          </w:tcPr>
          <w:p w:rsidR="00BF45B7" w:rsidRPr="003543FF" w:rsidRDefault="00BF45B7" w:rsidP="00852E21">
            <w:pPr>
              <w:tabs>
                <w:tab w:val="left" w:pos="288"/>
                <w:tab w:val="left" w:pos="4752"/>
              </w:tabs>
              <w:spacing w:line="240" w:lineRule="exact"/>
              <w:jc w:val="center"/>
              <w:rPr>
                <w:b/>
                <w:color w:val="000080"/>
                <w:szCs w:val="24"/>
              </w:rPr>
            </w:pPr>
            <w:r w:rsidRPr="003543FF">
              <w:rPr>
                <w:b/>
                <w:color w:val="000080"/>
                <w:szCs w:val="24"/>
              </w:rPr>
              <w:t>P</w:t>
            </w:r>
            <w:r>
              <w:rPr>
                <w:b/>
                <w:color w:val="000080"/>
                <w:szCs w:val="24"/>
              </w:rPr>
              <w:t>ERMANENT</w:t>
            </w:r>
          </w:p>
          <w:p w:rsidR="00BF45B7" w:rsidRPr="003543FF" w:rsidRDefault="00BF45B7" w:rsidP="00852E21">
            <w:pPr>
              <w:tabs>
                <w:tab w:val="left" w:pos="288"/>
                <w:tab w:val="left" w:pos="4752"/>
              </w:tabs>
              <w:spacing w:line="240" w:lineRule="exact"/>
              <w:jc w:val="center"/>
              <w:rPr>
                <w:b/>
                <w:color w:val="000080"/>
                <w:szCs w:val="24"/>
              </w:rPr>
            </w:pPr>
            <w:r w:rsidRPr="003543FF">
              <w:rPr>
                <w:b/>
                <w:color w:val="000080"/>
                <w:szCs w:val="24"/>
              </w:rPr>
              <w:t>R</w:t>
            </w:r>
            <w:r>
              <w:rPr>
                <w:b/>
                <w:color w:val="000080"/>
                <w:szCs w:val="24"/>
              </w:rPr>
              <w:t>ATING</w:t>
            </w:r>
          </w:p>
        </w:tc>
      </w:tr>
      <w:tr w:rsidR="00BF45B7" w:rsidRPr="00FB7355" w:rsidTr="00852E21">
        <w:trPr>
          <w:trHeight w:val="305"/>
        </w:trPr>
        <w:tc>
          <w:tcPr>
            <w:tcW w:w="4950" w:type="dxa"/>
          </w:tcPr>
          <w:p w:rsidR="00BF45B7" w:rsidRPr="0043503A" w:rsidRDefault="00BF45B7" w:rsidP="00852E21">
            <w:pPr>
              <w:tabs>
                <w:tab w:val="left" w:pos="288"/>
                <w:tab w:val="left" w:pos="4752"/>
              </w:tabs>
              <w:spacing w:before="20" w:after="20" w:line="240" w:lineRule="exact"/>
              <w:rPr>
                <w:color w:val="000080"/>
                <w:szCs w:val="24"/>
              </w:rPr>
            </w:pPr>
            <w:r w:rsidRPr="0043503A">
              <w:rPr>
                <w:color w:val="000080"/>
                <w:szCs w:val="24"/>
              </w:rPr>
              <w:t>P</w:t>
            </w:r>
            <w:r>
              <w:rPr>
                <w:color w:val="000080"/>
                <w:szCs w:val="24"/>
              </w:rPr>
              <w:t>ost-Traumatic Stress Disorder</w:t>
            </w:r>
          </w:p>
        </w:tc>
        <w:tc>
          <w:tcPr>
            <w:tcW w:w="1710" w:type="dxa"/>
            <w:tcBorders>
              <w:bottom w:val="single" w:sz="4" w:space="0" w:color="000000"/>
            </w:tcBorders>
          </w:tcPr>
          <w:p w:rsidR="00BF45B7" w:rsidRPr="0043503A" w:rsidRDefault="00BF45B7" w:rsidP="00852E21">
            <w:pPr>
              <w:tabs>
                <w:tab w:val="left" w:pos="288"/>
                <w:tab w:val="left" w:pos="4752"/>
              </w:tabs>
              <w:spacing w:before="20" w:after="20" w:line="240" w:lineRule="exact"/>
              <w:jc w:val="center"/>
              <w:rPr>
                <w:color w:val="000080"/>
                <w:szCs w:val="24"/>
              </w:rPr>
            </w:pPr>
            <w:r w:rsidRPr="0043503A">
              <w:rPr>
                <w:color w:val="000080"/>
                <w:szCs w:val="24"/>
              </w:rPr>
              <w:t>9411</w:t>
            </w:r>
          </w:p>
        </w:tc>
        <w:tc>
          <w:tcPr>
            <w:tcW w:w="1170" w:type="dxa"/>
            <w:tcBorders>
              <w:bottom w:val="single" w:sz="4" w:space="0" w:color="000000"/>
            </w:tcBorders>
          </w:tcPr>
          <w:p w:rsidR="00BF45B7" w:rsidRPr="0043503A" w:rsidRDefault="00BF45B7" w:rsidP="00852E21">
            <w:pPr>
              <w:tabs>
                <w:tab w:val="left" w:pos="288"/>
                <w:tab w:val="left" w:pos="4752"/>
              </w:tabs>
              <w:spacing w:before="20" w:after="20" w:line="240" w:lineRule="exact"/>
              <w:jc w:val="center"/>
              <w:rPr>
                <w:color w:val="000080"/>
                <w:szCs w:val="24"/>
              </w:rPr>
            </w:pPr>
            <w:r>
              <w:rPr>
                <w:color w:val="000080"/>
                <w:szCs w:val="24"/>
              </w:rPr>
              <w:t>50</w:t>
            </w:r>
            <w:r w:rsidRPr="0043503A">
              <w:rPr>
                <w:color w:val="000080"/>
                <w:szCs w:val="24"/>
              </w:rPr>
              <w:t>%</w:t>
            </w:r>
          </w:p>
        </w:tc>
        <w:tc>
          <w:tcPr>
            <w:tcW w:w="1530" w:type="dxa"/>
            <w:tcBorders>
              <w:bottom w:val="single" w:sz="4" w:space="0" w:color="000000"/>
            </w:tcBorders>
          </w:tcPr>
          <w:p w:rsidR="00BF45B7" w:rsidRPr="0043503A" w:rsidRDefault="00BF45B7" w:rsidP="00852E21">
            <w:pPr>
              <w:tabs>
                <w:tab w:val="left" w:pos="288"/>
                <w:tab w:val="left" w:pos="4752"/>
              </w:tabs>
              <w:spacing w:before="20" w:after="20" w:line="240" w:lineRule="exact"/>
              <w:jc w:val="center"/>
              <w:rPr>
                <w:color w:val="000080"/>
                <w:szCs w:val="24"/>
              </w:rPr>
            </w:pPr>
            <w:r>
              <w:rPr>
                <w:color w:val="000080"/>
                <w:szCs w:val="24"/>
              </w:rPr>
              <w:t>50</w:t>
            </w:r>
            <w:r w:rsidRPr="0043503A">
              <w:rPr>
                <w:color w:val="000080"/>
                <w:szCs w:val="24"/>
              </w:rPr>
              <w:t>%</w:t>
            </w:r>
          </w:p>
        </w:tc>
      </w:tr>
      <w:tr w:rsidR="00BF45B7" w:rsidRPr="00FB7355" w:rsidTr="00852E21">
        <w:tblPrEx>
          <w:tblLook w:val="0000"/>
        </w:tblPrEx>
        <w:trPr>
          <w:gridBefore w:val="1"/>
          <w:wBefore w:w="4950" w:type="dxa"/>
          <w:trHeight w:val="350"/>
        </w:trPr>
        <w:tc>
          <w:tcPr>
            <w:tcW w:w="1710" w:type="dxa"/>
            <w:tcBorders>
              <w:left w:val="single" w:sz="4" w:space="0" w:color="auto"/>
            </w:tcBorders>
            <w:shd w:val="pct15" w:color="auto" w:fill="auto"/>
          </w:tcPr>
          <w:p w:rsidR="00BF45B7" w:rsidRPr="003543FF" w:rsidRDefault="00BF45B7" w:rsidP="00852E21">
            <w:pPr>
              <w:tabs>
                <w:tab w:val="left" w:pos="288"/>
                <w:tab w:val="left" w:pos="4752"/>
              </w:tabs>
              <w:spacing w:before="60" w:line="240" w:lineRule="exact"/>
              <w:jc w:val="center"/>
              <w:rPr>
                <w:b/>
                <w:color w:val="000080"/>
                <w:szCs w:val="24"/>
              </w:rPr>
            </w:pPr>
            <w:r w:rsidRPr="003543FF">
              <w:rPr>
                <w:b/>
                <w:color w:val="000080"/>
                <w:szCs w:val="24"/>
              </w:rPr>
              <w:t>COMBINED</w:t>
            </w:r>
          </w:p>
        </w:tc>
        <w:tc>
          <w:tcPr>
            <w:tcW w:w="1170" w:type="dxa"/>
            <w:tcBorders>
              <w:left w:val="single" w:sz="4" w:space="0" w:color="auto"/>
            </w:tcBorders>
            <w:shd w:val="pct15" w:color="auto" w:fill="auto"/>
          </w:tcPr>
          <w:p w:rsidR="00BF45B7" w:rsidRPr="004C5A6C" w:rsidRDefault="00BF45B7" w:rsidP="00852E21">
            <w:pPr>
              <w:tabs>
                <w:tab w:val="left" w:pos="288"/>
                <w:tab w:val="left" w:pos="4752"/>
              </w:tabs>
              <w:spacing w:before="60" w:line="240" w:lineRule="exact"/>
              <w:jc w:val="center"/>
              <w:rPr>
                <w:b/>
                <w:color w:val="000080"/>
                <w:szCs w:val="24"/>
              </w:rPr>
            </w:pPr>
            <w:r>
              <w:rPr>
                <w:b/>
                <w:color w:val="000080"/>
                <w:szCs w:val="24"/>
              </w:rPr>
              <w:t>50</w:t>
            </w:r>
            <w:r w:rsidRPr="004C5A6C">
              <w:rPr>
                <w:b/>
                <w:color w:val="000080"/>
                <w:szCs w:val="24"/>
              </w:rPr>
              <w:t>%</w:t>
            </w:r>
          </w:p>
        </w:tc>
        <w:tc>
          <w:tcPr>
            <w:tcW w:w="1530" w:type="dxa"/>
            <w:shd w:val="pct15" w:color="auto" w:fill="auto"/>
          </w:tcPr>
          <w:p w:rsidR="00BF45B7" w:rsidRPr="004C5A6C" w:rsidRDefault="00BF45B7" w:rsidP="00852E21">
            <w:pPr>
              <w:tabs>
                <w:tab w:val="left" w:pos="288"/>
                <w:tab w:val="left" w:pos="4752"/>
              </w:tabs>
              <w:spacing w:before="60" w:line="240" w:lineRule="exact"/>
              <w:jc w:val="center"/>
              <w:rPr>
                <w:b/>
                <w:color w:val="000080"/>
                <w:szCs w:val="24"/>
              </w:rPr>
            </w:pPr>
            <w:r>
              <w:rPr>
                <w:b/>
                <w:color w:val="000080"/>
                <w:szCs w:val="24"/>
              </w:rPr>
              <w:t>50</w:t>
            </w:r>
            <w:r w:rsidRPr="004C5A6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737A61" w:rsidRDefault="00737A61">
      <w:pPr>
        <w:rPr>
          <w:color w:val="000080"/>
        </w:rPr>
      </w:pPr>
      <w:r>
        <w:rPr>
          <w:color w:val="000080"/>
        </w:rPr>
        <w:br w:type="page"/>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5E015B">
        <w:rPr>
          <w:color w:val="000080"/>
        </w:rPr>
        <w:t>0331</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7F602A" w:rsidRDefault="007F602A">
      <w:pPr>
        <w:rPr>
          <w:rFonts w:asciiTheme="minorHAnsi" w:hAnsiTheme="minorHAnsi"/>
          <w:color w:val="000080"/>
          <w:szCs w:val="24"/>
        </w:rPr>
      </w:pPr>
      <w:r>
        <w:rPr>
          <w:rFonts w:asciiTheme="minorHAnsi" w:hAnsiTheme="minorHAnsi"/>
          <w:color w:val="000080"/>
          <w:szCs w:val="24"/>
        </w:rPr>
        <w:br w:type="page"/>
      </w:r>
    </w:p>
    <w:p w:rsidR="007F602A" w:rsidRDefault="007F602A" w:rsidP="007F602A">
      <w:pPr>
        <w:pStyle w:val="Default"/>
        <w:framePr w:w="15032" w:wrap="auto" w:vAnchor="page" w:hAnchor="page" w:x="1" w:y="1"/>
      </w:pPr>
      <w:r>
        <w:rPr>
          <w:noProof/>
        </w:rPr>
        <w:lastRenderedPageBreak/>
        <w:drawing>
          <wp:inline distT="0" distB="0" distL="0" distR="0">
            <wp:extent cx="7751445" cy="1068578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51445" cy="10685780"/>
                    </a:xfrm>
                    <a:prstGeom prst="rect">
                      <a:avLst/>
                    </a:prstGeom>
                    <a:noFill/>
                    <a:ln w="9525">
                      <a:noFill/>
                      <a:miter lim="800000"/>
                      <a:headEnd/>
                      <a:tailEnd/>
                    </a:ln>
                  </pic:spPr>
                </pic:pic>
              </a:graphicData>
            </a:graphic>
          </wp:inline>
        </w:drawing>
      </w:r>
    </w:p>
    <w:p w:rsidR="000379D0" w:rsidRPr="000E0993" w:rsidRDefault="000379D0" w:rsidP="00E4251C">
      <w:pPr>
        <w:rPr>
          <w:rFonts w:asciiTheme="minorHAnsi" w:hAnsiTheme="minorHAnsi"/>
          <w:color w:val="000080"/>
          <w:szCs w:val="24"/>
        </w:rPr>
      </w:pPr>
    </w:p>
    <w:sectPr w:rsidR="000379D0" w:rsidRPr="000E099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4EB" w:rsidRDefault="00ED54EB">
      <w:r>
        <w:separator/>
      </w:r>
    </w:p>
  </w:endnote>
  <w:endnote w:type="continuationSeparator" w:id="0">
    <w:p w:rsidR="00ED54EB" w:rsidRDefault="00ED54EB">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1082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1082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7F602A">
      <w:rPr>
        <w:rStyle w:val="PageNumber"/>
        <w:noProof/>
      </w:rPr>
      <w:t>7</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5E015B">
      <w:rPr>
        <w:caps/>
        <w:color w:val="000080"/>
      </w:rPr>
      <w:t>276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4EB" w:rsidRDefault="00ED54EB">
      <w:r>
        <w:separator/>
      </w:r>
    </w:p>
  </w:footnote>
  <w:footnote w:type="continuationSeparator" w:id="0">
    <w:p w:rsidR="00ED54EB" w:rsidRDefault="00ED54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11297"/>
  </w:hdrShapeDefaults>
  <w:footnotePr>
    <w:numRestart w:val="eachSect"/>
    <w:footnote w:id="-1"/>
    <w:footnote w:id="0"/>
  </w:footnotePr>
  <w:endnotePr>
    <w:endnote w:id="-1"/>
    <w:endnote w:id="0"/>
  </w:endnotePr>
  <w:compat/>
  <w:rsids>
    <w:rsidRoot w:val="001C28D1"/>
    <w:rsid w:val="000059FA"/>
    <w:rsid w:val="00006F87"/>
    <w:rsid w:val="00010ABA"/>
    <w:rsid w:val="00013417"/>
    <w:rsid w:val="000145C2"/>
    <w:rsid w:val="0001473F"/>
    <w:rsid w:val="00023D43"/>
    <w:rsid w:val="0003374E"/>
    <w:rsid w:val="000344E6"/>
    <w:rsid w:val="00035C3A"/>
    <w:rsid w:val="000379D0"/>
    <w:rsid w:val="00040FC4"/>
    <w:rsid w:val="000416F8"/>
    <w:rsid w:val="00051622"/>
    <w:rsid w:val="00053D7C"/>
    <w:rsid w:val="000577C9"/>
    <w:rsid w:val="00060150"/>
    <w:rsid w:val="0006431E"/>
    <w:rsid w:val="00065315"/>
    <w:rsid w:val="00072433"/>
    <w:rsid w:val="00085769"/>
    <w:rsid w:val="0008708B"/>
    <w:rsid w:val="00094E4F"/>
    <w:rsid w:val="000A0B1F"/>
    <w:rsid w:val="000A0C1E"/>
    <w:rsid w:val="000A2BCE"/>
    <w:rsid w:val="000A41E3"/>
    <w:rsid w:val="000A4BBA"/>
    <w:rsid w:val="000A5071"/>
    <w:rsid w:val="000B0A41"/>
    <w:rsid w:val="000B7D1D"/>
    <w:rsid w:val="000C3C13"/>
    <w:rsid w:val="000C5813"/>
    <w:rsid w:val="000C7DE4"/>
    <w:rsid w:val="000D15E7"/>
    <w:rsid w:val="000D21C7"/>
    <w:rsid w:val="000D248A"/>
    <w:rsid w:val="000D43F9"/>
    <w:rsid w:val="000D4717"/>
    <w:rsid w:val="000D6457"/>
    <w:rsid w:val="000D7D55"/>
    <w:rsid w:val="000E0993"/>
    <w:rsid w:val="000E4A46"/>
    <w:rsid w:val="000F02BE"/>
    <w:rsid w:val="000F427B"/>
    <w:rsid w:val="00103CCF"/>
    <w:rsid w:val="0010417F"/>
    <w:rsid w:val="001042D2"/>
    <w:rsid w:val="0010530E"/>
    <w:rsid w:val="001103CD"/>
    <w:rsid w:val="00114F20"/>
    <w:rsid w:val="001219DF"/>
    <w:rsid w:val="001231DC"/>
    <w:rsid w:val="001315DD"/>
    <w:rsid w:val="00132F17"/>
    <w:rsid w:val="00135385"/>
    <w:rsid w:val="001364D1"/>
    <w:rsid w:val="001541C5"/>
    <w:rsid w:val="0015623F"/>
    <w:rsid w:val="00157F07"/>
    <w:rsid w:val="00166182"/>
    <w:rsid w:val="00177659"/>
    <w:rsid w:val="001779E5"/>
    <w:rsid w:val="00182A4C"/>
    <w:rsid w:val="00183F77"/>
    <w:rsid w:val="00185ECB"/>
    <w:rsid w:val="001921A0"/>
    <w:rsid w:val="0019273F"/>
    <w:rsid w:val="00193AD5"/>
    <w:rsid w:val="00194930"/>
    <w:rsid w:val="001A7538"/>
    <w:rsid w:val="001B4917"/>
    <w:rsid w:val="001B5B59"/>
    <w:rsid w:val="001C181A"/>
    <w:rsid w:val="001C2053"/>
    <w:rsid w:val="001C28D1"/>
    <w:rsid w:val="001C5CFC"/>
    <w:rsid w:val="001C7418"/>
    <w:rsid w:val="001D0051"/>
    <w:rsid w:val="001D2224"/>
    <w:rsid w:val="001D68CF"/>
    <w:rsid w:val="001D6A8C"/>
    <w:rsid w:val="001D7A56"/>
    <w:rsid w:val="001E035A"/>
    <w:rsid w:val="001E18E0"/>
    <w:rsid w:val="001E18E2"/>
    <w:rsid w:val="00202736"/>
    <w:rsid w:val="002060B6"/>
    <w:rsid w:val="00216049"/>
    <w:rsid w:val="00217C09"/>
    <w:rsid w:val="00225196"/>
    <w:rsid w:val="00225CB4"/>
    <w:rsid w:val="0023049F"/>
    <w:rsid w:val="00232C9B"/>
    <w:rsid w:val="00232F09"/>
    <w:rsid w:val="002335D5"/>
    <w:rsid w:val="002338CA"/>
    <w:rsid w:val="00233FE5"/>
    <w:rsid w:val="0023451C"/>
    <w:rsid w:val="0024174E"/>
    <w:rsid w:val="0024227D"/>
    <w:rsid w:val="00245DB2"/>
    <w:rsid w:val="00246860"/>
    <w:rsid w:val="00246DFF"/>
    <w:rsid w:val="00246E89"/>
    <w:rsid w:val="0025183C"/>
    <w:rsid w:val="002528EC"/>
    <w:rsid w:val="00255049"/>
    <w:rsid w:val="00260531"/>
    <w:rsid w:val="0026318D"/>
    <w:rsid w:val="00270864"/>
    <w:rsid w:val="0027159C"/>
    <w:rsid w:val="00274549"/>
    <w:rsid w:val="00274E46"/>
    <w:rsid w:val="00276C86"/>
    <w:rsid w:val="00276DD4"/>
    <w:rsid w:val="002A3237"/>
    <w:rsid w:val="002A72C7"/>
    <w:rsid w:val="002B03B2"/>
    <w:rsid w:val="002B0749"/>
    <w:rsid w:val="002B2645"/>
    <w:rsid w:val="002C6E5B"/>
    <w:rsid w:val="002D18B4"/>
    <w:rsid w:val="002D33CB"/>
    <w:rsid w:val="002E1877"/>
    <w:rsid w:val="002E1C31"/>
    <w:rsid w:val="002E333A"/>
    <w:rsid w:val="002E3474"/>
    <w:rsid w:val="002E49C3"/>
    <w:rsid w:val="002E7570"/>
    <w:rsid w:val="002E764B"/>
    <w:rsid w:val="002F0E28"/>
    <w:rsid w:val="002F287E"/>
    <w:rsid w:val="002F2D63"/>
    <w:rsid w:val="002F7F81"/>
    <w:rsid w:val="0030678B"/>
    <w:rsid w:val="00310CD7"/>
    <w:rsid w:val="00323E70"/>
    <w:rsid w:val="00325F59"/>
    <w:rsid w:val="003320E8"/>
    <w:rsid w:val="0033555E"/>
    <w:rsid w:val="00337351"/>
    <w:rsid w:val="00341A54"/>
    <w:rsid w:val="00351498"/>
    <w:rsid w:val="0036319E"/>
    <w:rsid w:val="003632A4"/>
    <w:rsid w:val="00363362"/>
    <w:rsid w:val="00370EF5"/>
    <w:rsid w:val="00372251"/>
    <w:rsid w:val="0037520D"/>
    <w:rsid w:val="0037628C"/>
    <w:rsid w:val="00377BD2"/>
    <w:rsid w:val="003821E1"/>
    <w:rsid w:val="00384866"/>
    <w:rsid w:val="003857D4"/>
    <w:rsid w:val="00385D6F"/>
    <w:rsid w:val="00387095"/>
    <w:rsid w:val="00390092"/>
    <w:rsid w:val="00393651"/>
    <w:rsid w:val="003A41BA"/>
    <w:rsid w:val="003A6A99"/>
    <w:rsid w:val="003B227A"/>
    <w:rsid w:val="003D2BA3"/>
    <w:rsid w:val="003D3C22"/>
    <w:rsid w:val="003D676E"/>
    <w:rsid w:val="003D7089"/>
    <w:rsid w:val="003D7DDB"/>
    <w:rsid w:val="003E02C7"/>
    <w:rsid w:val="003E0543"/>
    <w:rsid w:val="003E0B5A"/>
    <w:rsid w:val="003E31E3"/>
    <w:rsid w:val="003F58B0"/>
    <w:rsid w:val="004007E9"/>
    <w:rsid w:val="00401825"/>
    <w:rsid w:val="00401BBC"/>
    <w:rsid w:val="00403BFB"/>
    <w:rsid w:val="00404B45"/>
    <w:rsid w:val="00406CC5"/>
    <w:rsid w:val="004074A4"/>
    <w:rsid w:val="004101B2"/>
    <w:rsid w:val="004123D7"/>
    <w:rsid w:val="004172DB"/>
    <w:rsid w:val="00422B75"/>
    <w:rsid w:val="00427792"/>
    <w:rsid w:val="00433F36"/>
    <w:rsid w:val="0043503A"/>
    <w:rsid w:val="00436677"/>
    <w:rsid w:val="00437EE4"/>
    <w:rsid w:val="0044384F"/>
    <w:rsid w:val="00446018"/>
    <w:rsid w:val="004543BC"/>
    <w:rsid w:val="0045645D"/>
    <w:rsid w:val="004574C6"/>
    <w:rsid w:val="00457BCF"/>
    <w:rsid w:val="00460E3F"/>
    <w:rsid w:val="00467592"/>
    <w:rsid w:val="004718E7"/>
    <w:rsid w:val="004761CC"/>
    <w:rsid w:val="00481DA1"/>
    <w:rsid w:val="00495350"/>
    <w:rsid w:val="004A24D2"/>
    <w:rsid w:val="004A4136"/>
    <w:rsid w:val="004A417B"/>
    <w:rsid w:val="004B03F3"/>
    <w:rsid w:val="004B6AF3"/>
    <w:rsid w:val="004B715E"/>
    <w:rsid w:val="004B7169"/>
    <w:rsid w:val="004B79C9"/>
    <w:rsid w:val="004C5E33"/>
    <w:rsid w:val="004C6CDA"/>
    <w:rsid w:val="004D10D4"/>
    <w:rsid w:val="004D6F2B"/>
    <w:rsid w:val="004E0248"/>
    <w:rsid w:val="004E32EA"/>
    <w:rsid w:val="004F3BFA"/>
    <w:rsid w:val="004F48A7"/>
    <w:rsid w:val="00510588"/>
    <w:rsid w:val="0051146C"/>
    <w:rsid w:val="005222E7"/>
    <w:rsid w:val="00523E04"/>
    <w:rsid w:val="0052590B"/>
    <w:rsid w:val="00526591"/>
    <w:rsid w:val="00527178"/>
    <w:rsid w:val="005350A5"/>
    <w:rsid w:val="00536379"/>
    <w:rsid w:val="005400C5"/>
    <w:rsid w:val="00540BEF"/>
    <w:rsid w:val="005436C2"/>
    <w:rsid w:val="0055288D"/>
    <w:rsid w:val="00555259"/>
    <w:rsid w:val="005602FC"/>
    <w:rsid w:val="00560D57"/>
    <w:rsid w:val="00562A94"/>
    <w:rsid w:val="005710A9"/>
    <w:rsid w:val="00580E03"/>
    <w:rsid w:val="00593043"/>
    <w:rsid w:val="005A258C"/>
    <w:rsid w:val="005A3560"/>
    <w:rsid w:val="005A6C99"/>
    <w:rsid w:val="005B011A"/>
    <w:rsid w:val="005B1D8F"/>
    <w:rsid w:val="005E015B"/>
    <w:rsid w:val="005F1115"/>
    <w:rsid w:val="005F27F2"/>
    <w:rsid w:val="005F424D"/>
    <w:rsid w:val="00604B57"/>
    <w:rsid w:val="00606BEB"/>
    <w:rsid w:val="00613E26"/>
    <w:rsid w:val="00615641"/>
    <w:rsid w:val="00624D0C"/>
    <w:rsid w:val="006307BA"/>
    <w:rsid w:val="00634C4A"/>
    <w:rsid w:val="006418C9"/>
    <w:rsid w:val="0064345F"/>
    <w:rsid w:val="00645046"/>
    <w:rsid w:val="00645EA2"/>
    <w:rsid w:val="00650E82"/>
    <w:rsid w:val="00662F08"/>
    <w:rsid w:val="00663589"/>
    <w:rsid w:val="00670DDC"/>
    <w:rsid w:val="0067443B"/>
    <w:rsid w:val="00684E2B"/>
    <w:rsid w:val="00690FDA"/>
    <w:rsid w:val="00694EEA"/>
    <w:rsid w:val="006955B4"/>
    <w:rsid w:val="00696476"/>
    <w:rsid w:val="006A10FA"/>
    <w:rsid w:val="006A40E6"/>
    <w:rsid w:val="006A5C07"/>
    <w:rsid w:val="006A75FA"/>
    <w:rsid w:val="006B07D5"/>
    <w:rsid w:val="006B1309"/>
    <w:rsid w:val="006B5923"/>
    <w:rsid w:val="006B6C14"/>
    <w:rsid w:val="006C3A68"/>
    <w:rsid w:val="006C6AB1"/>
    <w:rsid w:val="006D2D39"/>
    <w:rsid w:val="006D6607"/>
    <w:rsid w:val="006E06D1"/>
    <w:rsid w:val="006E2DC8"/>
    <w:rsid w:val="006E7356"/>
    <w:rsid w:val="006E77C8"/>
    <w:rsid w:val="006F149D"/>
    <w:rsid w:val="006F1A46"/>
    <w:rsid w:val="006F5A4E"/>
    <w:rsid w:val="00702143"/>
    <w:rsid w:val="00703B6C"/>
    <w:rsid w:val="00706BEF"/>
    <w:rsid w:val="007116BC"/>
    <w:rsid w:val="007165CE"/>
    <w:rsid w:val="00720968"/>
    <w:rsid w:val="00721D12"/>
    <w:rsid w:val="00721F8B"/>
    <w:rsid w:val="0073254D"/>
    <w:rsid w:val="00736A49"/>
    <w:rsid w:val="00737A61"/>
    <w:rsid w:val="00743C2D"/>
    <w:rsid w:val="00744EBB"/>
    <w:rsid w:val="00746AE2"/>
    <w:rsid w:val="00750C82"/>
    <w:rsid w:val="0076100C"/>
    <w:rsid w:val="007651ED"/>
    <w:rsid w:val="00766C87"/>
    <w:rsid w:val="00781BD4"/>
    <w:rsid w:val="00784832"/>
    <w:rsid w:val="00785D77"/>
    <w:rsid w:val="00786111"/>
    <w:rsid w:val="00791F1E"/>
    <w:rsid w:val="00794F3D"/>
    <w:rsid w:val="007A065C"/>
    <w:rsid w:val="007A0B39"/>
    <w:rsid w:val="007A14A4"/>
    <w:rsid w:val="007A168F"/>
    <w:rsid w:val="007A28E4"/>
    <w:rsid w:val="007A3BB3"/>
    <w:rsid w:val="007A5AD1"/>
    <w:rsid w:val="007A5B7B"/>
    <w:rsid w:val="007B0A06"/>
    <w:rsid w:val="007B5C5C"/>
    <w:rsid w:val="007B7C41"/>
    <w:rsid w:val="007C433E"/>
    <w:rsid w:val="007D0292"/>
    <w:rsid w:val="007D21AC"/>
    <w:rsid w:val="007D2F83"/>
    <w:rsid w:val="007D568A"/>
    <w:rsid w:val="007D574E"/>
    <w:rsid w:val="007E2046"/>
    <w:rsid w:val="007E4FBB"/>
    <w:rsid w:val="007E55BF"/>
    <w:rsid w:val="007E76F7"/>
    <w:rsid w:val="007E7B4E"/>
    <w:rsid w:val="007F0CE2"/>
    <w:rsid w:val="007F0EFF"/>
    <w:rsid w:val="007F1375"/>
    <w:rsid w:val="007F602A"/>
    <w:rsid w:val="00803850"/>
    <w:rsid w:val="00805AFD"/>
    <w:rsid w:val="00811D5B"/>
    <w:rsid w:val="00817713"/>
    <w:rsid w:val="00830999"/>
    <w:rsid w:val="00830D5E"/>
    <w:rsid w:val="00830F69"/>
    <w:rsid w:val="00834458"/>
    <w:rsid w:val="00835841"/>
    <w:rsid w:val="00837465"/>
    <w:rsid w:val="00841457"/>
    <w:rsid w:val="0084374E"/>
    <w:rsid w:val="00844842"/>
    <w:rsid w:val="008512E8"/>
    <w:rsid w:val="0085206E"/>
    <w:rsid w:val="00852AD4"/>
    <w:rsid w:val="00852BA8"/>
    <w:rsid w:val="00853718"/>
    <w:rsid w:val="008541EF"/>
    <w:rsid w:val="00856FA4"/>
    <w:rsid w:val="0086162B"/>
    <w:rsid w:val="00865207"/>
    <w:rsid w:val="008656A7"/>
    <w:rsid w:val="00871262"/>
    <w:rsid w:val="00871D4E"/>
    <w:rsid w:val="00875B51"/>
    <w:rsid w:val="00875F2D"/>
    <w:rsid w:val="008764DC"/>
    <w:rsid w:val="00883930"/>
    <w:rsid w:val="00896535"/>
    <w:rsid w:val="00896683"/>
    <w:rsid w:val="008A63A9"/>
    <w:rsid w:val="008B04DB"/>
    <w:rsid w:val="008B48EF"/>
    <w:rsid w:val="008B515D"/>
    <w:rsid w:val="008B5D31"/>
    <w:rsid w:val="008B6705"/>
    <w:rsid w:val="008D7B07"/>
    <w:rsid w:val="008E2D99"/>
    <w:rsid w:val="008E4A60"/>
    <w:rsid w:val="009026E8"/>
    <w:rsid w:val="00906EB7"/>
    <w:rsid w:val="009102BF"/>
    <w:rsid w:val="00910823"/>
    <w:rsid w:val="00914ADB"/>
    <w:rsid w:val="00923B25"/>
    <w:rsid w:val="0092402E"/>
    <w:rsid w:val="00942645"/>
    <w:rsid w:val="00950A3A"/>
    <w:rsid w:val="0095340A"/>
    <w:rsid w:val="00954581"/>
    <w:rsid w:val="0095466C"/>
    <w:rsid w:val="0096168C"/>
    <w:rsid w:val="00961840"/>
    <w:rsid w:val="0096194B"/>
    <w:rsid w:val="00962F2D"/>
    <w:rsid w:val="009672CD"/>
    <w:rsid w:val="00972805"/>
    <w:rsid w:val="00972996"/>
    <w:rsid w:val="009732B8"/>
    <w:rsid w:val="00976869"/>
    <w:rsid w:val="00977740"/>
    <w:rsid w:val="00977CB4"/>
    <w:rsid w:val="00981283"/>
    <w:rsid w:val="00985099"/>
    <w:rsid w:val="0099421F"/>
    <w:rsid w:val="009A0DE3"/>
    <w:rsid w:val="009A4F1B"/>
    <w:rsid w:val="009A79BA"/>
    <w:rsid w:val="009B1534"/>
    <w:rsid w:val="009B69D3"/>
    <w:rsid w:val="009B7BA7"/>
    <w:rsid w:val="009C0938"/>
    <w:rsid w:val="009C3F82"/>
    <w:rsid w:val="009C72DD"/>
    <w:rsid w:val="009C7DF5"/>
    <w:rsid w:val="009D056C"/>
    <w:rsid w:val="009D060F"/>
    <w:rsid w:val="009D1ADE"/>
    <w:rsid w:val="009E09D0"/>
    <w:rsid w:val="009E1283"/>
    <w:rsid w:val="009E13CA"/>
    <w:rsid w:val="009F7809"/>
    <w:rsid w:val="009F7AF5"/>
    <w:rsid w:val="00A00D14"/>
    <w:rsid w:val="00A01408"/>
    <w:rsid w:val="00A02457"/>
    <w:rsid w:val="00A0404B"/>
    <w:rsid w:val="00A1105B"/>
    <w:rsid w:val="00A15B6B"/>
    <w:rsid w:val="00A16876"/>
    <w:rsid w:val="00A200AA"/>
    <w:rsid w:val="00A2186F"/>
    <w:rsid w:val="00A2270B"/>
    <w:rsid w:val="00A2496E"/>
    <w:rsid w:val="00A258B7"/>
    <w:rsid w:val="00A32743"/>
    <w:rsid w:val="00A414A9"/>
    <w:rsid w:val="00A47CF1"/>
    <w:rsid w:val="00A50418"/>
    <w:rsid w:val="00A56D26"/>
    <w:rsid w:val="00A608FB"/>
    <w:rsid w:val="00A65C78"/>
    <w:rsid w:val="00A70E7B"/>
    <w:rsid w:val="00A73B84"/>
    <w:rsid w:val="00A76094"/>
    <w:rsid w:val="00A768E2"/>
    <w:rsid w:val="00A82C52"/>
    <w:rsid w:val="00A86CB6"/>
    <w:rsid w:val="00A90D55"/>
    <w:rsid w:val="00A961EE"/>
    <w:rsid w:val="00AA04B3"/>
    <w:rsid w:val="00AA493E"/>
    <w:rsid w:val="00AA73AF"/>
    <w:rsid w:val="00AB1754"/>
    <w:rsid w:val="00AC439D"/>
    <w:rsid w:val="00AD067E"/>
    <w:rsid w:val="00AD68C5"/>
    <w:rsid w:val="00AD6913"/>
    <w:rsid w:val="00AE2D29"/>
    <w:rsid w:val="00AE407E"/>
    <w:rsid w:val="00AE4624"/>
    <w:rsid w:val="00AE5E14"/>
    <w:rsid w:val="00AF4FA5"/>
    <w:rsid w:val="00B15D30"/>
    <w:rsid w:val="00B23436"/>
    <w:rsid w:val="00B32179"/>
    <w:rsid w:val="00B331A9"/>
    <w:rsid w:val="00B40A3E"/>
    <w:rsid w:val="00B50227"/>
    <w:rsid w:val="00B522CD"/>
    <w:rsid w:val="00B55333"/>
    <w:rsid w:val="00B55917"/>
    <w:rsid w:val="00B64DD6"/>
    <w:rsid w:val="00B72303"/>
    <w:rsid w:val="00B82277"/>
    <w:rsid w:val="00B901C6"/>
    <w:rsid w:val="00B91676"/>
    <w:rsid w:val="00B95833"/>
    <w:rsid w:val="00BA2D98"/>
    <w:rsid w:val="00BA30D1"/>
    <w:rsid w:val="00BA4609"/>
    <w:rsid w:val="00BA5BE2"/>
    <w:rsid w:val="00BA7F46"/>
    <w:rsid w:val="00BB0A0A"/>
    <w:rsid w:val="00BB45B5"/>
    <w:rsid w:val="00BB6064"/>
    <w:rsid w:val="00BC09D1"/>
    <w:rsid w:val="00BD40AB"/>
    <w:rsid w:val="00BD6806"/>
    <w:rsid w:val="00BD7831"/>
    <w:rsid w:val="00BD7C10"/>
    <w:rsid w:val="00BE0DEB"/>
    <w:rsid w:val="00BE2FC1"/>
    <w:rsid w:val="00BE6365"/>
    <w:rsid w:val="00BF0B7F"/>
    <w:rsid w:val="00BF45B7"/>
    <w:rsid w:val="00BF4720"/>
    <w:rsid w:val="00C03581"/>
    <w:rsid w:val="00C038EC"/>
    <w:rsid w:val="00C13B34"/>
    <w:rsid w:val="00C1713D"/>
    <w:rsid w:val="00C177F1"/>
    <w:rsid w:val="00C25978"/>
    <w:rsid w:val="00C261C6"/>
    <w:rsid w:val="00C30A97"/>
    <w:rsid w:val="00C31DDC"/>
    <w:rsid w:val="00C34326"/>
    <w:rsid w:val="00C36201"/>
    <w:rsid w:val="00C368E8"/>
    <w:rsid w:val="00C42CBA"/>
    <w:rsid w:val="00C5019E"/>
    <w:rsid w:val="00C53E8A"/>
    <w:rsid w:val="00C54DF3"/>
    <w:rsid w:val="00C560A7"/>
    <w:rsid w:val="00C56FC8"/>
    <w:rsid w:val="00C60F23"/>
    <w:rsid w:val="00C62EB2"/>
    <w:rsid w:val="00C70BD0"/>
    <w:rsid w:val="00C71BEC"/>
    <w:rsid w:val="00C80511"/>
    <w:rsid w:val="00C826F5"/>
    <w:rsid w:val="00C83740"/>
    <w:rsid w:val="00C84AD1"/>
    <w:rsid w:val="00C85579"/>
    <w:rsid w:val="00C931FC"/>
    <w:rsid w:val="00C932C5"/>
    <w:rsid w:val="00C9650E"/>
    <w:rsid w:val="00C97502"/>
    <w:rsid w:val="00CA068D"/>
    <w:rsid w:val="00CA282D"/>
    <w:rsid w:val="00CA4670"/>
    <w:rsid w:val="00CA6B1A"/>
    <w:rsid w:val="00CB0479"/>
    <w:rsid w:val="00CB20DC"/>
    <w:rsid w:val="00CB23DC"/>
    <w:rsid w:val="00CB28E2"/>
    <w:rsid w:val="00CB7FF7"/>
    <w:rsid w:val="00CC19B3"/>
    <w:rsid w:val="00CC2044"/>
    <w:rsid w:val="00CC69EC"/>
    <w:rsid w:val="00CD15BE"/>
    <w:rsid w:val="00CD34C7"/>
    <w:rsid w:val="00CD63C8"/>
    <w:rsid w:val="00CF158D"/>
    <w:rsid w:val="00CF4394"/>
    <w:rsid w:val="00CF6CD3"/>
    <w:rsid w:val="00D14BAE"/>
    <w:rsid w:val="00D1648B"/>
    <w:rsid w:val="00D16819"/>
    <w:rsid w:val="00D17482"/>
    <w:rsid w:val="00D20AC0"/>
    <w:rsid w:val="00D214D4"/>
    <w:rsid w:val="00D336C8"/>
    <w:rsid w:val="00D339E8"/>
    <w:rsid w:val="00D40B1F"/>
    <w:rsid w:val="00D40D75"/>
    <w:rsid w:val="00D50C8C"/>
    <w:rsid w:val="00D52393"/>
    <w:rsid w:val="00D53F14"/>
    <w:rsid w:val="00D54BE4"/>
    <w:rsid w:val="00D60483"/>
    <w:rsid w:val="00D63577"/>
    <w:rsid w:val="00D67FD7"/>
    <w:rsid w:val="00D74261"/>
    <w:rsid w:val="00D76AB2"/>
    <w:rsid w:val="00D829AD"/>
    <w:rsid w:val="00D82EE2"/>
    <w:rsid w:val="00D8545C"/>
    <w:rsid w:val="00D87788"/>
    <w:rsid w:val="00D877C8"/>
    <w:rsid w:val="00D910C2"/>
    <w:rsid w:val="00D9168C"/>
    <w:rsid w:val="00D9189B"/>
    <w:rsid w:val="00D91DA6"/>
    <w:rsid w:val="00D972D4"/>
    <w:rsid w:val="00DA195B"/>
    <w:rsid w:val="00DB0015"/>
    <w:rsid w:val="00DB2AAD"/>
    <w:rsid w:val="00DB6365"/>
    <w:rsid w:val="00DB6EFC"/>
    <w:rsid w:val="00DC0BF1"/>
    <w:rsid w:val="00DC12E8"/>
    <w:rsid w:val="00DC41C3"/>
    <w:rsid w:val="00DD3593"/>
    <w:rsid w:val="00DE6952"/>
    <w:rsid w:val="00DE7E74"/>
    <w:rsid w:val="00DF2B63"/>
    <w:rsid w:val="00E00A69"/>
    <w:rsid w:val="00E017F0"/>
    <w:rsid w:val="00E041E4"/>
    <w:rsid w:val="00E103C8"/>
    <w:rsid w:val="00E1085B"/>
    <w:rsid w:val="00E14581"/>
    <w:rsid w:val="00E15539"/>
    <w:rsid w:val="00E16541"/>
    <w:rsid w:val="00E2632B"/>
    <w:rsid w:val="00E405EA"/>
    <w:rsid w:val="00E408B7"/>
    <w:rsid w:val="00E4251C"/>
    <w:rsid w:val="00E42789"/>
    <w:rsid w:val="00E43F59"/>
    <w:rsid w:val="00E464F0"/>
    <w:rsid w:val="00E50BEB"/>
    <w:rsid w:val="00E511FE"/>
    <w:rsid w:val="00E6092F"/>
    <w:rsid w:val="00E629DA"/>
    <w:rsid w:val="00E738CB"/>
    <w:rsid w:val="00E81C3E"/>
    <w:rsid w:val="00E82B6D"/>
    <w:rsid w:val="00E9319F"/>
    <w:rsid w:val="00EA1177"/>
    <w:rsid w:val="00EA11B6"/>
    <w:rsid w:val="00EA2181"/>
    <w:rsid w:val="00EA2DD8"/>
    <w:rsid w:val="00EA4475"/>
    <w:rsid w:val="00EA681F"/>
    <w:rsid w:val="00EB2BFD"/>
    <w:rsid w:val="00EB3823"/>
    <w:rsid w:val="00EB47D8"/>
    <w:rsid w:val="00EB4D3B"/>
    <w:rsid w:val="00EB76E4"/>
    <w:rsid w:val="00EC0E65"/>
    <w:rsid w:val="00EC50C9"/>
    <w:rsid w:val="00EC5BB2"/>
    <w:rsid w:val="00ED54EB"/>
    <w:rsid w:val="00ED664B"/>
    <w:rsid w:val="00EE048C"/>
    <w:rsid w:val="00EE0B44"/>
    <w:rsid w:val="00EF4C74"/>
    <w:rsid w:val="00EF5268"/>
    <w:rsid w:val="00EF608E"/>
    <w:rsid w:val="00F00A91"/>
    <w:rsid w:val="00F05807"/>
    <w:rsid w:val="00F07052"/>
    <w:rsid w:val="00F0706C"/>
    <w:rsid w:val="00F11EBE"/>
    <w:rsid w:val="00F130D0"/>
    <w:rsid w:val="00F1516A"/>
    <w:rsid w:val="00F22A26"/>
    <w:rsid w:val="00F24072"/>
    <w:rsid w:val="00F240AF"/>
    <w:rsid w:val="00F26432"/>
    <w:rsid w:val="00F3197A"/>
    <w:rsid w:val="00F32139"/>
    <w:rsid w:val="00F34E08"/>
    <w:rsid w:val="00F41D91"/>
    <w:rsid w:val="00F42363"/>
    <w:rsid w:val="00F46964"/>
    <w:rsid w:val="00F5126A"/>
    <w:rsid w:val="00F54637"/>
    <w:rsid w:val="00F718A8"/>
    <w:rsid w:val="00F72183"/>
    <w:rsid w:val="00F76D01"/>
    <w:rsid w:val="00F82981"/>
    <w:rsid w:val="00F8311F"/>
    <w:rsid w:val="00F83248"/>
    <w:rsid w:val="00F853AE"/>
    <w:rsid w:val="00F93DCC"/>
    <w:rsid w:val="00F9435D"/>
    <w:rsid w:val="00FB593A"/>
    <w:rsid w:val="00FB6E82"/>
    <w:rsid w:val="00FC2A13"/>
    <w:rsid w:val="00FC3741"/>
    <w:rsid w:val="00FC4576"/>
    <w:rsid w:val="00FC7DBC"/>
    <w:rsid w:val="00FD076A"/>
    <w:rsid w:val="00FD1D5A"/>
    <w:rsid w:val="00FD5059"/>
    <w:rsid w:val="00FD554D"/>
    <w:rsid w:val="00FF0FF7"/>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7F602A"/>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68BF-E1EE-4139-B882-DBDE8987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1687</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8</cp:revision>
  <cp:lastPrinted>2010-03-31T14:09:00Z</cp:lastPrinted>
  <dcterms:created xsi:type="dcterms:W3CDTF">2010-03-29T14:57:00Z</dcterms:created>
  <dcterms:modified xsi:type="dcterms:W3CDTF">2012-02-07T18:38:00Z</dcterms:modified>
</cp:coreProperties>
</file>