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BC4644">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BC4644">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BC4644">
      <w:pPr>
        <w:tabs>
          <w:tab w:val="left" w:pos="288"/>
          <w:tab w:val="left" w:pos="4752"/>
        </w:tabs>
        <w:spacing w:line="240" w:lineRule="exact"/>
        <w:jc w:val="both"/>
        <w:rPr>
          <w:rFonts w:asciiTheme="minorHAnsi" w:hAnsiTheme="minorHAnsi"/>
          <w:caps/>
          <w:color w:val="auto"/>
        </w:rPr>
      </w:pPr>
    </w:p>
    <w:p w:rsidR="00540BEF" w:rsidRPr="00C35C35" w:rsidRDefault="00540BEF" w:rsidP="00BC4644">
      <w:pPr>
        <w:tabs>
          <w:tab w:val="left" w:pos="288"/>
          <w:tab w:val="left" w:pos="4752"/>
        </w:tabs>
        <w:spacing w:line="240" w:lineRule="exact"/>
        <w:ind w:right="-1260"/>
        <w:jc w:val="both"/>
        <w:rPr>
          <w:rFonts w:asciiTheme="minorHAnsi" w:hAnsiTheme="minorHAnsi"/>
          <w:caps/>
          <w:color w:val="auto"/>
        </w:rPr>
      </w:pPr>
      <w:r w:rsidRPr="00C35C35">
        <w:rPr>
          <w:rFonts w:asciiTheme="minorHAnsi" w:hAnsiTheme="minorHAnsi"/>
          <w:caps/>
          <w:color w:val="auto"/>
        </w:rPr>
        <w:t>NAME:</w:t>
      </w:r>
      <w:r w:rsidRPr="00C35C35">
        <w:rPr>
          <w:rFonts w:asciiTheme="minorHAnsi" w:hAnsiTheme="minorHAnsi"/>
          <w:caps/>
          <w:color w:val="auto"/>
        </w:rPr>
        <w:tab/>
      </w:r>
      <w:r w:rsidRPr="00C35C35">
        <w:rPr>
          <w:rFonts w:asciiTheme="minorHAnsi" w:hAnsiTheme="minorHAnsi"/>
          <w:caps/>
          <w:color w:val="auto"/>
        </w:rPr>
        <w:tab/>
        <w:t xml:space="preserve">BRANCH OF SERVICE: </w:t>
      </w:r>
      <w:r w:rsidR="000E0993" w:rsidRPr="00C35C35">
        <w:rPr>
          <w:rFonts w:asciiTheme="minorHAnsi" w:hAnsiTheme="minorHAnsi"/>
          <w:caps/>
          <w:color w:val="auto"/>
        </w:rPr>
        <w:t>ARMY</w:t>
      </w:r>
      <w:r w:rsidR="007E3883" w:rsidRPr="00C35C35">
        <w:rPr>
          <w:rFonts w:asciiTheme="minorHAnsi" w:hAnsiTheme="minorHAnsi"/>
          <w:caps/>
          <w:color w:val="auto"/>
        </w:rPr>
        <w:t xml:space="preserve"> </w:t>
      </w:r>
    </w:p>
    <w:p w:rsidR="00C1038F" w:rsidRDefault="00540BEF" w:rsidP="00BC4644">
      <w:pPr>
        <w:tabs>
          <w:tab w:val="left" w:pos="288"/>
          <w:tab w:val="left" w:pos="4752"/>
        </w:tabs>
        <w:spacing w:line="240" w:lineRule="exact"/>
        <w:ind w:right="-900"/>
        <w:jc w:val="both"/>
        <w:rPr>
          <w:rFonts w:asciiTheme="minorHAnsi" w:hAnsiTheme="minorHAnsi"/>
          <w:caps/>
          <w:color w:val="auto"/>
        </w:rPr>
      </w:pPr>
      <w:r w:rsidRPr="00C35C35">
        <w:rPr>
          <w:rFonts w:asciiTheme="minorHAnsi" w:hAnsiTheme="minorHAnsi"/>
          <w:caps/>
          <w:color w:val="auto"/>
        </w:rPr>
        <w:t>CASE NUMBER:  PD</w:t>
      </w:r>
      <w:r w:rsidR="00A16040" w:rsidRPr="00C35C35">
        <w:rPr>
          <w:rFonts w:asciiTheme="minorHAnsi" w:hAnsiTheme="minorHAnsi"/>
          <w:caps/>
          <w:color w:val="auto"/>
        </w:rPr>
        <w:t>09</w:t>
      </w:r>
      <w:r w:rsidR="00177693" w:rsidRPr="00C35C35">
        <w:rPr>
          <w:rFonts w:asciiTheme="minorHAnsi" w:hAnsiTheme="minorHAnsi"/>
          <w:caps/>
          <w:color w:val="auto"/>
        </w:rPr>
        <w:t>00264</w:t>
      </w:r>
      <w:r w:rsidRPr="00C35C35">
        <w:rPr>
          <w:rFonts w:asciiTheme="minorHAnsi" w:hAnsiTheme="minorHAnsi"/>
          <w:caps/>
          <w:color w:val="auto"/>
        </w:rPr>
        <w:tab/>
      </w:r>
      <w:r w:rsidRPr="00C35C35">
        <w:rPr>
          <w:rFonts w:asciiTheme="minorHAnsi" w:hAnsiTheme="minorHAnsi"/>
          <w:caps/>
          <w:color w:val="auto"/>
        </w:rPr>
        <w:tab/>
      </w:r>
      <w:r w:rsidR="00C1038F" w:rsidRPr="00C35C35">
        <w:rPr>
          <w:rFonts w:asciiTheme="minorHAnsi" w:hAnsiTheme="minorHAnsi"/>
          <w:caps/>
          <w:color w:val="auto"/>
        </w:rPr>
        <w:t xml:space="preserve">SEPARATION DATE: </w:t>
      </w:r>
      <w:r w:rsidR="00C1038F">
        <w:rPr>
          <w:rFonts w:asciiTheme="minorHAnsi" w:hAnsiTheme="minorHAnsi"/>
          <w:caps/>
          <w:color w:val="auto"/>
        </w:rPr>
        <w:t>20050614</w:t>
      </w:r>
    </w:p>
    <w:p w:rsidR="00CF6409" w:rsidRPr="00C35C35" w:rsidRDefault="003B6914" w:rsidP="00BC4644">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BOARD DATE: 20110120</w:t>
      </w:r>
    </w:p>
    <w:p w:rsidR="00540BEF" w:rsidRPr="00AC713F" w:rsidRDefault="00540BEF" w:rsidP="00C1038F">
      <w:pPr>
        <w:tabs>
          <w:tab w:val="left" w:pos="288"/>
          <w:tab w:val="left" w:pos="4752"/>
        </w:tabs>
        <w:spacing w:line="240" w:lineRule="exact"/>
        <w:ind w:right="-900"/>
        <w:jc w:val="both"/>
        <w:rPr>
          <w:rFonts w:asciiTheme="minorHAnsi" w:hAnsiTheme="minorHAnsi"/>
          <w:caps/>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r w:rsidR="00056060">
        <w:rPr>
          <w:rFonts w:asciiTheme="minorHAnsi" w:hAnsiTheme="minorHAnsi"/>
          <w:color w:val="auto"/>
        </w:rPr>
        <w:t>___</w:t>
      </w:r>
    </w:p>
    <w:p w:rsidR="00B522CD" w:rsidRPr="00D91DA6" w:rsidRDefault="00B522CD" w:rsidP="00BC4644">
      <w:pPr>
        <w:tabs>
          <w:tab w:val="left" w:pos="288"/>
          <w:tab w:val="left" w:pos="4752"/>
        </w:tabs>
        <w:spacing w:line="240" w:lineRule="exact"/>
        <w:rPr>
          <w:color w:val="000080"/>
        </w:rPr>
      </w:pPr>
    </w:p>
    <w:p w:rsidR="00B20624" w:rsidRPr="00AE3316" w:rsidRDefault="002C6E5B" w:rsidP="00BC4644">
      <w:pPr>
        <w:tabs>
          <w:tab w:val="left" w:pos="288"/>
          <w:tab w:val="left" w:pos="4752"/>
        </w:tabs>
        <w:spacing w:line="240" w:lineRule="exact"/>
        <w:jc w:val="both"/>
        <w:rPr>
          <w:rFonts w:ascii="Calibri" w:hAnsi="Calibri"/>
          <w:color w:val="auto"/>
          <w:szCs w:val="24"/>
        </w:rPr>
      </w:pPr>
      <w:r w:rsidRPr="00396446">
        <w:rPr>
          <w:rFonts w:ascii="Calibri" w:hAnsi="Calibri"/>
          <w:color w:val="auto"/>
          <w:u w:val="single"/>
        </w:rPr>
        <w:t>SUMMARY OF CASE</w:t>
      </w:r>
      <w:r w:rsidRPr="00396446">
        <w:rPr>
          <w:rFonts w:ascii="Calibri" w:hAnsi="Calibri"/>
          <w:color w:val="auto"/>
        </w:rPr>
        <w:t xml:space="preserve">:  </w:t>
      </w:r>
      <w:r w:rsidR="00396446" w:rsidRPr="00396446">
        <w:rPr>
          <w:rFonts w:ascii="Calibri" w:hAnsi="Calibri"/>
          <w:color w:val="auto"/>
        </w:rPr>
        <w:t xml:space="preserve">Data extracted from the available evidence of record reflects that this covered individual </w:t>
      </w:r>
      <w:r w:rsidRPr="00396446">
        <w:rPr>
          <w:rFonts w:ascii="Calibri" w:hAnsi="Calibri"/>
          <w:color w:val="auto"/>
          <w:szCs w:val="24"/>
        </w:rPr>
        <w:t xml:space="preserve">(CI) was </w:t>
      </w:r>
      <w:r w:rsidR="00C271F3" w:rsidRPr="00396446">
        <w:rPr>
          <w:rFonts w:ascii="Calibri" w:hAnsi="Calibri"/>
          <w:color w:val="auto"/>
          <w:szCs w:val="24"/>
        </w:rPr>
        <w:t>a</w:t>
      </w:r>
      <w:r w:rsidR="003B6914" w:rsidRPr="00396446">
        <w:rPr>
          <w:rFonts w:ascii="Calibri" w:hAnsi="Calibri"/>
          <w:color w:val="auto"/>
          <w:szCs w:val="24"/>
        </w:rPr>
        <w:t>n Army</w:t>
      </w:r>
      <w:r w:rsidR="00E322F7" w:rsidRPr="00396446">
        <w:rPr>
          <w:rFonts w:ascii="Calibri" w:hAnsi="Calibri"/>
          <w:color w:val="auto"/>
          <w:szCs w:val="24"/>
        </w:rPr>
        <w:t xml:space="preserve"> </w:t>
      </w:r>
      <w:r w:rsidR="006D4E0E" w:rsidRPr="00396446">
        <w:rPr>
          <w:rFonts w:ascii="Calibri" w:hAnsi="Calibri"/>
          <w:color w:val="auto"/>
          <w:szCs w:val="24"/>
        </w:rPr>
        <w:t xml:space="preserve">National Guard </w:t>
      </w:r>
      <w:r w:rsidR="00CD5164" w:rsidRPr="00396446">
        <w:rPr>
          <w:rFonts w:ascii="Calibri" w:hAnsi="Calibri"/>
          <w:color w:val="auto"/>
          <w:szCs w:val="24"/>
        </w:rPr>
        <w:t>SPC</w:t>
      </w:r>
      <w:r w:rsidR="00807C8D" w:rsidRPr="00396446">
        <w:rPr>
          <w:rFonts w:ascii="Calibri" w:hAnsi="Calibri"/>
          <w:color w:val="auto"/>
          <w:szCs w:val="24"/>
        </w:rPr>
        <w:t xml:space="preserve">/E-4 </w:t>
      </w:r>
      <w:r w:rsidR="009B7036" w:rsidRPr="00396446">
        <w:rPr>
          <w:rFonts w:ascii="Calibri" w:hAnsi="Calibri"/>
          <w:color w:val="auto"/>
          <w:szCs w:val="24"/>
        </w:rPr>
        <w:t>(</w:t>
      </w:r>
      <w:r w:rsidR="00396446">
        <w:rPr>
          <w:rFonts w:ascii="Calibri" w:hAnsi="Calibri"/>
          <w:color w:val="auto"/>
          <w:szCs w:val="24"/>
        </w:rPr>
        <w:t>42A, Human Resources</w:t>
      </w:r>
      <w:r w:rsidR="003357D9" w:rsidRPr="00396446">
        <w:rPr>
          <w:rFonts w:ascii="Calibri" w:hAnsi="Calibri"/>
          <w:color w:val="auto"/>
          <w:szCs w:val="24"/>
        </w:rPr>
        <w:t xml:space="preserve">) </w:t>
      </w:r>
      <w:r w:rsidRPr="00396446">
        <w:rPr>
          <w:rFonts w:ascii="Calibri" w:hAnsi="Calibri"/>
          <w:color w:val="auto"/>
          <w:szCs w:val="24"/>
        </w:rPr>
        <w:t xml:space="preserve">medically separated in </w:t>
      </w:r>
      <w:r w:rsidR="003B6914" w:rsidRPr="00396446">
        <w:rPr>
          <w:rFonts w:ascii="Calibri" w:hAnsi="Calibri"/>
          <w:color w:val="auto"/>
          <w:szCs w:val="24"/>
        </w:rPr>
        <w:t xml:space="preserve">June </w:t>
      </w:r>
      <w:r w:rsidRPr="00396446">
        <w:rPr>
          <w:rFonts w:ascii="Calibri" w:hAnsi="Calibri"/>
          <w:color w:val="auto"/>
          <w:szCs w:val="24"/>
        </w:rPr>
        <w:t>200</w:t>
      </w:r>
      <w:r w:rsidR="00CD5164" w:rsidRPr="00396446">
        <w:rPr>
          <w:rFonts w:ascii="Calibri" w:hAnsi="Calibri"/>
          <w:color w:val="auto"/>
          <w:szCs w:val="24"/>
        </w:rPr>
        <w:t>5</w:t>
      </w:r>
      <w:r w:rsidRPr="00396446">
        <w:rPr>
          <w:rFonts w:ascii="Calibri" w:hAnsi="Calibri"/>
          <w:color w:val="auto"/>
          <w:szCs w:val="24"/>
        </w:rPr>
        <w:t xml:space="preserve"> after </w:t>
      </w:r>
      <w:r w:rsidR="003B6914" w:rsidRPr="00396446">
        <w:rPr>
          <w:rFonts w:ascii="Calibri" w:hAnsi="Calibri"/>
          <w:color w:val="auto"/>
          <w:szCs w:val="24"/>
        </w:rPr>
        <w:t>5</w:t>
      </w:r>
      <w:r w:rsidR="00CD5164" w:rsidRPr="00396446">
        <w:rPr>
          <w:rFonts w:ascii="Calibri" w:hAnsi="Calibri"/>
          <w:color w:val="auto"/>
          <w:szCs w:val="24"/>
        </w:rPr>
        <w:t xml:space="preserve"> </w:t>
      </w:r>
      <w:r w:rsidRPr="00396446">
        <w:rPr>
          <w:rFonts w:ascii="Calibri" w:hAnsi="Calibri"/>
          <w:color w:val="auto"/>
          <w:szCs w:val="24"/>
        </w:rPr>
        <w:t>years of</w:t>
      </w:r>
      <w:r w:rsidR="003A40B4" w:rsidRPr="00396446">
        <w:rPr>
          <w:rFonts w:ascii="Calibri" w:hAnsi="Calibri"/>
          <w:color w:val="auto"/>
          <w:szCs w:val="24"/>
        </w:rPr>
        <w:t xml:space="preserve"> combined </w:t>
      </w:r>
      <w:r w:rsidR="009B7036" w:rsidRPr="00396446">
        <w:rPr>
          <w:rFonts w:ascii="Calibri" w:hAnsi="Calibri"/>
          <w:color w:val="auto"/>
          <w:szCs w:val="24"/>
        </w:rPr>
        <w:t>service</w:t>
      </w:r>
      <w:r w:rsidRPr="00396446">
        <w:rPr>
          <w:rFonts w:ascii="Calibri" w:hAnsi="Calibri"/>
          <w:color w:val="auto"/>
          <w:szCs w:val="24"/>
        </w:rPr>
        <w:t>.  The medical basis for separation was</w:t>
      </w:r>
      <w:r w:rsidR="006143A4" w:rsidRPr="00396446">
        <w:rPr>
          <w:rFonts w:ascii="Calibri" w:hAnsi="Calibri"/>
          <w:color w:val="auto"/>
          <w:szCs w:val="24"/>
        </w:rPr>
        <w:t xml:space="preserve"> Chronic Low Back Pain</w:t>
      </w:r>
      <w:r w:rsidR="00997F5E" w:rsidRPr="00396446">
        <w:rPr>
          <w:rFonts w:ascii="Calibri" w:hAnsi="Calibri"/>
          <w:color w:val="auto"/>
          <w:szCs w:val="24"/>
        </w:rPr>
        <w:t xml:space="preserve">.  </w:t>
      </w:r>
      <w:r w:rsidR="003D0CAB" w:rsidRPr="00396446">
        <w:rPr>
          <w:rFonts w:ascii="Calibri" w:hAnsi="Calibri"/>
          <w:color w:val="auto"/>
          <w:szCs w:val="24"/>
        </w:rPr>
        <w:t xml:space="preserve">The CI </w:t>
      </w:r>
      <w:r w:rsidR="002009C6">
        <w:rPr>
          <w:rFonts w:ascii="Calibri" w:hAnsi="Calibri"/>
          <w:color w:val="auto"/>
          <w:szCs w:val="24"/>
        </w:rPr>
        <w:t xml:space="preserve">injured his back in November 2003.  In spite of treatment (including back surgery), he </w:t>
      </w:r>
      <w:r w:rsidR="003D0CAB" w:rsidRPr="00396446">
        <w:rPr>
          <w:rFonts w:ascii="Calibri" w:hAnsi="Calibri"/>
          <w:color w:val="auto"/>
          <w:szCs w:val="24"/>
        </w:rPr>
        <w:t xml:space="preserve">did not respond adequately to </w:t>
      </w:r>
      <w:r w:rsidR="002009C6">
        <w:rPr>
          <w:rFonts w:ascii="Calibri" w:hAnsi="Calibri"/>
          <w:color w:val="auto"/>
          <w:szCs w:val="24"/>
        </w:rPr>
        <w:t xml:space="preserve">fully </w:t>
      </w:r>
      <w:r w:rsidR="003D0CAB" w:rsidRPr="00396446">
        <w:rPr>
          <w:rFonts w:ascii="Calibri" w:hAnsi="Calibri"/>
          <w:color w:val="auto"/>
          <w:szCs w:val="24"/>
        </w:rPr>
        <w:t>perform the duties of his military occupational specialty (MOS) or participate in the Army physical fitness test (APFT).  He was issued a permanent profile, and underwent a Medical Evaluation Board (MEB).</w:t>
      </w:r>
      <w:r w:rsidR="00D913A8" w:rsidRPr="00396446">
        <w:rPr>
          <w:rFonts w:ascii="Calibri" w:hAnsi="Calibri"/>
          <w:color w:val="auto"/>
          <w:szCs w:val="24"/>
        </w:rPr>
        <w:t xml:space="preserve">  </w:t>
      </w:r>
      <w:r w:rsidR="00056060" w:rsidRPr="00396446">
        <w:rPr>
          <w:rFonts w:ascii="Calibri" w:hAnsi="Calibri"/>
          <w:color w:val="auto"/>
          <w:szCs w:val="24"/>
        </w:rPr>
        <w:t>A</w:t>
      </w:r>
      <w:r w:rsidR="002009C6">
        <w:rPr>
          <w:rFonts w:ascii="Calibri" w:hAnsi="Calibri"/>
          <w:color w:val="auto"/>
          <w:szCs w:val="24"/>
        </w:rPr>
        <w:t>t the MEB, his back condition (</w:t>
      </w:r>
      <w:r w:rsidR="00301EE0">
        <w:rPr>
          <w:rFonts w:ascii="Calibri" w:hAnsi="Calibri"/>
          <w:color w:val="auto"/>
          <w:szCs w:val="24"/>
        </w:rPr>
        <w:t xml:space="preserve">Low back pain, </w:t>
      </w:r>
      <w:r w:rsidR="00566D74" w:rsidRPr="00396446">
        <w:rPr>
          <w:rFonts w:ascii="Calibri" w:hAnsi="Calibri"/>
          <w:color w:val="auto"/>
          <w:szCs w:val="24"/>
        </w:rPr>
        <w:t xml:space="preserve">Failed </w:t>
      </w:r>
      <w:r w:rsidR="00301EE0">
        <w:rPr>
          <w:rFonts w:ascii="Calibri" w:hAnsi="Calibri"/>
          <w:color w:val="auto"/>
          <w:szCs w:val="24"/>
        </w:rPr>
        <w:t>b</w:t>
      </w:r>
      <w:r w:rsidR="00566D74" w:rsidRPr="00396446">
        <w:rPr>
          <w:rFonts w:ascii="Calibri" w:hAnsi="Calibri"/>
          <w:color w:val="auto"/>
          <w:szCs w:val="24"/>
        </w:rPr>
        <w:t xml:space="preserve">ack </w:t>
      </w:r>
      <w:r w:rsidR="00301EE0">
        <w:rPr>
          <w:rFonts w:ascii="Calibri" w:hAnsi="Calibri"/>
          <w:color w:val="auto"/>
          <w:szCs w:val="24"/>
        </w:rPr>
        <w:t>s</w:t>
      </w:r>
      <w:r w:rsidR="00D913A8" w:rsidRPr="00396446">
        <w:rPr>
          <w:rFonts w:ascii="Calibri" w:hAnsi="Calibri"/>
          <w:color w:val="auto"/>
          <w:szCs w:val="24"/>
        </w:rPr>
        <w:t>yndrom</w:t>
      </w:r>
      <w:r w:rsidR="00CF60AF" w:rsidRPr="00396446">
        <w:rPr>
          <w:rFonts w:ascii="Calibri" w:hAnsi="Calibri"/>
          <w:color w:val="auto"/>
          <w:szCs w:val="24"/>
        </w:rPr>
        <w:t>e</w:t>
      </w:r>
      <w:r w:rsidR="001A6569" w:rsidRPr="00396446">
        <w:rPr>
          <w:rFonts w:ascii="Calibri" w:hAnsi="Calibri"/>
          <w:color w:val="auto"/>
          <w:szCs w:val="24"/>
        </w:rPr>
        <w:t xml:space="preserve">, </w:t>
      </w:r>
      <w:r w:rsidR="002009C6">
        <w:rPr>
          <w:rFonts w:ascii="Calibri" w:hAnsi="Calibri"/>
          <w:color w:val="auto"/>
          <w:szCs w:val="24"/>
        </w:rPr>
        <w:t>s</w:t>
      </w:r>
      <w:r w:rsidR="001A6569" w:rsidRPr="00396446">
        <w:rPr>
          <w:rFonts w:ascii="Calibri" w:hAnsi="Calibri"/>
          <w:color w:val="auto"/>
          <w:szCs w:val="24"/>
        </w:rPr>
        <w:t>tatus</w:t>
      </w:r>
      <w:r w:rsidR="002009C6">
        <w:rPr>
          <w:rFonts w:ascii="Calibri" w:hAnsi="Calibri"/>
          <w:color w:val="auto"/>
          <w:szCs w:val="24"/>
        </w:rPr>
        <w:t xml:space="preserve"> </w:t>
      </w:r>
      <w:r w:rsidR="001A6569" w:rsidRPr="00396446">
        <w:rPr>
          <w:rFonts w:ascii="Calibri" w:hAnsi="Calibri"/>
          <w:color w:val="auto"/>
          <w:szCs w:val="24"/>
        </w:rPr>
        <w:t xml:space="preserve">post Spinal </w:t>
      </w:r>
      <w:r w:rsidR="00301EE0">
        <w:rPr>
          <w:rFonts w:ascii="Calibri" w:hAnsi="Calibri"/>
          <w:color w:val="auto"/>
          <w:szCs w:val="24"/>
        </w:rPr>
        <w:t>f</w:t>
      </w:r>
      <w:r w:rsidR="001A6569" w:rsidRPr="00396446">
        <w:rPr>
          <w:rFonts w:ascii="Calibri" w:hAnsi="Calibri"/>
          <w:color w:val="auto"/>
          <w:szCs w:val="24"/>
        </w:rPr>
        <w:t>usion</w:t>
      </w:r>
      <w:r w:rsidR="002009C6">
        <w:rPr>
          <w:rFonts w:ascii="Calibri" w:hAnsi="Calibri"/>
          <w:color w:val="auto"/>
          <w:szCs w:val="24"/>
        </w:rPr>
        <w:t>)</w:t>
      </w:r>
      <w:r w:rsidR="001A6569" w:rsidRPr="00396446">
        <w:rPr>
          <w:rFonts w:ascii="Calibri" w:hAnsi="Calibri"/>
          <w:color w:val="auto"/>
          <w:szCs w:val="24"/>
        </w:rPr>
        <w:t xml:space="preserve"> </w:t>
      </w:r>
      <w:r w:rsidR="00CF60AF" w:rsidRPr="00396446">
        <w:rPr>
          <w:rFonts w:ascii="Calibri" w:hAnsi="Calibri"/>
          <w:color w:val="auto"/>
          <w:szCs w:val="24"/>
        </w:rPr>
        <w:t>was</w:t>
      </w:r>
      <w:r w:rsidR="00AE5E14" w:rsidRPr="00396446">
        <w:rPr>
          <w:rFonts w:ascii="Calibri" w:hAnsi="Calibri"/>
          <w:color w:val="auto"/>
          <w:szCs w:val="24"/>
        </w:rPr>
        <w:t xml:space="preserve"> fo</w:t>
      </w:r>
      <w:r w:rsidR="002009C6">
        <w:rPr>
          <w:rFonts w:ascii="Calibri" w:hAnsi="Calibri"/>
          <w:color w:val="auto"/>
          <w:szCs w:val="24"/>
        </w:rPr>
        <w:t xml:space="preserve">und </w:t>
      </w:r>
      <w:r w:rsidR="002009C6" w:rsidRPr="00396446">
        <w:rPr>
          <w:rFonts w:ascii="Calibri" w:hAnsi="Calibri"/>
          <w:color w:val="auto"/>
          <w:szCs w:val="24"/>
        </w:rPr>
        <w:t>medically unacceptable</w:t>
      </w:r>
      <w:r w:rsidR="002009C6">
        <w:rPr>
          <w:rFonts w:ascii="Calibri" w:hAnsi="Calibri"/>
          <w:color w:val="auto"/>
          <w:szCs w:val="24"/>
        </w:rPr>
        <w:t xml:space="preserve"> IAW </w:t>
      </w:r>
      <w:r w:rsidR="00790098" w:rsidRPr="004722AE">
        <w:rPr>
          <w:rFonts w:ascii="Calibri" w:hAnsi="Calibri"/>
          <w:color w:val="auto"/>
          <w:szCs w:val="24"/>
        </w:rPr>
        <w:t>AR 40-501</w:t>
      </w:r>
      <w:r w:rsidR="00301EE0">
        <w:rPr>
          <w:rFonts w:ascii="Calibri" w:hAnsi="Calibri"/>
          <w:color w:val="auto"/>
          <w:szCs w:val="24"/>
        </w:rPr>
        <w:t xml:space="preserve">.  The CI was referred to the </w:t>
      </w:r>
      <w:r w:rsidR="00D278AF">
        <w:rPr>
          <w:rFonts w:ascii="Calibri" w:hAnsi="Calibri"/>
          <w:color w:val="auto"/>
          <w:szCs w:val="24"/>
        </w:rPr>
        <w:t xml:space="preserve">Informal </w:t>
      </w:r>
      <w:r w:rsidR="00B20624" w:rsidRPr="00396446">
        <w:rPr>
          <w:rFonts w:ascii="Calibri" w:hAnsi="Calibri"/>
          <w:color w:val="auto"/>
          <w:szCs w:val="24"/>
        </w:rPr>
        <w:t>Physical Evaluation Board (</w:t>
      </w:r>
      <w:r w:rsidR="00D278AF">
        <w:rPr>
          <w:rFonts w:ascii="Calibri" w:hAnsi="Calibri"/>
          <w:color w:val="auto"/>
          <w:szCs w:val="24"/>
        </w:rPr>
        <w:t>I</w:t>
      </w:r>
      <w:r w:rsidR="00AE5E14" w:rsidRPr="00396446">
        <w:rPr>
          <w:rFonts w:ascii="Calibri" w:hAnsi="Calibri"/>
          <w:color w:val="auto"/>
          <w:szCs w:val="24"/>
        </w:rPr>
        <w:t>PEB</w:t>
      </w:r>
      <w:r w:rsidR="00B20624" w:rsidRPr="00396446">
        <w:rPr>
          <w:rFonts w:ascii="Calibri" w:hAnsi="Calibri"/>
          <w:color w:val="auto"/>
          <w:szCs w:val="24"/>
        </w:rPr>
        <w:t>)</w:t>
      </w:r>
      <w:r w:rsidR="00CF60AF" w:rsidRPr="00396446">
        <w:rPr>
          <w:rFonts w:ascii="Calibri" w:hAnsi="Calibri"/>
          <w:color w:val="auto"/>
          <w:szCs w:val="24"/>
        </w:rPr>
        <w:t xml:space="preserve">. </w:t>
      </w:r>
      <w:r w:rsidR="00790098">
        <w:rPr>
          <w:rFonts w:ascii="Calibri" w:hAnsi="Calibri"/>
          <w:color w:val="auto"/>
          <w:szCs w:val="24"/>
        </w:rPr>
        <w:t xml:space="preserve"> </w:t>
      </w:r>
      <w:r w:rsidR="00B20624" w:rsidRPr="00396446">
        <w:rPr>
          <w:rFonts w:ascii="Calibri" w:hAnsi="Calibri"/>
          <w:color w:val="auto"/>
          <w:szCs w:val="24"/>
        </w:rPr>
        <w:t xml:space="preserve">The </w:t>
      </w:r>
      <w:r w:rsidR="00D278AF">
        <w:rPr>
          <w:rFonts w:ascii="Calibri" w:hAnsi="Calibri"/>
          <w:color w:val="auto"/>
          <w:szCs w:val="24"/>
        </w:rPr>
        <w:t>I</w:t>
      </w:r>
      <w:r w:rsidR="00B20624" w:rsidRPr="00396446">
        <w:rPr>
          <w:rFonts w:ascii="Calibri" w:hAnsi="Calibri"/>
          <w:color w:val="auto"/>
          <w:szCs w:val="24"/>
        </w:rPr>
        <w:t xml:space="preserve">PEB adjudicated the </w:t>
      </w:r>
      <w:r w:rsidR="00CF60AF" w:rsidRPr="00396446">
        <w:rPr>
          <w:rFonts w:ascii="Calibri" w:hAnsi="Calibri"/>
          <w:color w:val="auto"/>
          <w:szCs w:val="24"/>
        </w:rPr>
        <w:t xml:space="preserve">Chronic Low Back Pain as </w:t>
      </w:r>
      <w:r w:rsidR="003D0CAB" w:rsidRPr="00396446">
        <w:rPr>
          <w:rFonts w:ascii="Calibri" w:hAnsi="Calibri"/>
          <w:color w:val="auto"/>
          <w:szCs w:val="24"/>
        </w:rPr>
        <w:t>unfitting</w:t>
      </w:r>
      <w:r w:rsidR="00790098">
        <w:rPr>
          <w:rFonts w:ascii="Calibri" w:hAnsi="Calibri"/>
          <w:color w:val="auto"/>
          <w:szCs w:val="24"/>
        </w:rPr>
        <w:t>,</w:t>
      </w:r>
      <w:r w:rsidR="003D0CAB" w:rsidRPr="00396446">
        <w:rPr>
          <w:rFonts w:ascii="Calibri" w:hAnsi="Calibri"/>
          <w:color w:val="auto"/>
          <w:szCs w:val="24"/>
        </w:rPr>
        <w:t xml:space="preserve"> and</w:t>
      </w:r>
      <w:r w:rsidR="00B20624" w:rsidRPr="00396446">
        <w:rPr>
          <w:rFonts w:ascii="Calibri" w:hAnsi="Calibri"/>
          <w:color w:val="auto"/>
          <w:szCs w:val="24"/>
        </w:rPr>
        <w:t xml:space="preserve"> rated </w:t>
      </w:r>
      <w:r w:rsidR="003D0CAB" w:rsidRPr="00396446">
        <w:rPr>
          <w:rFonts w:ascii="Calibri" w:hAnsi="Calibri"/>
          <w:color w:val="auto"/>
          <w:szCs w:val="24"/>
        </w:rPr>
        <w:t xml:space="preserve">it </w:t>
      </w:r>
      <w:r w:rsidR="00CF60AF" w:rsidRPr="00396446">
        <w:rPr>
          <w:rFonts w:ascii="Calibri" w:hAnsi="Calibri"/>
          <w:color w:val="auto"/>
          <w:szCs w:val="24"/>
        </w:rPr>
        <w:t>20%</w:t>
      </w:r>
      <w:r w:rsidR="003D0CAB" w:rsidRPr="00396446">
        <w:rPr>
          <w:rFonts w:ascii="Calibri" w:hAnsi="Calibri"/>
          <w:color w:val="auto"/>
          <w:szCs w:val="24"/>
        </w:rPr>
        <w:t xml:space="preserve"> </w:t>
      </w:r>
      <w:r w:rsidR="003D0CAB" w:rsidRPr="00396446">
        <w:rPr>
          <w:rFonts w:ascii="Calibri" w:hAnsi="Calibri"/>
          <w:color w:val="auto"/>
        </w:rPr>
        <w:t xml:space="preserve">using the Veterans Administration Schedule for Rating Disabilities (VASRD) and applicable Army and </w:t>
      </w:r>
      <w:proofErr w:type="spellStart"/>
      <w:proofErr w:type="gramStart"/>
      <w:r w:rsidR="003D0CAB" w:rsidRPr="00396446">
        <w:rPr>
          <w:rFonts w:ascii="Calibri" w:hAnsi="Calibri"/>
          <w:color w:val="auto"/>
        </w:rPr>
        <w:t>DoD</w:t>
      </w:r>
      <w:proofErr w:type="spellEnd"/>
      <w:proofErr w:type="gramEnd"/>
      <w:r w:rsidR="003D0CAB" w:rsidRPr="00396446">
        <w:rPr>
          <w:rFonts w:ascii="Calibri" w:hAnsi="Calibri"/>
          <w:color w:val="auto"/>
        </w:rPr>
        <w:t xml:space="preserve"> regulations.</w:t>
      </w:r>
      <w:r w:rsidR="00CF60AF" w:rsidRPr="00396446">
        <w:rPr>
          <w:rFonts w:ascii="Calibri" w:hAnsi="Calibri"/>
          <w:color w:val="auto"/>
          <w:szCs w:val="24"/>
        </w:rPr>
        <w:t xml:space="preserve"> </w:t>
      </w:r>
      <w:r w:rsidR="00D278AF">
        <w:rPr>
          <w:rFonts w:ascii="Calibri" w:hAnsi="Calibri"/>
          <w:color w:val="auto"/>
          <w:szCs w:val="24"/>
        </w:rPr>
        <w:t xml:space="preserve"> </w:t>
      </w:r>
      <w:r w:rsidR="00056060" w:rsidRPr="00396446">
        <w:rPr>
          <w:rFonts w:ascii="Calibri" w:hAnsi="Calibri"/>
          <w:color w:val="auto"/>
        </w:rPr>
        <w:t xml:space="preserve">The CI </w:t>
      </w:r>
      <w:r w:rsidR="00790098">
        <w:rPr>
          <w:rFonts w:ascii="Calibri" w:hAnsi="Calibri"/>
          <w:color w:val="auto"/>
        </w:rPr>
        <w:t>did not accept the IPEB findings and demanded a</w:t>
      </w:r>
      <w:r w:rsidR="00CF60AF" w:rsidRPr="00396446">
        <w:rPr>
          <w:rFonts w:ascii="Calibri" w:hAnsi="Calibri"/>
          <w:color w:val="auto"/>
        </w:rPr>
        <w:t xml:space="preserve"> formal</w:t>
      </w:r>
      <w:r w:rsidR="00790098">
        <w:rPr>
          <w:rFonts w:ascii="Calibri" w:hAnsi="Calibri"/>
          <w:color w:val="auto"/>
        </w:rPr>
        <w:t xml:space="preserve"> hearing.  The Formal</w:t>
      </w:r>
      <w:r w:rsidR="00CF60AF" w:rsidRPr="00396446">
        <w:rPr>
          <w:rFonts w:ascii="Calibri" w:hAnsi="Calibri"/>
          <w:color w:val="auto"/>
        </w:rPr>
        <w:t xml:space="preserve"> PEB</w:t>
      </w:r>
      <w:r w:rsidR="00156E1E" w:rsidRPr="00396446">
        <w:rPr>
          <w:rFonts w:ascii="Calibri" w:hAnsi="Calibri"/>
          <w:color w:val="auto"/>
        </w:rPr>
        <w:t xml:space="preserve"> </w:t>
      </w:r>
      <w:r w:rsidR="00D278AF">
        <w:rPr>
          <w:rFonts w:ascii="Calibri" w:hAnsi="Calibri"/>
          <w:color w:val="auto"/>
        </w:rPr>
        <w:t xml:space="preserve">(FPEB) </w:t>
      </w:r>
      <w:r w:rsidR="00156E1E" w:rsidRPr="00396446">
        <w:rPr>
          <w:rFonts w:ascii="Calibri" w:hAnsi="Calibri"/>
          <w:color w:val="auto"/>
        </w:rPr>
        <w:t xml:space="preserve">concurred with the </w:t>
      </w:r>
      <w:r w:rsidR="00301EE0">
        <w:rPr>
          <w:rFonts w:ascii="Calibri" w:hAnsi="Calibri"/>
          <w:color w:val="auto"/>
        </w:rPr>
        <w:t xml:space="preserve">previous </w:t>
      </w:r>
      <w:r w:rsidR="002E48AB">
        <w:rPr>
          <w:rFonts w:ascii="Calibri" w:hAnsi="Calibri"/>
          <w:color w:val="auto"/>
        </w:rPr>
        <w:t>I</w:t>
      </w:r>
      <w:r w:rsidR="00156E1E" w:rsidRPr="00396446">
        <w:rPr>
          <w:rFonts w:ascii="Calibri" w:hAnsi="Calibri"/>
          <w:color w:val="auto"/>
        </w:rPr>
        <w:t xml:space="preserve">PEB </w:t>
      </w:r>
      <w:r w:rsidR="00CF60AF" w:rsidRPr="00396446">
        <w:rPr>
          <w:rFonts w:ascii="Calibri" w:hAnsi="Calibri"/>
          <w:color w:val="auto"/>
        </w:rPr>
        <w:t>de</w:t>
      </w:r>
      <w:r w:rsidR="00790098">
        <w:rPr>
          <w:rFonts w:ascii="Calibri" w:hAnsi="Calibri"/>
          <w:color w:val="auto"/>
        </w:rPr>
        <w:t>termination, and CI was</w:t>
      </w:r>
      <w:r w:rsidR="00B20624" w:rsidRPr="00396446">
        <w:rPr>
          <w:rFonts w:ascii="Calibri" w:hAnsi="Calibri"/>
          <w:color w:val="auto"/>
        </w:rPr>
        <w:t xml:space="preserve"> separated with a</w:t>
      </w:r>
      <w:r w:rsidR="00B20624" w:rsidRPr="00861D5C">
        <w:rPr>
          <w:rFonts w:asciiTheme="minorHAnsi" w:hAnsiTheme="minorHAnsi"/>
          <w:color w:val="auto"/>
        </w:rPr>
        <w:t xml:space="preserve"> </w:t>
      </w:r>
      <w:r w:rsidR="00CF60AF">
        <w:rPr>
          <w:rFonts w:asciiTheme="minorHAnsi" w:hAnsiTheme="minorHAnsi"/>
          <w:color w:val="auto"/>
        </w:rPr>
        <w:t>20</w:t>
      </w:r>
      <w:r w:rsidR="00B20624" w:rsidRPr="00861D5C">
        <w:rPr>
          <w:rFonts w:asciiTheme="minorHAnsi" w:hAnsiTheme="minorHAnsi"/>
          <w:color w:val="auto"/>
        </w:rPr>
        <w:t xml:space="preserve">% disability rating.  </w:t>
      </w:r>
    </w:p>
    <w:p w:rsidR="00923B25" w:rsidRPr="00AC713F" w:rsidRDefault="008B5D31" w:rsidP="00BC4644">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r w:rsidR="00056060">
        <w:rPr>
          <w:rFonts w:asciiTheme="minorHAnsi" w:hAnsiTheme="minorHAnsi"/>
          <w:color w:val="auto"/>
        </w:rPr>
        <w:t>___</w:t>
      </w:r>
    </w:p>
    <w:p w:rsidR="0085089F" w:rsidRPr="00AC713F" w:rsidRDefault="0085089F" w:rsidP="00BC4644">
      <w:pPr>
        <w:tabs>
          <w:tab w:val="left" w:pos="288"/>
          <w:tab w:val="left" w:pos="4752"/>
        </w:tabs>
        <w:spacing w:line="240" w:lineRule="exact"/>
        <w:jc w:val="both"/>
        <w:rPr>
          <w:rFonts w:asciiTheme="minorHAnsi" w:hAnsiTheme="minorHAnsi"/>
          <w:color w:val="auto"/>
          <w:u w:val="single"/>
        </w:rPr>
      </w:pPr>
    </w:p>
    <w:p w:rsidR="00BD6297" w:rsidRDefault="002C6E5B" w:rsidP="00BC4644">
      <w:pPr>
        <w:tabs>
          <w:tab w:val="left" w:pos="288"/>
          <w:tab w:val="left" w:pos="4752"/>
        </w:tabs>
        <w:spacing w:line="240" w:lineRule="exact"/>
        <w:jc w:val="both"/>
        <w:rPr>
          <w:rFonts w:ascii="Calibri" w:hAnsi="Calibri"/>
          <w:color w:val="auto"/>
          <w:szCs w:val="24"/>
          <w:highlight w:val="cyan"/>
        </w:rPr>
      </w:pPr>
      <w:r w:rsidRPr="00542C9A">
        <w:rPr>
          <w:rFonts w:ascii="Calibri" w:hAnsi="Calibri"/>
          <w:color w:val="auto"/>
          <w:u w:val="single"/>
        </w:rPr>
        <w:t>CI</w:t>
      </w:r>
      <w:r w:rsidR="002E48AB">
        <w:rPr>
          <w:rFonts w:ascii="Calibri" w:hAnsi="Calibri"/>
          <w:color w:val="auto"/>
          <w:u w:val="single"/>
        </w:rPr>
        <w:t>’s</w:t>
      </w:r>
      <w:r w:rsidRPr="00542C9A">
        <w:rPr>
          <w:rFonts w:ascii="Calibri" w:hAnsi="Calibri"/>
          <w:color w:val="auto"/>
          <w:u w:val="single"/>
        </w:rPr>
        <w:t xml:space="preserve"> CONTENTION</w:t>
      </w:r>
      <w:r w:rsidR="002E48AB">
        <w:rPr>
          <w:rFonts w:ascii="Calibri" w:hAnsi="Calibri"/>
          <w:color w:val="auto"/>
        </w:rPr>
        <w:t>:</w:t>
      </w:r>
      <w:r w:rsidRPr="00AE3316">
        <w:rPr>
          <w:rFonts w:ascii="Calibri" w:hAnsi="Calibri"/>
          <w:color w:val="000080"/>
        </w:rPr>
        <w:t xml:space="preserve"> </w:t>
      </w:r>
      <w:r w:rsidR="00BF737D">
        <w:rPr>
          <w:rFonts w:ascii="Calibri" w:hAnsi="Calibri"/>
          <w:color w:val="auto"/>
          <w:szCs w:val="24"/>
        </w:rPr>
        <w:t>“</w:t>
      </w:r>
      <w:r w:rsidR="006143A4" w:rsidRPr="006143A4">
        <w:rPr>
          <w:rFonts w:ascii="Calibri" w:hAnsi="Calibri"/>
          <w:color w:val="auto"/>
          <w:szCs w:val="24"/>
        </w:rPr>
        <w:t>I was rated at 30% from the VA for the same condition only a few weeks after I underwent my PEB 20% for loss of</w:t>
      </w:r>
      <w:r w:rsidR="006143A4">
        <w:rPr>
          <w:rFonts w:ascii="Calibri" w:hAnsi="Calibri"/>
          <w:color w:val="auto"/>
          <w:szCs w:val="24"/>
        </w:rPr>
        <w:t xml:space="preserve"> </w:t>
      </w:r>
      <w:r w:rsidR="006143A4" w:rsidRPr="006143A4">
        <w:rPr>
          <w:rFonts w:ascii="Calibri" w:hAnsi="Calibri"/>
          <w:color w:val="auto"/>
          <w:szCs w:val="24"/>
        </w:rPr>
        <w:t>motion (Failed Back</w:t>
      </w:r>
      <w:r w:rsidR="006143A4">
        <w:rPr>
          <w:rFonts w:ascii="Calibri" w:hAnsi="Calibri"/>
          <w:color w:val="auto"/>
          <w:szCs w:val="24"/>
        </w:rPr>
        <w:t xml:space="preserve"> </w:t>
      </w:r>
      <w:r w:rsidR="006143A4" w:rsidRPr="006143A4">
        <w:rPr>
          <w:rFonts w:ascii="Calibri" w:hAnsi="Calibri"/>
          <w:color w:val="auto"/>
          <w:szCs w:val="24"/>
        </w:rPr>
        <w:t>Syndrome) and 10% fo</w:t>
      </w:r>
      <w:r w:rsidR="006143A4">
        <w:rPr>
          <w:rFonts w:ascii="Calibri" w:hAnsi="Calibri"/>
          <w:color w:val="auto"/>
          <w:szCs w:val="24"/>
        </w:rPr>
        <w:t>r my scar (tenderness and pain).</w:t>
      </w:r>
      <w:r w:rsidR="006143A4" w:rsidRPr="006143A4">
        <w:t xml:space="preserve"> </w:t>
      </w:r>
      <w:r w:rsidR="006143A4" w:rsidRPr="006143A4">
        <w:rPr>
          <w:rFonts w:ascii="Calibri" w:hAnsi="Calibri"/>
          <w:color w:val="auto"/>
          <w:szCs w:val="24"/>
        </w:rPr>
        <w:t>Please reevaluate my case and authorize my 30% PDRL. I had filed an appeal against the PEB at one point but it still came out the same as the</w:t>
      </w:r>
      <w:r w:rsidR="006143A4">
        <w:rPr>
          <w:rFonts w:ascii="Calibri" w:hAnsi="Calibri"/>
          <w:color w:val="auto"/>
          <w:szCs w:val="24"/>
        </w:rPr>
        <w:t xml:space="preserve"> </w:t>
      </w:r>
      <w:r w:rsidR="006143A4" w:rsidRPr="006143A4">
        <w:rPr>
          <w:rFonts w:ascii="Calibri" w:hAnsi="Calibri"/>
          <w:color w:val="auto"/>
          <w:szCs w:val="24"/>
        </w:rPr>
        <w:t>original rating.</w:t>
      </w:r>
      <w:r w:rsidR="006143A4">
        <w:rPr>
          <w:rFonts w:ascii="Calibri" w:hAnsi="Calibri"/>
          <w:color w:val="auto"/>
          <w:szCs w:val="24"/>
        </w:rPr>
        <w:t>”</w:t>
      </w:r>
    </w:p>
    <w:p w:rsidR="007F3C6E" w:rsidRDefault="007F3C6E" w:rsidP="00BC4644">
      <w:pPr>
        <w:spacing w:line="240" w:lineRule="exact"/>
        <w:jc w:val="both"/>
        <w:rPr>
          <w:rFonts w:ascii="Calibri" w:hAnsi="Calibri"/>
          <w:color w:val="auto"/>
          <w:szCs w:val="24"/>
        </w:rPr>
      </w:pPr>
      <w:r>
        <w:rPr>
          <w:rFonts w:ascii="Calibri" w:hAnsi="Calibri"/>
          <w:color w:val="auto"/>
          <w:szCs w:val="24"/>
        </w:rPr>
        <w:t>______________________________________________________________________________</w:t>
      </w:r>
    </w:p>
    <w:p w:rsidR="007F3C6E" w:rsidRDefault="007F3C6E" w:rsidP="00BC4644">
      <w:pPr>
        <w:spacing w:line="240" w:lineRule="exact"/>
        <w:jc w:val="both"/>
        <w:rPr>
          <w:rFonts w:ascii="Calibri" w:hAnsi="Calibri"/>
          <w:color w:val="auto"/>
          <w:u w:val="single"/>
        </w:rPr>
      </w:pPr>
    </w:p>
    <w:p w:rsidR="002338CA" w:rsidRPr="00542C9A" w:rsidRDefault="002C6E5B" w:rsidP="00BC4644">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BC4644">
      <w:pPr>
        <w:tabs>
          <w:tab w:val="left" w:pos="288"/>
          <w:tab w:val="left" w:pos="4752"/>
        </w:tabs>
        <w:spacing w:line="240" w:lineRule="exact"/>
        <w:jc w:val="both"/>
        <w:rPr>
          <w:color w:val="000080"/>
        </w:rPr>
      </w:pPr>
    </w:p>
    <w:tbl>
      <w:tblPr>
        <w:tblStyle w:val="TableGrid"/>
        <w:tblW w:w="0" w:type="auto"/>
        <w:jc w:val="center"/>
        <w:tblLayout w:type="fixed"/>
        <w:tblLook w:val="04A0"/>
      </w:tblPr>
      <w:tblGrid>
        <w:gridCol w:w="2520"/>
        <w:gridCol w:w="720"/>
        <w:gridCol w:w="810"/>
        <w:gridCol w:w="2700"/>
        <w:gridCol w:w="720"/>
        <w:gridCol w:w="810"/>
        <w:gridCol w:w="990"/>
      </w:tblGrid>
      <w:tr w:rsidR="00684E2B" w:rsidRPr="002A685E" w:rsidTr="007F3C6E">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C01A7C" w:rsidP="00C01A7C">
            <w:pPr>
              <w:pStyle w:val="ListParagraph"/>
              <w:spacing w:after="0" w:line="240" w:lineRule="exact"/>
              <w:ind w:left="0"/>
              <w:jc w:val="center"/>
              <w:rPr>
                <w:rFonts w:cs="Times New Roman"/>
                <w:b/>
                <w:sz w:val="20"/>
                <w:szCs w:val="20"/>
              </w:rPr>
            </w:pPr>
            <w:r>
              <w:rPr>
                <w:rFonts w:cs="Times New Roman"/>
                <w:b/>
                <w:sz w:val="20"/>
                <w:szCs w:val="20"/>
              </w:rPr>
              <w:t xml:space="preserve">Army </w:t>
            </w:r>
            <w:r w:rsidR="003357D9">
              <w:rPr>
                <w:rFonts w:cs="Times New Roman"/>
                <w:b/>
                <w:sz w:val="20"/>
                <w:szCs w:val="20"/>
              </w:rPr>
              <w:t>F</w:t>
            </w:r>
            <w:r w:rsidR="00684E2B" w:rsidRPr="0085089F">
              <w:rPr>
                <w:rFonts w:cs="Times New Roman"/>
                <w:b/>
                <w:sz w:val="20"/>
                <w:szCs w:val="20"/>
              </w:rPr>
              <w:t>PEB</w:t>
            </w:r>
            <w:r>
              <w:rPr>
                <w:rFonts w:cs="Times New Roman"/>
                <w:b/>
                <w:sz w:val="20"/>
                <w:szCs w:val="20"/>
              </w:rPr>
              <w:t xml:space="preserve">  (d</w:t>
            </w:r>
            <w:r w:rsidR="002B2645" w:rsidRPr="0085089F">
              <w:rPr>
                <w:rFonts w:cs="Times New Roman"/>
                <w:b/>
                <w:sz w:val="20"/>
                <w:szCs w:val="20"/>
              </w:rPr>
              <w:t xml:space="preserve">ated </w:t>
            </w:r>
            <w:r w:rsidR="003357D9">
              <w:rPr>
                <w:rFonts w:cs="Times New Roman"/>
                <w:b/>
                <w:sz w:val="20"/>
                <w:szCs w:val="20"/>
              </w:rPr>
              <w:t>20050525</w:t>
            </w:r>
            <w:r>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684E2B" w:rsidRPr="0085089F" w:rsidRDefault="00684E2B" w:rsidP="00C01A7C">
            <w:pPr>
              <w:pStyle w:val="ListParagraph"/>
              <w:spacing w:after="0" w:line="240" w:lineRule="exact"/>
              <w:ind w:left="0"/>
              <w:jc w:val="center"/>
              <w:rPr>
                <w:rFonts w:cs="Times New Roman"/>
                <w:b/>
                <w:sz w:val="20"/>
                <w:szCs w:val="20"/>
              </w:rPr>
            </w:pPr>
            <w:r w:rsidRPr="0085089F">
              <w:rPr>
                <w:rFonts w:cs="Times New Roman"/>
                <w:b/>
                <w:sz w:val="20"/>
                <w:szCs w:val="20"/>
              </w:rPr>
              <w:t xml:space="preserve">VA </w:t>
            </w:r>
            <w:r w:rsidRPr="002C0748">
              <w:rPr>
                <w:rFonts w:cs="Times New Roman"/>
                <w:b/>
                <w:sz w:val="20"/>
                <w:szCs w:val="20"/>
              </w:rPr>
              <w:t>(</w:t>
            </w:r>
            <w:r w:rsidR="003357D9" w:rsidRPr="002C0748">
              <w:rPr>
                <w:rFonts w:cs="Times New Roman"/>
                <w:b/>
                <w:sz w:val="20"/>
                <w:szCs w:val="20"/>
              </w:rPr>
              <w:t>1</w:t>
            </w:r>
            <w:r w:rsidRPr="002C0748">
              <w:rPr>
                <w:rFonts w:cs="Times New Roman"/>
                <w:b/>
                <w:sz w:val="20"/>
                <w:szCs w:val="20"/>
              </w:rPr>
              <w:t xml:space="preserve"> </w:t>
            </w:r>
            <w:r w:rsidR="00C01A7C">
              <w:rPr>
                <w:rFonts w:cs="Times New Roman"/>
                <w:b/>
                <w:sz w:val="20"/>
                <w:szCs w:val="20"/>
              </w:rPr>
              <w:t>m</w:t>
            </w:r>
            <w:r w:rsidRPr="002C0748">
              <w:rPr>
                <w:rFonts w:cs="Times New Roman"/>
                <w:b/>
                <w:sz w:val="20"/>
                <w:szCs w:val="20"/>
              </w:rPr>
              <w:t>o</w:t>
            </w:r>
            <w:r w:rsidRPr="0085089F">
              <w:rPr>
                <w:rFonts w:cs="Times New Roman"/>
                <w:b/>
                <w:sz w:val="20"/>
                <w:szCs w:val="20"/>
              </w:rPr>
              <w:t>. after Separation)</w:t>
            </w:r>
            <w:r w:rsidR="00C01A7C">
              <w:rPr>
                <w:rFonts w:cs="Times New Roman"/>
                <w:b/>
                <w:sz w:val="20"/>
                <w:szCs w:val="20"/>
              </w:rPr>
              <w:t xml:space="preserve"> – </w:t>
            </w:r>
            <w:r w:rsidR="000C3C13" w:rsidRPr="0085089F">
              <w:rPr>
                <w:rFonts w:cs="Times New Roman"/>
                <w:b/>
                <w:sz w:val="20"/>
                <w:szCs w:val="20"/>
              </w:rPr>
              <w:t xml:space="preserve">Effective </w:t>
            </w:r>
            <w:r w:rsidR="007126C1">
              <w:rPr>
                <w:rFonts w:cs="Times New Roman"/>
                <w:b/>
                <w:sz w:val="20"/>
                <w:szCs w:val="20"/>
              </w:rPr>
              <w:t>20050615</w:t>
            </w:r>
          </w:p>
        </w:tc>
      </w:tr>
      <w:tr w:rsidR="002B2645" w:rsidRPr="002A685E" w:rsidTr="007F3C6E">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BC4644">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BC4644">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042C26" w:rsidRPr="002A685E" w:rsidTr="007F3C6E">
        <w:trPr>
          <w:trHeight w:val="287"/>
          <w:jc w:val="center"/>
        </w:trPr>
        <w:tc>
          <w:tcPr>
            <w:tcW w:w="2520" w:type="dxa"/>
            <w:shd w:val="clear" w:color="auto" w:fill="FFFFFF" w:themeFill="background1"/>
          </w:tcPr>
          <w:p w:rsidR="00042C26" w:rsidRPr="00542C9A" w:rsidRDefault="006143A4" w:rsidP="00BC4644">
            <w:pPr>
              <w:pStyle w:val="ListParagraph"/>
              <w:spacing w:after="0" w:line="240" w:lineRule="exact"/>
              <w:ind w:left="0"/>
              <w:jc w:val="both"/>
              <w:rPr>
                <w:rFonts w:cs="Times New Roman"/>
                <w:sz w:val="18"/>
                <w:szCs w:val="18"/>
              </w:rPr>
            </w:pPr>
            <w:r>
              <w:rPr>
                <w:rFonts w:cs="Times New Roman"/>
                <w:sz w:val="18"/>
                <w:szCs w:val="18"/>
              </w:rPr>
              <w:t>Chronic Low Back Pain</w:t>
            </w:r>
          </w:p>
        </w:tc>
        <w:tc>
          <w:tcPr>
            <w:tcW w:w="720" w:type="dxa"/>
            <w:shd w:val="clear" w:color="auto" w:fill="FFFFFF" w:themeFill="background1"/>
          </w:tcPr>
          <w:p w:rsidR="00042C26" w:rsidRPr="00542C9A" w:rsidRDefault="006143A4" w:rsidP="00BC4644">
            <w:pPr>
              <w:pStyle w:val="ListParagraph"/>
              <w:spacing w:after="0" w:line="240" w:lineRule="exact"/>
              <w:ind w:left="0"/>
              <w:jc w:val="center"/>
              <w:rPr>
                <w:rFonts w:cs="Times New Roman"/>
                <w:sz w:val="18"/>
                <w:szCs w:val="18"/>
              </w:rPr>
            </w:pPr>
            <w:r>
              <w:rPr>
                <w:rFonts w:cs="Times New Roman"/>
                <w:sz w:val="18"/>
                <w:szCs w:val="18"/>
              </w:rPr>
              <w:t>5241</w:t>
            </w:r>
          </w:p>
        </w:tc>
        <w:tc>
          <w:tcPr>
            <w:tcW w:w="810" w:type="dxa"/>
            <w:tcBorders>
              <w:right w:val="thinThickThinSmallGap" w:sz="24" w:space="0" w:color="auto"/>
            </w:tcBorders>
            <w:shd w:val="clear" w:color="auto" w:fill="FFFFFF" w:themeFill="background1"/>
          </w:tcPr>
          <w:p w:rsidR="00042C26" w:rsidRPr="00542C9A" w:rsidRDefault="006143A4" w:rsidP="00BC4644">
            <w:pPr>
              <w:pStyle w:val="ListParagraph"/>
              <w:spacing w:after="0" w:line="240" w:lineRule="exact"/>
              <w:ind w:left="0"/>
              <w:jc w:val="center"/>
              <w:rPr>
                <w:rFonts w:cs="Times New Roman"/>
                <w:sz w:val="18"/>
                <w:szCs w:val="18"/>
              </w:rPr>
            </w:pPr>
            <w:r>
              <w:rPr>
                <w:rFonts w:cs="Times New Roman"/>
                <w:sz w:val="18"/>
                <w:szCs w:val="18"/>
              </w:rPr>
              <w:t>20%</w:t>
            </w:r>
          </w:p>
        </w:tc>
        <w:tc>
          <w:tcPr>
            <w:tcW w:w="2700" w:type="dxa"/>
            <w:tcBorders>
              <w:left w:val="thinThickThinSmallGap" w:sz="24" w:space="0" w:color="auto"/>
            </w:tcBorders>
            <w:shd w:val="clear" w:color="auto" w:fill="FFFFFF" w:themeFill="background1"/>
          </w:tcPr>
          <w:p w:rsidR="00042C26" w:rsidRPr="00542C9A" w:rsidRDefault="00177693" w:rsidP="00C01A7C">
            <w:pPr>
              <w:pStyle w:val="ListParagraph"/>
              <w:spacing w:after="0" w:line="240" w:lineRule="exact"/>
              <w:ind w:left="0"/>
              <w:jc w:val="both"/>
              <w:rPr>
                <w:rFonts w:cs="Times New Roman"/>
                <w:sz w:val="18"/>
                <w:szCs w:val="18"/>
              </w:rPr>
            </w:pPr>
            <w:r>
              <w:rPr>
                <w:rFonts w:cs="Times New Roman"/>
                <w:sz w:val="18"/>
                <w:szCs w:val="18"/>
              </w:rPr>
              <w:t>Residual</w:t>
            </w:r>
            <w:r w:rsidR="003357D9">
              <w:rPr>
                <w:rFonts w:cs="Times New Roman"/>
                <w:sz w:val="18"/>
                <w:szCs w:val="18"/>
              </w:rPr>
              <w:t>s</w:t>
            </w:r>
            <w:r w:rsidR="00C01A7C">
              <w:rPr>
                <w:rFonts w:cs="Times New Roman"/>
                <w:sz w:val="18"/>
                <w:szCs w:val="18"/>
              </w:rPr>
              <w:t>,</w:t>
            </w:r>
            <w:r>
              <w:rPr>
                <w:rFonts w:cs="Times New Roman"/>
                <w:sz w:val="18"/>
                <w:szCs w:val="18"/>
              </w:rPr>
              <w:t xml:space="preserve"> L5-S1 </w:t>
            </w:r>
            <w:r w:rsidR="00C01A7C">
              <w:rPr>
                <w:rFonts w:cs="Times New Roman"/>
                <w:sz w:val="18"/>
                <w:szCs w:val="18"/>
              </w:rPr>
              <w:t xml:space="preserve">Spinal </w:t>
            </w:r>
            <w:r>
              <w:rPr>
                <w:rFonts w:cs="Times New Roman"/>
                <w:sz w:val="18"/>
                <w:szCs w:val="18"/>
              </w:rPr>
              <w:t>Fusion</w:t>
            </w:r>
          </w:p>
        </w:tc>
        <w:tc>
          <w:tcPr>
            <w:tcW w:w="720" w:type="dxa"/>
            <w:shd w:val="clear" w:color="auto" w:fill="FFFFFF" w:themeFill="background1"/>
          </w:tcPr>
          <w:p w:rsidR="00042C26" w:rsidRPr="00542C9A" w:rsidRDefault="00177693" w:rsidP="00BC4644">
            <w:pPr>
              <w:pStyle w:val="ListParagraph"/>
              <w:spacing w:after="0" w:line="240" w:lineRule="exact"/>
              <w:ind w:left="0"/>
              <w:jc w:val="center"/>
              <w:rPr>
                <w:rFonts w:cs="Times New Roman"/>
                <w:sz w:val="18"/>
                <w:szCs w:val="18"/>
              </w:rPr>
            </w:pPr>
            <w:r>
              <w:rPr>
                <w:rFonts w:cs="Times New Roman"/>
                <w:sz w:val="18"/>
                <w:szCs w:val="18"/>
              </w:rPr>
              <w:t>5241</w:t>
            </w:r>
          </w:p>
        </w:tc>
        <w:tc>
          <w:tcPr>
            <w:tcW w:w="810" w:type="dxa"/>
            <w:shd w:val="clear" w:color="auto" w:fill="FFFFFF" w:themeFill="background1"/>
          </w:tcPr>
          <w:p w:rsidR="00042C26" w:rsidRPr="00542C9A" w:rsidRDefault="00177693" w:rsidP="00BC4644">
            <w:pPr>
              <w:pStyle w:val="ListParagraph"/>
              <w:spacing w:after="0" w:line="240" w:lineRule="exact"/>
              <w:ind w:left="0"/>
              <w:jc w:val="center"/>
              <w:rPr>
                <w:rFonts w:cs="Times New Roman"/>
                <w:sz w:val="18"/>
                <w:szCs w:val="18"/>
              </w:rPr>
            </w:pPr>
            <w:r>
              <w:rPr>
                <w:rFonts w:cs="Times New Roman"/>
                <w:sz w:val="18"/>
                <w:szCs w:val="18"/>
              </w:rPr>
              <w:t>20%</w:t>
            </w:r>
          </w:p>
        </w:tc>
        <w:tc>
          <w:tcPr>
            <w:tcW w:w="990" w:type="dxa"/>
            <w:shd w:val="clear" w:color="auto" w:fill="FFFFFF" w:themeFill="background1"/>
          </w:tcPr>
          <w:p w:rsidR="00042C26" w:rsidRPr="00542C9A" w:rsidRDefault="00177693" w:rsidP="00BC4644">
            <w:pPr>
              <w:pStyle w:val="ListParagraph"/>
              <w:spacing w:after="0" w:line="240" w:lineRule="exact"/>
              <w:ind w:left="0"/>
              <w:jc w:val="center"/>
              <w:rPr>
                <w:rFonts w:cs="Times New Roman"/>
                <w:sz w:val="18"/>
                <w:szCs w:val="18"/>
              </w:rPr>
            </w:pPr>
            <w:r>
              <w:rPr>
                <w:rFonts w:cs="Times New Roman"/>
                <w:sz w:val="18"/>
                <w:szCs w:val="18"/>
              </w:rPr>
              <w:t>20050706</w:t>
            </w:r>
          </w:p>
        </w:tc>
      </w:tr>
      <w:tr w:rsidR="00156E1E" w:rsidRPr="002A685E" w:rsidTr="007F3C6E">
        <w:trPr>
          <w:trHeight w:val="125"/>
          <w:jc w:val="center"/>
        </w:trPr>
        <w:tc>
          <w:tcPr>
            <w:tcW w:w="4050" w:type="dxa"/>
            <w:gridSpan w:val="3"/>
            <w:tcBorders>
              <w:right w:val="thinThickThinSmallGap" w:sz="24" w:space="0" w:color="auto"/>
            </w:tcBorders>
            <w:shd w:val="clear" w:color="auto" w:fill="FFFFFF" w:themeFill="background1"/>
          </w:tcPr>
          <w:p w:rsidR="00156E1E" w:rsidRPr="00542C9A" w:rsidRDefault="00C01A7C" w:rsidP="00C01A7C">
            <w:pPr>
              <w:pStyle w:val="ListParagraph"/>
              <w:spacing w:after="0" w:line="240" w:lineRule="exact"/>
              <w:ind w:left="0"/>
              <w:rPr>
                <w:rFonts w:cs="Times New Roman"/>
                <w:sz w:val="18"/>
                <w:szCs w:val="18"/>
              </w:rPr>
            </w:pPr>
            <w:r>
              <w:rPr>
                <w:rFonts w:cs="Times New Roman"/>
                <w:sz w:val="18"/>
                <w:szCs w:val="18"/>
              </w:rPr>
              <w:t>(n</w:t>
            </w:r>
            <w:r w:rsidR="00156E1E">
              <w:rPr>
                <w:rFonts w:cs="Times New Roman"/>
                <w:sz w:val="18"/>
                <w:szCs w:val="18"/>
              </w:rPr>
              <w:t>o corresponding PEB entry</w:t>
            </w:r>
            <w:r>
              <w:rPr>
                <w:rFonts w:cs="Times New Roman"/>
                <w:sz w:val="18"/>
                <w:szCs w:val="18"/>
              </w:rPr>
              <w:t xml:space="preserve"> for Scar)</w:t>
            </w:r>
          </w:p>
        </w:tc>
        <w:tc>
          <w:tcPr>
            <w:tcW w:w="2700" w:type="dxa"/>
            <w:tcBorders>
              <w:left w:val="thinThickThinSmallGap" w:sz="24" w:space="0" w:color="auto"/>
            </w:tcBorders>
            <w:shd w:val="clear" w:color="auto" w:fill="FFFFFF" w:themeFill="background1"/>
          </w:tcPr>
          <w:p w:rsidR="00156E1E" w:rsidRPr="00542C9A" w:rsidRDefault="007F3C6E" w:rsidP="00BC4644">
            <w:pPr>
              <w:pStyle w:val="ListParagraph"/>
              <w:spacing w:after="0" w:line="240" w:lineRule="exact"/>
              <w:ind w:left="0"/>
              <w:jc w:val="both"/>
              <w:rPr>
                <w:rFonts w:cs="Times New Roman"/>
                <w:sz w:val="18"/>
                <w:szCs w:val="18"/>
              </w:rPr>
            </w:pPr>
            <w:r>
              <w:rPr>
                <w:rFonts w:cs="Times New Roman"/>
                <w:sz w:val="18"/>
                <w:szCs w:val="18"/>
              </w:rPr>
              <w:t xml:space="preserve">Scar, </w:t>
            </w:r>
            <w:r w:rsidR="00156E1E">
              <w:rPr>
                <w:rFonts w:cs="Times New Roman"/>
                <w:sz w:val="18"/>
                <w:szCs w:val="18"/>
              </w:rPr>
              <w:t xml:space="preserve"> Low Back</w:t>
            </w:r>
            <w:r w:rsidR="0044427F">
              <w:rPr>
                <w:rFonts w:cs="Times New Roman"/>
                <w:sz w:val="18"/>
                <w:szCs w:val="18"/>
              </w:rPr>
              <w:t xml:space="preserve"> </w:t>
            </w:r>
          </w:p>
        </w:tc>
        <w:tc>
          <w:tcPr>
            <w:tcW w:w="720" w:type="dxa"/>
            <w:shd w:val="clear" w:color="auto" w:fill="FFFFFF" w:themeFill="background1"/>
          </w:tcPr>
          <w:p w:rsidR="00156E1E" w:rsidRPr="00542C9A" w:rsidRDefault="00156E1E" w:rsidP="00BC4644">
            <w:pPr>
              <w:pStyle w:val="ListParagraph"/>
              <w:spacing w:after="0" w:line="240" w:lineRule="exact"/>
              <w:ind w:left="0"/>
              <w:jc w:val="center"/>
              <w:rPr>
                <w:rFonts w:cs="Times New Roman"/>
                <w:sz w:val="18"/>
                <w:szCs w:val="18"/>
              </w:rPr>
            </w:pPr>
            <w:r>
              <w:rPr>
                <w:rFonts w:cs="Times New Roman"/>
                <w:sz w:val="18"/>
                <w:szCs w:val="18"/>
              </w:rPr>
              <w:t>7804</w:t>
            </w:r>
          </w:p>
        </w:tc>
        <w:tc>
          <w:tcPr>
            <w:tcW w:w="810" w:type="dxa"/>
            <w:shd w:val="clear" w:color="auto" w:fill="FFFFFF" w:themeFill="background1"/>
          </w:tcPr>
          <w:p w:rsidR="00156E1E" w:rsidRPr="00542C9A" w:rsidRDefault="00156E1E" w:rsidP="00BC4644">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56E1E" w:rsidRPr="00542C9A" w:rsidRDefault="00156E1E" w:rsidP="00BC4644">
            <w:pPr>
              <w:pStyle w:val="ListParagraph"/>
              <w:spacing w:after="0" w:line="240" w:lineRule="exact"/>
              <w:ind w:left="0"/>
              <w:jc w:val="center"/>
              <w:rPr>
                <w:rFonts w:cs="Times New Roman"/>
                <w:sz w:val="18"/>
                <w:szCs w:val="18"/>
              </w:rPr>
            </w:pPr>
            <w:r>
              <w:rPr>
                <w:rFonts w:cs="Times New Roman"/>
                <w:sz w:val="18"/>
                <w:szCs w:val="18"/>
              </w:rPr>
              <w:t>20050706</w:t>
            </w:r>
          </w:p>
        </w:tc>
      </w:tr>
      <w:tr w:rsidR="00156E1E" w:rsidRPr="002A685E" w:rsidTr="007F3C6E">
        <w:trPr>
          <w:trHeight w:val="125"/>
          <w:jc w:val="center"/>
        </w:trPr>
        <w:tc>
          <w:tcPr>
            <w:tcW w:w="2520" w:type="dxa"/>
            <w:shd w:val="clear" w:color="auto" w:fill="FFFFFF" w:themeFill="background1"/>
          </w:tcPr>
          <w:p w:rsidR="00156E1E" w:rsidRPr="00156E1E" w:rsidRDefault="00156E1E" w:rsidP="00BC4644">
            <w:pPr>
              <w:pStyle w:val="ListParagraph"/>
              <w:spacing w:after="0" w:line="240" w:lineRule="exact"/>
              <w:ind w:left="0"/>
              <w:jc w:val="both"/>
              <w:rPr>
                <w:rFonts w:cs="Times New Roman"/>
                <w:sz w:val="18"/>
                <w:szCs w:val="18"/>
              </w:rPr>
            </w:pPr>
            <w:r>
              <w:rPr>
                <w:rFonts w:cs="Times New Roman"/>
                <w:sz w:val="18"/>
                <w:szCs w:val="18"/>
              </w:rPr>
              <w:t>Mild Seasonal Allergies</w:t>
            </w:r>
          </w:p>
        </w:tc>
        <w:tc>
          <w:tcPr>
            <w:tcW w:w="1530" w:type="dxa"/>
            <w:gridSpan w:val="2"/>
            <w:tcBorders>
              <w:right w:val="thinThickThinSmallGap" w:sz="24" w:space="0" w:color="auto"/>
            </w:tcBorders>
            <w:shd w:val="clear" w:color="auto" w:fill="FFFFFF" w:themeFill="background1"/>
          </w:tcPr>
          <w:p w:rsidR="00156E1E" w:rsidRPr="00156E1E" w:rsidRDefault="00156E1E" w:rsidP="00BC4644">
            <w:pPr>
              <w:pStyle w:val="ListParagraph"/>
              <w:spacing w:after="0" w:line="240" w:lineRule="exact"/>
              <w:ind w:left="0"/>
              <w:jc w:val="center"/>
              <w:rPr>
                <w:rFonts w:cs="Times New Roman"/>
                <w:sz w:val="18"/>
                <w:szCs w:val="18"/>
              </w:rPr>
            </w:pPr>
            <w:r>
              <w:rPr>
                <w:rFonts w:cs="Times New Roman"/>
                <w:sz w:val="18"/>
                <w:szCs w:val="18"/>
              </w:rPr>
              <w:t>Not unfitting</w:t>
            </w:r>
          </w:p>
        </w:tc>
        <w:tc>
          <w:tcPr>
            <w:tcW w:w="5220" w:type="dxa"/>
            <w:gridSpan w:val="4"/>
            <w:vMerge w:val="restart"/>
            <w:tcBorders>
              <w:left w:val="thinThickThinSmallGap" w:sz="24" w:space="0" w:color="auto"/>
            </w:tcBorders>
            <w:shd w:val="clear" w:color="auto" w:fill="FFFFFF" w:themeFill="background1"/>
          </w:tcPr>
          <w:p w:rsidR="007F3C6E" w:rsidRPr="00542C9A" w:rsidRDefault="00C01A7C" w:rsidP="00C01A7C">
            <w:pPr>
              <w:pStyle w:val="ListParagraph"/>
              <w:spacing w:after="0" w:line="240" w:lineRule="exact"/>
              <w:ind w:left="0"/>
              <w:rPr>
                <w:rFonts w:cs="Times New Roman"/>
                <w:sz w:val="18"/>
                <w:szCs w:val="18"/>
              </w:rPr>
            </w:pPr>
            <w:r>
              <w:rPr>
                <w:rFonts w:cs="Times New Roman"/>
                <w:sz w:val="18"/>
                <w:szCs w:val="18"/>
              </w:rPr>
              <w:t>(n</w:t>
            </w:r>
            <w:r w:rsidR="00156E1E">
              <w:rPr>
                <w:rFonts w:cs="Times New Roman"/>
                <w:sz w:val="18"/>
                <w:szCs w:val="18"/>
              </w:rPr>
              <w:t xml:space="preserve">o </w:t>
            </w:r>
            <w:r>
              <w:rPr>
                <w:rFonts w:cs="Times New Roman"/>
                <w:sz w:val="18"/>
                <w:szCs w:val="18"/>
              </w:rPr>
              <w:t>c</w:t>
            </w:r>
            <w:r w:rsidR="00156E1E" w:rsidRPr="00156E1E">
              <w:rPr>
                <w:rFonts w:cs="Times New Roman"/>
                <w:sz w:val="18"/>
                <w:szCs w:val="18"/>
              </w:rPr>
              <w:t xml:space="preserve">orresponding VA </w:t>
            </w:r>
            <w:r>
              <w:rPr>
                <w:rFonts w:cs="Times New Roman"/>
                <w:sz w:val="18"/>
                <w:szCs w:val="18"/>
              </w:rPr>
              <w:t>e</w:t>
            </w:r>
            <w:r w:rsidR="00156E1E" w:rsidRPr="00156E1E">
              <w:rPr>
                <w:rFonts w:cs="Times New Roman"/>
                <w:sz w:val="18"/>
                <w:szCs w:val="18"/>
              </w:rPr>
              <w:t>ntry</w:t>
            </w:r>
            <w:r>
              <w:rPr>
                <w:rFonts w:cs="Times New Roman"/>
                <w:sz w:val="18"/>
                <w:szCs w:val="18"/>
              </w:rPr>
              <w:t xml:space="preserve"> for Allergies)</w:t>
            </w:r>
          </w:p>
        </w:tc>
      </w:tr>
      <w:tr w:rsidR="00156E1E" w:rsidRPr="002A685E" w:rsidTr="00C01A7C">
        <w:trPr>
          <w:trHeight w:val="240"/>
          <w:jc w:val="center"/>
        </w:trPr>
        <w:tc>
          <w:tcPr>
            <w:tcW w:w="4050" w:type="dxa"/>
            <w:gridSpan w:val="3"/>
            <w:vMerge w:val="restart"/>
            <w:tcBorders>
              <w:bottom w:val="single" w:sz="4" w:space="0" w:color="000000" w:themeColor="text1"/>
              <w:right w:val="thinThickThinSmallGap" w:sz="24" w:space="0" w:color="auto"/>
            </w:tcBorders>
            <w:shd w:val="clear" w:color="auto" w:fill="FFFFFF" w:themeFill="background1"/>
          </w:tcPr>
          <w:p w:rsidR="00156E1E" w:rsidRPr="00542C9A" w:rsidRDefault="00156E1E" w:rsidP="00BC4644">
            <w:pPr>
              <w:pStyle w:val="ListParagraph"/>
              <w:spacing w:after="0" w:line="240" w:lineRule="exact"/>
              <w:ind w:left="0"/>
              <w:jc w:val="center"/>
              <w:rPr>
                <w:rFonts w:cs="Times New Roman"/>
                <w:sz w:val="18"/>
                <w:szCs w:val="18"/>
              </w:rPr>
            </w:pPr>
          </w:p>
        </w:tc>
        <w:tc>
          <w:tcPr>
            <w:tcW w:w="5220" w:type="dxa"/>
            <w:gridSpan w:val="4"/>
            <w:vMerge/>
            <w:tcBorders>
              <w:left w:val="thinThickThinSmallGap" w:sz="24" w:space="0" w:color="auto"/>
              <w:bottom w:val="single" w:sz="4" w:space="0" w:color="000000" w:themeColor="text1"/>
            </w:tcBorders>
            <w:shd w:val="clear" w:color="auto" w:fill="FFFFFF" w:themeFill="background1"/>
          </w:tcPr>
          <w:p w:rsidR="00156E1E" w:rsidRPr="00542C9A" w:rsidRDefault="00156E1E" w:rsidP="00BC4644">
            <w:pPr>
              <w:pStyle w:val="ListParagraph"/>
              <w:spacing w:after="0" w:line="240" w:lineRule="exact"/>
              <w:ind w:left="0"/>
              <w:jc w:val="center"/>
              <w:rPr>
                <w:rFonts w:cs="Times New Roman"/>
                <w:sz w:val="18"/>
                <w:szCs w:val="18"/>
              </w:rPr>
            </w:pPr>
          </w:p>
        </w:tc>
      </w:tr>
      <w:tr w:rsidR="005A3C57" w:rsidRPr="002A685E" w:rsidTr="007F3C6E">
        <w:trPr>
          <w:trHeight w:val="296"/>
          <w:jc w:val="center"/>
        </w:trPr>
        <w:tc>
          <w:tcPr>
            <w:tcW w:w="4050" w:type="dxa"/>
            <w:gridSpan w:val="3"/>
            <w:vMerge/>
            <w:tcBorders>
              <w:right w:val="thinThickThinSmallGap" w:sz="24" w:space="0" w:color="auto"/>
            </w:tcBorders>
            <w:shd w:val="clear" w:color="auto" w:fill="FFFFFF" w:themeFill="background1"/>
          </w:tcPr>
          <w:p w:rsidR="005A3C57" w:rsidRPr="00AF7266" w:rsidRDefault="005A3C57" w:rsidP="00BC4644">
            <w:pPr>
              <w:pStyle w:val="ListParagraph"/>
              <w:spacing w:after="0" w:line="240" w:lineRule="exact"/>
              <w:ind w:left="0"/>
              <w:jc w:val="both"/>
              <w:rPr>
                <w:rFonts w:cs="Times New Roman"/>
                <w:sz w:val="18"/>
                <w:szCs w:val="18"/>
                <w:highlight w:val="yellow"/>
              </w:rPr>
            </w:pPr>
          </w:p>
        </w:tc>
        <w:tc>
          <w:tcPr>
            <w:tcW w:w="2700" w:type="dxa"/>
            <w:tcBorders>
              <w:left w:val="thinThickThinSmallGap" w:sz="24" w:space="0" w:color="auto"/>
            </w:tcBorders>
            <w:shd w:val="clear" w:color="auto" w:fill="FFFFFF" w:themeFill="background1"/>
          </w:tcPr>
          <w:p w:rsidR="005A3C57" w:rsidRPr="003B6914" w:rsidRDefault="005A3C57" w:rsidP="00C01A7C">
            <w:pPr>
              <w:pStyle w:val="ListParagraph"/>
              <w:spacing w:after="0" w:line="240" w:lineRule="exact"/>
              <w:ind w:left="0"/>
              <w:rPr>
                <w:rFonts w:cs="Times New Roman"/>
                <w:sz w:val="18"/>
                <w:szCs w:val="18"/>
              </w:rPr>
            </w:pPr>
            <w:r w:rsidRPr="00AB2AAD">
              <w:rPr>
                <w:rFonts w:cs="Times New Roman"/>
                <w:sz w:val="18"/>
                <w:szCs w:val="18"/>
              </w:rPr>
              <w:t>NSC</w:t>
            </w:r>
            <w:r w:rsidR="00C01A7C">
              <w:rPr>
                <w:rFonts w:cs="Times New Roman"/>
                <w:sz w:val="18"/>
                <w:szCs w:val="18"/>
              </w:rPr>
              <w:t xml:space="preserve"> x </w:t>
            </w:r>
            <w:r w:rsidR="007126C1">
              <w:rPr>
                <w:rFonts w:cs="Times New Roman"/>
                <w:sz w:val="18"/>
                <w:szCs w:val="18"/>
              </w:rPr>
              <w:t>4</w:t>
            </w:r>
          </w:p>
        </w:tc>
        <w:tc>
          <w:tcPr>
            <w:tcW w:w="720" w:type="dxa"/>
            <w:shd w:val="clear" w:color="auto" w:fill="FFFFFF" w:themeFill="background1"/>
          </w:tcPr>
          <w:p w:rsidR="005A3C57" w:rsidRPr="00542C9A" w:rsidRDefault="005A3C57" w:rsidP="00BC4644">
            <w:pPr>
              <w:pStyle w:val="ListParagraph"/>
              <w:spacing w:after="0" w:line="240" w:lineRule="exact"/>
              <w:ind w:left="0"/>
              <w:jc w:val="center"/>
              <w:rPr>
                <w:rFonts w:cs="Times New Roman"/>
                <w:sz w:val="18"/>
                <w:szCs w:val="18"/>
              </w:rPr>
            </w:pPr>
          </w:p>
        </w:tc>
        <w:tc>
          <w:tcPr>
            <w:tcW w:w="810" w:type="dxa"/>
            <w:shd w:val="clear" w:color="auto" w:fill="FFFFFF" w:themeFill="background1"/>
          </w:tcPr>
          <w:p w:rsidR="005A3C57" w:rsidRPr="00542C9A" w:rsidRDefault="005A3C57" w:rsidP="00BC4644">
            <w:pPr>
              <w:pStyle w:val="ListParagraph"/>
              <w:spacing w:after="0" w:line="240" w:lineRule="exact"/>
              <w:ind w:left="0"/>
              <w:jc w:val="center"/>
              <w:rPr>
                <w:rFonts w:cs="Times New Roman"/>
                <w:sz w:val="18"/>
                <w:szCs w:val="18"/>
              </w:rPr>
            </w:pPr>
          </w:p>
        </w:tc>
        <w:tc>
          <w:tcPr>
            <w:tcW w:w="990" w:type="dxa"/>
            <w:shd w:val="clear" w:color="auto" w:fill="FFFFFF" w:themeFill="background1"/>
          </w:tcPr>
          <w:p w:rsidR="005A3C57" w:rsidRPr="00542C9A" w:rsidRDefault="005A3C57" w:rsidP="00BC4644">
            <w:pPr>
              <w:pStyle w:val="ListParagraph"/>
              <w:spacing w:after="0" w:line="240" w:lineRule="exact"/>
              <w:ind w:left="0"/>
              <w:jc w:val="center"/>
              <w:rPr>
                <w:rFonts w:cs="Times New Roman"/>
                <w:sz w:val="18"/>
                <w:szCs w:val="18"/>
              </w:rPr>
            </w:pPr>
          </w:p>
        </w:tc>
      </w:tr>
      <w:tr w:rsidR="005A3C57" w:rsidRPr="002A685E" w:rsidTr="007F3C6E">
        <w:trPr>
          <w:trHeight w:val="242"/>
          <w:jc w:val="center"/>
        </w:trPr>
        <w:tc>
          <w:tcPr>
            <w:tcW w:w="4050" w:type="dxa"/>
            <w:gridSpan w:val="3"/>
            <w:tcBorders>
              <w:right w:val="thinThickThinSmallGap" w:sz="24" w:space="0" w:color="auto"/>
            </w:tcBorders>
            <w:shd w:val="clear" w:color="auto" w:fill="D9D9D9" w:themeFill="background1" w:themeFillShade="D9"/>
          </w:tcPr>
          <w:p w:rsidR="005A3C57" w:rsidRPr="0085089F" w:rsidRDefault="005A3C57" w:rsidP="00BC4644">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2C0748">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5A3C57" w:rsidRPr="0085089F" w:rsidRDefault="005A3C57" w:rsidP="00BC4644">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7126C1">
              <w:rPr>
                <w:rFonts w:cs="Times New Roman"/>
                <w:b/>
                <w:sz w:val="20"/>
                <w:szCs w:val="20"/>
              </w:rPr>
              <w:t>3</w:t>
            </w:r>
            <w:r w:rsidRPr="00ED6A61">
              <w:rPr>
                <w:rFonts w:cs="Times New Roman"/>
                <w:b/>
                <w:sz w:val="20"/>
                <w:szCs w:val="20"/>
              </w:rPr>
              <w:t>0%</w:t>
            </w:r>
          </w:p>
        </w:tc>
      </w:tr>
    </w:tbl>
    <w:p w:rsidR="00A90D55" w:rsidRPr="003B6914" w:rsidRDefault="007F3C6E" w:rsidP="00BC4644">
      <w:pPr>
        <w:tabs>
          <w:tab w:val="left" w:pos="288"/>
          <w:tab w:val="left" w:pos="4752"/>
        </w:tabs>
        <w:spacing w:line="240" w:lineRule="exact"/>
        <w:jc w:val="both"/>
        <w:rPr>
          <w:rFonts w:ascii="Calibri" w:hAnsi="Calibri"/>
          <w:color w:val="auto"/>
        </w:rPr>
      </w:pPr>
      <w:r w:rsidRPr="003B6914">
        <w:rPr>
          <w:rFonts w:ascii="Calibri" w:hAnsi="Calibri"/>
          <w:color w:val="auto"/>
          <w:u w:val="single"/>
        </w:rPr>
        <w:t>________________________________________________________</w:t>
      </w:r>
      <w:r w:rsidR="003B6914">
        <w:rPr>
          <w:rFonts w:ascii="Calibri" w:hAnsi="Calibri"/>
          <w:color w:val="auto"/>
          <w:u w:val="single"/>
        </w:rPr>
        <w:t>__________________</w:t>
      </w:r>
      <w:r w:rsidRPr="003B6914">
        <w:rPr>
          <w:rFonts w:ascii="Calibri" w:hAnsi="Calibri"/>
          <w:color w:val="auto"/>
          <w:u w:val="single"/>
        </w:rPr>
        <w:t>____</w:t>
      </w:r>
    </w:p>
    <w:p w:rsidR="003B6914" w:rsidRDefault="003B6914" w:rsidP="00BC4644">
      <w:pPr>
        <w:tabs>
          <w:tab w:val="left" w:pos="288"/>
          <w:tab w:val="left" w:pos="4752"/>
        </w:tabs>
        <w:spacing w:line="240" w:lineRule="exact"/>
        <w:jc w:val="both"/>
        <w:rPr>
          <w:rFonts w:asciiTheme="minorHAnsi" w:hAnsiTheme="minorHAnsi"/>
          <w:color w:val="auto"/>
          <w:szCs w:val="24"/>
          <w:u w:val="single"/>
        </w:rPr>
      </w:pPr>
    </w:p>
    <w:p w:rsidR="002C6E5B" w:rsidRPr="00542C9A" w:rsidRDefault="002C6E5B" w:rsidP="00BC464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D3662E">
        <w:rPr>
          <w:rFonts w:asciiTheme="minorHAnsi" w:hAnsiTheme="minorHAnsi"/>
          <w:color w:val="auto"/>
          <w:szCs w:val="24"/>
        </w:rPr>
        <w:tab/>
      </w:r>
    </w:p>
    <w:p w:rsidR="00301EE0" w:rsidRDefault="00301EE0" w:rsidP="00BC4644">
      <w:pPr>
        <w:tabs>
          <w:tab w:val="left" w:pos="288"/>
          <w:tab w:val="left" w:pos="4752"/>
        </w:tabs>
        <w:spacing w:line="240" w:lineRule="exact"/>
        <w:jc w:val="both"/>
        <w:rPr>
          <w:rFonts w:asciiTheme="minorHAnsi" w:hAnsiTheme="minorHAnsi"/>
          <w:color w:val="auto"/>
          <w:szCs w:val="24"/>
          <w:u w:val="single"/>
        </w:rPr>
      </w:pPr>
    </w:p>
    <w:p w:rsidR="003B6914" w:rsidRPr="009118E6" w:rsidRDefault="00C01A7C" w:rsidP="00BC4644">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926FCB" w:rsidRPr="00542C9A">
        <w:rPr>
          <w:rFonts w:asciiTheme="minorHAnsi" w:hAnsiTheme="minorHAnsi"/>
          <w:color w:val="auto"/>
          <w:szCs w:val="24"/>
          <w:u w:val="single"/>
        </w:rPr>
        <w:t>Back</w:t>
      </w:r>
      <w:r>
        <w:rPr>
          <w:rFonts w:asciiTheme="minorHAnsi" w:hAnsiTheme="minorHAnsi"/>
          <w:color w:val="auto"/>
          <w:szCs w:val="24"/>
          <w:u w:val="single"/>
        </w:rPr>
        <w:t xml:space="preserve"> Pain</w:t>
      </w:r>
      <w:r w:rsidR="00301EE0">
        <w:rPr>
          <w:rFonts w:asciiTheme="minorHAnsi" w:hAnsiTheme="minorHAnsi"/>
          <w:color w:val="auto"/>
          <w:szCs w:val="24"/>
        </w:rPr>
        <w:t>.</w:t>
      </w:r>
      <w:proofErr w:type="gramEnd"/>
      <w:r w:rsidR="00301EE0">
        <w:rPr>
          <w:rFonts w:asciiTheme="minorHAnsi" w:hAnsiTheme="minorHAnsi"/>
          <w:color w:val="auto"/>
          <w:szCs w:val="24"/>
        </w:rPr>
        <w:t xml:space="preserve">  </w:t>
      </w:r>
      <w:r>
        <w:rPr>
          <w:rFonts w:asciiTheme="minorHAnsi" w:hAnsiTheme="minorHAnsi"/>
          <w:color w:val="auto"/>
          <w:szCs w:val="24"/>
        </w:rPr>
        <w:t>T</w:t>
      </w:r>
      <w:r w:rsidR="007F3C6E" w:rsidRPr="00CD5164">
        <w:rPr>
          <w:rFonts w:asciiTheme="minorHAnsi" w:hAnsiTheme="minorHAnsi"/>
          <w:color w:val="auto"/>
          <w:szCs w:val="24"/>
        </w:rPr>
        <w:t xml:space="preserve">he </w:t>
      </w:r>
      <w:r w:rsidR="007F3C6E">
        <w:rPr>
          <w:rFonts w:asciiTheme="minorHAnsi" w:hAnsiTheme="minorHAnsi"/>
          <w:color w:val="auto"/>
          <w:szCs w:val="24"/>
        </w:rPr>
        <w:t>CI hurt his lower back on 17 Nov</w:t>
      </w:r>
      <w:r w:rsidR="00D278AF">
        <w:rPr>
          <w:rFonts w:asciiTheme="minorHAnsi" w:hAnsiTheme="minorHAnsi"/>
          <w:color w:val="auto"/>
          <w:szCs w:val="24"/>
        </w:rPr>
        <w:t>ember 20</w:t>
      </w:r>
      <w:r w:rsidR="007F3C6E">
        <w:rPr>
          <w:rFonts w:asciiTheme="minorHAnsi" w:hAnsiTheme="minorHAnsi"/>
          <w:color w:val="auto"/>
          <w:szCs w:val="24"/>
        </w:rPr>
        <w:t>03</w:t>
      </w:r>
      <w:r w:rsidR="00777494">
        <w:rPr>
          <w:rFonts w:asciiTheme="minorHAnsi" w:hAnsiTheme="minorHAnsi"/>
          <w:color w:val="auto"/>
          <w:szCs w:val="24"/>
        </w:rPr>
        <w:t xml:space="preserve">.  </w:t>
      </w:r>
      <w:r w:rsidR="007F3C6E">
        <w:rPr>
          <w:rFonts w:asciiTheme="minorHAnsi" w:hAnsiTheme="minorHAnsi"/>
          <w:color w:val="auto"/>
          <w:szCs w:val="24"/>
        </w:rPr>
        <w:t>He was</w:t>
      </w:r>
      <w:r w:rsidR="000C5543">
        <w:rPr>
          <w:rFonts w:asciiTheme="minorHAnsi" w:hAnsiTheme="minorHAnsi"/>
          <w:color w:val="auto"/>
          <w:szCs w:val="24"/>
        </w:rPr>
        <w:t xml:space="preserve"> lifting a desk</w:t>
      </w:r>
      <w:r w:rsidR="007F3C6E">
        <w:rPr>
          <w:rFonts w:asciiTheme="minorHAnsi" w:hAnsiTheme="minorHAnsi"/>
          <w:color w:val="auto"/>
          <w:szCs w:val="24"/>
        </w:rPr>
        <w:t xml:space="preserve"> </w:t>
      </w:r>
      <w:r w:rsidR="007F3C6E" w:rsidRPr="00CD5164">
        <w:rPr>
          <w:rFonts w:asciiTheme="minorHAnsi" w:hAnsiTheme="minorHAnsi"/>
          <w:color w:val="auto"/>
          <w:szCs w:val="24"/>
        </w:rPr>
        <w:t xml:space="preserve">and felt a </w:t>
      </w:r>
      <w:r w:rsidR="000C5543">
        <w:rPr>
          <w:rFonts w:asciiTheme="minorHAnsi" w:hAnsiTheme="minorHAnsi"/>
          <w:color w:val="auto"/>
          <w:szCs w:val="24"/>
        </w:rPr>
        <w:t>“</w:t>
      </w:r>
      <w:r w:rsidR="007F3C6E" w:rsidRPr="00CD5164">
        <w:rPr>
          <w:rFonts w:asciiTheme="minorHAnsi" w:hAnsiTheme="minorHAnsi"/>
          <w:color w:val="auto"/>
          <w:szCs w:val="24"/>
        </w:rPr>
        <w:t>pop</w:t>
      </w:r>
      <w:r w:rsidR="000C5543">
        <w:rPr>
          <w:rFonts w:asciiTheme="minorHAnsi" w:hAnsiTheme="minorHAnsi"/>
          <w:color w:val="auto"/>
          <w:szCs w:val="24"/>
        </w:rPr>
        <w:t>”</w:t>
      </w:r>
      <w:r w:rsidR="007F3C6E" w:rsidRPr="00CD5164">
        <w:rPr>
          <w:rFonts w:asciiTheme="minorHAnsi" w:hAnsiTheme="minorHAnsi"/>
          <w:color w:val="auto"/>
          <w:szCs w:val="24"/>
        </w:rPr>
        <w:t xml:space="preserve"> in his lower back</w:t>
      </w:r>
      <w:r w:rsidR="00777494">
        <w:rPr>
          <w:rFonts w:asciiTheme="minorHAnsi" w:hAnsiTheme="minorHAnsi"/>
          <w:color w:val="auto"/>
          <w:szCs w:val="24"/>
        </w:rPr>
        <w:t>,</w:t>
      </w:r>
      <w:r w:rsidR="007F3C6E" w:rsidRPr="00CD5164">
        <w:rPr>
          <w:rFonts w:asciiTheme="minorHAnsi" w:hAnsiTheme="minorHAnsi"/>
          <w:color w:val="auto"/>
          <w:szCs w:val="24"/>
        </w:rPr>
        <w:t xml:space="preserve"> and noted some tingling sensation in </w:t>
      </w:r>
      <w:r w:rsidR="0058234B">
        <w:rPr>
          <w:rFonts w:asciiTheme="minorHAnsi" w:hAnsiTheme="minorHAnsi"/>
          <w:color w:val="auto"/>
          <w:szCs w:val="24"/>
        </w:rPr>
        <w:t>the</w:t>
      </w:r>
      <w:r w:rsidR="007F3C6E" w:rsidRPr="00CD5164">
        <w:rPr>
          <w:rFonts w:asciiTheme="minorHAnsi" w:hAnsiTheme="minorHAnsi"/>
          <w:color w:val="auto"/>
          <w:szCs w:val="24"/>
        </w:rPr>
        <w:t xml:space="preserve"> legs.</w:t>
      </w:r>
      <w:r w:rsidR="007F3C6E">
        <w:rPr>
          <w:rFonts w:asciiTheme="minorHAnsi" w:hAnsiTheme="minorHAnsi"/>
          <w:color w:val="auto"/>
          <w:szCs w:val="24"/>
        </w:rPr>
        <w:t xml:space="preserve"> </w:t>
      </w:r>
      <w:r w:rsidR="00D278AF">
        <w:rPr>
          <w:rFonts w:asciiTheme="minorHAnsi" w:hAnsiTheme="minorHAnsi"/>
          <w:color w:val="auto"/>
          <w:szCs w:val="24"/>
        </w:rPr>
        <w:t xml:space="preserve"> </w:t>
      </w:r>
      <w:r w:rsidR="007F3C6E" w:rsidRPr="00CD5164">
        <w:rPr>
          <w:rFonts w:asciiTheme="minorHAnsi" w:hAnsiTheme="minorHAnsi"/>
          <w:color w:val="auto"/>
          <w:szCs w:val="24"/>
        </w:rPr>
        <w:t>He was e</w:t>
      </w:r>
      <w:r w:rsidR="003D0CAB">
        <w:rPr>
          <w:rFonts w:asciiTheme="minorHAnsi" w:hAnsiTheme="minorHAnsi"/>
          <w:color w:val="auto"/>
          <w:szCs w:val="24"/>
        </w:rPr>
        <w:t xml:space="preserve">valuated at the </w:t>
      </w:r>
      <w:r w:rsidR="007F3C6E" w:rsidRPr="00CD5164">
        <w:rPr>
          <w:rFonts w:asciiTheme="minorHAnsi" w:hAnsiTheme="minorHAnsi"/>
          <w:color w:val="auto"/>
          <w:szCs w:val="24"/>
        </w:rPr>
        <w:t>Eme</w:t>
      </w:r>
      <w:r w:rsidR="003D0CAB">
        <w:rPr>
          <w:rFonts w:asciiTheme="minorHAnsi" w:hAnsiTheme="minorHAnsi"/>
          <w:color w:val="auto"/>
          <w:szCs w:val="24"/>
        </w:rPr>
        <w:t xml:space="preserve">rgency Room that day and </w:t>
      </w:r>
      <w:r w:rsidR="007F3C6E" w:rsidRPr="00CD5164">
        <w:rPr>
          <w:rFonts w:asciiTheme="minorHAnsi" w:hAnsiTheme="minorHAnsi"/>
          <w:color w:val="auto"/>
          <w:szCs w:val="24"/>
        </w:rPr>
        <w:t>a</w:t>
      </w:r>
      <w:r w:rsidR="007F3C6E">
        <w:rPr>
          <w:rFonts w:asciiTheme="minorHAnsi" w:hAnsiTheme="minorHAnsi"/>
          <w:color w:val="auto"/>
          <w:szCs w:val="24"/>
        </w:rPr>
        <w:t xml:space="preserve"> </w:t>
      </w:r>
      <w:r w:rsidR="007F3C6E" w:rsidRPr="00CD5164">
        <w:rPr>
          <w:rFonts w:asciiTheme="minorHAnsi" w:hAnsiTheme="minorHAnsi"/>
          <w:color w:val="auto"/>
          <w:szCs w:val="24"/>
        </w:rPr>
        <w:t xml:space="preserve">pelvic manipulation </w:t>
      </w:r>
      <w:r w:rsidR="00777494">
        <w:rPr>
          <w:rFonts w:asciiTheme="minorHAnsi" w:hAnsiTheme="minorHAnsi"/>
          <w:color w:val="auto"/>
          <w:szCs w:val="24"/>
        </w:rPr>
        <w:t xml:space="preserve">was </w:t>
      </w:r>
      <w:r w:rsidR="007F3C6E" w:rsidRPr="00CD5164">
        <w:rPr>
          <w:rFonts w:asciiTheme="minorHAnsi" w:hAnsiTheme="minorHAnsi"/>
          <w:color w:val="auto"/>
          <w:szCs w:val="24"/>
        </w:rPr>
        <w:t>done</w:t>
      </w:r>
      <w:r w:rsidR="00777494">
        <w:rPr>
          <w:rFonts w:asciiTheme="minorHAnsi" w:hAnsiTheme="minorHAnsi"/>
          <w:color w:val="auto"/>
          <w:szCs w:val="24"/>
        </w:rPr>
        <w:t xml:space="preserve">.  CI was </w:t>
      </w:r>
      <w:r w:rsidR="003D0CAB">
        <w:rPr>
          <w:rFonts w:asciiTheme="minorHAnsi" w:hAnsiTheme="minorHAnsi"/>
          <w:color w:val="auto"/>
          <w:szCs w:val="24"/>
        </w:rPr>
        <w:t xml:space="preserve">given pain medication and put on </w:t>
      </w:r>
      <w:r w:rsidR="007F3C6E" w:rsidRPr="00CD5164">
        <w:rPr>
          <w:rFonts w:asciiTheme="minorHAnsi" w:hAnsiTheme="minorHAnsi"/>
          <w:color w:val="auto"/>
          <w:szCs w:val="24"/>
        </w:rPr>
        <w:t>temporary profile.</w:t>
      </w:r>
      <w:r w:rsidR="00777494">
        <w:rPr>
          <w:rFonts w:asciiTheme="minorHAnsi" w:hAnsiTheme="minorHAnsi"/>
          <w:color w:val="auto"/>
          <w:szCs w:val="24"/>
        </w:rPr>
        <w:t xml:space="preserve"> </w:t>
      </w:r>
      <w:r w:rsidR="007F3C6E" w:rsidRPr="00CD5164">
        <w:rPr>
          <w:rFonts w:asciiTheme="minorHAnsi" w:hAnsiTheme="minorHAnsi"/>
          <w:color w:val="auto"/>
          <w:szCs w:val="24"/>
        </w:rPr>
        <w:t xml:space="preserve"> </w:t>
      </w:r>
      <w:r w:rsidR="00777494">
        <w:rPr>
          <w:rFonts w:asciiTheme="minorHAnsi" w:hAnsiTheme="minorHAnsi"/>
          <w:color w:val="auto"/>
          <w:szCs w:val="24"/>
        </w:rPr>
        <w:t>One</w:t>
      </w:r>
      <w:r w:rsidR="003B0E64">
        <w:rPr>
          <w:rFonts w:asciiTheme="minorHAnsi" w:hAnsiTheme="minorHAnsi"/>
          <w:color w:val="auto"/>
          <w:szCs w:val="24"/>
        </w:rPr>
        <w:t xml:space="preserve"> month later </w:t>
      </w:r>
      <w:r w:rsidR="00777494">
        <w:rPr>
          <w:rFonts w:asciiTheme="minorHAnsi" w:hAnsiTheme="minorHAnsi"/>
          <w:color w:val="auto"/>
          <w:szCs w:val="24"/>
        </w:rPr>
        <w:t>he</w:t>
      </w:r>
      <w:r w:rsidR="007F3C6E" w:rsidRPr="00CD5164">
        <w:rPr>
          <w:rFonts w:asciiTheme="minorHAnsi" w:hAnsiTheme="minorHAnsi"/>
          <w:color w:val="auto"/>
          <w:szCs w:val="24"/>
        </w:rPr>
        <w:t xml:space="preserve"> was pre</w:t>
      </w:r>
      <w:r w:rsidR="007F3C6E">
        <w:rPr>
          <w:rFonts w:asciiTheme="minorHAnsi" w:hAnsiTheme="minorHAnsi"/>
          <w:color w:val="auto"/>
          <w:szCs w:val="24"/>
        </w:rPr>
        <w:t>scr</w:t>
      </w:r>
      <w:r w:rsidR="007F3C6E" w:rsidRPr="00CD5164">
        <w:rPr>
          <w:rFonts w:asciiTheme="minorHAnsi" w:hAnsiTheme="minorHAnsi"/>
          <w:color w:val="auto"/>
          <w:szCs w:val="24"/>
        </w:rPr>
        <w:t>ibed a course of physical therapy</w:t>
      </w:r>
      <w:r w:rsidR="0054162B">
        <w:rPr>
          <w:rFonts w:asciiTheme="minorHAnsi" w:hAnsiTheme="minorHAnsi"/>
          <w:color w:val="auto"/>
          <w:szCs w:val="24"/>
        </w:rPr>
        <w:t xml:space="preserve"> (PT)</w:t>
      </w:r>
      <w:r w:rsidR="007F3C6E" w:rsidRPr="00CD5164">
        <w:rPr>
          <w:rFonts w:asciiTheme="minorHAnsi" w:hAnsiTheme="minorHAnsi"/>
          <w:color w:val="auto"/>
          <w:szCs w:val="24"/>
        </w:rPr>
        <w:t xml:space="preserve"> and nonsteroidal</w:t>
      </w:r>
      <w:r w:rsidR="007F3C6E">
        <w:rPr>
          <w:rFonts w:asciiTheme="minorHAnsi" w:hAnsiTheme="minorHAnsi"/>
          <w:color w:val="auto"/>
          <w:szCs w:val="24"/>
        </w:rPr>
        <w:t xml:space="preserve"> </w:t>
      </w:r>
      <w:r w:rsidR="003D0CAB">
        <w:rPr>
          <w:rFonts w:asciiTheme="minorHAnsi" w:hAnsiTheme="minorHAnsi"/>
          <w:color w:val="auto"/>
          <w:szCs w:val="24"/>
        </w:rPr>
        <w:t xml:space="preserve">anti-inflammatory </w:t>
      </w:r>
      <w:r w:rsidR="00777494">
        <w:rPr>
          <w:rFonts w:asciiTheme="minorHAnsi" w:hAnsiTheme="minorHAnsi"/>
          <w:color w:val="auto"/>
          <w:szCs w:val="24"/>
        </w:rPr>
        <w:t>drugs (NSAIDs)</w:t>
      </w:r>
      <w:r w:rsidR="007F3C6E" w:rsidRPr="00CD5164">
        <w:rPr>
          <w:rFonts w:asciiTheme="minorHAnsi" w:hAnsiTheme="minorHAnsi"/>
          <w:color w:val="auto"/>
          <w:szCs w:val="24"/>
        </w:rPr>
        <w:t xml:space="preserve">. </w:t>
      </w:r>
      <w:r w:rsidR="00D278AF">
        <w:rPr>
          <w:rFonts w:asciiTheme="minorHAnsi" w:hAnsiTheme="minorHAnsi"/>
          <w:color w:val="auto"/>
          <w:szCs w:val="24"/>
        </w:rPr>
        <w:t xml:space="preserve"> </w:t>
      </w:r>
      <w:r w:rsidR="000C5543">
        <w:rPr>
          <w:rFonts w:asciiTheme="minorHAnsi" w:hAnsiTheme="minorHAnsi"/>
          <w:color w:val="auto"/>
          <w:szCs w:val="24"/>
        </w:rPr>
        <w:t>He had no</w:t>
      </w:r>
      <w:r w:rsidR="003B0E64">
        <w:rPr>
          <w:rFonts w:asciiTheme="minorHAnsi" w:hAnsiTheme="minorHAnsi"/>
          <w:color w:val="auto"/>
          <w:szCs w:val="24"/>
        </w:rPr>
        <w:t xml:space="preserve"> significant improvement </w:t>
      </w:r>
      <w:r w:rsidR="000C5543">
        <w:rPr>
          <w:rFonts w:asciiTheme="minorHAnsi" w:hAnsiTheme="minorHAnsi"/>
          <w:color w:val="auto"/>
          <w:szCs w:val="24"/>
        </w:rPr>
        <w:t xml:space="preserve">and </w:t>
      </w:r>
      <w:r w:rsidR="003B0E64">
        <w:rPr>
          <w:rFonts w:asciiTheme="minorHAnsi" w:hAnsiTheme="minorHAnsi"/>
          <w:color w:val="auto"/>
          <w:szCs w:val="24"/>
        </w:rPr>
        <w:t xml:space="preserve">was referred to </w:t>
      </w:r>
      <w:r w:rsidR="007F3C6E" w:rsidRPr="00CD5164">
        <w:rPr>
          <w:rFonts w:asciiTheme="minorHAnsi" w:hAnsiTheme="minorHAnsi"/>
          <w:color w:val="auto"/>
          <w:szCs w:val="24"/>
        </w:rPr>
        <w:t xml:space="preserve">a </w:t>
      </w:r>
      <w:r w:rsidR="003B0E64">
        <w:rPr>
          <w:rFonts w:asciiTheme="minorHAnsi" w:hAnsiTheme="minorHAnsi"/>
          <w:color w:val="auto"/>
          <w:szCs w:val="24"/>
        </w:rPr>
        <w:t xml:space="preserve">civilian </w:t>
      </w:r>
      <w:r w:rsidR="007F3C6E" w:rsidRPr="00CD5164">
        <w:rPr>
          <w:rFonts w:asciiTheme="minorHAnsi" w:hAnsiTheme="minorHAnsi"/>
          <w:color w:val="auto"/>
          <w:szCs w:val="24"/>
        </w:rPr>
        <w:t>neurosurgeon</w:t>
      </w:r>
      <w:r w:rsidR="003B0E64">
        <w:rPr>
          <w:rFonts w:asciiTheme="minorHAnsi" w:hAnsiTheme="minorHAnsi"/>
          <w:color w:val="auto"/>
          <w:szCs w:val="24"/>
        </w:rPr>
        <w:t xml:space="preserve">. </w:t>
      </w:r>
      <w:r w:rsidR="00D278AF">
        <w:rPr>
          <w:rFonts w:asciiTheme="minorHAnsi" w:hAnsiTheme="minorHAnsi"/>
          <w:color w:val="auto"/>
          <w:szCs w:val="24"/>
        </w:rPr>
        <w:t xml:space="preserve"> </w:t>
      </w:r>
      <w:r w:rsidR="00777494">
        <w:rPr>
          <w:rFonts w:asciiTheme="minorHAnsi" w:hAnsiTheme="minorHAnsi"/>
          <w:color w:val="auto"/>
          <w:szCs w:val="24"/>
        </w:rPr>
        <w:t>On 7 June 2004, t</w:t>
      </w:r>
      <w:r w:rsidR="003B0E64">
        <w:rPr>
          <w:rFonts w:asciiTheme="minorHAnsi" w:hAnsiTheme="minorHAnsi"/>
          <w:color w:val="auto"/>
          <w:szCs w:val="24"/>
        </w:rPr>
        <w:t>he CI</w:t>
      </w:r>
      <w:r w:rsidR="007F3C6E" w:rsidRPr="00CD5164">
        <w:rPr>
          <w:rFonts w:asciiTheme="minorHAnsi" w:hAnsiTheme="minorHAnsi"/>
          <w:color w:val="auto"/>
          <w:szCs w:val="24"/>
        </w:rPr>
        <w:t xml:space="preserve"> </w:t>
      </w:r>
      <w:r w:rsidR="003B0E64">
        <w:rPr>
          <w:rFonts w:asciiTheme="minorHAnsi" w:hAnsiTheme="minorHAnsi"/>
          <w:color w:val="auto"/>
          <w:szCs w:val="24"/>
        </w:rPr>
        <w:t xml:space="preserve">underwent an </w:t>
      </w:r>
      <w:r w:rsidR="007F3C6E" w:rsidRPr="00C44319">
        <w:rPr>
          <w:rFonts w:asciiTheme="minorHAnsi" w:hAnsiTheme="minorHAnsi"/>
          <w:color w:val="auto"/>
          <w:szCs w:val="24"/>
        </w:rPr>
        <w:t>L5</w:t>
      </w:r>
      <w:r w:rsidR="00E0105D">
        <w:rPr>
          <w:rFonts w:asciiTheme="minorHAnsi" w:hAnsiTheme="minorHAnsi"/>
          <w:color w:val="auto"/>
          <w:szCs w:val="24"/>
        </w:rPr>
        <w:t>-S1 spinal fusion</w:t>
      </w:r>
      <w:r w:rsidR="003B0E64">
        <w:rPr>
          <w:rFonts w:asciiTheme="minorHAnsi" w:hAnsiTheme="minorHAnsi"/>
          <w:color w:val="auto"/>
          <w:szCs w:val="24"/>
        </w:rPr>
        <w:t xml:space="preserve">. </w:t>
      </w:r>
      <w:r w:rsidR="00D278AF">
        <w:rPr>
          <w:rFonts w:asciiTheme="minorHAnsi" w:hAnsiTheme="minorHAnsi"/>
          <w:color w:val="auto"/>
          <w:szCs w:val="24"/>
        </w:rPr>
        <w:t xml:space="preserve"> </w:t>
      </w:r>
      <w:r w:rsidR="003B0E64">
        <w:rPr>
          <w:rFonts w:asciiTheme="minorHAnsi" w:hAnsiTheme="minorHAnsi"/>
          <w:color w:val="auto"/>
          <w:szCs w:val="24"/>
        </w:rPr>
        <w:t>The CI reported</w:t>
      </w:r>
      <w:r w:rsidR="007F3C6E" w:rsidRPr="00C44319">
        <w:rPr>
          <w:rFonts w:asciiTheme="minorHAnsi" w:hAnsiTheme="minorHAnsi"/>
          <w:color w:val="auto"/>
          <w:szCs w:val="24"/>
        </w:rPr>
        <w:t xml:space="preserve"> </w:t>
      </w:r>
      <w:r w:rsidR="003B0E64">
        <w:rPr>
          <w:rFonts w:asciiTheme="minorHAnsi" w:hAnsiTheme="minorHAnsi"/>
          <w:color w:val="auto"/>
          <w:szCs w:val="24"/>
        </w:rPr>
        <w:t xml:space="preserve">that </w:t>
      </w:r>
      <w:r w:rsidR="000C5543">
        <w:rPr>
          <w:rFonts w:asciiTheme="minorHAnsi" w:hAnsiTheme="minorHAnsi"/>
          <w:color w:val="auto"/>
          <w:szCs w:val="24"/>
        </w:rPr>
        <w:t>right after surgery his symptoms were</w:t>
      </w:r>
      <w:r w:rsidR="003B0E64">
        <w:rPr>
          <w:rFonts w:asciiTheme="minorHAnsi" w:hAnsiTheme="minorHAnsi"/>
          <w:color w:val="auto"/>
          <w:szCs w:val="24"/>
        </w:rPr>
        <w:t xml:space="preserve"> relieved</w:t>
      </w:r>
      <w:r w:rsidR="00777494">
        <w:rPr>
          <w:rFonts w:asciiTheme="minorHAnsi" w:hAnsiTheme="minorHAnsi"/>
          <w:color w:val="auto"/>
          <w:szCs w:val="24"/>
        </w:rPr>
        <w:t>.  However, three months later (</w:t>
      </w:r>
      <w:r w:rsidR="007F3C6E" w:rsidRPr="00C44319">
        <w:rPr>
          <w:rFonts w:asciiTheme="minorHAnsi" w:hAnsiTheme="minorHAnsi"/>
          <w:color w:val="auto"/>
          <w:szCs w:val="24"/>
        </w:rPr>
        <w:t xml:space="preserve">September </w:t>
      </w:r>
      <w:r w:rsidR="001C63C6">
        <w:rPr>
          <w:rFonts w:asciiTheme="minorHAnsi" w:hAnsiTheme="minorHAnsi"/>
          <w:color w:val="auto"/>
          <w:szCs w:val="24"/>
        </w:rPr>
        <w:t>2004</w:t>
      </w:r>
      <w:r w:rsidR="00777494">
        <w:rPr>
          <w:rFonts w:asciiTheme="minorHAnsi" w:hAnsiTheme="minorHAnsi"/>
          <w:color w:val="auto"/>
          <w:szCs w:val="24"/>
        </w:rPr>
        <w:t xml:space="preserve">) the pain </w:t>
      </w:r>
      <w:r w:rsidR="007F3C6E" w:rsidRPr="00C44319">
        <w:rPr>
          <w:rFonts w:asciiTheme="minorHAnsi" w:hAnsiTheme="minorHAnsi"/>
          <w:color w:val="auto"/>
          <w:szCs w:val="24"/>
        </w:rPr>
        <w:t>recurre</w:t>
      </w:r>
      <w:r w:rsidR="00777494">
        <w:rPr>
          <w:rFonts w:asciiTheme="minorHAnsi" w:hAnsiTheme="minorHAnsi"/>
          <w:color w:val="auto"/>
          <w:szCs w:val="24"/>
        </w:rPr>
        <w:t xml:space="preserve">d.  </w:t>
      </w:r>
      <w:r w:rsidR="007A317E">
        <w:rPr>
          <w:rFonts w:asciiTheme="minorHAnsi" w:hAnsiTheme="minorHAnsi"/>
          <w:color w:val="auto"/>
          <w:szCs w:val="24"/>
        </w:rPr>
        <w:t xml:space="preserve">In </w:t>
      </w:r>
      <w:r w:rsidR="00F85946">
        <w:rPr>
          <w:rFonts w:asciiTheme="minorHAnsi" w:hAnsiTheme="minorHAnsi"/>
          <w:color w:val="auto"/>
          <w:szCs w:val="24"/>
        </w:rPr>
        <w:t>October 2004</w:t>
      </w:r>
      <w:r w:rsidR="007A317E">
        <w:rPr>
          <w:rFonts w:asciiTheme="minorHAnsi" w:hAnsiTheme="minorHAnsi"/>
          <w:color w:val="auto"/>
          <w:szCs w:val="24"/>
        </w:rPr>
        <w:t>,</w:t>
      </w:r>
      <w:r w:rsidR="00F85946">
        <w:rPr>
          <w:rFonts w:asciiTheme="minorHAnsi" w:hAnsiTheme="minorHAnsi"/>
          <w:color w:val="auto"/>
          <w:szCs w:val="24"/>
        </w:rPr>
        <w:t xml:space="preserve"> the </w:t>
      </w:r>
      <w:r w:rsidR="007A317E">
        <w:rPr>
          <w:rFonts w:asciiTheme="minorHAnsi" w:hAnsiTheme="minorHAnsi"/>
          <w:color w:val="auto"/>
          <w:szCs w:val="24"/>
        </w:rPr>
        <w:t xml:space="preserve">CI </w:t>
      </w:r>
      <w:r w:rsidR="002C32BE">
        <w:rPr>
          <w:rFonts w:asciiTheme="minorHAnsi" w:hAnsiTheme="minorHAnsi"/>
          <w:color w:val="auto"/>
          <w:szCs w:val="24"/>
        </w:rPr>
        <w:t>complain</w:t>
      </w:r>
      <w:r w:rsidR="007A317E">
        <w:rPr>
          <w:rFonts w:asciiTheme="minorHAnsi" w:hAnsiTheme="minorHAnsi"/>
          <w:color w:val="auto"/>
          <w:szCs w:val="24"/>
        </w:rPr>
        <w:t>ed</w:t>
      </w:r>
      <w:r w:rsidR="002C32BE">
        <w:rPr>
          <w:rFonts w:asciiTheme="minorHAnsi" w:hAnsiTheme="minorHAnsi"/>
          <w:color w:val="auto"/>
          <w:szCs w:val="24"/>
        </w:rPr>
        <w:t xml:space="preserve"> of </w:t>
      </w:r>
      <w:r w:rsidR="002C32BE" w:rsidRPr="00213F22">
        <w:rPr>
          <w:rFonts w:asciiTheme="minorHAnsi" w:hAnsiTheme="minorHAnsi"/>
          <w:color w:val="auto"/>
          <w:szCs w:val="24"/>
        </w:rPr>
        <w:t>bilateral</w:t>
      </w:r>
      <w:r w:rsidR="002C32BE">
        <w:rPr>
          <w:rFonts w:asciiTheme="minorHAnsi" w:hAnsiTheme="minorHAnsi"/>
          <w:color w:val="auto"/>
          <w:szCs w:val="24"/>
        </w:rPr>
        <w:t xml:space="preserve"> leg pain</w:t>
      </w:r>
      <w:r w:rsidR="00C704B8">
        <w:rPr>
          <w:rFonts w:asciiTheme="minorHAnsi" w:hAnsiTheme="minorHAnsi"/>
          <w:color w:val="auto"/>
          <w:szCs w:val="24"/>
        </w:rPr>
        <w:t xml:space="preserve"> (right&gt;left)</w:t>
      </w:r>
      <w:r w:rsidR="002C32BE">
        <w:rPr>
          <w:rFonts w:asciiTheme="minorHAnsi" w:hAnsiTheme="minorHAnsi"/>
          <w:color w:val="auto"/>
          <w:szCs w:val="24"/>
        </w:rPr>
        <w:t xml:space="preserve"> </w:t>
      </w:r>
      <w:r w:rsidR="007A317E">
        <w:rPr>
          <w:rFonts w:asciiTheme="minorHAnsi" w:hAnsiTheme="minorHAnsi"/>
          <w:color w:val="auto"/>
          <w:szCs w:val="24"/>
        </w:rPr>
        <w:t xml:space="preserve">which </w:t>
      </w:r>
      <w:r w:rsidR="002C32BE">
        <w:rPr>
          <w:rFonts w:asciiTheme="minorHAnsi" w:hAnsiTheme="minorHAnsi"/>
          <w:color w:val="auto"/>
          <w:szCs w:val="24"/>
        </w:rPr>
        <w:t>ra</w:t>
      </w:r>
      <w:r w:rsidR="00C20CC1">
        <w:rPr>
          <w:rFonts w:asciiTheme="minorHAnsi" w:hAnsiTheme="minorHAnsi"/>
          <w:color w:val="auto"/>
          <w:szCs w:val="24"/>
        </w:rPr>
        <w:t>diat</w:t>
      </w:r>
      <w:r w:rsidR="007A317E">
        <w:rPr>
          <w:rFonts w:asciiTheme="minorHAnsi" w:hAnsiTheme="minorHAnsi"/>
          <w:color w:val="auto"/>
          <w:szCs w:val="24"/>
        </w:rPr>
        <w:t>ed</w:t>
      </w:r>
      <w:r w:rsidR="00C20CC1">
        <w:rPr>
          <w:rFonts w:asciiTheme="minorHAnsi" w:hAnsiTheme="minorHAnsi"/>
          <w:color w:val="auto"/>
          <w:szCs w:val="24"/>
        </w:rPr>
        <w:t xml:space="preserve"> from his buttocks to</w:t>
      </w:r>
      <w:r w:rsidR="00E0105D">
        <w:rPr>
          <w:rFonts w:asciiTheme="minorHAnsi" w:hAnsiTheme="minorHAnsi"/>
          <w:color w:val="auto"/>
          <w:szCs w:val="24"/>
        </w:rPr>
        <w:t xml:space="preserve"> the lateral </w:t>
      </w:r>
      <w:r w:rsidR="007A317E">
        <w:rPr>
          <w:rFonts w:asciiTheme="minorHAnsi" w:hAnsiTheme="minorHAnsi"/>
          <w:color w:val="auto"/>
          <w:szCs w:val="24"/>
        </w:rPr>
        <w:lastRenderedPageBreak/>
        <w:t>aspect</w:t>
      </w:r>
      <w:r w:rsidR="00E0105D">
        <w:rPr>
          <w:rFonts w:asciiTheme="minorHAnsi" w:hAnsiTheme="minorHAnsi"/>
          <w:color w:val="auto"/>
          <w:szCs w:val="24"/>
        </w:rPr>
        <w:t xml:space="preserve"> of </w:t>
      </w:r>
      <w:r w:rsidR="007A317E">
        <w:rPr>
          <w:rFonts w:asciiTheme="minorHAnsi" w:hAnsiTheme="minorHAnsi"/>
          <w:color w:val="auto"/>
          <w:szCs w:val="24"/>
        </w:rPr>
        <w:t>the</w:t>
      </w:r>
      <w:r w:rsidR="00E0105D">
        <w:rPr>
          <w:rFonts w:asciiTheme="minorHAnsi" w:hAnsiTheme="minorHAnsi"/>
          <w:color w:val="auto"/>
          <w:szCs w:val="24"/>
        </w:rPr>
        <w:t xml:space="preserve"> feet</w:t>
      </w:r>
      <w:r w:rsidR="00F85946">
        <w:rPr>
          <w:rFonts w:asciiTheme="minorHAnsi" w:hAnsiTheme="minorHAnsi"/>
          <w:color w:val="auto"/>
          <w:szCs w:val="24"/>
        </w:rPr>
        <w:t>.</w:t>
      </w:r>
      <w:r w:rsidR="00C03EAC">
        <w:rPr>
          <w:rFonts w:asciiTheme="minorHAnsi" w:hAnsiTheme="minorHAnsi"/>
          <w:color w:val="auto"/>
          <w:szCs w:val="24"/>
        </w:rPr>
        <w:t xml:space="preserve">  </w:t>
      </w:r>
      <w:r w:rsidR="00271E1F">
        <w:rPr>
          <w:rFonts w:asciiTheme="minorHAnsi" w:hAnsiTheme="minorHAnsi"/>
          <w:color w:val="auto"/>
          <w:szCs w:val="24"/>
        </w:rPr>
        <w:t>He was issued</w:t>
      </w:r>
      <w:r w:rsidR="00C26746">
        <w:rPr>
          <w:rFonts w:asciiTheme="minorHAnsi" w:hAnsiTheme="minorHAnsi"/>
          <w:color w:val="auto"/>
          <w:szCs w:val="24"/>
        </w:rPr>
        <w:t xml:space="preserve"> a permanent L-3 profile</w:t>
      </w:r>
      <w:r w:rsidR="007A317E">
        <w:rPr>
          <w:rFonts w:asciiTheme="minorHAnsi" w:hAnsiTheme="minorHAnsi"/>
          <w:color w:val="auto"/>
          <w:szCs w:val="24"/>
        </w:rPr>
        <w:t xml:space="preserve"> and </w:t>
      </w:r>
      <w:r w:rsidR="00C26746">
        <w:rPr>
          <w:rFonts w:asciiTheme="minorHAnsi" w:hAnsiTheme="minorHAnsi"/>
          <w:color w:val="auto"/>
          <w:szCs w:val="24"/>
        </w:rPr>
        <w:t>an MEB was initiated</w:t>
      </w:r>
      <w:r w:rsidR="007A317E">
        <w:rPr>
          <w:rFonts w:asciiTheme="minorHAnsi" w:hAnsiTheme="minorHAnsi"/>
          <w:color w:val="auto"/>
          <w:szCs w:val="24"/>
        </w:rPr>
        <w:t xml:space="preserve">.  </w:t>
      </w:r>
      <w:r w:rsidR="0058234B">
        <w:rPr>
          <w:rFonts w:asciiTheme="minorHAnsi" w:hAnsiTheme="minorHAnsi"/>
          <w:color w:val="auto"/>
          <w:szCs w:val="24"/>
        </w:rPr>
        <w:t xml:space="preserve"> </w:t>
      </w:r>
      <w:r w:rsidR="006360F9">
        <w:rPr>
          <w:rFonts w:asciiTheme="minorHAnsi" w:hAnsiTheme="minorHAnsi"/>
          <w:color w:val="auto"/>
          <w:szCs w:val="24"/>
        </w:rPr>
        <w:t>In January 2005 the CI w</w:t>
      </w:r>
      <w:r w:rsidR="000C5543">
        <w:rPr>
          <w:rFonts w:asciiTheme="minorHAnsi" w:hAnsiTheme="minorHAnsi"/>
          <w:color w:val="auto"/>
          <w:szCs w:val="24"/>
        </w:rPr>
        <w:t xml:space="preserve">as </w:t>
      </w:r>
      <w:r w:rsidR="00271E1F">
        <w:rPr>
          <w:rFonts w:asciiTheme="minorHAnsi" w:hAnsiTheme="minorHAnsi"/>
          <w:color w:val="auto"/>
          <w:szCs w:val="24"/>
        </w:rPr>
        <w:t>seen by N</w:t>
      </w:r>
      <w:r w:rsidR="000C5543">
        <w:rPr>
          <w:rFonts w:asciiTheme="minorHAnsi" w:hAnsiTheme="minorHAnsi"/>
          <w:color w:val="auto"/>
          <w:szCs w:val="24"/>
        </w:rPr>
        <w:t>eurosurgery</w:t>
      </w:r>
      <w:r w:rsidR="00271E1F">
        <w:rPr>
          <w:rFonts w:asciiTheme="minorHAnsi" w:hAnsiTheme="minorHAnsi"/>
          <w:color w:val="auto"/>
          <w:szCs w:val="24"/>
        </w:rPr>
        <w:t>.  Exam revealed normal gait, normal muscle strength,</w:t>
      </w:r>
      <w:r w:rsidR="00EB767A">
        <w:rPr>
          <w:rFonts w:asciiTheme="minorHAnsi" w:hAnsiTheme="minorHAnsi"/>
          <w:color w:val="auto"/>
          <w:szCs w:val="24"/>
        </w:rPr>
        <w:t xml:space="preserve"> and</w:t>
      </w:r>
      <w:r w:rsidR="00271E1F">
        <w:rPr>
          <w:rFonts w:asciiTheme="minorHAnsi" w:hAnsiTheme="minorHAnsi"/>
          <w:color w:val="auto"/>
          <w:szCs w:val="24"/>
        </w:rPr>
        <w:t xml:space="preserve"> negative straight leg </w:t>
      </w:r>
      <w:proofErr w:type="gramStart"/>
      <w:r w:rsidR="00271E1F">
        <w:rPr>
          <w:rFonts w:asciiTheme="minorHAnsi" w:hAnsiTheme="minorHAnsi"/>
          <w:color w:val="auto"/>
          <w:szCs w:val="24"/>
        </w:rPr>
        <w:t>raise</w:t>
      </w:r>
      <w:proofErr w:type="gramEnd"/>
      <w:r w:rsidR="00EB767A">
        <w:rPr>
          <w:rFonts w:asciiTheme="minorHAnsi" w:hAnsiTheme="minorHAnsi"/>
          <w:color w:val="auto"/>
          <w:szCs w:val="24"/>
        </w:rPr>
        <w:t xml:space="preserve">.  There was a </w:t>
      </w:r>
      <w:r w:rsidR="00271E1F">
        <w:rPr>
          <w:rFonts w:asciiTheme="minorHAnsi" w:hAnsiTheme="minorHAnsi"/>
          <w:color w:val="auto"/>
          <w:szCs w:val="24"/>
        </w:rPr>
        <w:t xml:space="preserve">mild decrease of sensation along the outside of the </w:t>
      </w:r>
      <w:r w:rsidR="00271E1F" w:rsidRPr="00654BE8">
        <w:rPr>
          <w:rFonts w:asciiTheme="minorHAnsi" w:hAnsiTheme="minorHAnsi"/>
          <w:color w:val="auto"/>
          <w:szCs w:val="24"/>
        </w:rPr>
        <w:t>left</w:t>
      </w:r>
      <w:r w:rsidR="00271E1F">
        <w:rPr>
          <w:rFonts w:asciiTheme="minorHAnsi" w:hAnsiTheme="minorHAnsi"/>
          <w:color w:val="auto"/>
          <w:szCs w:val="24"/>
        </w:rPr>
        <w:t xml:space="preserve"> foot</w:t>
      </w:r>
      <w:r w:rsidR="00EB767A">
        <w:rPr>
          <w:rFonts w:asciiTheme="minorHAnsi" w:hAnsiTheme="minorHAnsi"/>
          <w:color w:val="auto"/>
          <w:szCs w:val="24"/>
        </w:rPr>
        <w:t>,</w:t>
      </w:r>
      <w:r w:rsidR="00271E1F">
        <w:rPr>
          <w:rFonts w:asciiTheme="minorHAnsi" w:hAnsiTheme="minorHAnsi"/>
          <w:color w:val="auto"/>
          <w:szCs w:val="24"/>
        </w:rPr>
        <w:t xml:space="preserve"> as well as a slightly decreased </w:t>
      </w:r>
      <w:r w:rsidR="00271E1F" w:rsidRPr="00654BE8">
        <w:rPr>
          <w:rFonts w:asciiTheme="minorHAnsi" w:hAnsiTheme="minorHAnsi"/>
          <w:color w:val="auto"/>
          <w:szCs w:val="24"/>
        </w:rPr>
        <w:t>left</w:t>
      </w:r>
      <w:r w:rsidR="00271E1F">
        <w:rPr>
          <w:rFonts w:asciiTheme="minorHAnsi" w:hAnsiTheme="minorHAnsi"/>
          <w:color w:val="auto"/>
          <w:szCs w:val="24"/>
        </w:rPr>
        <w:t xml:space="preserve"> Achilles tendon reflex.</w:t>
      </w:r>
      <w:r w:rsidR="00E905F5">
        <w:rPr>
          <w:rFonts w:asciiTheme="minorHAnsi" w:hAnsiTheme="minorHAnsi"/>
          <w:color w:val="auto"/>
          <w:szCs w:val="24"/>
        </w:rPr>
        <w:t xml:space="preserve">  </w:t>
      </w:r>
      <w:proofErr w:type="gramStart"/>
      <w:r w:rsidR="003926F5">
        <w:rPr>
          <w:rFonts w:asciiTheme="minorHAnsi" w:hAnsiTheme="minorHAnsi"/>
          <w:color w:val="auto"/>
          <w:szCs w:val="24"/>
        </w:rPr>
        <w:t xml:space="preserve">During his MEB </w:t>
      </w:r>
      <w:r w:rsidR="00271E1F">
        <w:rPr>
          <w:rFonts w:asciiTheme="minorHAnsi" w:hAnsiTheme="minorHAnsi"/>
          <w:color w:val="auto"/>
          <w:szCs w:val="24"/>
        </w:rPr>
        <w:t>back</w:t>
      </w:r>
      <w:r w:rsidR="00654BE8">
        <w:rPr>
          <w:rFonts w:asciiTheme="minorHAnsi" w:hAnsiTheme="minorHAnsi"/>
          <w:color w:val="auto"/>
          <w:szCs w:val="24"/>
        </w:rPr>
        <w:t xml:space="preserve"> </w:t>
      </w:r>
      <w:r w:rsidR="00CE5B42">
        <w:rPr>
          <w:rFonts w:asciiTheme="minorHAnsi" w:hAnsiTheme="minorHAnsi"/>
          <w:color w:val="auto"/>
          <w:szCs w:val="24"/>
        </w:rPr>
        <w:t>exam (16 Feb</w:t>
      </w:r>
      <w:r w:rsidR="00D278AF">
        <w:rPr>
          <w:rFonts w:asciiTheme="minorHAnsi" w:hAnsiTheme="minorHAnsi"/>
          <w:color w:val="auto"/>
          <w:szCs w:val="24"/>
        </w:rPr>
        <w:t>ruary</w:t>
      </w:r>
      <w:r w:rsidR="006360F9">
        <w:rPr>
          <w:rFonts w:asciiTheme="minorHAnsi" w:hAnsiTheme="minorHAnsi"/>
          <w:color w:val="auto"/>
          <w:szCs w:val="24"/>
        </w:rPr>
        <w:t xml:space="preserve"> </w:t>
      </w:r>
      <w:r w:rsidR="00C704B8">
        <w:rPr>
          <w:rFonts w:asciiTheme="minorHAnsi" w:hAnsiTheme="minorHAnsi"/>
          <w:color w:val="auto"/>
          <w:szCs w:val="24"/>
        </w:rPr>
        <w:t>20</w:t>
      </w:r>
      <w:r w:rsidR="00CE5B42">
        <w:rPr>
          <w:rFonts w:asciiTheme="minorHAnsi" w:hAnsiTheme="minorHAnsi"/>
          <w:color w:val="auto"/>
          <w:szCs w:val="24"/>
        </w:rPr>
        <w:t>05) t</w:t>
      </w:r>
      <w:r w:rsidR="003926F5">
        <w:rPr>
          <w:rFonts w:asciiTheme="minorHAnsi" w:hAnsiTheme="minorHAnsi"/>
          <w:color w:val="auto"/>
          <w:szCs w:val="24"/>
        </w:rPr>
        <w:t xml:space="preserve">he </w:t>
      </w:r>
      <w:r w:rsidR="00CE5B42">
        <w:rPr>
          <w:rFonts w:asciiTheme="minorHAnsi" w:hAnsiTheme="minorHAnsi"/>
          <w:color w:val="auto"/>
          <w:szCs w:val="24"/>
        </w:rPr>
        <w:t xml:space="preserve">CI </w:t>
      </w:r>
      <w:r w:rsidR="003926F5">
        <w:rPr>
          <w:rFonts w:asciiTheme="minorHAnsi" w:hAnsiTheme="minorHAnsi"/>
          <w:color w:val="auto"/>
          <w:szCs w:val="24"/>
        </w:rPr>
        <w:t xml:space="preserve">stated that he was </w:t>
      </w:r>
      <w:r w:rsidR="007F3C6E" w:rsidRPr="00C44319">
        <w:rPr>
          <w:rFonts w:asciiTheme="minorHAnsi" w:hAnsiTheme="minorHAnsi"/>
          <w:color w:val="auto"/>
          <w:szCs w:val="24"/>
        </w:rPr>
        <w:t>in con</w:t>
      </w:r>
      <w:r w:rsidR="007F3C6E">
        <w:rPr>
          <w:rFonts w:asciiTheme="minorHAnsi" w:hAnsiTheme="minorHAnsi"/>
          <w:color w:val="auto"/>
          <w:szCs w:val="24"/>
        </w:rPr>
        <w:t>s</w:t>
      </w:r>
      <w:r w:rsidR="003926F5">
        <w:rPr>
          <w:rFonts w:asciiTheme="minorHAnsi" w:hAnsiTheme="minorHAnsi"/>
          <w:color w:val="auto"/>
          <w:szCs w:val="24"/>
        </w:rPr>
        <w:t>tant pain</w:t>
      </w:r>
      <w:r w:rsidR="00271E1F">
        <w:rPr>
          <w:rFonts w:asciiTheme="minorHAnsi" w:hAnsiTheme="minorHAnsi"/>
          <w:color w:val="auto"/>
          <w:szCs w:val="24"/>
        </w:rPr>
        <w:t>.</w:t>
      </w:r>
      <w:proofErr w:type="gramEnd"/>
      <w:r w:rsidR="00271E1F">
        <w:rPr>
          <w:rFonts w:asciiTheme="minorHAnsi" w:hAnsiTheme="minorHAnsi"/>
          <w:color w:val="auto"/>
          <w:szCs w:val="24"/>
        </w:rPr>
        <w:t xml:space="preserve">  </w:t>
      </w:r>
      <w:r w:rsidR="003926F5">
        <w:rPr>
          <w:rFonts w:asciiTheme="minorHAnsi" w:hAnsiTheme="minorHAnsi"/>
          <w:color w:val="auto"/>
          <w:szCs w:val="24"/>
        </w:rPr>
        <w:t xml:space="preserve">His </w:t>
      </w:r>
      <w:r w:rsidR="00271E1F">
        <w:rPr>
          <w:rFonts w:asciiTheme="minorHAnsi" w:hAnsiTheme="minorHAnsi"/>
          <w:color w:val="auto"/>
          <w:szCs w:val="24"/>
        </w:rPr>
        <w:t>back pain was</w:t>
      </w:r>
      <w:r w:rsidR="007F3C6E" w:rsidRPr="00C44319">
        <w:rPr>
          <w:rFonts w:asciiTheme="minorHAnsi" w:hAnsiTheme="minorHAnsi"/>
          <w:color w:val="auto"/>
          <w:szCs w:val="24"/>
        </w:rPr>
        <w:t xml:space="preserve"> aggr</w:t>
      </w:r>
      <w:r w:rsidR="003926F5">
        <w:rPr>
          <w:rFonts w:asciiTheme="minorHAnsi" w:hAnsiTheme="minorHAnsi"/>
          <w:color w:val="auto"/>
          <w:szCs w:val="24"/>
        </w:rPr>
        <w:t xml:space="preserve">avated by exercise, bending, </w:t>
      </w:r>
      <w:r w:rsidR="007F3C6E" w:rsidRPr="00C44319">
        <w:rPr>
          <w:rFonts w:asciiTheme="minorHAnsi" w:hAnsiTheme="minorHAnsi"/>
          <w:color w:val="auto"/>
          <w:szCs w:val="24"/>
        </w:rPr>
        <w:t>lifting</w:t>
      </w:r>
      <w:r w:rsidR="003926F5">
        <w:rPr>
          <w:rFonts w:asciiTheme="minorHAnsi" w:hAnsiTheme="minorHAnsi"/>
          <w:color w:val="auto"/>
          <w:szCs w:val="24"/>
        </w:rPr>
        <w:t xml:space="preserve">, </w:t>
      </w:r>
      <w:r w:rsidR="00271E1F">
        <w:rPr>
          <w:rFonts w:asciiTheme="minorHAnsi" w:hAnsiTheme="minorHAnsi"/>
          <w:color w:val="auto"/>
          <w:szCs w:val="24"/>
        </w:rPr>
        <w:t>or</w:t>
      </w:r>
      <w:r w:rsidR="003926F5">
        <w:rPr>
          <w:rFonts w:asciiTheme="minorHAnsi" w:hAnsiTheme="minorHAnsi"/>
          <w:color w:val="auto"/>
          <w:szCs w:val="24"/>
        </w:rPr>
        <w:t xml:space="preserve"> prolong</w:t>
      </w:r>
      <w:r w:rsidR="00E0105D">
        <w:rPr>
          <w:rFonts w:asciiTheme="minorHAnsi" w:hAnsiTheme="minorHAnsi"/>
          <w:color w:val="auto"/>
          <w:szCs w:val="24"/>
        </w:rPr>
        <w:t>ed</w:t>
      </w:r>
      <w:r w:rsidR="0089160D">
        <w:rPr>
          <w:rFonts w:asciiTheme="minorHAnsi" w:hAnsiTheme="minorHAnsi"/>
          <w:color w:val="auto"/>
          <w:szCs w:val="24"/>
        </w:rPr>
        <w:t xml:space="preserve"> sitting.</w:t>
      </w:r>
      <w:r w:rsidR="00271E1F">
        <w:rPr>
          <w:rFonts w:asciiTheme="minorHAnsi" w:hAnsiTheme="minorHAnsi"/>
          <w:color w:val="auto"/>
          <w:szCs w:val="24"/>
        </w:rPr>
        <w:t xml:space="preserve">  E</w:t>
      </w:r>
      <w:r w:rsidR="00654BE8">
        <w:rPr>
          <w:rFonts w:asciiTheme="minorHAnsi" w:hAnsiTheme="minorHAnsi"/>
          <w:color w:val="auto"/>
          <w:szCs w:val="24"/>
        </w:rPr>
        <w:t>xam</w:t>
      </w:r>
      <w:r w:rsidR="00BE1F32">
        <w:rPr>
          <w:rFonts w:asciiTheme="minorHAnsi" w:hAnsiTheme="minorHAnsi"/>
          <w:color w:val="auto"/>
          <w:szCs w:val="24"/>
        </w:rPr>
        <w:t>ination</w:t>
      </w:r>
      <w:r w:rsidR="00654BE8">
        <w:rPr>
          <w:rFonts w:asciiTheme="minorHAnsi" w:hAnsiTheme="minorHAnsi"/>
          <w:color w:val="auto"/>
          <w:szCs w:val="24"/>
        </w:rPr>
        <w:t xml:space="preserve"> revealed </w:t>
      </w:r>
      <w:r w:rsidR="006360F9" w:rsidRPr="00C44319">
        <w:rPr>
          <w:rFonts w:asciiTheme="minorHAnsi" w:hAnsiTheme="minorHAnsi"/>
          <w:color w:val="auto"/>
          <w:szCs w:val="24"/>
        </w:rPr>
        <w:t>mild tenderness at the lumbosacral junction and over</w:t>
      </w:r>
      <w:r w:rsidR="00D501AC">
        <w:rPr>
          <w:rFonts w:asciiTheme="minorHAnsi" w:hAnsiTheme="minorHAnsi"/>
          <w:color w:val="auto"/>
          <w:szCs w:val="24"/>
        </w:rPr>
        <w:t xml:space="preserve"> the left sacro</w:t>
      </w:r>
      <w:r w:rsidR="006360F9">
        <w:rPr>
          <w:rFonts w:asciiTheme="minorHAnsi" w:hAnsiTheme="minorHAnsi"/>
          <w:color w:val="auto"/>
          <w:szCs w:val="24"/>
        </w:rPr>
        <w:t>iliac</w:t>
      </w:r>
      <w:r w:rsidR="000C5543">
        <w:rPr>
          <w:rFonts w:asciiTheme="minorHAnsi" w:hAnsiTheme="minorHAnsi"/>
          <w:color w:val="auto"/>
          <w:szCs w:val="24"/>
        </w:rPr>
        <w:t xml:space="preserve"> joint</w:t>
      </w:r>
      <w:r w:rsidR="00271E1F">
        <w:rPr>
          <w:rFonts w:asciiTheme="minorHAnsi" w:hAnsiTheme="minorHAnsi"/>
          <w:color w:val="auto"/>
          <w:szCs w:val="24"/>
        </w:rPr>
        <w:t>.  N</w:t>
      </w:r>
      <w:r w:rsidR="000C5543">
        <w:rPr>
          <w:rFonts w:asciiTheme="minorHAnsi" w:hAnsiTheme="minorHAnsi"/>
          <w:color w:val="auto"/>
          <w:szCs w:val="24"/>
        </w:rPr>
        <w:t>o</w:t>
      </w:r>
      <w:r w:rsidR="006360F9">
        <w:rPr>
          <w:rFonts w:asciiTheme="minorHAnsi" w:hAnsiTheme="minorHAnsi"/>
          <w:color w:val="auto"/>
          <w:szCs w:val="24"/>
        </w:rPr>
        <w:t xml:space="preserve"> muscle</w:t>
      </w:r>
      <w:r w:rsidR="006360F9" w:rsidRPr="00C44319">
        <w:rPr>
          <w:rFonts w:asciiTheme="minorHAnsi" w:hAnsiTheme="minorHAnsi"/>
          <w:color w:val="auto"/>
          <w:szCs w:val="24"/>
        </w:rPr>
        <w:t xml:space="preserve"> spasm</w:t>
      </w:r>
      <w:r w:rsidR="006360F9">
        <w:rPr>
          <w:rFonts w:asciiTheme="minorHAnsi" w:hAnsiTheme="minorHAnsi"/>
          <w:color w:val="auto"/>
          <w:szCs w:val="24"/>
        </w:rPr>
        <w:t xml:space="preserve"> was noted.</w:t>
      </w:r>
      <w:r w:rsidR="00C26746">
        <w:rPr>
          <w:rFonts w:asciiTheme="minorHAnsi" w:hAnsiTheme="minorHAnsi"/>
          <w:color w:val="auto"/>
          <w:szCs w:val="24"/>
        </w:rPr>
        <w:t xml:space="preserve">  </w:t>
      </w:r>
      <w:r w:rsidR="006360F9" w:rsidRPr="00C44319">
        <w:rPr>
          <w:rFonts w:asciiTheme="minorHAnsi" w:hAnsiTheme="minorHAnsi"/>
          <w:color w:val="auto"/>
          <w:szCs w:val="24"/>
        </w:rPr>
        <w:t xml:space="preserve">Neurological examination revealed </w:t>
      </w:r>
      <w:r w:rsidR="00654BE8">
        <w:rPr>
          <w:rFonts w:asciiTheme="minorHAnsi" w:hAnsiTheme="minorHAnsi"/>
          <w:color w:val="auto"/>
          <w:szCs w:val="24"/>
        </w:rPr>
        <w:t>normal deep tendon reflexes and</w:t>
      </w:r>
      <w:r w:rsidR="00EB767A">
        <w:rPr>
          <w:rFonts w:asciiTheme="minorHAnsi" w:hAnsiTheme="minorHAnsi"/>
          <w:color w:val="auto"/>
          <w:szCs w:val="24"/>
        </w:rPr>
        <w:t xml:space="preserve"> normal</w:t>
      </w:r>
      <w:r w:rsidR="00654BE8">
        <w:rPr>
          <w:rFonts w:asciiTheme="minorHAnsi" w:hAnsiTheme="minorHAnsi"/>
          <w:color w:val="auto"/>
          <w:szCs w:val="24"/>
        </w:rPr>
        <w:t xml:space="preserve"> motor strength of both lower extremities</w:t>
      </w:r>
      <w:r w:rsidR="00EB767A">
        <w:rPr>
          <w:rFonts w:asciiTheme="minorHAnsi" w:hAnsiTheme="minorHAnsi"/>
          <w:color w:val="auto"/>
          <w:szCs w:val="24"/>
        </w:rPr>
        <w:t xml:space="preserve">.  There was </w:t>
      </w:r>
      <w:r w:rsidR="006360F9" w:rsidRPr="00C44319">
        <w:rPr>
          <w:rFonts w:asciiTheme="minorHAnsi" w:hAnsiTheme="minorHAnsi"/>
          <w:color w:val="auto"/>
          <w:szCs w:val="24"/>
        </w:rPr>
        <w:t>some decrease in sensat</w:t>
      </w:r>
      <w:r w:rsidR="006360F9">
        <w:rPr>
          <w:rFonts w:asciiTheme="minorHAnsi" w:hAnsiTheme="minorHAnsi"/>
          <w:color w:val="auto"/>
          <w:szCs w:val="24"/>
        </w:rPr>
        <w:t xml:space="preserve">ion on the </w:t>
      </w:r>
      <w:r w:rsidR="006360F9" w:rsidRPr="00654BE8">
        <w:rPr>
          <w:rFonts w:asciiTheme="minorHAnsi" w:hAnsiTheme="minorHAnsi"/>
          <w:color w:val="auto"/>
          <w:szCs w:val="24"/>
        </w:rPr>
        <w:t>right</w:t>
      </w:r>
      <w:r w:rsidR="006360F9">
        <w:rPr>
          <w:rFonts w:asciiTheme="minorHAnsi" w:hAnsiTheme="minorHAnsi"/>
          <w:color w:val="auto"/>
          <w:szCs w:val="24"/>
        </w:rPr>
        <w:t xml:space="preserve"> medial calf</w:t>
      </w:r>
      <w:r w:rsidR="00654BE8">
        <w:rPr>
          <w:rFonts w:asciiTheme="minorHAnsi" w:hAnsiTheme="minorHAnsi"/>
          <w:color w:val="auto"/>
          <w:szCs w:val="24"/>
        </w:rPr>
        <w:t>.</w:t>
      </w:r>
      <w:r w:rsidR="00BE1F32">
        <w:rPr>
          <w:rFonts w:asciiTheme="minorHAnsi" w:hAnsiTheme="minorHAnsi"/>
          <w:color w:val="auto"/>
          <w:szCs w:val="24"/>
        </w:rPr>
        <w:t xml:space="preserve"> </w:t>
      </w:r>
      <w:r w:rsidR="0089160D">
        <w:rPr>
          <w:rFonts w:asciiTheme="minorHAnsi" w:hAnsiTheme="minorHAnsi"/>
          <w:color w:val="auto"/>
          <w:szCs w:val="24"/>
        </w:rPr>
        <w:t xml:space="preserve"> </w:t>
      </w:r>
      <w:r w:rsidR="00BE1F32">
        <w:rPr>
          <w:rFonts w:asciiTheme="minorHAnsi" w:hAnsiTheme="minorHAnsi"/>
          <w:color w:val="auto"/>
          <w:szCs w:val="24"/>
        </w:rPr>
        <w:t>Thoracolumbar r</w:t>
      </w:r>
      <w:r w:rsidR="0089160D">
        <w:rPr>
          <w:rFonts w:asciiTheme="minorHAnsi" w:hAnsiTheme="minorHAnsi"/>
          <w:color w:val="auto"/>
          <w:szCs w:val="24"/>
        </w:rPr>
        <w:t>ange-of-</w:t>
      </w:r>
      <w:r w:rsidR="006360F9">
        <w:rPr>
          <w:rFonts w:asciiTheme="minorHAnsi" w:hAnsiTheme="minorHAnsi"/>
          <w:color w:val="auto"/>
          <w:szCs w:val="24"/>
        </w:rPr>
        <w:t>motion (ROM)</w:t>
      </w:r>
      <w:r w:rsidR="00BE1F32">
        <w:rPr>
          <w:rFonts w:asciiTheme="minorHAnsi" w:hAnsiTheme="minorHAnsi"/>
          <w:color w:val="auto"/>
          <w:szCs w:val="24"/>
        </w:rPr>
        <w:t xml:space="preserve"> testing revealed </w:t>
      </w:r>
      <w:r w:rsidR="00E905F5">
        <w:rPr>
          <w:rFonts w:asciiTheme="minorHAnsi" w:hAnsiTheme="minorHAnsi"/>
          <w:color w:val="auto"/>
          <w:szCs w:val="24"/>
        </w:rPr>
        <w:t>f</w:t>
      </w:r>
      <w:r w:rsidR="00BE1F32">
        <w:rPr>
          <w:rFonts w:asciiTheme="minorHAnsi" w:hAnsiTheme="minorHAnsi"/>
          <w:color w:val="auto"/>
          <w:szCs w:val="24"/>
        </w:rPr>
        <w:t xml:space="preserve">orward flexion of </w:t>
      </w:r>
      <w:r w:rsidR="00BE1F32">
        <w:rPr>
          <w:rFonts w:ascii="Calibri" w:eastAsia="Calibri" w:hAnsi="Calibri"/>
          <w:color w:val="auto"/>
        </w:rPr>
        <w:t xml:space="preserve">49⁰ (normal is 90⁰), and </w:t>
      </w:r>
      <w:r w:rsidR="00E905F5">
        <w:rPr>
          <w:rFonts w:ascii="Calibri" w:eastAsia="Calibri" w:hAnsi="Calibri"/>
          <w:color w:val="auto"/>
        </w:rPr>
        <w:t>c</w:t>
      </w:r>
      <w:r w:rsidR="00BE1F32">
        <w:rPr>
          <w:rFonts w:ascii="Calibri" w:eastAsia="Calibri" w:hAnsi="Calibri"/>
          <w:color w:val="auto"/>
        </w:rPr>
        <w:t>ombined ROM of 186⁰ (</w:t>
      </w:r>
      <w:r w:rsidR="00690073">
        <w:rPr>
          <w:rFonts w:ascii="Calibri" w:eastAsia="Calibri" w:hAnsi="Calibri"/>
          <w:color w:val="auto"/>
        </w:rPr>
        <w:t xml:space="preserve">normal is </w:t>
      </w:r>
      <w:r w:rsidR="00BE1F32">
        <w:rPr>
          <w:rFonts w:ascii="Calibri" w:eastAsia="Calibri" w:hAnsi="Calibri"/>
          <w:color w:val="auto"/>
        </w:rPr>
        <w:t>240⁰)</w:t>
      </w:r>
      <w:r w:rsidR="00690073">
        <w:rPr>
          <w:rFonts w:ascii="Calibri" w:eastAsia="Calibri" w:hAnsi="Calibri"/>
          <w:color w:val="auto"/>
        </w:rPr>
        <w:t>.</w:t>
      </w:r>
      <w:r w:rsidR="00E905F5">
        <w:rPr>
          <w:rFonts w:ascii="Calibri" w:eastAsia="Calibri" w:hAnsi="Calibri"/>
          <w:color w:val="auto"/>
        </w:rPr>
        <w:t xml:space="preserve">  </w:t>
      </w:r>
      <w:r w:rsidR="00690073">
        <w:rPr>
          <w:rFonts w:asciiTheme="minorHAnsi" w:hAnsiTheme="minorHAnsi"/>
          <w:color w:val="auto"/>
          <w:szCs w:val="24"/>
        </w:rPr>
        <w:t>Electrodiagnostic studies</w:t>
      </w:r>
      <w:r w:rsidR="007A2EE3">
        <w:rPr>
          <w:rFonts w:asciiTheme="minorHAnsi" w:hAnsiTheme="minorHAnsi"/>
          <w:color w:val="auto"/>
          <w:szCs w:val="24"/>
        </w:rPr>
        <w:t xml:space="preserve"> were done in </w:t>
      </w:r>
      <w:r w:rsidR="00690073">
        <w:rPr>
          <w:rFonts w:asciiTheme="minorHAnsi" w:hAnsiTheme="minorHAnsi"/>
          <w:color w:val="auto"/>
          <w:szCs w:val="24"/>
        </w:rPr>
        <w:t>April 2005</w:t>
      </w:r>
      <w:r w:rsidR="007A2EE3">
        <w:rPr>
          <w:rFonts w:asciiTheme="minorHAnsi" w:hAnsiTheme="minorHAnsi"/>
          <w:color w:val="auto"/>
          <w:szCs w:val="24"/>
        </w:rPr>
        <w:t xml:space="preserve">, and </w:t>
      </w:r>
      <w:r w:rsidR="00690073">
        <w:rPr>
          <w:rFonts w:asciiTheme="minorHAnsi" w:hAnsiTheme="minorHAnsi"/>
          <w:color w:val="auto"/>
          <w:szCs w:val="24"/>
        </w:rPr>
        <w:t>showed no evidence of lumbosacral radiculopathy or peripheral neuropathy involving the lower extremities.</w:t>
      </w:r>
      <w:r w:rsidR="00E905F5">
        <w:rPr>
          <w:rFonts w:asciiTheme="minorHAnsi" w:hAnsiTheme="minorHAnsi"/>
          <w:color w:val="auto"/>
          <w:szCs w:val="24"/>
        </w:rPr>
        <w:t xml:space="preserve">  </w:t>
      </w:r>
      <w:r w:rsidR="00690073">
        <w:rPr>
          <w:rFonts w:asciiTheme="minorHAnsi" w:hAnsiTheme="minorHAnsi"/>
          <w:color w:val="auto"/>
          <w:szCs w:val="24"/>
        </w:rPr>
        <w:t xml:space="preserve">On 6 July 2005, CI had a </w:t>
      </w:r>
      <w:r w:rsidR="007636EF">
        <w:rPr>
          <w:rFonts w:asciiTheme="minorHAnsi" w:hAnsiTheme="minorHAnsi"/>
          <w:color w:val="auto"/>
          <w:szCs w:val="24"/>
        </w:rPr>
        <w:t>VA</w:t>
      </w:r>
      <w:r w:rsidR="003E6958">
        <w:rPr>
          <w:rFonts w:asciiTheme="minorHAnsi" w:hAnsiTheme="minorHAnsi"/>
          <w:color w:val="auto"/>
          <w:szCs w:val="24"/>
        </w:rPr>
        <w:t xml:space="preserve"> Compensation and Pension (C&amp;P) exam</w:t>
      </w:r>
      <w:r w:rsidR="00690073">
        <w:rPr>
          <w:rFonts w:asciiTheme="minorHAnsi" w:hAnsiTheme="minorHAnsi"/>
          <w:color w:val="auto"/>
          <w:szCs w:val="24"/>
        </w:rPr>
        <w:t xml:space="preserve"> </w:t>
      </w:r>
      <w:r w:rsidR="007636EF">
        <w:rPr>
          <w:rFonts w:asciiTheme="minorHAnsi" w:hAnsiTheme="minorHAnsi"/>
          <w:color w:val="auto"/>
          <w:szCs w:val="24"/>
        </w:rPr>
        <w:t>(3 weeks after separation)</w:t>
      </w:r>
      <w:r w:rsidR="00E905F5">
        <w:rPr>
          <w:rFonts w:asciiTheme="minorHAnsi" w:hAnsiTheme="minorHAnsi"/>
          <w:color w:val="auto"/>
          <w:szCs w:val="24"/>
        </w:rPr>
        <w:t xml:space="preserve">.  </w:t>
      </w:r>
      <w:r w:rsidR="00690073">
        <w:rPr>
          <w:rFonts w:asciiTheme="minorHAnsi" w:hAnsiTheme="minorHAnsi"/>
          <w:color w:val="auto"/>
          <w:szCs w:val="24"/>
        </w:rPr>
        <w:t xml:space="preserve">He </w:t>
      </w:r>
      <w:r w:rsidR="000E39CD">
        <w:rPr>
          <w:rFonts w:asciiTheme="minorHAnsi" w:hAnsiTheme="minorHAnsi"/>
          <w:color w:val="auto"/>
          <w:szCs w:val="24"/>
        </w:rPr>
        <w:t xml:space="preserve">reported constant back pain with occasional flare-ups.  </w:t>
      </w:r>
      <w:r w:rsidR="00690073">
        <w:rPr>
          <w:rFonts w:asciiTheme="minorHAnsi" w:hAnsiTheme="minorHAnsi"/>
          <w:color w:val="auto"/>
          <w:szCs w:val="24"/>
        </w:rPr>
        <w:t>T</w:t>
      </w:r>
      <w:r w:rsidR="000E39CD">
        <w:rPr>
          <w:rFonts w:asciiTheme="minorHAnsi" w:hAnsiTheme="minorHAnsi"/>
          <w:color w:val="auto"/>
          <w:szCs w:val="24"/>
        </w:rPr>
        <w:t>he flare-ups usually last</w:t>
      </w:r>
      <w:r w:rsidR="00654BE8">
        <w:rPr>
          <w:rFonts w:asciiTheme="minorHAnsi" w:hAnsiTheme="minorHAnsi"/>
          <w:color w:val="auto"/>
          <w:szCs w:val="24"/>
        </w:rPr>
        <w:t>ed a few hours and were</w:t>
      </w:r>
      <w:r w:rsidR="000E39CD">
        <w:rPr>
          <w:rFonts w:asciiTheme="minorHAnsi" w:hAnsiTheme="minorHAnsi"/>
          <w:color w:val="auto"/>
          <w:szCs w:val="24"/>
        </w:rPr>
        <w:t xml:space="preserve"> associated with a dull ache down the posterior </w:t>
      </w:r>
      <w:r w:rsidR="00690073">
        <w:rPr>
          <w:rFonts w:asciiTheme="minorHAnsi" w:hAnsiTheme="minorHAnsi"/>
          <w:color w:val="auto"/>
          <w:szCs w:val="24"/>
        </w:rPr>
        <w:t xml:space="preserve">right </w:t>
      </w:r>
      <w:r w:rsidR="000E39CD">
        <w:rPr>
          <w:rFonts w:asciiTheme="minorHAnsi" w:hAnsiTheme="minorHAnsi"/>
          <w:color w:val="auto"/>
          <w:szCs w:val="24"/>
        </w:rPr>
        <w:t>leg</w:t>
      </w:r>
      <w:r w:rsidR="00A053D4">
        <w:rPr>
          <w:rFonts w:asciiTheme="minorHAnsi" w:hAnsiTheme="minorHAnsi"/>
          <w:color w:val="auto"/>
          <w:szCs w:val="24"/>
        </w:rPr>
        <w:t xml:space="preserve"> into the </w:t>
      </w:r>
      <w:r w:rsidR="00690073">
        <w:rPr>
          <w:rFonts w:asciiTheme="minorHAnsi" w:hAnsiTheme="minorHAnsi"/>
          <w:color w:val="auto"/>
          <w:szCs w:val="24"/>
        </w:rPr>
        <w:t xml:space="preserve">right </w:t>
      </w:r>
      <w:r w:rsidR="00A053D4">
        <w:rPr>
          <w:rFonts w:asciiTheme="minorHAnsi" w:hAnsiTheme="minorHAnsi"/>
          <w:color w:val="auto"/>
          <w:szCs w:val="24"/>
        </w:rPr>
        <w:t>calf</w:t>
      </w:r>
      <w:r w:rsidR="00690073">
        <w:rPr>
          <w:rFonts w:asciiTheme="minorHAnsi" w:hAnsiTheme="minorHAnsi"/>
          <w:color w:val="auto"/>
          <w:szCs w:val="24"/>
        </w:rPr>
        <w:t xml:space="preserve">.  </w:t>
      </w:r>
      <w:r w:rsidR="000E39CD">
        <w:rPr>
          <w:rFonts w:asciiTheme="minorHAnsi" w:hAnsiTheme="minorHAnsi"/>
          <w:color w:val="auto"/>
          <w:szCs w:val="24"/>
        </w:rPr>
        <w:t xml:space="preserve">The examiner </w:t>
      </w:r>
      <w:r w:rsidR="00472233">
        <w:rPr>
          <w:rFonts w:asciiTheme="minorHAnsi" w:hAnsiTheme="minorHAnsi"/>
          <w:color w:val="auto"/>
          <w:szCs w:val="24"/>
        </w:rPr>
        <w:t>reported normal ga</w:t>
      </w:r>
      <w:r w:rsidR="00690073">
        <w:rPr>
          <w:rFonts w:asciiTheme="minorHAnsi" w:hAnsiTheme="minorHAnsi"/>
          <w:color w:val="auto"/>
          <w:szCs w:val="24"/>
        </w:rPr>
        <w:t>it,</w:t>
      </w:r>
      <w:r w:rsidR="00472233">
        <w:rPr>
          <w:rFonts w:asciiTheme="minorHAnsi" w:hAnsiTheme="minorHAnsi"/>
          <w:color w:val="auto"/>
          <w:szCs w:val="24"/>
        </w:rPr>
        <w:t xml:space="preserve"> and there was no </w:t>
      </w:r>
      <w:r w:rsidR="00A053D4">
        <w:rPr>
          <w:rFonts w:asciiTheme="minorHAnsi" w:hAnsiTheme="minorHAnsi"/>
          <w:color w:val="auto"/>
          <w:szCs w:val="24"/>
        </w:rPr>
        <w:t>mention of abnormal posture.  The CI</w:t>
      </w:r>
      <w:r w:rsidR="00472233">
        <w:rPr>
          <w:rFonts w:asciiTheme="minorHAnsi" w:hAnsiTheme="minorHAnsi"/>
          <w:color w:val="auto"/>
          <w:szCs w:val="24"/>
        </w:rPr>
        <w:t xml:space="preserve"> had some </w:t>
      </w:r>
      <w:r w:rsidR="003E6958">
        <w:rPr>
          <w:rFonts w:asciiTheme="minorHAnsi" w:hAnsiTheme="minorHAnsi"/>
          <w:color w:val="auto"/>
          <w:szCs w:val="24"/>
        </w:rPr>
        <w:t>tenderness of the lumbar spine</w:t>
      </w:r>
      <w:r w:rsidR="00690073">
        <w:rPr>
          <w:rFonts w:asciiTheme="minorHAnsi" w:hAnsiTheme="minorHAnsi"/>
          <w:color w:val="auto"/>
          <w:szCs w:val="24"/>
        </w:rPr>
        <w:t>,</w:t>
      </w:r>
      <w:r w:rsidR="003E6958">
        <w:rPr>
          <w:rFonts w:asciiTheme="minorHAnsi" w:hAnsiTheme="minorHAnsi"/>
          <w:color w:val="auto"/>
          <w:szCs w:val="24"/>
        </w:rPr>
        <w:t xml:space="preserve"> but </w:t>
      </w:r>
      <w:r w:rsidR="00690073">
        <w:rPr>
          <w:rFonts w:asciiTheme="minorHAnsi" w:hAnsiTheme="minorHAnsi"/>
          <w:color w:val="auto"/>
          <w:szCs w:val="24"/>
        </w:rPr>
        <w:t>no</w:t>
      </w:r>
      <w:r w:rsidR="003E6958">
        <w:rPr>
          <w:rFonts w:asciiTheme="minorHAnsi" w:hAnsiTheme="minorHAnsi"/>
          <w:color w:val="auto"/>
          <w:szCs w:val="24"/>
        </w:rPr>
        <w:t xml:space="preserve"> muscle spasm</w:t>
      </w:r>
      <w:r w:rsidR="00472233">
        <w:rPr>
          <w:rFonts w:asciiTheme="minorHAnsi" w:hAnsiTheme="minorHAnsi"/>
          <w:color w:val="auto"/>
          <w:szCs w:val="24"/>
        </w:rPr>
        <w:t xml:space="preserve">. Exam of the lower extremities showed </w:t>
      </w:r>
      <w:r w:rsidR="003E6958">
        <w:rPr>
          <w:rFonts w:asciiTheme="minorHAnsi" w:hAnsiTheme="minorHAnsi"/>
          <w:color w:val="auto"/>
          <w:szCs w:val="24"/>
        </w:rPr>
        <w:t>normal strength, sensation and re</w:t>
      </w:r>
      <w:r w:rsidR="00472233">
        <w:rPr>
          <w:rFonts w:asciiTheme="minorHAnsi" w:hAnsiTheme="minorHAnsi"/>
          <w:color w:val="auto"/>
          <w:szCs w:val="24"/>
        </w:rPr>
        <w:t xml:space="preserve">flexes </w:t>
      </w:r>
      <w:r w:rsidR="00472233" w:rsidRPr="00654BE8">
        <w:rPr>
          <w:rFonts w:asciiTheme="minorHAnsi" w:hAnsiTheme="minorHAnsi"/>
          <w:color w:val="auto"/>
          <w:szCs w:val="24"/>
        </w:rPr>
        <w:t>bilaterally</w:t>
      </w:r>
      <w:r w:rsidR="003B6914">
        <w:rPr>
          <w:rFonts w:asciiTheme="minorHAnsi" w:hAnsiTheme="minorHAnsi"/>
          <w:color w:val="auto"/>
          <w:szCs w:val="24"/>
        </w:rPr>
        <w:t xml:space="preserve">.  </w:t>
      </w:r>
      <w:r w:rsidR="00690073">
        <w:rPr>
          <w:rFonts w:asciiTheme="minorHAnsi" w:hAnsiTheme="minorHAnsi"/>
          <w:color w:val="auto"/>
          <w:szCs w:val="24"/>
        </w:rPr>
        <w:t xml:space="preserve">Thoracolumbar range-of-motion (ROM) testing revealed </w:t>
      </w:r>
      <w:r w:rsidR="00E905F5">
        <w:rPr>
          <w:rFonts w:asciiTheme="minorHAnsi" w:hAnsiTheme="minorHAnsi"/>
          <w:color w:val="auto"/>
          <w:szCs w:val="24"/>
        </w:rPr>
        <w:t>f</w:t>
      </w:r>
      <w:r w:rsidR="00690073">
        <w:rPr>
          <w:rFonts w:asciiTheme="minorHAnsi" w:hAnsiTheme="minorHAnsi"/>
          <w:color w:val="auto"/>
          <w:szCs w:val="24"/>
        </w:rPr>
        <w:t xml:space="preserve">orward flexion of </w:t>
      </w:r>
      <w:r w:rsidR="00690073">
        <w:rPr>
          <w:rFonts w:ascii="Calibri" w:eastAsia="Calibri" w:hAnsi="Calibri"/>
          <w:color w:val="auto"/>
        </w:rPr>
        <w:t xml:space="preserve">60⁰ (normal is 90⁰), and </w:t>
      </w:r>
      <w:r w:rsidR="00E905F5">
        <w:rPr>
          <w:rFonts w:ascii="Calibri" w:eastAsia="Calibri" w:hAnsi="Calibri"/>
          <w:color w:val="auto"/>
        </w:rPr>
        <w:t>c</w:t>
      </w:r>
      <w:r w:rsidR="00690073">
        <w:rPr>
          <w:rFonts w:ascii="Calibri" w:eastAsia="Calibri" w:hAnsi="Calibri"/>
          <w:color w:val="auto"/>
        </w:rPr>
        <w:t xml:space="preserve">ombined ROM of 175⁰ (normal is 240⁰).  </w:t>
      </w:r>
      <w:r w:rsidR="009433C2">
        <w:rPr>
          <w:rFonts w:asciiTheme="minorHAnsi" w:hAnsiTheme="minorHAnsi"/>
          <w:color w:val="auto"/>
          <w:szCs w:val="24"/>
        </w:rPr>
        <w:t>T</w:t>
      </w:r>
      <w:r w:rsidR="00E905F5">
        <w:rPr>
          <w:rFonts w:asciiTheme="minorHAnsi" w:hAnsiTheme="minorHAnsi"/>
          <w:color w:val="auto"/>
          <w:szCs w:val="24"/>
        </w:rPr>
        <w:t>he t</w:t>
      </w:r>
      <w:r w:rsidR="009433C2" w:rsidRPr="009118E6">
        <w:rPr>
          <w:rFonts w:asciiTheme="minorHAnsi" w:hAnsiTheme="minorHAnsi"/>
          <w:color w:val="auto"/>
          <w:szCs w:val="24"/>
        </w:rPr>
        <w:t xml:space="preserve">wo </w:t>
      </w:r>
      <w:r w:rsidR="00E905F5">
        <w:rPr>
          <w:rFonts w:asciiTheme="minorHAnsi" w:hAnsiTheme="minorHAnsi"/>
          <w:color w:val="auto"/>
          <w:szCs w:val="24"/>
        </w:rPr>
        <w:t xml:space="preserve">thoracolumbar </w:t>
      </w:r>
      <w:r w:rsidR="0089160D">
        <w:rPr>
          <w:rFonts w:asciiTheme="minorHAnsi" w:hAnsiTheme="minorHAnsi"/>
          <w:color w:val="auto"/>
          <w:szCs w:val="24"/>
        </w:rPr>
        <w:t xml:space="preserve">goniometric ROM </w:t>
      </w:r>
      <w:r w:rsidR="009433C2" w:rsidRPr="009118E6">
        <w:rPr>
          <w:rFonts w:asciiTheme="minorHAnsi" w:hAnsiTheme="minorHAnsi"/>
          <w:color w:val="auto"/>
          <w:szCs w:val="24"/>
        </w:rPr>
        <w:t>evaluations</w:t>
      </w:r>
      <w:r w:rsidR="003B6914">
        <w:rPr>
          <w:rFonts w:asciiTheme="minorHAnsi" w:hAnsiTheme="minorHAnsi"/>
          <w:color w:val="auto"/>
          <w:szCs w:val="24"/>
        </w:rPr>
        <w:t xml:space="preserve"> are summarized in the chart that follows</w:t>
      </w:r>
      <w:r w:rsidR="009433C2">
        <w:rPr>
          <w:rFonts w:asciiTheme="minorHAnsi" w:hAnsiTheme="minorHAnsi"/>
          <w:color w:val="auto"/>
          <w:szCs w:val="24"/>
        </w:rPr>
        <w:t>:</w:t>
      </w:r>
    </w:p>
    <w:p w:rsidR="00BF737D" w:rsidRPr="009433C2" w:rsidRDefault="009433C2" w:rsidP="00BC4644">
      <w:pPr>
        <w:tabs>
          <w:tab w:val="left" w:pos="3038"/>
        </w:tabs>
        <w:spacing w:line="240" w:lineRule="exact"/>
        <w:rPr>
          <w:rFonts w:asciiTheme="minorHAnsi" w:hAnsiTheme="minorHAnsi"/>
          <w:color w:val="auto"/>
          <w:szCs w:val="24"/>
        </w:rPr>
      </w:pPr>
      <w:r>
        <w:rPr>
          <w:rFonts w:asciiTheme="minorHAnsi" w:hAnsiTheme="minorHAnsi"/>
          <w:color w:val="auto"/>
          <w:szCs w:val="24"/>
        </w:rPr>
        <w:tab/>
      </w:r>
    </w:p>
    <w:tbl>
      <w:tblPr>
        <w:tblW w:w="7860" w:type="dxa"/>
        <w:jc w:val="center"/>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0"/>
        <w:gridCol w:w="2520"/>
        <w:gridCol w:w="2490"/>
      </w:tblGrid>
      <w:tr w:rsidR="00BF737D" w:rsidTr="00565344">
        <w:trPr>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Thoracolumbar</w:t>
            </w:r>
          </w:p>
        </w:tc>
        <w:tc>
          <w:tcPr>
            <w:tcW w:w="50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 xml:space="preserve">Separation Date:  </w:t>
            </w:r>
            <w:r>
              <w:rPr>
                <w:rFonts w:ascii="Calibri" w:hAnsi="Calibri"/>
                <w:caps/>
                <w:color w:val="auto"/>
              </w:rPr>
              <w:t>20050614</w:t>
            </w:r>
          </w:p>
        </w:tc>
      </w:tr>
      <w:tr w:rsidR="00BF737D" w:rsidTr="00BF737D">
        <w:trPr>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Goniometric ROM</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737D" w:rsidRPr="00971C98" w:rsidRDefault="00BF737D" w:rsidP="00BC4644">
            <w:pPr>
              <w:spacing w:line="240" w:lineRule="exact"/>
              <w:jc w:val="center"/>
              <w:rPr>
                <w:rFonts w:ascii="Calibri" w:eastAsia="Calibri" w:hAnsi="Calibri"/>
                <w:color w:val="auto"/>
              </w:rPr>
            </w:pPr>
            <w:r>
              <w:rPr>
                <w:rFonts w:ascii="Calibri" w:eastAsia="Calibri" w:hAnsi="Calibri"/>
                <w:color w:val="auto"/>
              </w:rPr>
              <w:t>MEB – 20050216</w:t>
            </w:r>
          </w:p>
        </w:tc>
        <w:tc>
          <w:tcPr>
            <w:tcW w:w="2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737D" w:rsidRPr="00971C98" w:rsidRDefault="00BF737D" w:rsidP="00BC4644">
            <w:pPr>
              <w:spacing w:line="240" w:lineRule="exact"/>
              <w:jc w:val="center"/>
              <w:rPr>
                <w:rFonts w:ascii="Calibri" w:eastAsiaTheme="minorHAnsi" w:hAnsi="Calibri"/>
                <w:color w:val="auto"/>
              </w:rPr>
            </w:pPr>
            <w:r>
              <w:rPr>
                <w:rFonts w:ascii="Calibri" w:eastAsia="Calibri" w:hAnsi="Calibri"/>
                <w:color w:val="auto"/>
              </w:rPr>
              <w:t>VA</w:t>
            </w:r>
            <w:r>
              <w:rPr>
                <w:rFonts w:ascii="Calibri" w:eastAsiaTheme="minorHAnsi" w:hAnsi="Calibri"/>
                <w:color w:val="auto"/>
              </w:rPr>
              <w:t xml:space="preserve"> C</w:t>
            </w:r>
            <w:r>
              <w:rPr>
                <w:rFonts w:ascii="Calibri" w:eastAsiaTheme="minorHAnsi" w:hAnsi="Calibri"/>
                <w:color w:val="auto"/>
                <w:sz w:val="18"/>
                <w:szCs w:val="18"/>
              </w:rPr>
              <w:t>&amp;</w:t>
            </w:r>
            <w:r>
              <w:rPr>
                <w:rFonts w:ascii="Calibri" w:eastAsiaTheme="minorHAnsi" w:hAnsi="Calibri"/>
                <w:color w:val="auto"/>
              </w:rPr>
              <w:t>P – 20050706</w:t>
            </w:r>
          </w:p>
        </w:tc>
      </w:tr>
      <w:tr w:rsidR="00BF737D" w:rsidTr="00BF737D">
        <w:trPr>
          <w:jc w:val="center"/>
        </w:trPr>
        <w:tc>
          <w:tcPr>
            <w:tcW w:w="285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Flexion (90⁰ normal)</w:t>
            </w:r>
          </w:p>
        </w:tc>
        <w:tc>
          <w:tcPr>
            <w:tcW w:w="252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49⁰</w:t>
            </w:r>
          </w:p>
        </w:tc>
        <w:tc>
          <w:tcPr>
            <w:tcW w:w="249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60⁰</w:t>
            </w:r>
          </w:p>
        </w:tc>
      </w:tr>
      <w:tr w:rsidR="00BF737D" w:rsidTr="00BF737D">
        <w:trPr>
          <w:jc w:val="center"/>
        </w:trPr>
        <w:tc>
          <w:tcPr>
            <w:tcW w:w="285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Combined (240⁰ normal)</w:t>
            </w:r>
          </w:p>
        </w:tc>
        <w:tc>
          <w:tcPr>
            <w:tcW w:w="252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Calibri" w:hAnsi="Calibri"/>
                <w:color w:val="auto"/>
              </w:rPr>
              <w:t>186⁰</w:t>
            </w:r>
          </w:p>
        </w:tc>
        <w:tc>
          <w:tcPr>
            <w:tcW w:w="249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spacing w:line="240" w:lineRule="exact"/>
              <w:jc w:val="center"/>
              <w:rPr>
                <w:rFonts w:ascii="Calibri" w:eastAsia="Calibri" w:hAnsi="Calibri" w:cstheme="minorBidi"/>
                <w:color w:val="auto"/>
                <w:szCs w:val="22"/>
              </w:rPr>
            </w:pPr>
            <w:r>
              <w:rPr>
                <w:rFonts w:ascii="Calibri" w:eastAsiaTheme="minorHAnsi" w:hAnsi="Calibri"/>
                <w:color w:val="auto"/>
              </w:rPr>
              <w:t>175</w:t>
            </w:r>
            <w:r>
              <w:rPr>
                <w:rFonts w:ascii="Calibri" w:eastAsia="Calibri" w:hAnsi="Calibri"/>
                <w:color w:val="auto"/>
              </w:rPr>
              <w:t>⁰</w:t>
            </w:r>
          </w:p>
        </w:tc>
      </w:tr>
      <w:tr w:rsidR="00BF737D" w:rsidTr="00BF737D">
        <w:trPr>
          <w:trHeight w:val="314"/>
          <w:jc w:val="center"/>
        </w:trPr>
        <w:tc>
          <w:tcPr>
            <w:tcW w:w="285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tabs>
                <w:tab w:val="left" w:pos="288"/>
                <w:tab w:val="left" w:pos="4752"/>
              </w:tabs>
              <w:spacing w:line="240" w:lineRule="exact"/>
              <w:jc w:val="center"/>
              <w:rPr>
                <w:rFonts w:ascii="Calibri" w:eastAsiaTheme="minorHAnsi" w:hAnsi="Calibri" w:cstheme="minorBidi"/>
                <w:color w:val="auto"/>
                <w:szCs w:val="22"/>
              </w:rPr>
            </w:pPr>
            <w:r>
              <w:rPr>
                <w:rFonts w:ascii="Calibri" w:eastAsiaTheme="minorHAnsi" w:hAnsi="Calibri"/>
                <w:color w:val="auto"/>
              </w:rPr>
              <w:t>§4.71a Rating</w:t>
            </w:r>
          </w:p>
        </w:tc>
        <w:tc>
          <w:tcPr>
            <w:tcW w:w="252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tabs>
                <w:tab w:val="left" w:pos="288"/>
                <w:tab w:val="left" w:pos="4752"/>
              </w:tabs>
              <w:spacing w:line="240" w:lineRule="exact"/>
              <w:jc w:val="center"/>
              <w:rPr>
                <w:rFonts w:ascii="Calibri" w:eastAsiaTheme="minorHAnsi" w:hAnsi="Calibri" w:cstheme="minorBidi"/>
                <w:color w:val="auto"/>
                <w:szCs w:val="22"/>
              </w:rPr>
            </w:pPr>
            <w:r>
              <w:rPr>
                <w:rFonts w:ascii="Calibri" w:eastAsiaTheme="minorHAnsi" w:hAnsi="Calibri"/>
                <w:color w:val="auto"/>
              </w:rPr>
              <w:t>20%</w:t>
            </w:r>
          </w:p>
        </w:tc>
        <w:tc>
          <w:tcPr>
            <w:tcW w:w="2490" w:type="dxa"/>
            <w:tcBorders>
              <w:top w:val="single" w:sz="4" w:space="0" w:color="000000"/>
              <w:left w:val="single" w:sz="4" w:space="0" w:color="000000"/>
              <w:bottom w:val="single" w:sz="4" w:space="0" w:color="000000"/>
              <w:right w:val="single" w:sz="4" w:space="0" w:color="000000"/>
            </w:tcBorders>
            <w:hideMark/>
          </w:tcPr>
          <w:p w:rsidR="00BF737D" w:rsidRDefault="00BF737D" w:rsidP="00BC4644">
            <w:pPr>
              <w:tabs>
                <w:tab w:val="left" w:pos="288"/>
                <w:tab w:val="left" w:pos="4752"/>
              </w:tabs>
              <w:spacing w:line="240" w:lineRule="exact"/>
              <w:jc w:val="center"/>
              <w:rPr>
                <w:rFonts w:ascii="Calibri" w:eastAsiaTheme="minorHAnsi" w:hAnsi="Calibri" w:cstheme="minorBidi"/>
                <w:color w:val="auto"/>
                <w:szCs w:val="22"/>
              </w:rPr>
            </w:pPr>
            <w:r>
              <w:rPr>
                <w:rFonts w:ascii="Calibri" w:eastAsiaTheme="minorHAnsi" w:hAnsi="Calibri"/>
                <w:color w:val="auto"/>
              </w:rPr>
              <w:t>20%</w:t>
            </w:r>
          </w:p>
        </w:tc>
      </w:tr>
    </w:tbl>
    <w:p w:rsidR="00156E1E" w:rsidRDefault="00156E1E" w:rsidP="00BC4644">
      <w:pPr>
        <w:autoSpaceDE w:val="0"/>
        <w:autoSpaceDN w:val="0"/>
        <w:adjustRightInd w:val="0"/>
        <w:spacing w:line="240" w:lineRule="exact"/>
        <w:rPr>
          <w:rFonts w:asciiTheme="minorHAnsi" w:hAnsiTheme="minorHAnsi"/>
          <w:color w:val="auto"/>
          <w:szCs w:val="24"/>
        </w:rPr>
      </w:pPr>
    </w:p>
    <w:p w:rsidR="009433C2" w:rsidRPr="009118E6" w:rsidRDefault="009433C2" w:rsidP="00BC4644">
      <w:pPr>
        <w:autoSpaceDE w:val="0"/>
        <w:autoSpaceDN w:val="0"/>
        <w:adjustRightInd w:val="0"/>
        <w:spacing w:line="240" w:lineRule="exact"/>
        <w:jc w:val="both"/>
        <w:rPr>
          <w:rFonts w:asciiTheme="minorHAnsi" w:hAnsiTheme="minorHAnsi"/>
          <w:color w:val="auto"/>
          <w:szCs w:val="24"/>
        </w:rPr>
      </w:pPr>
      <w:r w:rsidRPr="009118E6">
        <w:rPr>
          <w:rFonts w:asciiTheme="minorHAnsi" w:hAnsiTheme="minorHAnsi"/>
          <w:color w:val="auto"/>
          <w:szCs w:val="24"/>
        </w:rPr>
        <w:t xml:space="preserve">The Board carefully examined all of the evidentiary information available.  </w:t>
      </w:r>
      <w:r w:rsidR="00CA3634" w:rsidRPr="00294F47">
        <w:rPr>
          <w:rFonts w:ascii="Calibri" w:hAnsi="Calibri" w:cs="Courier New"/>
          <w:color w:val="auto"/>
          <w:szCs w:val="24"/>
        </w:rPr>
        <w:t xml:space="preserve">IAW VASRD §4.71a, when forward flexion of the thoracolumbar spine is greater than 30 degrees but not greater than 60 degrees, the rating agency should assign an evaluation of 20 percent.  </w:t>
      </w:r>
      <w:r w:rsidR="007A2EE3">
        <w:rPr>
          <w:rFonts w:ascii="Calibri" w:hAnsi="Calibri" w:cs="Courier New"/>
          <w:color w:val="auto"/>
          <w:szCs w:val="24"/>
        </w:rPr>
        <w:t>R</w:t>
      </w:r>
      <w:r w:rsidR="00CA3634">
        <w:rPr>
          <w:rFonts w:ascii="Calibri" w:hAnsi="Calibri" w:cs="Courier New"/>
          <w:color w:val="auto"/>
          <w:szCs w:val="24"/>
        </w:rPr>
        <w:t xml:space="preserve">esolving reasonable doubt in favor of the CI, </w:t>
      </w:r>
      <w:r w:rsidR="00CA3634" w:rsidRPr="00294F47">
        <w:rPr>
          <w:rFonts w:ascii="Calibri" w:hAnsi="Calibri" w:cs="Courier New"/>
          <w:color w:val="auto"/>
          <w:szCs w:val="24"/>
        </w:rPr>
        <w:t xml:space="preserve">the Board </w:t>
      </w:r>
      <w:r w:rsidR="00CA3634">
        <w:rPr>
          <w:rFonts w:ascii="Calibri" w:hAnsi="Calibri" w:cs="Courier New"/>
          <w:color w:val="auto"/>
          <w:szCs w:val="24"/>
        </w:rPr>
        <w:t xml:space="preserve">determined </w:t>
      </w:r>
      <w:r w:rsidR="00CA3634" w:rsidRPr="00294F47">
        <w:rPr>
          <w:rFonts w:ascii="Calibri" w:hAnsi="Calibri" w:cs="Courier New"/>
          <w:color w:val="auto"/>
          <w:szCs w:val="24"/>
        </w:rPr>
        <w:t xml:space="preserve">that </w:t>
      </w:r>
      <w:r w:rsidR="00CA3634">
        <w:rPr>
          <w:rFonts w:ascii="Calibri" w:hAnsi="Calibri" w:cs="Courier New"/>
          <w:color w:val="auto"/>
          <w:szCs w:val="24"/>
        </w:rPr>
        <w:t xml:space="preserve">the </w:t>
      </w:r>
      <w:r w:rsidR="00CA3634" w:rsidRPr="00294F47">
        <w:rPr>
          <w:rFonts w:ascii="Calibri" w:hAnsi="Calibri" w:cs="Courier New"/>
          <w:color w:val="auto"/>
          <w:szCs w:val="24"/>
        </w:rPr>
        <w:t>CI’s forward flexion was greater than 30 degrees but not greater than 60 degrees.</w:t>
      </w:r>
      <w:r w:rsidR="00CA3634">
        <w:rPr>
          <w:rFonts w:ascii="Calibri" w:hAnsi="Calibri" w:cs="Courier New"/>
          <w:color w:val="auto"/>
          <w:szCs w:val="24"/>
        </w:rPr>
        <w:t xml:space="preserve">  </w:t>
      </w:r>
      <w:r w:rsidR="00CA3634" w:rsidRPr="00294F47">
        <w:rPr>
          <w:rFonts w:ascii="Calibri" w:hAnsi="Calibri"/>
          <w:color w:val="auto"/>
          <w:szCs w:val="24"/>
        </w:rPr>
        <w:t>Following thoughtful deliberation, the Board recommends a disability rating of 20% for Low Back Pain</w:t>
      </w:r>
      <w:r w:rsidR="00CA3634">
        <w:rPr>
          <w:rFonts w:ascii="Calibri" w:hAnsi="Calibri"/>
          <w:color w:val="auto"/>
          <w:szCs w:val="24"/>
        </w:rPr>
        <w:t xml:space="preserve">.  </w:t>
      </w:r>
    </w:p>
    <w:p w:rsidR="00F07052" w:rsidRDefault="00F07052" w:rsidP="00BC4644">
      <w:pPr>
        <w:tabs>
          <w:tab w:val="left" w:pos="288"/>
          <w:tab w:val="left" w:pos="4752"/>
        </w:tabs>
        <w:spacing w:line="240" w:lineRule="exact"/>
        <w:jc w:val="both"/>
        <w:rPr>
          <w:rFonts w:asciiTheme="minorHAnsi" w:eastAsiaTheme="minorHAnsi" w:hAnsiTheme="minorHAnsi"/>
          <w:strike/>
          <w:color w:val="auto"/>
          <w:szCs w:val="24"/>
        </w:rPr>
      </w:pPr>
    </w:p>
    <w:p w:rsidR="00CA3634" w:rsidRDefault="00CA3634" w:rsidP="00BC4644">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rPr>
        <w:t>The Board then directed its attention to the issue of Low back (Lumbar) radiculopathy</w:t>
      </w:r>
      <w:r w:rsidRPr="005A4D07">
        <w:rPr>
          <w:rFonts w:asciiTheme="minorHAnsi" w:hAnsiTheme="minorHAnsi"/>
          <w:color w:val="auto"/>
          <w:szCs w:val="24"/>
        </w:rPr>
        <w:t xml:space="preserve">.  </w:t>
      </w:r>
      <w:r>
        <w:rPr>
          <w:rFonts w:asciiTheme="minorHAnsi" w:hAnsiTheme="minorHAnsi"/>
          <w:color w:val="auto"/>
          <w:szCs w:val="24"/>
        </w:rPr>
        <w:t>The CI complained of lower extremity symptoms</w:t>
      </w:r>
      <w:r w:rsidR="007A2EE3">
        <w:rPr>
          <w:rFonts w:asciiTheme="minorHAnsi" w:hAnsiTheme="minorHAnsi"/>
          <w:color w:val="auto"/>
          <w:szCs w:val="24"/>
        </w:rPr>
        <w:t xml:space="preserve"> </w:t>
      </w:r>
      <w:r>
        <w:rPr>
          <w:rFonts w:asciiTheme="minorHAnsi" w:hAnsiTheme="minorHAnsi"/>
          <w:color w:val="auto"/>
          <w:szCs w:val="24"/>
        </w:rPr>
        <w:t xml:space="preserve">that are consistent with a diagnosis of </w:t>
      </w:r>
      <w:r w:rsidR="007A2EE3">
        <w:rPr>
          <w:rFonts w:asciiTheme="minorHAnsi" w:hAnsiTheme="minorHAnsi"/>
          <w:color w:val="auto"/>
          <w:szCs w:val="24"/>
        </w:rPr>
        <w:t>l</w:t>
      </w:r>
      <w:r>
        <w:rPr>
          <w:rFonts w:asciiTheme="minorHAnsi" w:hAnsiTheme="minorHAnsi"/>
          <w:color w:val="auto"/>
          <w:szCs w:val="24"/>
        </w:rPr>
        <w:t xml:space="preserve">umbar nerve root impingement or radiculopathy.  The Board discussed whether or not the radicular signs and symptoms were so severe, that the </w:t>
      </w:r>
      <w:r w:rsidR="007A2EE3">
        <w:rPr>
          <w:rFonts w:asciiTheme="minorHAnsi" w:hAnsiTheme="minorHAnsi"/>
          <w:color w:val="auto"/>
          <w:szCs w:val="24"/>
        </w:rPr>
        <w:t>r</w:t>
      </w:r>
      <w:r>
        <w:rPr>
          <w:rFonts w:asciiTheme="minorHAnsi" w:hAnsiTheme="minorHAnsi"/>
          <w:color w:val="auto"/>
          <w:szCs w:val="24"/>
        </w:rPr>
        <w:t xml:space="preserve">adiculopathy itself should be considered an unfitting condition.  </w:t>
      </w:r>
      <w:r w:rsidRPr="005A4D07">
        <w:rPr>
          <w:rFonts w:asciiTheme="minorHAnsi" w:hAnsiTheme="minorHAnsi"/>
          <w:color w:val="auto"/>
          <w:szCs w:val="24"/>
        </w:rPr>
        <w:t xml:space="preserve">The presence </w:t>
      </w:r>
      <w:r>
        <w:rPr>
          <w:rFonts w:asciiTheme="minorHAnsi" w:hAnsiTheme="minorHAnsi"/>
          <w:color w:val="auto"/>
          <w:szCs w:val="24"/>
        </w:rPr>
        <w:t xml:space="preserve">of functional </w:t>
      </w:r>
      <w:proofErr w:type="gramStart"/>
      <w:r>
        <w:rPr>
          <w:rFonts w:asciiTheme="minorHAnsi" w:hAnsiTheme="minorHAnsi"/>
          <w:color w:val="auto"/>
          <w:szCs w:val="24"/>
        </w:rPr>
        <w:t>impairment,</w:t>
      </w:r>
      <w:proofErr w:type="gramEnd"/>
      <w:r>
        <w:rPr>
          <w:rFonts w:asciiTheme="minorHAnsi" w:hAnsiTheme="minorHAnsi"/>
          <w:color w:val="auto"/>
          <w:szCs w:val="24"/>
        </w:rPr>
        <w:t xml:space="preserve"> and the </w:t>
      </w:r>
      <w:r w:rsidRPr="005A4D07">
        <w:rPr>
          <w:rFonts w:asciiTheme="minorHAnsi" w:hAnsiTheme="minorHAnsi"/>
          <w:color w:val="auto"/>
          <w:szCs w:val="24"/>
        </w:rPr>
        <w:t>impact</w:t>
      </w:r>
      <w:r>
        <w:rPr>
          <w:rFonts w:asciiTheme="minorHAnsi" w:hAnsiTheme="minorHAnsi"/>
          <w:color w:val="auto"/>
          <w:szCs w:val="24"/>
        </w:rPr>
        <w:t xml:space="preserve"> on duty performance are </w:t>
      </w:r>
      <w:r w:rsidRPr="005A4D07">
        <w:rPr>
          <w:rFonts w:asciiTheme="minorHAnsi" w:hAnsiTheme="minorHAnsi"/>
          <w:color w:val="auto"/>
          <w:szCs w:val="24"/>
        </w:rPr>
        <w:t>crucial factor</w:t>
      </w:r>
      <w:r>
        <w:rPr>
          <w:rFonts w:asciiTheme="minorHAnsi" w:hAnsiTheme="minorHAnsi"/>
          <w:color w:val="auto"/>
          <w:szCs w:val="24"/>
        </w:rPr>
        <w:t>s</w:t>
      </w:r>
      <w:r w:rsidRPr="005A4D07">
        <w:rPr>
          <w:rFonts w:asciiTheme="minorHAnsi" w:hAnsiTheme="minorHAnsi"/>
          <w:color w:val="auto"/>
          <w:szCs w:val="24"/>
        </w:rPr>
        <w:t xml:space="preserve"> in the Board’s decision to recommend any condition as additionally unfitting.  The critical decision is whether or not there was significant motor weakness which would impact MOS-specific activities.  </w:t>
      </w:r>
      <w:r w:rsidRPr="00383861">
        <w:rPr>
          <w:rFonts w:asciiTheme="minorHAnsi" w:hAnsiTheme="minorHAnsi"/>
          <w:color w:val="auto"/>
          <w:szCs w:val="24"/>
        </w:rPr>
        <w:t>All evidence considered</w:t>
      </w:r>
      <w:proofErr w:type="gramStart"/>
      <w:r w:rsidRPr="00383861">
        <w:rPr>
          <w:rFonts w:asciiTheme="minorHAnsi" w:hAnsiTheme="minorHAnsi"/>
          <w:color w:val="auto"/>
          <w:szCs w:val="24"/>
        </w:rPr>
        <w:t>,</w:t>
      </w:r>
      <w:proofErr w:type="gramEnd"/>
      <w:r w:rsidRPr="00383861">
        <w:rPr>
          <w:rFonts w:asciiTheme="minorHAnsi" w:hAnsiTheme="minorHAnsi"/>
          <w:color w:val="auto"/>
          <w:szCs w:val="24"/>
        </w:rPr>
        <w:t xml:space="preserve"> the Board cannot find </w:t>
      </w:r>
      <w:r>
        <w:rPr>
          <w:rFonts w:asciiTheme="minorHAnsi" w:hAnsiTheme="minorHAnsi"/>
          <w:color w:val="auto"/>
          <w:szCs w:val="24"/>
        </w:rPr>
        <w:t xml:space="preserve">sufficient evidence to support </w:t>
      </w:r>
      <w:r w:rsidRPr="00383861">
        <w:rPr>
          <w:rFonts w:asciiTheme="minorHAnsi" w:hAnsiTheme="minorHAnsi"/>
          <w:color w:val="auto"/>
          <w:szCs w:val="24"/>
        </w:rPr>
        <w:t>recommend</w:t>
      </w:r>
      <w:r>
        <w:rPr>
          <w:rFonts w:asciiTheme="minorHAnsi" w:hAnsiTheme="minorHAnsi"/>
          <w:color w:val="auto"/>
          <w:szCs w:val="24"/>
        </w:rPr>
        <w:t xml:space="preserve">ing </w:t>
      </w:r>
      <w:r w:rsidR="00F20CF9">
        <w:rPr>
          <w:rFonts w:asciiTheme="minorHAnsi" w:hAnsiTheme="minorHAnsi"/>
          <w:color w:val="auto"/>
          <w:szCs w:val="24"/>
        </w:rPr>
        <w:t>l</w:t>
      </w:r>
      <w:r>
        <w:rPr>
          <w:rFonts w:asciiTheme="minorHAnsi" w:hAnsiTheme="minorHAnsi"/>
          <w:color w:val="auto"/>
          <w:szCs w:val="24"/>
        </w:rPr>
        <w:t>umbar</w:t>
      </w:r>
      <w:r w:rsidRPr="00383861">
        <w:rPr>
          <w:rFonts w:asciiTheme="minorHAnsi" w:hAnsiTheme="minorHAnsi"/>
          <w:color w:val="auto"/>
          <w:szCs w:val="24"/>
        </w:rPr>
        <w:t xml:space="preserve"> </w:t>
      </w:r>
      <w:r>
        <w:rPr>
          <w:rFonts w:asciiTheme="minorHAnsi" w:hAnsiTheme="minorHAnsi"/>
          <w:color w:val="auto"/>
          <w:szCs w:val="24"/>
        </w:rPr>
        <w:t>radiculop</w:t>
      </w:r>
      <w:r w:rsidRPr="00383861">
        <w:rPr>
          <w:rFonts w:asciiTheme="minorHAnsi" w:hAnsiTheme="minorHAnsi"/>
          <w:color w:val="auto"/>
          <w:szCs w:val="24"/>
        </w:rPr>
        <w:t xml:space="preserve">athy as </w:t>
      </w:r>
      <w:r>
        <w:rPr>
          <w:rFonts w:asciiTheme="minorHAnsi" w:hAnsiTheme="minorHAnsi"/>
          <w:color w:val="auto"/>
          <w:szCs w:val="24"/>
        </w:rPr>
        <w:t>additionally unfitting</w:t>
      </w:r>
      <w:r w:rsidR="00F20CF9">
        <w:rPr>
          <w:rFonts w:asciiTheme="minorHAnsi" w:hAnsiTheme="minorHAnsi"/>
          <w:color w:val="auto"/>
          <w:szCs w:val="24"/>
        </w:rPr>
        <w:t xml:space="preserve">. </w:t>
      </w:r>
      <w:r w:rsidRPr="00383861">
        <w:rPr>
          <w:rFonts w:asciiTheme="minorHAnsi" w:hAnsiTheme="minorHAnsi"/>
          <w:color w:val="auto"/>
          <w:szCs w:val="24"/>
        </w:rPr>
        <w:t xml:space="preserve"> </w:t>
      </w:r>
    </w:p>
    <w:p w:rsidR="00CA3634" w:rsidRDefault="00CA3634" w:rsidP="00BC4644">
      <w:pPr>
        <w:tabs>
          <w:tab w:val="left" w:pos="288"/>
          <w:tab w:val="left" w:pos="4752"/>
        </w:tabs>
        <w:spacing w:line="240" w:lineRule="exact"/>
        <w:jc w:val="both"/>
        <w:rPr>
          <w:rFonts w:asciiTheme="minorHAnsi" w:hAnsiTheme="minorHAnsi"/>
          <w:color w:val="auto"/>
          <w:szCs w:val="24"/>
          <w:u w:val="single"/>
        </w:rPr>
      </w:pPr>
    </w:p>
    <w:p w:rsidR="0097648B" w:rsidRPr="00632581" w:rsidRDefault="0097648B" w:rsidP="0097648B">
      <w:pPr>
        <w:tabs>
          <w:tab w:val="left" w:pos="288"/>
          <w:tab w:val="left" w:pos="4752"/>
        </w:tabs>
        <w:spacing w:line="240" w:lineRule="exact"/>
        <w:jc w:val="both"/>
        <w:rPr>
          <w:rFonts w:ascii="Calibri" w:hAnsi="Calibri"/>
          <w:color w:val="auto"/>
          <w:szCs w:val="24"/>
        </w:rPr>
      </w:pPr>
      <w:r w:rsidRPr="00451A4D">
        <w:rPr>
          <w:rFonts w:ascii="Calibri" w:hAnsi="Calibri" w:cs="Courier New"/>
          <w:color w:val="auto"/>
          <w:szCs w:val="24"/>
          <w:u w:val="single"/>
        </w:rPr>
        <w:t xml:space="preserve">History of Other Conditions (documented in </w:t>
      </w:r>
      <w:r w:rsidRPr="00451A4D">
        <w:rPr>
          <w:rFonts w:ascii="Calibri" w:eastAsiaTheme="minorHAnsi" w:hAnsi="Calibri" w:cs="Courier New"/>
          <w:color w:val="auto"/>
          <w:szCs w:val="24"/>
          <w:u w:val="single"/>
        </w:rPr>
        <w:t xml:space="preserve">Disability Evaluation System </w:t>
      </w:r>
      <w:r w:rsidRPr="00451A4D">
        <w:rPr>
          <w:rFonts w:ascii="Calibri" w:hAnsi="Calibri" w:cs="Courier New"/>
          <w:color w:val="auto"/>
          <w:szCs w:val="24"/>
          <w:u w:val="single"/>
        </w:rPr>
        <w:t>package</w:t>
      </w:r>
      <w:r>
        <w:rPr>
          <w:rFonts w:ascii="Calibri" w:hAnsi="Calibri" w:cs="Courier New"/>
          <w:color w:val="auto"/>
          <w:szCs w:val="24"/>
          <w:u w:val="single"/>
        </w:rPr>
        <w:t>)</w:t>
      </w:r>
      <w:r>
        <w:rPr>
          <w:rFonts w:ascii="Calibri" w:hAnsi="Calibri" w:cs="Courier New"/>
          <w:color w:val="auto"/>
          <w:szCs w:val="24"/>
        </w:rPr>
        <w:t xml:space="preserve"> – Seasonal allergy symptoms and Scarring of the skin were </w:t>
      </w:r>
      <w:r w:rsidRPr="00B641BA">
        <w:rPr>
          <w:rFonts w:ascii="Calibri" w:hAnsi="Calibri" w:cs="Courier New"/>
          <w:color w:val="auto"/>
          <w:szCs w:val="24"/>
        </w:rPr>
        <w:t xml:space="preserve">discussed and considered by the Board.  There </w:t>
      </w:r>
      <w:r>
        <w:rPr>
          <w:rFonts w:ascii="Calibri" w:hAnsi="Calibri" w:cs="Courier New"/>
          <w:color w:val="auto"/>
          <w:szCs w:val="24"/>
        </w:rPr>
        <w:t>was</w:t>
      </w:r>
      <w:r w:rsidRPr="00B641BA">
        <w:rPr>
          <w:rFonts w:ascii="Calibri" w:hAnsi="Calibri" w:cs="Courier New"/>
          <w:color w:val="auto"/>
          <w:szCs w:val="24"/>
        </w:rPr>
        <w:t xml:space="preserve"> no clearly docum</w:t>
      </w:r>
      <w:r>
        <w:rPr>
          <w:rFonts w:ascii="Calibri" w:hAnsi="Calibri" w:cs="Courier New"/>
          <w:color w:val="auto"/>
          <w:szCs w:val="24"/>
        </w:rPr>
        <w:t>ented evidence that these conditions</w:t>
      </w:r>
      <w:r w:rsidRPr="00B641BA">
        <w:rPr>
          <w:rFonts w:ascii="Calibri" w:hAnsi="Calibri" w:cs="Courier New"/>
          <w:color w:val="auto"/>
          <w:szCs w:val="24"/>
        </w:rPr>
        <w:t xml:space="preserve"> caused a significant adverse effect on the performance of require</w:t>
      </w:r>
      <w:r>
        <w:rPr>
          <w:rFonts w:ascii="Calibri" w:hAnsi="Calibri" w:cs="Courier New"/>
          <w:color w:val="auto"/>
          <w:szCs w:val="24"/>
        </w:rPr>
        <w:t xml:space="preserve">d military duties.  These conditions were </w:t>
      </w:r>
      <w:r w:rsidRPr="0047358C">
        <w:rPr>
          <w:rFonts w:ascii="Calibri" w:hAnsi="Calibri" w:cs="Courier New"/>
          <w:color w:val="auto"/>
          <w:szCs w:val="24"/>
        </w:rPr>
        <w:t xml:space="preserve">judged by the Board to be not unfitting at the time of </w:t>
      </w:r>
      <w:r>
        <w:rPr>
          <w:rFonts w:ascii="Calibri" w:hAnsi="Calibri" w:cs="Courier New"/>
          <w:color w:val="auto"/>
          <w:szCs w:val="24"/>
        </w:rPr>
        <w:t xml:space="preserve">separation from service, and </w:t>
      </w:r>
      <w:r w:rsidRPr="0047358C">
        <w:rPr>
          <w:rFonts w:ascii="Calibri" w:hAnsi="Calibri" w:cs="Courier New"/>
          <w:color w:val="auto"/>
          <w:szCs w:val="24"/>
        </w:rPr>
        <w:t xml:space="preserve">not relevant for disability rating.  </w:t>
      </w:r>
      <w:r w:rsidRPr="0047358C">
        <w:rPr>
          <w:rFonts w:ascii="Calibri" w:hAnsi="Calibri"/>
          <w:color w:val="auto"/>
          <w:szCs w:val="24"/>
        </w:rPr>
        <w:t>The Board therefore has no reasonable basis for recommending any additional unfitting conditions for separation rating.</w:t>
      </w:r>
      <w:r>
        <w:rPr>
          <w:rFonts w:asciiTheme="minorHAnsi" w:hAnsiTheme="minorHAnsi"/>
          <w:color w:val="auto"/>
          <w:szCs w:val="24"/>
        </w:rPr>
        <w:t xml:space="preserve"> </w:t>
      </w:r>
    </w:p>
    <w:p w:rsidR="0097648B" w:rsidRPr="00632581" w:rsidRDefault="0097648B" w:rsidP="0097648B">
      <w:pPr>
        <w:tabs>
          <w:tab w:val="left" w:pos="288"/>
          <w:tab w:val="left" w:pos="4752"/>
        </w:tabs>
        <w:spacing w:line="240" w:lineRule="exact"/>
        <w:jc w:val="both"/>
        <w:rPr>
          <w:rFonts w:asciiTheme="minorHAnsi" w:hAnsiTheme="minorHAnsi"/>
          <w:color w:val="auto"/>
          <w:szCs w:val="24"/>
          <w:u w:val="single"/>
        </w:rPr>
      </w:pPr>
      <w:r w:rsidRPr="00632581">
        <w:rPr>
          <w:rFonts w:asciiTheme="minorHAnsi" w:hAnsiTheme="minorHAnsi"/>
          <w:color w:val="auto"/>
          <w:szCs w:val="24"/>
          <w:u w:val="single"/>
        </w:rPr>
        <w:t>______________________________________________________________________________</w:t>
      </w:r>
    </w:p>
    <w:p w:rsidR="0097648B" w:rsidRDefault="0097648B" w:rsidP="0097648B">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lastRenderedPageBreak/>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w:t>
      </w:r>
      <w:proofErr w:type="spellStart"/>
      <w:r w:rsidRPr="00AE3316">
        <w:rPr>
          <w:rFonts w:asciiTheme="minorHAnsi" w:eastAsiaTheme="minorHAnsi" w:hAnsiTheme="minorHAnsi"/>
          <w:color w:val="auto"/>
          <w:szCs w:val="24"/>
        </w:rPr>
        <w:t>DoD</w:t>
      </w:r>
      <w:proofErr w:type="spellEnd"/>
      <w:r w:rsidRPr="00AE3316">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Pr>
          <w:rFonts w:asciiTheme="minorHAnsi" w:eastAsiaTheme="minorHAnsi" w:hAnsiTheme="minorHAnsi"/>
          <w:color w:val="auto"/>
          <w:szCs w:val="24"/>
        </w:rPr>
        <w:t xml:space="preserve"> </w:t>
      </w:r>
    </w:p>
    <w:p w:rsidR="0097648B" w:rsidRPr="0030392B" w:rsidRDefault="0097648B" w:rsidP="0097648B">
      <w:pPr>
        <w:spacing w:line="240" w:lineRule="exact"/>
        <w:jc w:val="both"/>
        <w:rPr>
          <w:rFonts w:asciiTheme="minorHAnsi" w:eastAsiaTheme="minorHAnsi" w:hAnsiTheme="minorHAnsi"/>
          <w:color w:val="auto"/>
          <w:szCs w:val="24"/>
        </w:rPr>
      </w:pPr>
    </w:p>
    <w:p w:rsidR="0097648B" w:rsidRPr="00866FDD" w:rsidRDefault="0097648B" w:rsidP="0097648B">
      <w:pPr>
        <w:spacing w:line="240" w:lineRule="exact"/>
        <w:jc w:val="both"/>
        <w:rPr>
          <w:rFonts w:ascii="Calibri" w:eastAsiaTheme="minorEastAsia" w:hAnsi="Calibri"/>
          <w:color w:val="auto"/>
          <w:szCs w:val="24"/>
        </w:rPr>
      </w:pPr>
      <w:r w:rsidRPr="00866FDD">
        <w:rPr>
          <w:rFonts w:ascii="Calibri" w:eastAsiaTheme="minorHAnsi" w:hAnsi="Calibri"/>
          <w:color w:val="auto"/>
          <w:szCs w:val="24"/>
        </w:rPr>
        <w:t xml:space="preserve">In the matter of the </w:t>
      </w:r>
      <w:r>
        <w:rPr>
          <w:rFonts w:ascii="Calibri" w:eastAsiaTheme="minorHAnsi" w:hAnsi="Calibri"/>
          <w:color w:val="auto"/>
          <w:szCs w:val="24"/>
        </w:rPr>
        <w:t>painful back</w:t>
      </w:r>
      <w:r w:rsidRPr="00866FDD">
        <w:rPr>
          <w:rFonts w:ascii="Calibri" w:hAnsi="Calibri"/>
          <w:color w:val="auto"/>
          <w:szCs w:val="24"/>
        </w:rPr>
        <w:t xml:space="preserve"> condition, </w:t>
      </w:r>
      <w:r w:rsidRPr="00866FDD">
        <w:rPr>
          <w:rFonts w:ascii="Calibri" w:eastAsiaTheme="minorHAnsi" w:hAnsi="Calibri"/>
          <w:color w:val="auto"/>
          <w:szCs w:val="24"/>
        </w:rPr>
        <w:t xml:space="preserve">the Board unanimously </w:t>
      </w:r>
      <w:r>
        <w:rPr>
          <w:rFonts w:ascii="Calibri" w:hAnsi="Calibri"/>
          <w:color w:val="auto"/>
          <w:szCs w:val="24"/>
        </w:rPr>
        <w:t>recommends a rating of 2</w:t>
      </w:r>
      <w:r w:rsidRPr="00866FDD">
        <w:rPr>
          <w:rFonts w:ascii="Calibri" w:hAnsi="Calibri"/>
          <w:color w:val="auto"/>
          <w:szCs w:val="24"/>
        </w:rPr>
        <w:t xml:space="preserve">0% for Chronic </w:t>
      </w:r>
      <w:r>
        <w:rPr>
          <w:rFonts w:ascii="Calibri" w:hAnsi="Calibri"/>
          <w:color w:val="auto"/>
          <w:szCs w:val="24"/>
        </w:rPr>
        <w:t xml:space="preserve">Low Back Pain </w:t>
      </w:r>
      <w:r w:rsidRPr="00866FDD">
        <w:rPr>
          <w:rFonts w:ascii="Calibri" w:hAnsi="Calibri"/>
          <w:color w:val="auto"/>
          <w:szCs w:val="24"/>
        </w:rPr>
        <w:t>(coded 52</w:t>
      </w:r>
      <w:r>
        <w:rPr>
          <w:rFonts w:ascii="Calibri" w:hAnsi="Calibri"/>
          <w:color w:val="auto"/>
          <w:szCs w:val="24"/>
        </w:rPr>
        <w:t>41</w:t>
      </w:r>
      <w:r w:rsidRPr="00866FDD">
        <w:rPr>
          <w:rFonts w:ascii="Calibri" w:hAnsi="Calibri"/>
          <w:color w:val="auto"/>
          <w:szCs w:val="24"/>
        </w:rPr>
        <w:t>) IAW VASRD §4.71a.</w:t>
      </w:r>
      <w:r>
        <w:rPr>
          <w:rFonts w:ascii="Calibri" w:hAnsi="Calibri"/>
          <w:color w:val="auto"/>
          <w:szCs w:val="24"/>
        </w:rPr>
        <w:t xml:space="preserve">  </w:t>
      </w:r>
      <w:r w:rsidRPr="00866FDD">
        <w:rPr>
          <w:rFonts w:ascii="Calibri" w:hAnsi="Calibri"/>
          <w:color w:val="auto"/>
          <w:szCs w:val="24"/>
        </w:rPr>
        <w:t xml:space="preserve">   </w:t>
      </w:r>
    </w:p>
    <w:p w:rsidR="0097648B" w:rsidRDefault="0097648B" w:rsidP="0097648B">
      <w:pPr>
        <w:spacing w:line="240" w:lineRule="exact"/>
        <w:jc w:val="both"/>
        <w:rPr>
          <w:rFonts w:asciiTheme="minorHAnsi" w:hAnsiTheme="minorHAnsi"/>
          <w:color w:val="auto"/>
          <w:szCs w:val="24"/>
        </w:rPr>
      </w:pPr>
    </w:p>
    <w:p w:rsidR="0097648B" w:rsidRDefault="0097648B" w:rsidP="0097648B">
      <w:pPr>
        <w:spacing w:line="240" w:lineRule="exact"/>
        <w:jc w:val="both"/>
        <w:rPr>
          <w:rFonts w:ascii="Calibri" w:hAnsi="Calibri"/>
          <w:szCs w:val="24"/>
        </w:rPr>
      </w:pPr>
      <w:r>
        <w:rPr>
          <w:rFonts w:asciiTheme="minorHAnsi" w:hAnsiTheme="minorHAnsi"/>
          <w:color w:val="auto"/>
          <w:szCs w:val="24"/>
        </w:rPr>
        <w:t xml:space="preserve">In the matter of the Lumbar radiculopathy, Seasonal allergies, Skin scars, </w:t>
      </w:r>
      <w:r w:rsidRPr="00A63757">
        <w:rPr>
          <w:rFonts w:asciiTheme="minorHAnsi" w:hAnsiTheme="minorHAnsi"/>
          <w:color w:val="auto"/>
          <w:szCs w:val="24"/>
        </w:rPr>
        <w:t>or any other medical condition eligible for Board consideration; the Board unanimously agrees that it cannot recommend any findings of unfit for additional rating at separation.</w:t>
      </w:r>
      <w:r>
        <w:rPr>
          <w:rFonts w:ascii="Calibri" w:hAnsi="Calibri"/>
          <w:szCs w:val="24"/>
        </w:rPr>
        <w:t xml:space="preserve"> </w:t>
      </w:r>
    </w:p>
    <w:p w:rsidR="0097648B" w:rsidRPr="00A654DB" w:rsidRDefault="0097648B" w:rsidP="0097648B">
      <w:pPr>
        <w:tabs>
          <w:tab w:val="left" w:pos="288"/>
          <w:tab w:val="left" w:pos="4752"/>
        </w:tabs>
        <w:spacing w:line="240" w:lineRule="exact"/>
        <w:jc w:val="both"/>
        <w:rPr>
          <w:rFonts w:asciiTheme="minorHAnsi" w:hAnsiTheme="minorHAnsi"/>
          <w:color w:val="auto"/>
          <w:szCs w:val="24"/>
          <w:u w:val="single"/>
        </w:rPr>
      </w:pPr>
      <w:r w:rsidRPr="00A654DB">
        <w:rPr>
          <w:rFonts w:asciiTheme="minorHAnsi" w:hAnsiTheme="minorHAnsi"/>
          <w:color w:val="auto"/>
          <w:szCs w:val="24"/>
          <w:u w:val="single"/>
        </w:rPr>
        <w:t>______________________________________________________________________________</w:t>
      </w:r>
    </w:p>
    <w:p w:rsidR="0097648B" w:rsidRPr="00D91DA6" w:rsidRDefault="0097648B" w:rsidP="0097648B">
      <w:pPr>
        <w:tabs>
          <w:tab w:val="left" w:pos="288"/>
          <w:tab w:val="left" w:pos="4752"/>
        </w:tabs>
        <w:spacing w:line="240" w:lineRule="exact"/>
        <w:jc w:val="both"/>
        <w:rPr>
          <w:color w:val="000080"/>
        </w:rPr>
      </w:pPr>
    </w:p>
    <w:p w:rsidR="0097648B" w:rsidRPr="00AE3316" w:rsidRDefault="0097648B" w:rsidP="0097648B">
      <w:pPr>
        <w:tabs>
          <w:tab w:val="left" w:pos="288"/>
          <w:tab w:val="left" w:pos="4752"/>
        </w:tabs>
        <w:spacing w:line="240" w:lineRule="exact"/>
        <w:jc w:val="both"/>
        <w:rPr>
          <w:rFonts w:asciiTheme="minorHAnsi" w:hAnsiTheme="minorHAnsi"/>
          <w:color w:val="000080"/>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p>
    <w:p w:rsidR="0097648B" w:rsidRDefault="0097648B" w:rsidP="0097648B">
      <w:pPr>
        <w:spacing w:line="240" w:lineRule="exact"/>
        <w:jc w:val="both"/>
        <w:rPr>
          <w:rFonts w:asciiTheme="minorHAnsi" w:hAnsiTheme="minorHAnsi"/>
          <w:color w:val="auto"/>
          <w:szCs w:val="24"/>
        </w:rPr>
      </w:pPr>
      <w:r w:rsidRPr="00B95833">
        <w:rPr>
          <w:rFonts w:asciiTheme="minorHAnsi" w:hAnsiTheme="minorHAnsi"/>
          <w:color w:val="auto"/>
          <w:szCs w:val="24"/>
        </w:rPr>
        <w:t xml:space="preserve">The Board therefore </w:t>
      </w:r>
      <w:r w:rsidR="00EA795B">
        <w:rPr>
          <w:rFonts w:asciiTheme="minorHAnsi" w:hAnsiTheme="minorHAnsi"/>
          <w:color w:val="auto"/>
          <w:szCs w:val="24"/>
        </w:rPr>
        <w:t xml:space="preserve">unanimously </w:t>
      </w:r>
      <w:r w:rsidRPr="00B95833">
        <w:rPr>
          <w:rFonts w:asciiTheme="minorHAnsi" w:hAnsiTheme="minorHAnsi"/>
          <w:color w:val="auto"/>
          <w:szCs w:val="24"/>
        </w:rPr>
        <w:t>recommends that there be no re</w:t>
      </w:r>
      <w:r>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4101B2" w:rsidRPr="0097648B" w:rsidRDefault="004101B2" w:rsidP="0097648B">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BC4644">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BC46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BC46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A12832" w:rsidP="00A4190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Low Back Pain</w:t>
            </w:r>
          </w:p>
        </w:tc>
        <w:tc>
          <w:tcPr>
            <w:tcW w:w="1710" w:type="dxa"/>
          </w:tcPr>
          <w:p w:rsidR="00A95BBA" w:rsidRPr="00AC713F" w:rsidRDefault="00A12832" w:rsidP="00BC464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tcPr>
          <w:p w:rsidR="00A95BBA" w:rsidRPr="00AC713F" w:rsidRDefault="00A12832" w:rsidP="00BC464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BC4644">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A12832" w:rsidP="00BC4644">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B522CD" w:rsidRPr="0085089F" w:rsidRDefault="008B5D31" w:rsidP="00BC4644">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w:t>
      </w:r>
      <w:r w:rsidRPr="0085089F">
        <w:rPr>
          <w:rFonts w:asciiTheme="minorHAnsi" w:hAnsiTheme="minorHAnsi"/>
          <w:color w:val="auto"/>
        </w:rPr>
        <w:t>_</w:t>
      </w:r>
      <w:r w:rsidR="00AC713F">
        <w:rPr>
          <w:rFonts w:asciiTheme="minorHAnsi" w:hAnsiTheme="minorHAnsi"/>
          <w:color w:val="auto"/>
        </w:rPr>
        <w:t>______________</w:t>
      </w:r>
      <w:r w:rsidR="009433C2">
        <w:rPr>
          <w:rFonts w:asciiTheme="minorHAnsi" w:hAnsiTheme="minorHAnsi"/>
          <w:color w:val="auto"/>
        </w:rPr>
        <w:t>________________________</w:t>
      </w:r>
    </w:p>
    <w:p w:rsidR="00D91DA6" w:rsidRPr="0085089F" w:rsidRDefault="00D91DA6" w:rsidP="00BC4644">
      <w:pPr>
        <w:tabs>
          <w:tab w:val="left" w:pos="288"/>
          <w:tab w:val="left" w:pos="4752"/>
        </w:tabs>
        <w:spacing w:line="240" w:lineRule="exact"/>
        <w:jc w:val="both"/>
        <w:rPr>
          <w:rFonts w:asciiTheme="minorHAnsi" w:hAnsiTheme="minorHAnsi"/>
          <w:color w:val="auto"/>
        </w:rPr>
      </w:pPr>
    </w:p>
    <w:p w:rsidR="00D91DA6" w:rsidRPr="0085089F" w:rsidRDefault="00114F20" w:rsidP="00BC4644">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BC4644">
      <w:pPr>
        <w:tabs>
          <w:tab w:val="left" w:pos="288"/>
          <w:tab w:val="left" w:pos="4752"/>
        </w:tabs>
        <w:spacing w:line="240" w:lineRule="exact"/>
        <w:jc w:val="both"/>
        <w:rPr>
          <w:rFonts w:asciiTheme="minorHAnsi" w:hAnsiTheme="minorHAnsi"/>
          <w:color w:val="auto"/>
        </w:rPr>
      </w:pPr>
    </w:p>
    <w:p w:rsidR="00114F20" w:rsidRPr="0085089F" w:rsidRDefault="0051146C" w:rsidP="00BC4644">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DA1B28">
        <w:rPr>
          <w:rFonts w:asciiTheme="minorHAnsi" w:hAnsiTheme="minorHAnsi"/>
          <w:color w:val="auto"/>
        </w:rPr>
        <w:t>090325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BC4644">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BC4644">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D4958" w:rsidRDefault="00DD4958">
      <w:pPr>
        <w:rPr>
          <w:rFonts w:asciiTheme="minorHAnsi" w:hAnsiTheme="minorHAnsi"/>
          <w:color w:val="auto"/>
        </w:rPr>
      </w:pPr>
      <w:r>
        <w:rPr>
          <w:rFonts w:asciiTheme="minorHAnsi" w:hAnsiTheme="minorHAnsi"/>
          <w:color w:val="auto"/>
        </w:rPr>
        <w:br w:type="page"/>
      </w:r>
    </w:p>
    <w:p w:rsidR="00DD4958" w:rsidRDefault="00DD4958" w:rsidP="00DD4958">
      <w:pPr>
        <w:pStyle w:val="Default"/>
        <w:framePr w:w="16133" w:wrap="auto" w:vAnchor="page" w:hAnchor="page" w:x="1" w:y="1"/>
      </w:pPr>
      <w:r>
        <w:rPr>
          <w:noProof/>
        </w:rPr>
        <w:lastRenderedPageBreak/>
        <w:drawing>
          <wp:inline distT="0" distB="0" distL="0" distR="0">
            <wp:extent cx="774382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43825" cy="10029825"/>
                    </a:xfrm>
                    <a:prstGeom prst="rect">
                      <a:avLst/>
                    </a:prstGeom>
                    <a:noFill/>
                    <a:ln w="9525">
                      <a:noFill/>
                      <a:miter lim="800000"/>
                      <a:headEnd/>
                      <a:tailEnd/>
                    </a:ln>
                  </pic:spPr>
                </pic:pic>
              </a:graphicData>
            </a:graphic>
          </wp:inline>
        </w:drawing>
      </w:r>
    </w:p>
    <w:p w:rsidR="00D91DA6" w:rsidRPr="0085089F" w:rsidRDefault="00D91DA6" w:rsidP="00BC4644">
      <w:pPr>
        <w:tabs>
          <w:tab w:val="left" w:pos="288"/>
          <w:tab w:val="left" w:pos="4752"/>
        </w:tabs>
        <w:spacing w:line="240" w:lineRule="exact"/>
        <w:jc w:val="both"/>
        <w:rPr>
          <w:rFonts w:asciiTheme="minorHAnsi" w:hAnsiTheme="minorHAnsi"/>
          <w:color w:val="auto"/>
        </w:rPr>
      </w:pPr>
    </w:p>
    <w:sectPr w:rsidR="00D91DA6" w:rsidRPr="0085089F"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86" w:rsidRDefault="00332D86">
      <w:r>
        <w:separator/>
      </w:r>
    </w:p>
  </w:endnote>
  <w:endnote w:type="continuationSeparator" w:id="0">
    <w:p w:rsidR="00332D86" w:rsidRDefault="0033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6E" w:rsidRDefault="00946B8B">
    <w:pPr>
      <w:pStyle w:val="Footer"/>
      <w:framePr w:wrap="around" w:vAnchor="text" w:hAnchor="margin" w:xAlign="center" w:y="1"/>
      <w:rPr>
        <w:rStyle w:val="PageNumber"/>
      </w:rPr>
    </w:pPr>
    <w:r>
      <w:rPr>
        <w:rStyle w:val="PageNumber"/>
      </w:rPr>
      <w:fldChar w:fldCharType="begin"/>
    </w:r>
    <w:r w:rsidR="007F3C6E">
      <w:rPr>
        <w:rStyle w:val="PageNumber"/>
      </w:rPr>
      <w:instrText xml:space="preserve">PAGE  </w:instrText>
    </w:r>
    <w:r>
      <w:rPr>
        <w:rStyle w:val="PageNumber"/>
      </w:rPr>
      <w:fldChar w:fldCharType="separate"/>
    </w:r>
    <w:r w:rsidR="007F3C6E">
      <w:rPr>
        <w:rStyle w:val="PageNumber"/>
        <w:noProof/>
      </w:rPr>
      <w:t>2</w:t>
    </w:r>
    <w:r>
      <w:rPr>
        <w:rStyle w:val="PageNumber"/>
      </w:rPr>
      <w:fldChar w:fldCharType="end"/>
    </w:r>
  </w:p>
  <w:p w:rsidR="007F3C6E" w:rsidRDefault="007F3C6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6E" w:rsidRPr="00AC713F" w:rsidRDefault="00946B8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7F3C6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D4958">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7F3C6E" w:rsidRPr="00AC713F" w:rsidRDefault="007F3C6E" w:rsidP="002B0749">
    <w:pPr>
      <w:pStyle w:val="Footer"/>
      <w:jc w:val="right"/>
      <w:rPr>
        <w:rFonts w:asciiTheme="minorHAnsi" w:hAnsiTheme="minorHAnsi"/>
      </w:rPr>
    </w:pPr>
    <w:r>
      <w:tab/>
    </w:r>
    <w:r>
      <w:tab/>
    </w:r>
    <w:r w:rsidRPr="00AC713F">
      <w:rPr>
        <w:rFonts w:asciiTheme="minorHAnsi" w:hAnsiTheme="minorHAnsi"/>
        <w:caps/>
        <w:color w:val="000080"/>
      </w:rPr>
      <w:t>PD</w:t>
    </w:r>
    <w:r w:rsidR="007A317E">
      <w:rPr>
        <w:rFonts w:asciiTheme="minorHAnsi" w:hAnsiTheme="minorHAnsi"/>
        <w:caps/>
        <w:color w:val="000080"/>
      </w:rPr>
      <w:t>09</w:t>
    </w:r>
    <w:r>
      <w:rPr>
        <w:rFonts w:asciiTheme="minorHAnsi" w:hAnsiTheme="minorHAnsi"/>
        <w:caps/>
        <w:color w:val="000080"/>
      </w:rPr>
      <w:t>00264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86" w:rsidRDefault="00332D86">
      <w:r>
        <w:separator/>
      </w:r>
    </w:p>
  </w:footnote>
  <w:footnote w:type="continuationSeparator" w:id="0">
    <w:p w:rsidR="00332D86" w:rsidRDefault="0033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67A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830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6060"/>
    <w:rsid w:val="000577C9"/>
    <w:rsid w:val="0006431E"/>
    <w:rsid w:val="00072433"/>
    <w:rsid w:val="00075702"/>
    <w:rsid w:val="000775C2"/>
    <w:rsid w:val="000806AD"/>
    <w:rsid w:val="00082482"/>
    <w:rsid w:val="00084C1C"/>
    <w:rsid w:val="0008708B"/>
    <w:rsid w:val="00092619"/>
    <w:rsid w:val="00092C66"/>
    <w:rsid w:val="00094E4F"/>
    <w:rsid w:val="000972EF"/>
    <w:rsid w:val="000A1060"/>
    <w:rsid w:val="000A211B"/>
    <w:rsid w:val="000A2BCE"/>
    <w:rsid w:val="000A41E3"/>
    <w:rsid w:val="000A4BBA"/>
    <w:rsid w:val="000A5071"/>
    <w:rsid w:val="000B3241"/>
    <w:rsid w:val="000B4C99"/>
    <w:rsid w:val="000C06F6"/>
    <w:rsid w:val="000C1D34"/>
    <w:rsid w:val="000C2362"/>
    <w:rsid w:val="000C3C13"/>
    <w:rsid w:val="000C4728"/>
    <w:rsid w:val="000C53F9"/>
    <w:rsid w:val="000C5543"/>
    <w:rsid w:val="000C5813"/>
    <w:rsid w:val="000C585E"/>
    <w:rsid w:val="000C7598"/>
    <w:rsid w:val="000C75CF"/>
    <w:rsid w:val="000C7DE4"/>
    <w:rsid w:val="000D15E7"/>
    <w:rsid w:val="000D1825"/>
    <w:rsid w:val="000D1A24"/>
    <w:rsid w:val="000D21C7"/>
    <w:rsid w:val="000D248A"/>
    <w:rsid w:val="000D35D8"/>
    <w:rsid w:val="000D43F9"/>
    <w:rsid w:val="000D4717"/>
    <w:rsid w:val="000D6457"/>
    <w:rsid w:val="000D7D55"/>
    <w:rsid w:val="000E0993"/>
    <w:rsid w:val="000E37E0"/>
    <w:rsid w:val="000E39CD"/>
    <w:rsid w:val="000F02BE"/>
    <w:rsid w:val="000F3C86"/>
    <w:rsid w:val="000F427B"/>
    <w:rsid w:val="000F7181"/>
    <w:rsid w:val="001008C1"/>
    <w:rsid w:val="001023DB"/>
    <w:rsid w:val="00103A3E"/>
    <w:rsid w:val="00103CCF"/>
    <w:rsid w:val="0010417F"/>
    <w:rsid w:val="001042D2"/>
    <w:rsid w:val="0010530E"/>
    <w:rsid w:val="00105788"/>
    <w:rsid w:val="001059F6"/>
    <w:rsid w:val="00105C07"/>
    <w:rsid w:val="00107EC5"/>
    <w:rsid w:val="001103CD"/>
    <w:rsid w:val="00111686"/>
    <w:rsid w:val="00114F20"/>
    <w:rsid w:val="001211AF"/>
    <w:rsid w:val="001219DF"/>
    <w:rsid w:val="001231DC"/>
    <w:rsid w:val="00123861"/>
    <w:rsid w:val="001272AE"/>
    <w:rsid w:val="001278F6"/>
    <w:rsid w:val="001315DD"/>
    <w:rsid w:val="00135385"/>
    <w:rsid w:val="001364D1"/>
    <w:rsid w:val="00142EBA"/>
    <w:rsid w:val="00143B79"/>
    <w:rsid w:val="00150B8A"/>
    <w:rsid w:val="00150DCB"/>
    <w:rsid w:val="00151912"/>
    <w:rsid w:val="00153740"/>
    <w:rsid w:val="001541C5"/>
    <w:rsid w:val="00155803"/>
    <w:rsid w:val="0015623F"/>
    <w:rsid w:val="00156585"/>
    <w:rsid w:val="00156BA9"/>
    <w:rsid w:val="00156E1E"/>
    <w:rsid w:val="00161761"/>
    <w:rsid w:val="00166182"/>
    <w:rsid w:val="00166E15"/>
    <w:rsid w:val="001745DD"/>
    <w:rsid w:val="00177659"/>
    <w:rsid w:val="00177693"/>
    <w:rsid w:val="001779E5"/>
    <w:rsid w:val="00182A4C"/>
    <w:rsid w:val="00183F77"/>
    <w:rsid w:val="00184B93"/>
    <w:rsid w:val="00185DA8"/>
    <w:rsid w:val="00185ECB"/>
    <w:rsid w:val="001865E0"/>
    <w:rsid w:val="001870F0"/>
    <w:rsid w:val="00190E48"/>
    <w:rsid w:val="0019273F"/>
    <w:rsid w:val="00193814"/>
    <w:rsid w:val="00193AD5"/>
    <w:rsid w:val="00194930"/>
    <w:rsid w:val="0019704F"/>
    <w:rsid w:val="001A08CD"/>
    <w:rsid w:val="001A5320"/>
    <w:rsid w:val="001A5E62"/>
    <w:rsid w:val="001A6569"/>
    <w:rsid w:val="001A7538"/>
    <w:rsid w:val="001B0B1A"/>
    <w:rsid w:val="001B0CB1"/>
    <w:rsid w:val="001B14A1"/>
    <w:rsid w:val="001B4EC2"/>
    <w:rsid w:val="001B5B59"/>
    <w:rsid w:val="001B60E0"/>
    <w:rsid w:val="001B7C8C"/>
    <w:rsid w:val="001C181A"/>
    <w:rsid w:val="001C1877"/>
    <w:rsid w:val="001C2053"/>
    <w:rsid w:val="001C252F"/>
    <w:rsid w:val="001C28D1"/>
    <w:rsid w:val="001C5CFC"/>
    <w:rsid w:val="001C63C6"/>
    <w:rsid w:val="001C7418"/>
    <w:rsid w:val="001D0051"/>
    <w:rsid w:val="001D0D18"/>
    <w:rsid w:val="001D2224"/>
    <w:rsid w:val="001D4C3B"/>
    <w:rsid w:val="001D4F88"/>
    <w:rsid w:val="001D68CF"/>
    <w:rsid w:val="001D6A8C"/>
    <w:rsid w:val="001D7A56"/>
    <w:rsid w:val="001E15C0"/>
    <w:rsid w:val="001E18E0"/>
    <w:rsid w:val="001E18E2"/>
    <w:rsid w:val="001E19D0"/>
    <w:rsid w:val="001E25AD"/>
    <w:rsid w:val="001E2A30"/>
    <w:rsid w:val="001E35C0"/>
    <w:rsid w:val="002009C6"/>
    <w:rsid w:val="00200AA0"/>
    <w:rsid w:val="00202325"/>
    <w:rsid w:val="00202736"/>
    <w:rsid w:val="00203652"/>
    <w:rsid w:val="002060B6"/>
    <w:rsid w:val="002066B5"/>
    <w:rsid w:val="002101E3"/>
    <w:rsid w:val="00213F22"/>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589A"/>
    <w:rsid w:val="00246860"/>
    <w:rsid w:val="00246DFF"/>
    <w:rsid w:val="00246E89"/>
    <w:rsid w:val="0025183C"/>
    <w:rsid w:val="002528EC"/>
    <w:rsid w:val="002541E0"/>
    <w:rsid w:val="00255049"/>
    <w:rsid w:val="0025659A"/>
    <w:rsid w:val="002567B1"/>
    <w:rsid w:val="00257DE5"/>
    <w:rsid w:val="00260531"/>
    <w:rsid w:val="0026318D"/>
    <w:rsid w:val="00270864"/>
    <w:rsid w:val="002712F7"/>
    <w:rsid w:val="0027159C"/>
    <w:rsid w:val="00271E1F"/>
    <w:rsid w:val="00274529"/>
    <w:rsid w:val="00274549"/>
    <w:rsid w:val="00274E46"/>
    <w:rsid w:val="00276C86"/>
    <w:rsid w:val="002810A4"/>
    <w:rsid w:val="0028338B"/>
    <w:rsid w:val="00284A26"/>
    <w:rsid w:val="00287006"/>
    <w:rsid w:val="00292434"/>
    <w:rsid w:val="00294437"/>
    <w:rsid w:val="002954A3"/>
    <w:rsid w:val="002A3237"/>
    <w:rsid w:val="002A58B7"/>
    <w:rsid w:val="002A685E"/>
    <w:rsid w:val="002A6C4B"/>
    <w:rsid w:val="002A72C7"/>
    <w:rsid w:val="002B03B2"/>
    <w:rsid w:val="002B0749"/>
    <w:rsid w:val="002B2645"/>
    <w:rsid w:val="002B6FA0"/>
    <w:rsid w:val="002B7FF1"/>
    <w:rsid w:val="002C0748"/>
    <w:rsid w:val="002C0ABA"/>
    <w:rsid w:val="002C32BE"/>
    <w:rsid w:val="002C5F10"/>
    <w:rsid w:val="002C6E5B"/>
    <w:rsid w:val="002D18B4"/>
    <w:rsid w:val="002D231A"/>
    <w:rsid w:val="002E1877"/>
    <w:rsid w:val="002E1C31"/>
    <w:rsid w:val="002E333A"/>
    <w:rsid w:val="002E3474"/>
    <w:rsid w:val="002E400C"/>
    <w:rsid w:val="002E48AB"/>
    <w:rsid w:val="002E49C3"/>
    <w:rsid w:val="002E5114"/>
    <w:rsid w:val="002E7570"/>
    <w:rsid w:val="002E764B"/>
    <w:rsid w:val="002F0E28"/>
    <w:rsid w:val="002F287E"/>
    <w:rsid w:val="002F2D63"/>
    <w:rsid w:val="002F430D"/>
    <w:rsid w:val="002F7F81"/>
    <w:rsid w:val="00300A36"/>
    <w:rsid w:val="00301EE0"/>
    <w:rsid w:val="003020B2"/>
    <w:rsid w:val="0030392B"/>
    <w:rsid w:val="0030678B"/>
    <w:rsid w:val="00310CD7"/>
    <w:rsid w:val="0032136A"/>
    <w:rsid w:val="00323E70"/>
    <w:rsid w:val="00325BA2"/>
    <w:rsid w:val="00326F7F"/>
    <w:rsid w:val="003320E8"/>
    <w:rsid w:val="00332D86"/>
    <w:rsid w:val="0033555E"/>
    <w:rsid w:val="003357D9"/>
    <w:rsid w:val="00336805"/>
    <w:rsid w:val="00337351"/>
    <w:rsid w:val="00341A54"/>
    <w:rsid w:val="0034669F"/>
    <w:rsid w:val="00351498"/>
    <w:rsid w:val="00352B22"/>
    <w:rsid w:val="00354547"/>
    <w:rsid w:val="003567DE"/>
    <w:rsid w:val="003574F3"/>
    <w:rsid w:val="0036319E"/>
    <w:rsid w:val="003632A4"/>
    <w:rsid w:val="00363362"/>
    <w:rsid w:val="003636E4"/>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26F5"/>
    <w:rsid w:val="00393651"/>
    <w:rsid w:val="00395E12"/>
    <w:rsid w:val="00396446"/>
    <w:rsid w:val="00397DB7"/>
    <w:rsid w:val="003A27B2"/>
    <w:rsid w:val="003A40B4"/>
    <w:rsid w:val="003A41BA"/>
    <w:rsid w:val="003A6A99"/>
    <w:rsid w:val="003A7FB0"/>
    <w:rsid w:val="003A7FF8"/>
    <w:rsid w:val="003B0E64"/>
    <w:rsid w:val="003B17AC"/>
    <w:rsid w:val="003B227A"/>
    <w:rsid w:val="003B5854"/>
    <w:rsid w:val="003B5AF0"/>
    <w:rsid w:val="003B6764"/>
    <w:rsid w:val="003B6914"/>
    <w:rsid w:val="003C5419"/>
    <w:rsid w:val="003C6068"/>
    <w:rsid w:val="003D0CAB"/>
    <w:rsid w:val="003D2BA3"/>
    <w:rsid w:val="003D3C22"/>
    <w:rsid w:val="003D7089"/>
    <w:rsid w:val="003D70C1"/>
    <w:rsid w:val="003D7DDB"/>
    <w:rsid w:val="003E02C7"/>
    <w:rsid w:val="003E0543"/>
    <w:rsid w:val="003E0B5A"/>
    <w:rsid w:val="003E31E3"/>
    <w:rsid w:val="003E46D1"/>
    <w:rsid w:val="003E6958"/>
    <w:rsid w:val="003F58B0"/>
    <w:rsid w:val="003F6536"/>
    <w:rsid w:val="004007E9"/>
    <w:rsid w:val="00401825"/>
    <w:rsid w:val="00401BBC"/>
    <w:rsid w:val="00403BFB"/>
    <w:rsid w:val="00404B45"/>
    <w:rsid w:val="00406CC5"/>
    <w:rsid w:val="004074A4"/>
    <w:rsid w:val="004101B2"/>
    <w:rsid w:val="004123D7"/>
    <w:rsid w:val="00412658"/>
    <w:rsid w:val="00412C0E"/>
    <w:rsid w:val="00413376"/>
    <w:rsid w:val="004172DB"/>
    <w:rsid w:val="00421485"/>
    <w:rsid w:val="00422B75"/>
    <w:rsid w:val="00433F36"/>
    <w:rsid w:val="0043503A"/>
    <w:rsid w:val="0044384F"/>
    <w:rsid w:val="0044427F"/>
    <w:rsid w:val="00444F80"/>
    <w:rsid w:val="00446018"/>
    <w:rsid w:val="004543BC"/>
    <w:rsid w:val="0045645D"/>
    <w:rsid w:val="004574C6"/>
    <w:rsid w:val="00457BCF"/>
    <w:rsid w:val="00457DCE"/>
    <w:rsid w:val="00460E3F"/>
    <w:rsid w:val="004624D4"/>
    <w:rsid w:val="00466CED"/>
    <w:rsid w:val="00467592"/>
    <w:rsid w:val="00467690"/>
    <w:rsid w:val="004718E7"/>
    <w:rsid w:val="00472233"/>
    <w:rsid w:val="00472535"/>
    <w:rsid w:val="004761CC"/>
    <w:rsid w:val="00480D4A"/>
    <w:rsid w:val="00481DA1"/>
    <w:rsid w:val="004859B2"/>
    <w:rsid w:val="0049255F"/>
    <w:rsid w:val="0049445D"/>
    <w:rsid w:val="00495350"/>
    <w:rsid w:val="00496742"/>
    <w:rsid w:val="00497156"/>
    <w:rsid w:val="004A24D2"/>
    <w:rsid w:val="004A3214"/>
    <w:rsid w:val="004A4136"/>
    <w:rsid w:val="004A417B"/>
    <w:rsid w:val="004B03F3"/>
    <w:rsid w:val="004B2536"/>
    <w:rsid w:val="004B6AF3"/>
    <w:rsid w:val="004B715E"/>
    <w:rsid w:val="004B7169"/>
    <w:rsid w:val="004B79C9"/>
    <w:rsid w:val="004C5E33"/>
    <w:rsid w:val="004C6CDA"/>
    <w:rsid w:val="004D0D2C"/>
    <w:rsid w:val="004D10D4"/>
    <w:rsid w:val="004D15D6"/>
    <w:rsid w:val="004D16BD"/>
    <w:rsid w:val="004D2AAB"/>
    <w:rsid w:val="004D6F2B"/>
    <w:rsid w:val="004E0248"/>
    <w:rsid w:val="004E21A3"/>
    <w:rsid w:val="004E32EA"/>
    <w:rsid w:val="004E6866"/>
    <w:rsid w:val="004F3222"/>
    <w:rsid w:val="004F3BFA"/>
    <w:rsid w:val="004F6C11"/>
    <w:rsid w:val="005000AB"/>
    <w:rsid w:val="005025EE"/>
    <w:rsid w:val="00510588"/>
    <w:rsid w:val="0051146C"/>
    <w:rsid w:val="00514449"/>
    <w:rsid w:val="00514D9D"/>
    <w:rsid w:val="0051771B"/>
    <w:rsid w:val="005222E7"/>
    <w:rsid w:val="00523A8B"/>
    <w:rsid w:val="00523E04"/>
    <w:rsid w:val="0052590B"/>
    <w:rsid w:val="00526591"/>
    <w:rsid w:val="00527178"/>
    <w:rsid w:val="005278CB"/>
    <w:rsid w:val="00534D42"/>
    <w:rsid w:val="005350A5"/>
    <w:rsid w:val="00535AEE"/>
    <w:rsid w:val="00536379"/>
    <w:rsid w:val="00537238"/>
    <w:rsid w:val="005400C5"/>
    <w:rsid w:val="00540BEF"/>
    <w:rsid w:val="0054162B"/>
    <w:rsid w:val="00542C9A"/>
    <w:rsid w:val="005436C2"/>
    <w:rsid w:val="005442D4"/>
    <w:rsid w:val="0054586A"/>
    <w:rsid w:val="0054631F"/>
    <w:rsid w:val="00546550"/>
    <w:rsid w:val="0055288D"/>
    <w:rsid w:val="00555259"/>
    <w:rsid w:val="00560D57"/>
    <w:rsid w:val="00562A94"/>
    <w:rsid w:val="00566D74"/>
    <w:rsid w:val="005709F7"/>
    <w:rsid w:val="005710A9"/>
    <w:rsid w:val="00571D1B"/>
    <w:rsid w:val="0058234B"/>
    <w:rsid w:val="00587712"/>
    <w:rsid w:val="00593043"/>
    <w:rsid w:val="00595BF0"/>
    <w:rsid w:val="005972FB"/>
    <w:rsid w:val="005A1846"/>
    <w:rsid w:val="005A258C"/>
    <w:rsid w:val="005A3560"/>
    <w:rsid w:val="005A3C57"/>
    <w:rsid w:val="005A6C99"/>
    <w:rsid w:val="005A745F"/>
    <w:rsid w:val="005A7D5D"/>
    <w:rsid w:val="005B011A"/>
    <w:rsid w:val="005B1D8F"/>
    <w:rsid w:val="005B1E94"/>
    <w:rsid w:val="005B5B3D"/>
    <w:rsid w:val="005C16F3"/>
    <w:rsid w:val="005C3758"/>
    <w:rsid w:val="005D49FE"/>
    <w:rsid w:val="005E3064"/>
    <w:rsid w:val="005E3584"/>
    <w:rsid w:val="005E72B2"/>
    <w:rsid w:val="005F1115"/>
    <w:rsid w:val="005F1AB6"/>
    <w:rsid w:val="005F27F2"/>
    <w:rsid w:val="005F3AFE"/>
    <w:rsid w:val="005F424D"/>
    <w:rsid w:val="005F60D2"/>
    <w:rsid w:val="005F6B6D"/>
    <w:rsid w:val="00605AAB"/>
    <w:rsid w:val="00606BEB"/>
    <w:rsid w:val="0061014A"/>
    <w:rsid w:val="0061054B"/>
    <w:rsid w:val="00612A3A"/>
    <w:rsid w:val="00613E26"/>
    <w:rsid w:val="006143A4"/>
    <w:rsid w:val="00615641"/>
    <w:rsid w:val="00616959"/>
    <w:rsid w:val="006211D0"/>
    <w:rsid w:val="00624D0C"/>
    <w:rsid w:val="006307BA"/>
    <w:rsid w:val="00630CC7"/>
    <w:rsid w:val="006315BA"/>
    <w:rsid w:val="00634C4A"/>
    <w:rsid w:val="0063532E"/>
    <w:rsid w:val="006360F9"/>
    <w:rsid w:val="00637BDC"/>
    <w:rsid w:val="006418C9"/>
    <w:rsid w:val="00642317"/>
    <w:rsid w:val="00642BD6"/>
    <w:rsid w:val="006432DB"/>
    <w:rsid w:val="00645046"/>
    <w:rsid w:val="0064527A"/>
    <w:rsid w:val="00645EA2"/>
    <w:rsid w:val="00654BE8"/>
    <w:rsid w:val="006573F2"/>
    <w:rsid w:val="00662F08"/>
    <w:rsid w:val="00663589"/>
    <w:rsid w:val="006708E3"/>
    <w:rsid w:val="00670DDC"/>
    <w:rsid w:val="00671EB4"/>
    <w:rsid w:val="0067443B"/>
    <w:rsid w:val="00674542"/>
    <w:rsid w:val="0067469E"/>
    <w:rsid w:val="00681379"/>
    <w:rsid w:val="00684E2B"/>
    <w:rsid w:val="00690073"/>
    <w:rsid w:val="00690FDA"/>
    <w:rsid w:val="00691E61"/>
    <w:rsid w:val="00693C5E"/>
    <w:rsid w:val="00694EEA"/>
    <w:rsid w:val="006955B4"/>
    <w:rsid w:val="00696476"/>
    <w:rsid w:val="00696E1D"/>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4CB3"/>
    <w:rsid w:val="00705171"/>
    <w:rsid w:val="00705C40"/>
    <w:rsid w:val="00706482"/>
    <w:rsid w:val="00706BEF"/>
    <w:rsid w:val="007116BC"/>
    <w:rsid w:val="007126C1"/>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018"/>
    <w:rsid w:val="007468AC"/>
    <w:rsid w:val="00746AE2"/>
    <w:rsid w:val="00750C82"/>
    <w:rsid w:val="0076100C"/>
    <w:rsid w:val="007636EF"/>
    <w:rsid w:val="007651ED"/>
    <w:rsid w:val="00766C87"/>
    <w:rsid w:val="00777494"/>
    <w:rsid w:val="00781BD4"/>
    <w:rsid w:val="00784832"/>
    <w:rsid w:val="00785D77"/>
    <w:rsid w:val="00786111"/>
    <w:rsid w:val="00790098"/>
    <w:rsid w:val="00791F1E"/>
    <w:rsid w:val="00794F3D"/>
    <w:rsid w:val="00796045"/>
    <w:rsid w:val="007968AC"/>
    <w:rsid w:val="007969AB"/>
    <w:rsid w:val="00796A46"/>
    <w:rsid w:val="007A0B39"/>
    <w:rsid w:val="007A14A4"/>
    <w:rsid w:val="007A168F"/>
    <w:rsid w:val="007A28E4"/>
    <w:rsid w:val="007A2EE3"/>
    <w:rsid w:val="007A317E"/>
    <w:rsid w:val="007A3BB3"/>
    <w:rsid w:val="007A5AD1"/>
    <w:rsid w:val="007A5B7B"/>
    <w:rsid w:val="007B0A06"/>
    <w:rsid w:val="007B5C5C"/>
    <w:rsid w:val="007B7B37"/>
    <w:rsid w:val="007B7C41"/>
    <w:rsid w:val="007C433E"/>
    <w:rsid w:val="007C4452"/>
    <w:rsid w:val="007C4B3C"/>
    <w:rsid w:val="007C4DB1"/>
    <w:rsid w:val="007C6046"/>
    <w:rsid w:val="007D0292"/>
    <w:rsid w:val="007D18D1"/>
    <w:rsid w:val="007D21AC"/>
    <w:rsid w:val="007D3882"/>
    <w:rsid w:val="007D568A"/>
    <w:rsid w:val="007D574E"/>
    <w:rsid w:val="007D6BFE"/>
    <w:rsid w:val="007D6DA0"/>
    <w:rsid w:val="007E08CC"/>
    <w:rsid w:val="007E2046"/>
    <w:rsid w:val="007E3883"/>
    <w:rsid w:val="007E4FBB"/>
    <w:rsid w:val="007E55BF"/>
    <w:rsid w:val="007E71B1"/>
    <w:rsid w:val="007E7B4E"/>
    <w:rsid w:val="007E7BF8"/>
    <w:rsid w:val="007F0CE2"/>
    <w:rsid w:val="007F0EFF"/>
    <w:rsid w:val="007F1375"/>
    <w:rsid w:val="007F3C6E"/>
    <w:rsid w:val="00803850"/>
    <w:rsid w:val="00804385"/>
    <w:rsid w:val="00805AFD"/>
    <w:rsid w:val="008078D8"/>
    <w:rsid w:val="00807C8D"/>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15E4"/>
    <w:rsid w:val="0084374E"/>
    <w:rsid w:val="00844842"/>
    <w:rsid w:val="00844DD0"/>
    <w:rsid w:val="0085089F"/>
    <w:rsid w:val="0085206E"/>
    <w:rsid w:val="00852AD4"/>
    <w:rsid w:val="00852BA8"/>
    <w:rsid w:val="00853718"/>
    <w:rsid w:val="00853B3C"/>
    <w:rsid w:val="008541EF"/>
    <w:rsid w:val="0085580B"/>
    <w:rsid w:val="00856AC7"/>
    <w:rsid w:val="00856FA4"/>
    <w:rsid w:val="0086162B"/>
    <w:rsid w:val="00861D5C"/>
    <w:rsid w:val="00864A23"/>
    <w:rsid w:val="00864F38"/>
    <w:rsid w:val="00865207"/>
    <w:rsid w:val="008656A7"/>
    <w:rsid w:val="00871262"/>
    <w:rsid w:val="00871D4E"/>
    <w:rsid w:val="00871E7B"/>
    <w:rsid w:val="00874281"/>
    <w:rsid w:val="00875B51"/>
    <w:rsid w:val="00875F2D"/>
    <w:rsid w:val="008764DC"/>
    <w:rsid w:val="00881549"/>
    <w:rsid w:val="00881F6C"/>
    <w:rsid w:val="00882279"/>
    <w:rsid w:val="00882CC2"/>
    <w:rsid w:val="00883930"/>
    <w:rsid w:val="00886B40"/>
    <w:rsid w:val="0089160D"/>
    <w:rsid w:val="008952E8"/>
    <w:rsid w:val="00895B41"/>
    <w:rsid w:val="00896535"/>
    <w:rsid w:val="00896683"/>
    <w:rsid w:val="00897589"/>
    <w:rsid w:val="008A63A9"/>
    <w:rsid w:val="008A7F7E"/>
    <w:rsid w:val="008B04DB"/>
    <w:rsid w:val="008B27FD"/>
    <w:rsid w:val="008B3AF2"/>
    <w:rsid w:val="008B515D"/>
    <w:rsid w:val="008B5D31"/>
    <w:rsid w:val="008B6705"/>
    <w:rsid w:val="008C22F3"/>
    <w:rsid w:val="008C5DB1"/>
    <w:rsid w:val="008D0E20"/>
    <w:rsid w:val="008D661E"/>
    <w:rsid w:val="008D795D"/>
    <w:rsid w:val="008D7B07"/>
    <w:rsid w:val="008E1E94"/>
    <w:rsid w:val="008E2D99"/>
    <w:rsid w:val="008E4A60"/>
    <w:rsid w:val="008E744D"/>
    <w:rsid w:val="008F1E08"/>
    <w:rsid w:val="00900D8F"/>
    <w:rsid w:val="009014E3"/>
    <w:rsid w:val="009026E8"/>
    <w:rsid w:val="00906EB7"/>
    <w:rsid w:val="009077FE"/>
    <w:rsid w:val="009102BF"/>
    <w:rsid w:val="009115F2"/>
    <w:rsid w:val="00914ADB"/>
    <w:rsid w:val="00917BE7"/>
    <w:rsid w:val="00923B25"/>
    <w:rsid w:val="0092402E"/>
    <w:rsid w:val="009259BA"/>
    <w:rsid w:val="00926FCB"/>
    <w:rsid w:val="0093311A"/>
    <w:rsid w:val="00935F3E"/>
    <w:rsid w:val="00937FBF"/>
    <w:rsid w:val="0094109C"/>
    <w:rsid w:val="0094243A"/>
    <w:rsid w:val="00942645"/>
    <w:rsid w:val="009433C2"/>
    <w:rsid w:val="00946B8B"/>
    <w:rsid w:val="00950A3A"/>
    <w:rsid w:val="0095340A"/>
    <w:rsid w:val="00954581"/>
    <w:rsid w:val="0095466C"/>
    <w:rsid w:val="00954E5B"/>
    <w:rsid w:val="009576BC"/>
    <w:rsid w:val="00960357"/>
    <w:rsid w:val="0096168C"/>
    <w:rsid w:val="00961840"/>
    <w:rsid w:val="00962F2D"/>
    <w:rsid w:val="009666FC"/>
    <w:rsid w:val="009672CD"/>
    <w:rsid w:val="00972674"/>
    <w:rsid w:val="00972996"/>
    <w:rsid w:val="009732B8"/>
    <w:rsid w:val="00975C72"/>
    <w:rsid w:val="0097648B"/>
    <w:rsid w:val="00976869"/>
    <w:rsid w:val="00977740"/>
    <w:rsid w:val="00977CB4"/>
    <w:rsid w:val="009809B8"/>
    <w:rsid w:val="0098222D"/>
    <w:rsid w:val="00985099"/>
    <w:rsid w:val="0099421F"/>
    <w:rsid w:val="00997F5E"/>
    <w:rsid w:val="009A0DE3"/>
    <w:rsid w:val="009A1643"/>
    <w:rsid w:val="009A215A"/>
    <w:rsid w:val="009A4F1B"/>
    <w:rsid w:val="009A66C5"/>
    <w:rsid w:val="009A79BA"/>
    <w:rsid w:val="009B14D1"/>
    <w:rsid w:val="009B1534"/>
    <w:rsid w:val="009B4A3B"/>
    <w:rsid w:val="009B5910"/>
    <w:rsid w:val="009B69D3"/>
    <w:rsid w:val="009B7036"/>
    <w:rsid w:val="009B7BA7"/>
    <w:rsid w:val="009C0938"/>
    <w:rsid w:val="009C22C8"/>
    <w:rsid w:val="009C3F82"/>
    <w:rsid w:val="009C72DD"/>
    <w:rsid w:val="009C7DF5"/>
    <w:rsid w:val="009D056C"/>
    <w:rsid w:val="009D060F"/>
    <w:rsid w:val="009D1ADE"/>
    <w:rsid w:val="009D5FCA"/>
    <w:rsid w:val="009E02D9"/>
    <w:rsid w:val="009E09D0"/>
    <w:rsid w:val="009E1283"/>
    <w:rsid w:val="009E3A7F"/>
    <w:rsid w:val="009E57B1"/>
    <w:rsid w:val="009E6379"/>
    <w:rsid w:val="009E6A36"/>
    <w:rsid w:val="009F7809"/>
    <w:rsid w:val="009F7AF5"/>
    <w:rsid w:val="00A00D14"/>
    <w:rsid w:val="00A01408"/>
    <w:rsid w:val="00A02457"/>
    <w:rsid w:val="00A03190"/>
    <w:rsid w:val="00A0404B"/>
    <w:rsid w:val="00A053D4"/>
    <w:rsid w:val="00A0798C"/>
    <w:rsid w:val="00A07BDD"/>
    <w:rsid w:val="00A1105B"/>
    <w:rsid w:val="00A12832"/>
    <w:rsid w:val="00A15B6B"/>
    <w:rsid w:val="00A15EB4"/>
    <w:rsid w:val="00A16040"/>
    <w:rsid w:val="00A16876"/>
    <w:rsid w:val="00A200AA"/>
    <w:rsid w:val="00A202FD"/>
    <w:rsid w:val="00A20558"/>
    <w:rsid w:val="00A2186F"/>
    <w:rsid w:val="00A2270B"/>
    <w:rsid w:val="00A23B89"/>
    <w:rsid w:val="00A23FE3"/>
    <w:rsid w:val="00A248C3"/>
    <w:rsid w:val="00A2496E"/>
    <w:rsid w:val="00A258B7"/>
    <w:rsid w:val="00A32743"/>
    <w:rsid w:val="00A414A9"/>
    <w:rsid w:val="00A4190A"/>
    <w:rsid w:val="00A44CCA"/>
    <w:rsid w:val="00A44D75"/>
    <w:rsid w:val="00A47CF1"/>
    <w:rsid w:val="00A50418"/>
    <w:rsid w:val="00A54A47"/>
    <w:rsid w:val="00A56D26"/>
    <w:rsid w:val="00A571A7"/>
    <w:rsid w:val="00A608FB"/>
    <w:rsid w:val="00A60D83"/>
    <w:rsid w:val="00A60F68"/>
    <w:rsid w:val="00A6336C"/>
    <w:rsid w:val="00A63DF3"/>
    <w:rsid w:val="00A65C78"/>
    <w:rsid w:val="00A660A8"/>
    <w:rsid w:val="00A67591"/>
    <w:rsid w:val="00A67CA6"/>
    <w:rsid w:val="00A708EF"/>
    <w:rsid w:val="00A70E7B"/>
    <w:rsid w:val="00A73B84"/>
    <w:rsid w:val="00A7411D"/>
    <w:rsid w:val="00A76094"/>
    <w:rsid w:val="00A768E2"/>
    <w:rsid w:val="00A82C52"/>
    <w:rsid w:val="00A86CB6"/>
    <w:rsid w:val="00A90D55"/>
    <w:rsid w:val="00A93359"/>
    <w:rsid w:val="00A93AA8"/>
    <w:rsid w:val="00A944D8"/>
    <w:rsid w:val="00A959E7"/>
    <w:rsid w:val="00A95BBA"/>
    <w:rsid w:val="00A961EE"/>
    <w:rsid w:val="00AA04B3"/>
    <w:rsid w:val="00AA1253"/>
    <w:rsid w:val="00AA28EF"/>
    <w:rsid w:val="00AA493E"/>
    <w:rsid w:val="00AA73AF"/>
    <w:rsid w:val="00AB1754"/>
    <w:rsid w:val="00AB27DD"/>
    <w:rsid w:val="00AB2AAD"/>
    <w:rsid w:val="00AB3440"/>
    <w:rsid w:val="00AC439D"/>
    <w:rsid w:val="00AC713F"/>
    <w:rsid w:val="00AD067E"/>
    <w:rsid w:val="00AD2801"/>
    <w:rsid w:val="00AD47B4"/>
    <w:rsid w:val="00AD6870"/>
    <w:rsid w:val="00AD68C5"/>
    <w:rsid w:val="00AE01D4"/>
    <w:rsid w:val="00AE1273"/>
    <w:rsid w:val="00AE2D29"/>
    <w:rsid w:val="00AE4624"/>
    <w:rsid w:val="00AE5E14"/>
    <w:rsid w:val="00AE6115"/>
    <w:rsid w:val="00AE625B"/>
    <w:rsid w:val="00AF1668"/>
    <w:rsid w:val="00AF1F95"/>
    <w:rsid w:val="00AF4FA5"/>
    <w:rsid w:val="00B07955"/>
    <w:rsid w:val="00B1498C"/>
    <w:rsid w:val="00B14FAA"/>
    <w:rsid w:val="00B15D30"/>
    <w:rsid w:val="00B20624"/>
    <w:rsid w:val="00B2206E"/>
    <w:rsid w:val="00B23436"/>
    <w:rsid w:val="00B26354"/>
    <w:rsid w:val="00B26CA0"/>
    <w:rsid w:val="00B32179"/>
    <w:rsid w:val="00B32504"/>
    <w:rsid w:val="00B331A9"/>
    <w:rsid w:val="00B36569"/>
    <w:rsid w:val="00B40A05"/>
    <w:rsid w:val="00B40A3E"/>
    <w:rsid w:val="00B50227"/>
    <w:rsid w:val="00B50510"/>
    <w:rsid w:val="00B522CD"/>
    <w:rsid w:val="00B55143"/>
    <w:rsid w:val="00B55917"/>
    <w:rsid w:val="00B643A6"/>
    <w:rsid w:val="00B64DD6"/>
    <w:rsid w:val="00B6710C"/>
    <w:rsid w:val="00B70765"/>
    <w:rsid w:val="00B70D1B"/>
    <w:rsid w:val="00B72076"/>
    <w:rsid w:val="00B72303"/>
    <w:rsid w:val="00B82277"/>
    <w:rsid w:val="00B91676"/>
    <w:rsid w:val="00B95833"/>
    <w:rsid w:val="00BA1824"/>
    <w:rsid w:val="00BA19E8"/>
    <w:rsid w:val="00BA2D98"/>
    <w:rsid w:val="00BA30D1"/>
    <w:rsid w:val="00BA38B0"/>
    <w:rsid w:val="00BA4609"/>
    <w:rsid w:val="00BA5BE2"/>
    <w:rsid w:val="00BA7F46"/>
    <w:rsid w:val="00BB0A0A"/>
    <w:rsid w:val="00BB2142"/>
    <w:rsid w:val="00BB45B5"/>
    <w:rsid w:val="00BB5FF4"/>
    <w:rsid w:val="00BB6064"/>
    <w:rsid w:val="00BB6522"/>
    <w:rsid w:val="00BC09D1"/>
    <w:rsid w:val="00BC1CF3"/>
    <w:rsid w:val="00BC4644"/>
    <w:rsid w:val="00BC7F82"/>
    <w:rsid w:val="00BD40AB"/>
    <w:rsid w:val="00BD6297"/>
    <w:rsid w:val="00BD6806"/>
    <w:rsid w:val="00BD7433"/>
    <w:rsid w:val="00BD7831"/>
    <w:rsid w:val="00BD7C10"/>
    <w:rsid w:val="00BE046F"/>
    <w:rsid w:val="00BE0DEB"/>
    <w:rsid w:val="00BE13A5"/>
    <w:rsid w:val="00BE1F32"/>
    <w:rsid w:val="00BE2FC1"/>
    <w:rsid w:val="00BE6365"/>
    <w:rsid w:val="00BF029F"/>
    <w:rsid w:val="00BF0B7F"/>
    <w:rsid w:val="00BF4720"/>
    <w:rsid w:val="00BF737D"/>
    <w:rsid w:val="00BF7B63"/>
    <w:rsid w:val="00C01A7C"/>
    <w:rsid w:val="00C020B1"/>
    <w:rsid w:val="00C038EC"/>
    <w:rsid w:val="00C03EAC"/>
    <w:rsid w:val="00C05C6D"/>
    <w:rsid w:val="00C1038F"/>
    <w:rsid w:val="00C104BC"/>
    <w:rsid w:val="00C1122B"/>
    <w:rsid w:val="00C12D00"/>
    <w:rsid w:val="00C13B34"/>
    <w:rsid w:val="00C13F26"/>
    <w:rsid w:val="00C16E9F"/>
    <w:rsid w:val="00C1713D"/>
    <w:rsid w:val="00C177F1"/>
    <w:rsid w:val="00C20CC1"/>
    <w:rsid w:val="00C22F3A"/>
    <w:rsid w:val="00C25978"/>
    <w:rsid w:val="00C261C6"/>
    <w:rsid w:val="00C26746"/>
    <w:rsid w:val="00C26E7C"/>
    <w:rsid w:val="00C271F3"/>
    <w:rsid w:val="00C30A97"/>
    <w:rsid w:val="00C31DDC"/>
    <w:rsid w:val="00C34326"/>
    <w:rsid w:val="00C35C35"/>
    <w:rsid w:val="00C36201"/>
    <w:rsid w:val="00C368E8"/>
    <w:rsid w:val="00C36C3D"/>
    <w:rsid w:val="00C372C7"/>
    <w:rsid w:val="00C37EC5"/>
    <w:rsid w:val="00C42443"/>
    <w:rsid w:val="00C42CBA"/>
    <w:rsid w:val="00C44319"/>
    <w:rsid w:val="00C45B50"/>
    <w:rsid w:val="00C5019E"/>
    <w:rsid w:val="00C5377C"/>
    <w:rsid w:val="00C53E8A"/>
    <w:rsid w:val="00C54DF3"/>
    <w:rsid w:val="00C560A7"/>
    <w:rsid w:val="00C56FC8"/>
    <w:rsid w:val="00C60F23"/>
    <w:rsid w:val="00C62EB2"/>
    <w:rsid w:val="00C704B8"/>
    <w:rsid w:val="00C71BEC"/>
    <w:rsid w:val="00C74D3A"/>
    <w:rsid w:val="00C80511"/>
    <w:rsid w:val="00C826F5"/>
    <w:rsid w:val="00C83740"/>
    <w:rsid w:val="00C84AD1"/>
    <w:rsid w:val="00C85579"/>
    <w:rsid w:val="00C863E5"/>
    <w:rsid w:val="00C875B3"/>
    <w:rsid w:val="00C931FC"/>
    <w:rsid w:val="00C932C5"/>
    <w:rsid w:val="00C9650E"/>
    <w:rsid w:val="00CA068D"/>
    <w:rsid w:val="00CA1228"/>
    <w:rsid w:val="00CA282D"/>
    <w:rsid w:val="00CA3634"/>
    <w:rsid w:val="00CA4670"/>
    <w:rsid w:val="00CA6B1A"/>
    <w:rsid w:val="00CA7404"/>
    <w:rsid w:val="00CB20DC"/>
    <w:rsid w:val="00CB23DC"/>
    <w:rsid w:val="00CB244E"/>
    <w:rsid w:val="00CB2487"/>
    <w:rsid w:val="00CB28E2"/>
    <w:rsid w:val="00CB7A3E"/>
    <w:rsid w:val="00CB7FF7"/>
    <w:rsid w:val="00CC0D0E"/>
    <w:rsid w:val="00CC19B3"/>
    <w:rsid w:val="00CC2044"/>
    <w:rsid w:val="00CC39D2"/>
    <w:rsid w:val="00CC69EC"/>
    <w:rsid w:val="00CD15BE"/>
    <w:rsid w:val="00CD1EF2"/>
    <w:rsid w:val="00CD32BD"/>
    <w:rsid w:val="00CD34C7"/>
    <w:rsid w:val="00CD5164"/>
    <w:rsid w:val="00CD5653"/>
    <w:rsid w:val="00CD5E6D"/>
    <w:rsid w:val="00CD62A4"/>
    <w:rsid w:val="00CD63C8"/>
    <w:rsid w:val="00CE5B42"/>
    <w:rsid w:val="00CF158D"/>
    <w:rsid w:val="00CF4394"/>
    <w:rsid w:val="00CF60AF"/>
    <w:rsid w:val="00CF6409"/>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27203"/>
    <w:rsid w:val="00D278AF"/>
    <w:rsid w:val="00D3004D"/>
    <w:rsid w:val="00D31683"/>
    <w:rsid w:val="00D336C8"/>
    <w:rsid w:val="00D339E8"/>
    <w:rsid w:val="00D33A52"/>
    <w:rsid w:val="00D3662E"/>
    <w:rsid w:val="00D40B1F"/>
    <w:rsid w:val="00D40D75"/>
    <w:rsid w:val="00D42939"/>
    <w:rsid w:val="00D449F0"/>
    <w:rsid w:val="00D44C16"/>
    <w:rsid w:val="00D501AC"/>
    <w:rsid w:val="00D50C8C"/>
    <w:rsid w:val="00D52393"/>
    <w:rsid w:val="00D523E4"/>
    <w:rsid w:val="00D5279D"/>
    <w:rsid w:val="00D52A1B"/>
    <w:rsid w:val="00D52B52"/>
    <w:rsid w:val="00D53F14"/>
    <w:rsid w:val="00D54BE4"/>
    <w:rsid w:val="00D60483"/>
    <w:rsid w:val="00D61ABB"/>
    <w:rsid w:val="00D63577"/>
    <w:rsid w:val="00D67FD7"/>
    <w:rsid w:val="00D74261"/>
    <w:rsid w:val="00D7441B"/>
    <w:rsid w:val="00D76AB2"/>
    <w:rsid w:val="00D80490"/>
    <w:rsid w:val="00D829AD"/>
    <w:rsid w:val="00D82EE2"/>
    <w:rsid w:val="00D8545C"/>
    <w:rsid w:val="00D86E8A"/>
    <w:rsid w:val="00D87788"/>
    <w:rsid w:val="00D877C8"/>
    <w:rsid w:val="00D87CD8"/>
    <w:rsid w:val="00D910C2"/>
    <w:rsid w:val="00D913A8"/>
    <w:rsid w:val="00D9168C"/>
    <w:rsid w:val="00D9189B"/>
    <w:rsid w:val="00D91DA6"/>
    <w:rsid w:val="00D958AF"/>
    <w:rsid w:val="00D9706F"/>
    <w:rsid w:val="00D972D4"/>
    <w:rsid w:val="00DA195B"/>
    <w:rsid w:val="00DA1B28"/>
    <w:rsid w:val="00DA6B55"/>
    <w:rsid w:val="00DA6F9A"/>
    <w:rsid w:val="00DB0015"/>
    <w:rsid w:val="00DB2AAD"/>
    <w:rsid w:val="00DB357A"/>
    <w:rsid w:val="00DB626D"/>
    <w:rsid w:val="00DB6365"/>
    <w:rsid w:val="00DC09AE"/>
    <w:rsid w:val="00DC0BF1"/>
    <w:rsid w:val="00DC41C3"/>
    <w:rsid w:val="00DD3593"/>
    <w:rsid w:val="00DD4958"/>
    <w:rsid w:val="00DD6CBF"/>
    <w:rsid w:val="00DE0C67"/>
    <w:rsid w:val="00DE6952"/>
    <w:rsid w:val="00DE7E74"/>
    <w:rsid w:val="00DF6EF8"/>
    <w:rsid w:val="00E00A69"/>
    <w:rsid w:val="00E0105D"/>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51E"/>
    <w:rsid w:val="00E6092F"/>
    <w:rsid w:val="00E62049"/>
    <w:rsid w:val="00E629DA"/>
    <w:rsid w:val="00E6469F"/>
    <w:rsid w:val="00E67FAC"/>
    <w:rsid w:val="00E7200B"/>
    <w:rsid w:val="00E738CB"/>
    <w:rsid w:val="00E73C88"/>
    <w:rsid w:val="00E74437"/>
    <w:rsid w:val="00E7443D"/>
    <w:rsid w:val="00E81C3E"/>
    <w:rsid w:val="00E82B6D"/>
    <w:rsid w:val="00E905F5"/>
    <w:rsid w:val="00E9138B"/>
    <w:rsid w:val="00EA1177"/>
    <w:rsid w:val="00EA118B"/>
    <w:rsid w:val="00EA11B6"/>
    <w:rsid w:val="00EA2181"/>
    <w:rsid w:val="00EA2DD8"/>
    <w:rsid w:val="00EA4475"/>
    <w:rsid w:val="00EA681F"/>
    <w:rsid w:val="00EA795B"/>
    <w:rsid w:val="00EB3823"/>
    <w:rsid w:val="00EB47D8"/>
    <w:rsid w:val="00EB4BFB"/>
    <w:rsid w:val="00EB57D3"/>
    <w:rsid w:val="00EB5EFD"/>
    <w:rsid w:val="00EB679F"/>
    <w:rsid w:val="00EB767A"/>
    <w:rsid w:val="00EB76E4"/>
    <w:rsid w:val="00EC0E65"/>
    <w:rsid w:val="00EC2938"/>
    <w:rsid w:val="00EC50C9"/>
    <w:rsid w:val="00EC58B4"/>
    <w:rsid w:val="00EC5BB2"/>
    <w:rsid w:val="00ED12F0"/>
    <w:rsid w:val="00ED4773"/>
    <w:rsid w:val="00ED664B"/>
    <w:rsid w:val="00ED6A61"/>
    <w:rsid w:val="00EE03BB"/>
    <w:rsid w:val="00EE04D9"/>
    <w:rsid w:val="00EE0B44"/>
    <w:rsid w:val="00EE4847"/>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0CF9"/>
    <w:rsid w:val="00F22A26"/>
    <w:rsid w:val="00F239CF"/>
    <w:rsid w:val="00F24072"/>
    <w:rsid w:val="00F26432"/>
    <w:rsid w:val="00F3197A"/>
    <w:rsid w:val="00F32139"/>
    <w:rsid w:val="00F33D56"/>
    <w:rsid w:val="00F34E08"/>
    <w:rsid w:val="00F41D91"/>
    <w:rsid w:val="00F42363"/>
    <w:rsid w:val="00F45C02"/>
    <w:rsid w:val="00F46964"/>
    <w:rsid w:val="00F46F9A"/>
    <w:rsid w:val="00F5126A"/>
    <w:rsid w:val="00F64A28"/>
    <w:rsid w:val="00F64B06"/>
    <w:rsid w:val="00F6636A"/>
    <w:rsid w:val="00F667C5"/>
    <w:rsid w:val="00F67E31"/>
    <w:rsid w:val="00F718A8"/>
    <w:rsid w:val="00F72183"/>
    <w:rsid w:val="00F76D01"/>
    <w:rsid w:val="00F81A73"/>
    <w:rsid w:val="00F81C35"/>
    <w:rsid w:val="00F82981"/>
    <w:rsid w:val="00F8311F"/>
    <w:rsid w:val="00F83248"/>
    <w:rsid w:val="00F83376"/>
    <w:rsid w:val="00F853AE"/>
    <w:rsid w:val="00F85946"/>
    <w:rsid w:val="00F93C74"/>
    <w:rsid w:val="00F93DCC"/>
    <w:rsid w:val="00F9435D"/>
    <w:rsid w:val="00F97740"/>
    <w:rsid w:val="00F97CFF"/>
    <w:rsid w:val="00FA2F7B"/>
    <w:rsid w:val="00FA46BC"/>
    <w:rsid w:val="00FA7186"/>
    <w:rsid w:val="00FB09FE"/>
    <w:rsid w:val="00FB593A"/>
    <w:rsid w:val="00FB6410"/>
    <w:rsid w:val="00FB6E82"/>
    <w:rsid w:val="00FC0042"/>
    <w:rsid w:val="00FC2A13"/>
    <w:rsid w:val="00FC4284"/>
    <w:rsid w:val="00FC4576"/>
    <w:rsid w:val="00FC7DBC"/>
    <w:rsid w:val="00FD076A"/>
    <w:rsid w:val="00FD0AA0"/>
    <w:rsid w:val="00FD1D5A"/>
    <w:rsid w:val="00FD49B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D4958"/>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E8AD-0912-4BD8-B03F-A33ED1DE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1270</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6</cp:revision>
  <cp:lastPrinted>2011-02-02T16:46:00Z</cp:lastPrinted>
  <dcterms:created xsi:type="dcterms:W3CDTF">2011-01-31T16:00:00Z</dcterms:created>
  <dcterms:modified xsi:type="dcterms:W3CDTF">2012-02-07T15:29:00Z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