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497240" w:rsidRDefault="00540BEF" w:rsidP="00540BEF">
      <w:pPr>
        <w:tabs>
          <w:tab w:val="left" w:pos="288"/>
          <w:tab w:val="left" w:pos="4752"/>
        </w:tabs>
        <w:spacing w:line="240" w:lineRule="exact"/>
        <w:jc w:val="center"/>
        <w:rPr>
          <w:color w:val="auto"/>
        </w:rPr>
      </w:pPr>
      <w:r w:rsidRPr="00497240">
        <w:rPr>
          <w:color w:val="auto"/>
        </w:rPr>
        <w:t xml:space="preserve">RECORD OF PROCEEDINGS </w:t>
      </w:r>
    </w:p>
    <w:p w:rsidR="00540BEF" w:rsidRPr="00497240" w:rsidRDefault="00540BEF" w:rsidP="00540BEF">
      <w:pPr>
        <w:tabs>
          <w:tab w:val="left" w:pos="288"/>
          <w:tab w:val="left" w:pos="4752"/>
        </w:tabs>
        <w:spacing w:line="240" w:lineRule="exact"/>
        <w:jc w:val="center"/>
        <w:rPr>
          <w:color w:val="auto"/>
        </w:rPr>
      </w:pPr>
      <w:r w:rsidRPr="00497240">
        <w:rPr>
          <w:color w:val="auto"/>
        </w:rPr>
        <w:t>PHYSICAL DISABILITY BOARD OF REVIEW</w:t>
      </w:r>
    </w:p>
    <w:p w:rsidR="00540BEF" w:rsidRPr="00497240" w:rsidRDefault="00540BEF" w:rsidP="00540BEF">
      <w:pPr>
        <w:tabs>
          <w:tab w:val="left" w:pos="288"/>
          <w:tab w:val="left" w:pos="4752"/>
        </w:tabs>
        <w:spacing w:line="240" w:lineRule="exact"/>
        <w:jc w:val="both"/>
        <w:rPr>
          <w:color w:val="auto"/>
        </w:rPr>
      </w:pPr>
    </w:p>
    <w:p w:rsidR="00540BEF" w:rsidRPr="00497240" w:rsidRDefault="00540BEF" w:rsidP="00540BEF">
      <w:pPr>
        <w:tabs>
          <w:tab w:val="left" w:pos="288"/>
          <w:tab w:val="left" w:pos="4752"/>
        </w:tabs>
        <w:spacing w:line="240" w:lineRule="exact"/>
        <w:jc w:val="both"/>
        <w:rPr>
          <w:color w:val="auto"/>
        </w:rPr>
      </w:pPr>
      <w:r w:rsidRPr="00497240">
        <w:rPr>
          <w:color w:val="auto"/>
        </w:rPr>
        <w:t>NAME:</w:t>
      </w:r>
      <w:r w:rsidRPr="00497240">
        <w:rPr>
          <w:color w:val="auto"/>
        </w:rPr>
        <w:tab/>
      </w:r>
      <w:r w:rsidRPr="00497240">
        <w:rPr>
          <w:color w:val="auto"/>
        </w:rPr>
        <w:tab/>
        <w:t xml:space="preserve">BRANCH OF SERVICE: </w:t>
      </w:r>
      <w:r w:rsidR="000225BA" w:rsidRPr="00497240">
        <w:rPr>
          <w:color w:val="auto"/>
        </w:rPr>
        <w:t>NAVY</w:t>
      </w:r>
    </w:p>
    <w:p w:rsidR="001B3174" w:rsidRDefault="00540BEF" w:rsidP="00540BEF">
      <w:pPr>
        <w:tabs>
          <w:tab w:val="left" w:pos="288"/>
          <w:tab w:val="left" w:pos="4752"/>
        </w:tabs>
        <w:spacing w:line="240" w:lineRule="exact"/>
        <w:jc w:val="both"/>
        <w:rPr>
          <w:color w:val="auto"/>
        </w:rPr>
      </w:pPr>
      <w:r w:rsidRPr="00497240">
        <w:rPr>
          <w:color w:val="auto"/>
        </w:rPr>
        <w:t>CASE NUMBER:  PD0900</w:t>
      </w:r>
      <w:r w:rsidR="000225BA" w:rsidRPr="00497240">
        <w:rPr>
          <w:color w:val="auto"/>
        </w:rPr>
        <w:t>250</w:t>
      </w:r>
      <w:r w:rsidRPr="00497240">
        <w:rPr>
          <w:color w:val="auto"/>
        </w:rPr>
        <w:tab/>
      </w:r>
      <w:r w:rsidRPr="00497240">
        <w:rPr>
          <w:color w:val="auto"/>
        </w:rPr>
        <w:tab/>
        <w:t xml:space="preserve">BOARD DATE: </w:t>
      </w:r>
      <w:r w:rsidR="00276C86" w:rsidRPr="00497240">
        <w:rPr>
          <w:color w:val="auto"/>
        </w:rPr>
        <w:t>20</w:t>
      </w:r>
      <w:r w:rsidR="00116FEA" w:rsidRPr="00497240">
        <w:rPr>
          <w:color w:val="auto"/>
        </w:rPr>
        <w:t>10</w:t>
      </w:r>
      <w:r w:rsidR="00C309C2">
        <w:rPr>
          <w:color w:val="auto"/>
        </w:rPr>
        <w:t>0428</w:t>
      </w:r>
    </w:p>
    <w:p w:rsidR="00540BEF" w:rsidRPr="00497240" w:rsidRDefault="00540BEF" w:rsidP="00540BEF">
      <w:pPr>
        <w:tabs>
          <w:tab w:val="left" w:pos="288"/>
          <w:tab w:val="left" w:pos="4752"/>
        </w:tabs>
        <w:spacing w:line="240" w:lineRule="exact"/>
        <w:jc w:val="both"/>
        <w:rPr>
          <w:color w:val="auto"/>
        </w:rPr>
      </w:pPr>
      <w:r w:rsidRPr="00497240">
        <w:rPr>
          <w:color w:val="auto"/>
        </w:rPr>
        <w:t xml:space="preserve">SEPARATION DATE: </w:t>
      </w:r>
      <w:r w:rsidR="00975F78" w:rsidRPr="00497240">
        <w:rPr>
          <w:color w:val="auto"/>
        </w:rPr>
        <w:t>20050131</w:t>
      </w:r>
    </w:p>
    <w:p w:rsidR="00540BEF" w:rsidRPr="00497240" w:rsidRDefault="00540BEF" w:rsidP="00497240">
      <w:pPr>
        <w:tabs>
          <w:tab w:val="left" w:pos="288"/>
          <w:tab w:val="left" w:pos="4752"/>
        </w:tabs>
        <w:spacing w:line="240" w:lineRule="exact"/>
        <w:jc w:val="both"/>
        <w:rPr>
          <w:color w:val="auto"/>
        </w:rPr>
      </w:pPr>
      <w:r w:rsidRPr="00497240">
        <w:rPr>
          <w:color w:val="auto"/>
          <w:u w:val="single"/>
        </w:rPr>
        <w:t>_______________________________________________________________</w:t>
      </w:r>
      <w:r w:rsidRPr="00497240">
        <w:rPr>
          <w:color w:val="auto"/>
        </w:rPr>
        <w:t>_</w:t>
      </w:r>
    </w:p>
    <w:p w:rsidR="00B522CD" w:rsidRPr="00497240" w:rsidRDefault="00B522CD" w:rsidP="00497240">
      <w:pPr>
        <w:tabs>
          <w:tab w:val="left" w:pos="288"/>
          <w:tab w:val="left" w:pos="4752"/>
        </w:tabs>
        <w:spacing w:line="240" w:lineRule="exact"/>
        <w:jc w:val="both"/>
        <w:rPr>
          <w:color w:val="auto"/>
        </w:rPr>
      </w:pPr>
    </w:p>
    <w:p w:rsidR="00313E93" w:rsidRPr="00497240" w:rsidRDefault="00811D5B" w:rsidP="00497240">
      <w:pPr>
        <w:autoSpaceDE w:val="0"/>
        <w:autoSpaceDN w:val="0"/>
        <w:adjustRightInd w:val="0"/>
        <w:spacing w:line="240" w:lineRule="exact"/>
        <w:jc w:val="both"/>
        <w:rPr>
          <w:color w:val="auto"/>
          <w:szCs w:val="24"/>
        </w:rPr>
      </w:pPr>
      <w:r w:rsidRPr="00497240">
        <w:rPr>
          <w:color w:val="auto"/>
          <w:u w:val="single"/>
        </w:rPr>
        <w:t>SUMMARY</w:t>
      </w:r>
      <w:r w:rsidR="003D7DDB" w:rsidRPr="00497240">
        <w:rPr>
          <w:color w:val="auto"/>
          <w:u w:val="single"/>
        </w:rPr>
        <w:t xml:space="preserve"> OF CASE</w:t>
      </w:r>
      <w:r w:rsidR="00B522CD" w:rsidRPr="00497240">
        <w:rPr>
          <w:color w:val="auto"/>
        </w:rPr>
        <w:t>:</w:t>
      </w:r>
      <w:r w:rsidR="00BA30D1" w:rsidRPr="00497240">
        <w:rPr>
          <w:color w:val="auto"/>
        </w:rPr>
        <w:t xml:space="preserve"> </w:t>
      </w:r>
      <w:r w:rsidR="00FB6E82" w:rsidRPr="00497240">
        <w:rPr>
          <w:color w:val="auto"/>
        </w:rPr>
        <w:t xml:space="preserve"> </w:t>
      </w:r>
      <w:r w:rsidR="00684E2B" w:rsidRPr="00497240">
        <w:rPr>
          <w:color w:val="auto"/>
          <w:szCs w:val="24"/>
        </w:rPr>
        <w:t xml:space="preserve">This covered individual (CI) was </w:t>
      </w:r>
      <w:r w:rsidR="00BF72BD" w:rsidRPr="00497240">
        <w:rPr>
          <w:color w:val="auto"/>
          <w:szCs w:val="24"/>
        </w:rPr>
        <w:t xml:space="preserve">a </w:t>
      </w:r>
      <w:r w:rsidR="00204C9F" w:rsidRPr="00497240">
        <w:rPr>
          <w:color w:val="auto"/>
          <w:szCs w:val="24"/>
        </w:rPr>
        <w:t>Lieutenant</w:t>
      </w:r>
      <w:r w:rsidR="00684E2B" w:rsidRPr="00497240">
        <w:rPr>
          <w:color w:val="auto"/>
          <w:szCs w:val="24"/>
        </w:rPr>
        <w:t xml:space="preserve"> </w:t>
      </w:r>
      <w:r w:rsidR="00497240">
        <w:rPr>
          <w:color w:val="auto"/>
          <w:szCs w:val="24"/>
        </w:rPr>
        <w:t xml:space="preserve">Supply Officer </w:t>
      </w:r>
      <w:r w:rsidR="00684E2B" w:rsidRPr="00497240">
        <w:rPr>
          <w:color w:val="auto"/>
          <w:szCs w:val="24"/>
        </w:rPr>
        <w:t xml:space="preserve">medically separated from the </w:t>
      </w:r>
      <w:r w:rsidR="00204C9F" w:rsidRPr="00497240">
        <w:rPr>
          <w:color w:val="auto"/>
          <w:szCs w:val="24"/>
        </w:rPr>
        <w:t>Navy</w:t>
      </w:r>
      <w:r w:rsidR="0098446F" w:rsidRPr="00497240">
        <w:rPr>
          <w:color w:val="auto"/>
          <w:szCs w:val="24"/>
        </w:rPr>
        <w:t xml:space="preserve"> in 2005</w:t>
      </w:r>
      <w:r w:rsidR="00684E2B" w:rsidRPr="00497240">
        <w:rPr>
          <w:color w:val="auto"/>
          <w:szCs w:val="24"/>
        </w:rPr>
        <w:t xml:space="preserve"> </w:t>
      </w:r>
      <w:r w:rsidR="00BF72BD" w:rsidRPr="00497240">
        <w:rPr>
          <w:color w:val="auto"/>
          <w:szCs w:val="24"/>
        </w:rPr>
        <w:t>with over</w:t>
      </w:r>
      <w:r w:rsidR="00684E2B" w:rsidRPr="00497240">
        <w:rPr>
          <w:color w:val="auto"/>
          <w:szCs w:val="24"/>
        </w:rPr>
        <w:t xml:space="preserve"> </w:t>
      </w:r>
      <w:r w:rsidR="0098446F" w:rsidRPr="00497240">
        <w:rPr>
          <w:color w:val="auto"/>
          <w:szCs w:val="24"/>
        </w:rPr>
        <w:t>8</w:t>
      </w:r>
      <w:r w:rsidR="00684E2B" w:rsidRPr="00497240">
        <w:rPr>
          <w:color w:val="auto"/>
          <w:szCs w:val="24"/>
        </w:rPr>
        <w:t xml:space="preserve"> years of service.  The medical basis for the separation wa</w:t>
      </w:r>
      <w:r w:rsidR="00F07F42" w:rsidRPr="00497240">
        <w:rPr>
          <w:color w:val="auto"/>
          <w:szCs w:val="24"/>
        </w:rPr>
        <w:t xml:space="preserve">s </w:t>
      </w:r>
      <w:r w:rsidR="00892607" w:rsidRPr="00497240">
        <w:rPr>
          <w:color w:val="auto"/>
          <w:szCs w:val="24"/>
        </w:rPr>
        <w:t xml:space="preserve">physical disability </w:t>
      </w:r>
      <w:r w:rsidR="00497240">
        <w:rPr>
          <w:color w:val="auto"/>
          <w:szCs w:val="24"/>
        </w:rPr>
        <w:t>due to</w:t>
      </w:r>
      <w:r w:rsidR="00892607" w:rsidRPr="00497240">
        <w:rPr>
          <w:color w:val="auto"/>
          <w:szCs w:val="24"/>
        </w:rPr>
        <w:t xml:space="preserve"> </w:t>
      </w:r>
      <w:r w:rsidR="00497240">
        <w:rPr>
          <w:color w:val="auto"/>
          <w:szCs w:val="24"/>
        </w:rPr>
        <w:t>chronic activity-</w:t>
      </w:r>
      <w:r w:rsidR="00892607" w:rsidRPr="00497240">
        <w:rPr>
          <w:color w:val="auto"/>
          <w:szCs w:val="24"/>
        </w:rPr>
        <w:t>limiti</w:t>
      </w:r>
      <w:r w:rsidR="00497240">
        <w:rPr>
          <w:color w:val="auto"/>
          <w:szCs w:val="24"/>
        </w:rPr>
        <w:t xml:space="preserve">ng low back pain. </w:t>
      </w:r>
      <w:r w:rsidR="001B3174">
        <w:rPr>
          <w:color w:val="auto"/>
          <w:szCs w:val="24"/>
        </w:rPr>
        <w:t xml:space="preserve"> </w:t>
      </w:r>
      <w:r w:rsidR="00313E93" w:rsidRPr="00497240">
        <w:rPr>
          <w:color w:val="auto"/>
          <w:szCs w:val="24"/>
        </w:rPr>
        <w:t>The CI was referred to th</w:t>
      </w:r>
      <w:r w:rsidR="00497240">
        <w:rPr>
          <w:color w:val="auto"/>
          <w:szCs w:val="24"/>
        </w:rPr>
        <w:t xml:space="preserve">e </w:t>
      </w:r>
      <w:r w:rsidR="001B3174">
        <w:rPr>
          <w:color w:val="auto"/>
          <w:szCs w:val="24"/>
        </w:rPr>
        <w:t>Physical Evaluation Board (</w:t>
      </w:r>
      <w:r w:rsidR="00497240">
        <w:rPr>
          <w:color w:val="auto"/>
          <w:szCs w:val="24"/>
        </w:rPr>
        <w:t>PEB</w:t>
      </w:r>
      <w:r w:rsidR="001B3174">
        <w:rPr>
          <w:color w:val="auto"/>
          <w:szCs w:val="24"/>
        </w:rPr>
        <w:t>)</w:t>
      </w:r>
      <w:r w:rsidR="00497240">
        <w:rPr>
          <w:color w:val="auto"/>
          <w:szCs w:val="24"/>
        </w:rPr>
        <w:t xml:space="preserve">, determined unfit for continued </w:t>
      </w:r>
      <w:r w:rsidR="001F5527">
        <w:rPr>
          <w:color w:val="auto"/>
          <w:szCs w:val="24"/>
        </w:rPr>
        <w:t>N</w:t>
      </w:r>
      <w:r w:rsidR="00497240">
        <w:rPr>
          <w:color w:val="auto"/>
          <w:szCs w:val="24"/>
        </w:rPr>
        <w:t>aval service</w:t>
      </w:r>
      <w:r w:rsidR="00313E93" w:rsidRPr="00497240">
        <w:rPr>
          <w:color w:val="auto"/>
          <w:szCs w:val="24"/>
        </w:rPr>
        <w:t>, and separated at 10% disability using the Veterans Affairs Schedule for Ratings Disabilities (VASRD) and applicable Naval and Department of Defense regulations.</w:t>
      </w:r>
    </w:p>
    <w:p w:rsidR="00923B25" w:rsidRPr="00497240" w:rsidRDefault="008B5D31" w:rsidP="00497240">
      <w:pPr>
        <w:tabs>
          <w:tab w:val="left" w:pos="288"/>
          <w:tab w:val="left" w:pos="4752"/>
        </w:tabs>
        <w:spacing w:line="240" w:lineRule="exact"/>
        <w:jc w:val="both"/>
        <w:rPr>
          <w:color w:val="auto"/>
        </w:rPr>
      </w:pPr>
      <w:r w:rsidRPr="00497240">
        <w:rPr>
          <w:color w:val="auto"/>
          <w:u w:val="single"/>
        </w:rPr>
        <w:t>_______________________________________________________________</w:t>
      </w:r>
      <w:r w:rsidRPr="00497240">
        <w:rPr>
          <w:color w:val="auto"/>
        </w:rPr>
        <w:t>_</w:t>
      </w:r>
    </w:p>
    <w:p w:rsidR="00923B25" w:rsidRPr="00497240" w:rsidRDefault="00923B25" w:rsidP="00497240">
      <w:pPr>
        <w:tabs>
          <w:tab w:val="left" w:pos="288"/>
          <w:tab w:val="left" w:pos="4752"/>
        </w:tabs>
        <w:spacing w:line="240" w:lineRule="exact"/>
        <w:jc w:val="both"/>
        <w:rPr>
          <w:color w:val="auto"/>
        </w:rPr>
      </w:pPr>
    </w:p>
    <w:p w:rsidR="00D94746" w:rsidRPr="00D93A91" w:rsidRDefault="001C181A" w:rsidP="00497240">
      <w:pPr>
        <w:autoSpaceDE w:val="0"/>
        <w:autoSpaceDN w:val="0"/>
        <w:adjustRightInd w:val="0"/>
        <w:spacing w:line="240" w:lineRule="exact"/>
        <w:jc w:val="both"/>
        <w:rPr>
          <w:color w:val="auto"/>
          <w:szCs w:val="24"/>
        </w:rPr>
      </w:pPr>
      <w:r w:rsidRPr="00497240">
        <w:rPr>
          <w:color w:val="auto"/>
          <w:u w:val="single"/>
        </w:rPr>
        <w:t>CI CONTENTION</w:t>
      </w:r>
      <w:r w:rsidRPr="00497240">
        <w:rPr>
          <w:color w:val="auto"/>
        </w:rPr>
        <w:t>:</w:t>
      </w:r>
      <w:r w:rsidR="00FB6E82" w:rsidRPr="00497240">
        <w:rPr>
          <w:color w:val="auto"/>
        </w:rPr>
        <w:t xml:space="preserve">  </w:t>
      </w:r>
      <w:r w:rsidR="009C3F82" w:rsidRPr="00497240">
        <w:rPr>
          <w:color w:val="auto"/>
          <w:szCs w:val="24"/>
        </w:rPr>
        <w:t>The CI</w:t>
      </w:r>
      <w:r w:rsidR="00E866F8" w:rsidRPr="00497240">
        <w:rPr>
          <w:color w:val="auto"/>
          <w:szCs w:val="24"/>
        </w:rPr>
        <w:t xml:space="preserve"> states: </w:t>
      </w:r>
      <w:r w:rsidR="00E40F19" w:rsidRPr="00497240">
        <w:rPr>
          <w:rFonts w:hAnsiTheme="minorHAnsi"/>
          <w:color w:val="auto"/>
          <w:szCs w:val="24"/>
        </w:rPr>
        <w:t>“</w:t>
      </w:r>
      <w:r w:rsidR="0009163A" w:rsidRPr="00497240">
        <w:rPr>
          <w:color w:val="auto"/>
          <w:szCs w:val="24"/>
        </w:rPr>
        <w:t xml:space="preserve">Although my first hint of a back problem originated while </w:t>
      </w:r>
      <w:r w:rsidR="0009163A" w:rsidRPr="00497240">
        <w:rPr>
          <w:rFonts w:cs="Arial"/>
          <w:color w:val="auto"/>
          <w:szCs w:val="24"/>
        </w:rPr>
        <w:t xml:space="preserve">I </w:t>
      </w:r>
      <w:r w:rsidR="0009163A" w:rsidRPr="00497240">
        <w:rPr>
          <w:color w:val="auto"/>
          <w:szCs w:val="24"/>
        </w:rPr>
        <w:t xml:space="preserve">was a midshipman at the </w:t>
      </w:r>
      <w:r w:rsidR="0009163A" w:rsidRPr="00497240">
        <w:rPr>
          <w:rFonts w:cs="Arial"/>
          <w:color w:val="auto"/>
          <w:szCs w:val="24"/>
        </w:rPr>
        <w:t xml:space="preserve">U.S. </w:t>
      </w:r>
      <w:r w:rsidR="0009163A" w:rsidRPr="00497240">
        <w:rPr>
          <w:color w:val="auto"/>
          <w:szCs w:val="24"/>
        </w:rPr>
        <w:t xml:space="preserve">Naval Academy, it worsened throughout my time on active duty.  I ended </w:t>
      </w:r>
      <w:r w:rsidR="0009163A" w:rsidRPr="00497240">
        <w:rPr>
          <w:rFonts w:cs="Arial"/>
          <w:color w:val="auto"/>
          <w:szCs w:val="24"/>
        </w:rPr>
        <w:t xml:space="preserve">up </w:t>
      </w:r>
      <w:r w:rsidR="0009163A" w:rsidRPr="00497240">
        <w:rPr>
          <w:color w:val="auto"/>
          <w:szCs w:val="24"/>
        </w:rPr>
        <w:t xml:space="preserve">having a lumbar </w:t>
      </w:r>
      <w:r w:rsidR="00497240">
        <w:rPr>
          <w:color w:val="auto"/>
          <w:szCs w:val="24"/>
        </w:rPr>
        <w:t xml:space="preserve">decompression in October 2001. </w:t>
      </w:r>
      <w:r w:rsidR="001B3174">
        <w:rPr>
          <w:color w:val="auto"/>
          <w:szCs w:val="24"/>
        </w:rPr>
        <w:t xml:space="preserve"> </w:t>
      </w:r>
      <w:r w:rsidR="0009163A" w:rsidRPr="00497240">
        <w:rPr>
          <w:rFonts w:cs="Arial"/>
          <w:color w:val="auto"/>
          <w:szCs w:val="24"/>
        </w:rPr>
        <w:t xml:space="preserve">For </w:t>
      </w:r>
      <w:r w:rsidR="0009163A" w:rsidRPr="00497240">
        <w:rPr>
          <w:color w:val="auto"/>
          <w:szCs w:val="24"/>
        </w:rPr>
        <w:t xml:space="preserve">the duration of my military service after surgery, I remained on some type of pain medication.  Nothing worked.  I later found out </w:t>
      </w:r>
      <w:r w:rsidR="0009163A" w:rsidRPr="00497240">
        <w:rPr>
          <w:rFonts w:cs="Arial"/>
          <w:color w:val="auto"/>
          <w:szCs w:val="24"/>
        </w:rPr>
        <w:t xml:space="preserve">that </w:t>
      </w:r>
      <w:r w:rsidR="00801386" w:rsidRPr="00497240">
        <w:rPr>
          <w:color w:val="auto"/>
          <w:szCs w:val="24"/>
        </w:rPr>
        <w:t xml:space="preserve">spinal </w:t>
      </w:r>
      <w:r w:rsidR="00D73E5B" w:rsidRPr="00497240">
        <w:rPr>
          <w:color w:val="auto"/>
          <w:szCs w:val="24"/>
        </w:rPr>
        <w:t>cord</w:t>
      </w:r>
      <w:r w:rsidR="00801386" w:rsidRPr="00497240">
        <w:rPr>
          <w:color w:val="auto"/>
          <w:szCs w:val="24"/>
        </w:rPr>
        <w:t xml:space="preserve"> pain is difficul</w:t>
      </w:r>
      <w:r w:rsidR="0009163A" w:rsidRPr="00497240">
        <w:rPr>
          <w:color w:val="auto"/>
          <w:szCs w:val="24"/>
        </w:rPr>
        <w:t xml:space="preserve">t to relieve. </w:t>
      </w:r>
      <w:r w:rsidR="00801386" w:rsidRPr="00497240">
        <w:rPr>
          <w:rFonts w:cs="Arial"/>
          <w:color w:val="auto"/>
          <w:szCs w:val="24"/>
        </w:rPr>
        <w:t xml:space="preserve"> </w:t>
      </w:r>
      <w:r w:rsidR="0009163A" w:rsidRPr="00497240">
        <w:rPr>
          <w:rFonts w:cs="Arial"/>
          <w:color w:val="auto"/>
          <w:szCs w:val="24"/>
        </w:rPr>
        <w:t xml:space="preserve">The </w:t>
      </w:r>
      <w:r w:rsidR="0009163A" w:rsidRPr="00497240">
        <w:rPr>
          <w:color w:val="auto"/>
          <w:szCs w:val="24"/>
        </w:rPr>
        <w:t>Physical Evaluation Board</w:t>
      </w:r>
      <w:r w:rsidR="00801386" w:rsidRPr="00497240">
        <w:rPr>
          <w:color w:val="auto"/>
          <w:szCs w:val="24"/>
        </w:rPr>
        <w:t xml:space="preserve"> justified not rating my condition higher by telling me that I still able to work. </w:t>
      </w:r>
      <w:r w:rsidR="001B3174">
        <w:rPr>
          <w:color w:val="auto"/>
          <w:szCs w:val="24"/>
        </w:rPr>
        <w:t xml:space="preserve"> </w:t>
      </w:r>
      <w:r w:rsidR="00801386" w:rsidRPr="00497240">
        <w:rPr>
          <w:color w:val="auto"/>
          <w:szCs w:val="24"/>
        </w:rPr>
        <w:t xml:space="preserve">Going to work on </w:t>
      </w:r>
      <w:proofErr w:type="spellStart"/>
      <w:r w:rsidR="00801386" w:rsidRPr="00497240">
        <w:rPr>
          <w:color w:val="auto"/>
          <w:szCs w:val="24"/>
        </w:rPr>
        <w:t>Oxycontin</w:t>
      </w:r>
      <w:proofErr w:type="spellEnd"/>
      <w:r w:rsidR="00801386" w:rsidRPr="00497240">
        <w:rPr>
          <w:color w:val="auto"/>
          <w:szCs w:val="24"/>
        </w:rPr>
        <w:t xml:space="preserve">, </w:t>
      </w:r>
      <w:proofErr w:type="spellStart"/>
      <w:r w:rsidR="00801386" w:rsidRPr="00497240">
        <w:rPr>
          <w:color w:val="auto"/>
          <w:szCs w:val="24"/>
        </w:rPr>
        <w:t>Fentanyl</w:t>
      </w:r>
      <w:proofErr w:type="spellEnd"/>
      <w:r w:rsidR="00801386" w:rsidRPr="00497240">
        <w:rPr>
          <w:color w:val="auto"/>
          <w:szCs w:val="24"/>
        </w:rPr>
        <w:t xml:space="preserve">, and whatever else </w:t>
      </w:r>
      <w:r w:rsidR="00801386" w:rsidRPr="00497240">
        <w:rPr>
          <w:rFonts w:cs="Arial"/>
          <w:color w:val="auto"/>
          <w:szCs w:val="24"/>
        </w:rPr>
        <w:t xml:space="preserve">I </w:t>
      </w:r>
      <w:r w:rsidR="00801386" w:rsidRPr="00497240">
        <w:rPr>
          <w:color w:val="auto"/>
          <w:szCs w:val="24"/>
        </w:rPr>
        <w:t xml:space="preserve">was prescribed for pain doesn't constitute 'able to work'.  I was told that I didn't have enough incapacitating episodes to merit a higher rating. I </w:t>
      </w:r>
      <w:proofErr w:type="gramStart"/>
      <w:r w:rsidR="00801386" w:rsidRPr="00497240">
        <w:rPr>
          <w:color w:val="auto"/>
          <w:szCs w:val="24"/>
        </w:rPr>
        <w:t>was</w:t>
      </w:r>
      <w:proofErr w:type="gramEnd"/>
      <w:r w:rsidR="00801386" w:rsidRPr="00497240">
        <w:rPr>
          <w:color w:val="auto"/>
          <w:szCs w:val="24"/>
        </w:rPr>
        <w:t xml:space="preserve"> basically penalized for 'sucking it up' and going to work. There were days when the pain pills or patches had me feeling so </w:t>
      </w:r>
      <w:r w:rsidR="00801386" w:rsidRPr="00497240">
        <w:rPr>
          <w:rFonts w:cs="Arial"/>
          <w:color w:val="auto"/>
          <w:szCs w:val="24"/>
        </w:rPr>
        <w:t xml:space="preserve">ill </w:t>
      </w:r>
      <w:r w:rsidR="00801386" w:rsidRPr="00497240">
        <w:rPr>
          <w:color w:val="auto"/>
          <w:szCs w:val="24"/>
        </w:rPr>
        <w:t xml:space="preserve">that my employees were worried about my personal safety. </w:t>
      </w:r>
      <w:r w:rsidR="001B3174">
        <w:rPr>
          <w:color w:val="auto"/>
          <w:szCs w:val="24"/>
        </w:rPr>
        <w:t xml:space="preserve"> </w:t>
      </w:r>
      <w:r w:rsidR="00801386" w:rsidRPr="00497240">
        <w:rPr>
          <w:color w:val="auto"/>
          <w:szCs w:val="24"/>
        </w:rPr>
        <w:t xml:space="preserve">I did what I felt was right and was penalized. </w:t>
      </w:r>
      <w:r w:rsidR="001B3174">
        <w:rPr>
          <w:color w:val="auto"/>
          <w:szCs w:val="24"/>
        </w:rPr>
        <w:t xml:space="preserve"> </w:t>
      </w:r>
      <w:r w:rsidR="00801386" w:rsidRPr="00497240">
        <w:rPr>
          <w:color w:val="auto"/>
          <w:szCs w:val="24"/>
        </w:rPr>
        <w:t xml:space="preserve">Had I chosen to manipulate the system and go to the doctor every time I was in pain, I'd be retired right now. </w:t>
      </w:r>
      <w:r w:rsidR="001B3174">
        <w:rPr>
          <w:color w:val="auto"/>
          <w:szCs w:val="24"/>
        </w:rPr>
        <w:t xml:space="preserve"> </w:t>
      </w:r>
      <w:r w:rsidR="00801386" w:rsidRPr="00497240">
        <w:rPr>
          <w:color w:val="auto"/>
          <w:szCs w:val="24"/>
        </w:rPr>
        <w:t xml:space="preserve">The bottom line in my case is that I have spent the last 14 years of my life experiencing some degree of back pain. </w:t>
      </w:r>
      <w:r w:rsidR="001B3174">
        <w:rPr>
          <w:color w:val="auto"/>
          <w:szCs w:val="24"/>
        </w:rPr>
        <w:t xml:space="preserve"> </w:t>
      </w:r>
      <w:r w:rsidR="00801386" w:rsidRPr="00497240">
        <w:rPr>
          <w:color w:val="auto"/>
          <w:szCs w:val="24"/>
        </w:rPr>
        <w:t xml:space="preserve">Over seven years have passed since my operation. </w:t>
      </w:r>
      <w:r w:rsidR="001B3174">
        <w:rPr>
          <w:color w:val="auto"/>
          <w:szCs w:val="24"/>
        </w:rPr>
        <w:t xml:space="preserve"> </w:t>
      </w:r>
      <w:r w:rsidR="00801386" w:rsidRPr="00497240">
        <w:rPr>
          <w:color w:val="auto"/>
          <w:szCs w:val="24"/>
        </w:rPr>
        <w:t xml:space="preserve">Pain pills still don't work. I still get episodes of sciatica. </w:t>
      </w:r>
      <w:r w:rsidR="001B3174">
        <w:rPr>
          <w:color w:val="auto"/>
          <w:szCs w:val="24"/>
        </w:rPr>
        <w:t xml:space="preserve"> </w:t>
      </w:r>
      <w:r w:rsidR="00801386" w:rsidRPr="00497240">
        <w:rPr>
          <w:color w:val="auto"/>
          <w:szCs w:val="24"/>
        </w:rPr>
        <w:t xml:space="preserve">I still have some sleepless nights.  Surgery, chiropractic manipulation, therapy, medications, and even </w:t>
      </w:r>
      <w:r w:rsidR="00801386" w:rsidRPr="00D93A91">
        <w:rPr>
          <w:color w:val="auto"/>
          <w:szCs w:val="24"/>
        </w:rPr>
        <w:t>acupuncture have been attempted to alleviate my back pain.  Nothing has worked.</w:t>
      </w:r>
      <w:r w:rsidR="00E82FD9">
        <w:rPr>
          <w:color w:val="auto"/>
          <w:szCs w:val="24"/>
        </w:rPr>
        <w:t>"</w:t>
      </w:r>
    </w:p>
    <w:p w:rsidR="00A90D55" w:rsidRPr="00D93A91" w:rsidRDefault="008B5D31" w:rsidP="00497240">
      <w:pPr>
        <w:tabs>
          <w:tab w:val="left" w:pos="288"/>
          <w:tab w:val="left" w:pos="4752"/>
        </w:tabs>
        <w:spacing w:line="240" w:lineRule="exact"/>
        <w:jc w:val="both"/>
        <w:rPr>
          <w:color w:val="auto"/>
        </w:rPr>
      </w:pPr>
      <w:r w:rsidRPr="00D93A91">
        <w:rPr>
          <w:color w:val="auto"/>
          <w:u w:val="single"/>
        </w:rPr>
        <w:t>_______________________________________________________________</w:t>
      </w:r>
      <w:r w:rsidRPr="00D93A91">
        <w:rPr>
          <w:color w:val="auto"/>
        </w:rPr>
        <w:t>_</w:t>
      </w:r>
    </w:p>
    <w:p w:rsidR="00D93A91" w:rsidRDefault="00D93A91">
      <w:pPr>
        <w:rPr>
          <w:color w:val="auto"/>
          <w:u w:val="single"/>
        </w:rPr>
      </w:pPr>
      <w:r>
        <w:rPr>
          <w:color w:val="auto"/>
          <w:u w:val="single"/>
        </w:rPr>
        <w:br w:type="page"/>
      </w:r>
    </w:p>
    <w:p w:rsidR="002338CA" w:rsidRPr="00D93A91" w:rsidRDefault="00A90D55" w:rsidP="00497240">
      <w:pPr>
        <w:tabs>
          <w:tab w:val="left" w:pos="288"/>
          <w:tab w:val="left" w:pos="4752"/>
        </w:tabs>
        <w:spacing w:line="240" w:lineRule="exact"/>
        <w:jc w:val="both"/>
        <w:rPr>
          <w:color w:val="auto"/>
        </w:rPr>
      </w:pPr>
      <w:r w:rsidRPr="00D93A91">
        <w:rPr>
          <w:color w:val="auto"/>
          <w:u w:val="single"/>
        </w:rPr>
        <w:lastRenderedPageBreak/>
        <w:t>RATING COMPARISON</w:t>
      </w:r>
      <w:r w:rsidRPr="00D93A91">
        <w:rPr>
          <w:color w:val="auto"/>
        </w:rPr>
        <w:t>:</w:t>
      </w:r>
    </w:p>
    <w:p w:rsidR="00DE6552" w:rsidRPr="00D93A91" w:rsidRDefault="00DE6552" w:rsidP="00497240">
      <w:pPr>
        <w:tabs>
          <w:tab w:val="left" w:pos="288"/>
          <w:tab w:val="left" w:pos="4752"/>
        </w:tabs>
        <w:spacing w:line="240" w:lineRule="exact"/>
        <w:jc w:val="both"/>
        <w:rPr>
          <w:color w:val="000080"/>
        </w:rPr>
      </w:pPr>
    </w:p>
    <w:tbl>
      <w:tblPr>
        <w:tblStyle w:val="TableGrid"/>
        <w:tblW w:w="11160" w:type="dxa"/>
        <w:tblInd w:w="-612" w:type="dxa"/>
        <w:tblLayout w:type="fixed"/>
        <w:tblLook w:val="04A0"/>
      </w:tblPr>
      <w:tblGrid>
        <w:gridCol w:w="2250"/>
        <w:gridCol w:w="990"/>
        <w:gridCol w:w="810"/>
        <w:gridCol w:w="990"/>
        <w:gridCol w:w="2430"/>
        <w:gridCol w:w="720"/>
        <w:gridCol w:w="900"/>
        <w:gridCol w:w="990"/>
        <w:gridCol w:w="1080"/>
      </w:tblGrid>
      <w:tr w:rsidR="00DA3ED0" w:rsidRPr="00D93A91"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93A91" w:rsidRDefault="00DA3ED0">
            <w:pPr>
              <w:pStyle w:val="ListParagraph"/>
              <w:spacing w:after="0" w:line="240" w:lineRule="auto"/>
              <w:ind w:left="0"/>
              <w:jc w:val="center"/>
              <w:rPr>
                <w:rFonts w:cs="Times New Roman"/>
                <w:b/>
                <w:szCs w:val="20"/>
              </w:rPr>
            </w:pPr>
            <w:r w:rsidRPr="00D93A91">
              <w:rPr>
                <w:rFonts w:cs="Times New Roman"/>
                <w:b/>
                <w:szCs w:val="20"/>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93A91" w:rsidRDefault="00497240" w:rsidP="0059375B">
            <w:pPr>
              <w:pStyle w:val="ListParagraph"/>
              <w:spacing w:after="0" w:line="240" w:lineRule="auto"/>
              <w:ind w:left="0"/>
              <w:jc w:val="center"/>
              <w:rPr>
                <w:rFonts w:cs="Times New Roman"/>
                <w:b/>
                <w:szCs w:val="20"/>
              </w:rPr>
            </w:pPr>
            <w:r w:rsidRPr="00D93A91">
              <w:rPr>
                <w:rFonts w:cs="Times New Roman"/>
                <w:b/>
                <w:szCs w:val="20"/>
              </w:rPr>
              <w:t>VA (</w:t>
            </w:r>
            <w:r w:rsidR="0059375B" w:rsidRPr="00D93A91">
              <w:rPr>
                <w:rFonts w:cs="Times New Roman"/>
                <w:b/>
                <w:szCs w:val="20"/>
              </w:rPr>
              <w:t>3</w:t>
            </w:r>
            <w:r w:rsidR="00612AE9" w:rsidRPr="00D93A91">
              <w:rPr>
                <w:rFonts w:cs="Times New Roman"/>
                <w:b/>
                <w:szCs w:val="20"/>
              </w:rPr>
              <w:t xml:space="preserve"> </w:t>
            </w:r>
            <w:r w:rsidRPr="00D93A91">
              <w:rPr>
                <w:rFonts w:cs="Times New Roman"/>
                <w:b/>
                <w:szCs w:val="20"/>
              </w:rPr>
              <w:t>months</w:t>
            </w:r>
            <w:r w:rsidR="00DA3ED0" w:rsidRPr="00D93A91">
              <w:rPr>
                <w:rFonts w:cs="Times New Roman"/>
                <w:b/>
                <w:szCs w:val="20"/>
              </w:rPr>
              <w:t xml:space="preserve"> after Separation)</w:t>
            </w:r>
          </w:p>
        </w:tc>
      </w:tr>
      <w:tr w:rsidR="00DA3ED0" w:rsidRPr="00D93A91" w:rsidTr="008878B2">
        <w:trPr>
          <w:trHeight w:val="233"/>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93A91" w:rsidRDefault="00DA3ED0">
            <w:pPr>
              <w:pStyle w:val="ListParagraph"/>
              <w:spacing w:after="0" w:line="240" w:lineRule="auto"/>
              <w:ind w:left="0"/>
              <w:jc w:val="center"/>
              <w:rPr>
                <w:rFonts w:cs="Times New Roman"/>
                <w:b/>
                <w:szCs w:val="20"/>
              </w:rPr>
            </w:pPr>
            <w:r w:rsidRPr="00D93A91">
              <w:rPr>
                <w:rFonts w:cs="Times New Roman"/>
                <w:b/>
                <w:szCs w:val="20"/>
              </w:rPr>
              <w:t>Unfitting Conditions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93A91" w:rsidRDefault="00DA3ED0">
            <w:pPr>
              <w:pStyle w:val="ListParagraph"/>
              <w:spacing w:after="0" w:line="240" w:lineRule="auto"/>
              <w:ind w:left="0"/>
              <w:jc w:val="center"/>
              <w:rPr>
                <w:rFonts w:cs="Times New Roman"/>
                <w:b/>
                <w:szCs w:val="20"/>
              </w:rPr>
            </w:pPr>
            <w:r w:rsidRPr="00D93A91">
              <w:rPr>
                <w:rFonts w:cs="Times New Roman"/>
                <w:b/>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93A91" w:rsidRDefault="00DA3ED0">
            <w:pPr>
              <w:pStyle w:val="ListParagraph"/>
              <w:spacing w:after="0" w:line="240" w:lineRule="auto"/>
              <w:ind w:left="0"/>
              <w:jc w:val="center"/>
              <w:rPr>
                <w:rFonts w:cs="Times New Roman"/>
                <w:b/>
                <w:szCs w:val="20"/>
              </w:rPr>
            </w:pPr>
            <w:r w:rsidRPr="00D93A91">
              <w:rPr>
                <w:rFonts w:cs="Times New Roman"/>
                <w:b/>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93A91" w:rsidRDefault="00DA3ED0">
            <w:pPr>
              <w:pStyle w:val="ListParagraph"/>
              <w:spacing w:after="0" w:line="240" w:lineRule="auto"/>
              <w:ind w:left="0"/>
              <w:jc w:val="center"/>
              <w:rPr>
                <w:rFonts w:cs="Times New Roman"/>
                <w:b/>
                <w:szCs w:val="20"/>
              </w:rPr>
            </w:pPr>
            <w:r w:rsidRPr="00D93A91">
              <w:rPr>
                <w:rFonts w:cs="Times New Roman"/>
                <w:b/>
                <w:szCs w:val="20"/>
              </w:rPr>
              <w:t>Date</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93A91" w:rsidRDefault="00DA3ED0">
            <w:pPr>
              <w:pStyle w:val="ListParagraph"/>
              <w:spacing w:after="0" w:line="240" w:lineRule="auto"/>
              <w:ind w:left="0"/>
              <w:jc w:val="center"/>
              <w:rPr>
                <w:rFonts w:cs="Times New Roman"/>
                <w:b/>
                <w:szCs w:val="20"/>
              </w:rPr>
            </w:pPr>
            <w:r w:rsidRPr="00D93A91">
              <w:rPr>
                <w:rFonts w:cs="Times New Roman"/>
                <w:b/>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93A91" w:rsidRDefault="00DA3ED0">
            <w:pPr>
              <w:pStyle w:val="ListParagraph"/>
              <w:spacing w:after="0" w:line="240" w:lineRule="auto"/>
              <w:ind w:left="0"/>
              <w:jc w:val="center"/>
              <w:rPr>
                <w:rFonts w:cs="Times New Roman"/>
                <w:b/>
                <w:szCs w:val="20"/>
              </w:rPr>
            </w:pPr>
            <w:r w:rsidRPr="00D93A91">
              <w:rPr>
                <w:rFonts w:cs="Times New Roman"/>
                <w:b/>
                <w:szCs w:val="20"/>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93A91" w:rsidRDefault="00DA3ED0">
            <w:pPr>
              <w:pStyle w:val="ListParagraph"/>
              <w:spacing w:after="0" w:line="240" w:lineRule="auto"/>
              <w:ind w:left="0"/>
              <w:jc w:val="center"/>
              <w:rPr>
                <w:rFonts w:cs="Times New Roman"/>
                <w:b/>
                <w:szCs w:val="20"/>
              </w:rPr>
            </w:pPr>
            <w:r w:rsidRPr="00D93A91">
              <w:rPr>
                <w:rFonts w:cs="Times New Roman"/>
                <w:b/>
                <w:szCs w:val="20"/>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93A91" w:rsidRDefault="00DA3ED0">
            <w:pPr>
              <w:pStyle w:val="ListParagraph"/>
              <w:spacing w:after="0" w:line="240" w:lineRule="auto"/>
              <w:ind w:left="0"/>
              <w:jc w:val="center"/>
              <w:rPr>
                <w:rFonts w:cs="Times New Roman"/>
                <w:b/>
                <w:szCs w:val="20"/>
              </w:rPr>
            </w:pPr>
            <w:r w:rsidRPr="00D93A91">
              <w:rPr>
                <w:rFonts w:cs="Times New Roman"/>
                <w:b/>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93A91" w:rsidRDefault="00DA3ED0">
            <w:pPr>
              <w:pStyle w:val="ListParagraph"/>
              <w:spacing w:after="0" w:line="240" w:lineRule="auto"/>
              <w:ind w:left="0"/>
              <w:jc w:val="center"/>
              <w:rPr>
                <w:rFonts w:cs="Times New Roman"/>
                <w:b/>
                <w:szCs w:val="20"/>
              </w:rPr>
            </w:pPr>
            <w:r w:rsidRPr="00D93A91">
              <w:rPr>
                <w:rFonts w:cs="Times New Roman"/>
                <w:b/>
                <w:szCs w:val="20"/>
              </w:rPr>
              <w:t>Effective</w:t>
            </w:r>
          </w:p>
        </w:tc>
      </w:tr>
      <w:tr w:rsidR="00D97C7C" w:rsidRPr="00D93A91" w:rsidTr="00237D06">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7C" w:rsidRPr="00D93A91" w:rsidRDefault="00D97C7C" w:rsidP="00237D06">
            <w:pPr>
              <w:pStyle w:val="ListParagraph"/>
              <w:spacing w:after="0" w:line="240" w:lineRule="exact"/>
              <w:ind w:left="0"/>
              <w:rPr>
                <w:rFonts w:cs="Arial"/>
                <w:color w:val="040404"/>
                <w:sz w:val="20"/>
                <w:szCs w:val="18"/>
              </w:rPr>
            </w:pPr>
            <w:r w:rsidRPr="00D93A91">
              <w:rPr>
                <w:rFonts w:cs="Arial"/>
                <w:color w:val="040404"/>
                <w:sz w:val="20"/>
                <w:szCs w:val="18"/>
              </w:rPr>
              <w:t>Low Back Pain</w:t>
            </w:r>
          </w:p>
          <w:p w:rsidR="00237D06" w:rsidRPr="00D93A91" w:rsidRDefault="00237D06" w:rsidP="00237D06">
            <w:pPr>
              <w:pStyle w:val="ListParagraph"/>
              <w:spacing w:after="0" w:line="240" w:lineRule="exact"/>
              <w:ind w:left="0"/>
              <w:rPr>
                <w:rFonts w:cs="Arial"/>
                <w:color w:val="040404"/>
                <w:sz w:val="20"/>
                <w:szCs w:val="18"/>
              </w:rPr>
            </w:pPr>
          </w:p>
          <w:p w:rsidR="00237D06" w:rsidRPr="00D93A91" w:rsidRDefault="00237D06" w:rsidP="00237D06">
            <w:pPr>
              <w:pStyle w:val="ListParagraph"/>
              <w:spacing w:after="0" w:line="240" w:lineRule="exact"/>
              <w:ind w:left="0"/>
              <w:rPr>
                <w:rFonts w:cs="Arial"/>
                <w:color w:val="040404"/>
                <w:sz w:val="20"/>
                <w:szCs w:val="18"/>
              </w:rPr>
            </w:pPr>
          </w:p>
          <w:p w:rsidR="00237D06" w:rsidRPr="00D93A91" w:rsidRDefault="00237D06" w:rsidP="00237D06">
            <w:pPr>
              <w:autoSpaceDE w:val="0"/>
              <w:autoSpaceDN w:val="0"/>
              <w:adjustRightInd w:val="0"/>
              <w:spacing w:line="240" w:lineRule="exact"/>
              <w:rPr>
                <w:rFonts w:cs="Arial"/>
                <w:color w:val="040404"/>
                <w:sz w:val="20"/>
                <w:szCs w:val="18"/>
              </w:rPr>
            </w:pPr>
          </w:p>
          <w:p w:rsidR="00237D06" w:rsidRPr="00D93A91" w:rsidRDefault="00237D06" w:rsidP="00237D06">
            <w:pPr>
              <w:autoSpaceDE w:val="0"/>
              <w:autoSpaceDN w:val="0"/>
              <w:adjustRightInd w:val="0"/>
              <w:spacing w:line="240" w:lineRule="exact"/>
              <w:rPr>
                <w:color w:val="040404"/>
                <w:sz w:val="20"/>
                <w:szCs w:val="18"/>
              </w:rPr>
            </w:pPr>
            <w:proofErr w:type="spellStart"/>
            <w:r w:rsidRPr="00D93A91">
              <w:rPr>
                <w:color w:val="040404"/>
                <w:sz w:val="20"/>
                <w:szCs w:val="18"/>
              </w:rPr>
              <w:t>Lumbosacral</w:t>
            </w:r>
            <w:proofErr w:type="spellEnd"/>
            <w:r w:rsidRPr="00D93A91">
              <w:rPr>
                <w:color w:val="040404"/>
                <w:sz w:val="20"/>
                <w:szCs w:val="18"/>
              </w:rPr>
              <w:t xml:space="preserve"> </w:t>
            </w:r>
            <w:proofErr w:type="spellStart"/>
            <w:r w:rsidRPr="00D93A91">
              <w:rPr>
                <w:color w:val="040404"/>
                <w:sz w:val="20"/>
                <w:szCs w:val="18"/>
              </w:rPr>
              <w:t>Spondylosis</w:t>
            </w:r>
            <w:proofErr w:type="spellEnd"/>
          </w:p>
          <w:p w:rsidR="00237D06" w:rsidRPr="00D93A91" w:rsidRDefault="00237D06" w:rsidP="00237D06">
            <w:pPr>
              <w:pStyle w:val="ListParagraph"/>
              <w:spacing w:after="0" w:line="240" w:lineRule="exact"/>
              <w:ind w:left="0"/>
              <w:rPr>
                <w:color w:val="040404"/>
                <w:sz w:val="20"/>
                <w:szCs w:val="18"/>
              </w:rPr>
            </w:pPr>
            <w:r w:rsidRPr="00D93A91">
              <w:rPr>
                <w:color w:val="040404"/>
                <w:sz w:val="20"/>
                <w:szCs w:val="18"/>
              </w:rPr>
              <w:t xml:space="preserve">w/o </w:t>
            </w:r>
            <w:proofErr w:type="spellStart"/>
            <w:r w:rsidRPr="00D93A91">
              <w:rPr>
                <w:color w:val="040404"/>
                <w:sz w:val="20"/>
                <w:szCs w:val="18"/>
              </w:rPr>
              <w:t>Myelopathy</w:t>
            </w:r>
            <w:proofErr w:type="spellEnd"/>
            <w:r w:rsidRPr="00D93A91">
              <w:rPr>
                <w:color w:val="040404"/>
                <w:sz w:val="20"/>
                <w:szCs w:val="18"/>
              </w:rPr>
              <w:t xml:space="preserve"> and</w:t>
            </w:r>
          </w:p>
          <w:p w:rsidR="00237D06" w:rsidRPr="00D93A91" w:rsidRDefault="00237D06" w:rsidP="00237D06">
            <w:pPr>
              <w:pStyle w:val="ListParagraph"/>
              <w:spacing w:after="0" w:line="240" w:lineRule="exact"/>
              <w:ind w:left="0"/>
              <w:rPr>
                <w:color w:val="040404"/>
                <w:sz w:val="20"/>
                <w:szCs w:val="18"/>
              </w:rPr>
            </w:pPr>
            <w:r w:rsidRPr="00D93A91">
              <w:rPr>
                <w:color w:val="040404"/>
                <w:sz w:val="20"/>
                <w:szCs w:val="18"/>
              </w:rPr>
              <w:t>Low Back Pain</w:t>
            </w:r>
          </w:p>
          <w:p w:rsidR="00237D06" w:rsidRPr="00D93A91" w:rsidRDefault="00237D06" w:rsidP="00237D06">
            <w:pPr>
              <w:pStyle w:val="ListParagraph"/>
              <w:spacing w:after="0" w:line="240" w:lineRule="exact"/>
              <w:ind w:left="0"/>
              <w:rPr>
                <w:rFonts w:cs="Arial"/>
                <w:color w:val="040404"/>
                <w:sz w:val="20"/>
                <w:szCs w:val="18"/>
              </w:rPr>
            </w:pPr>
          </w:p>
          <w:p w:rsidR="00D97C7C" w:rsidRPr="00D93A91" w:rsidRDefault="00D97C7C" w:rsidP="00237D06">
            <w:pPr>
              <w:autoSpaceDE w:val="0"/>
              <w:autoSpaceDN w:val="0"/>
              <w:adjustRightInd w:val="0"/>
              <w:spacing w:line="240" w:lineRule="exact"/>
              <w:rPr>
                <w:color w:val="040404"/>
                <w:sz w:val="20"/>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06" w:rsidRPr="00D93A91" w:rsidRDefault="00237D06" w:rsidP="00237D06">
            <w:pPr>
              <w:pStyle w:val="ListParagraph"/>
              <w:spacing w:after="0" w:line="240" w:lineRule="exact"/>
              <w:ind w:left="0"/>
              <w:jc w:val="center"/>
              <w:rPr>
                <w:rFonts w:cs="Times New Roman"/>
                <w:sz w:val="18"/>
                <w:szCs w:val="18"/>
              </w:rPr>
            </w:pPr>
            <w:r w:rsidRPr="00D93A91">
              <w:rPr>
                <w:rFonts w:cs="Times New Roman"/>
                <w:sz w:val="18"/>
                <w:szCs w:val="18"/>
              </w:rPr>
              <w:t>LIMDU</w:t>
            </w:r>
          </w:p>
          <w:p w:rsidR="00511F58" w:rsidRPr="00D93A91" w:rsidRDefault="008878B2" w:rsidP="00237D06">
            <w:pPr>
              <w:pStyle w:val="ListParagraph"/>
              <w:spacing w:after="0" w:line="240" w:lineRule="exact"/>
              <w:ind w:left="0"/>
              <w:jc w:val="center"/>
              <w:rPr>
                <w:rFonts w:cs="Times New Roman"/>
                <w:sz w:val="18"/>
                <w:szCs w:val="18"/>
              </w:rPr>
            </w:pPr>
            <w:r w:rsidRPr="00D93A91">
              <w:rPr>
                <w:rFonts w:cs="Times New Roman"/>
                <w:sz w:val="18"/>
                <w:szCs w:val="18"/>
              </w:rPr>
              <w:t>IPEB</w:t>
            </w:r>
          </w:p>
          <w:p w:rsidR="00511F58" w:rsidRPr="00D93A91" w:rsidRDefault="008878B2" w:rsidP="00237D06">
            <w:pPr>
              <w:pStyle w:val="ListParagraph"/>
              <w:spacing w:after="0" w:line="240" w:lineRule="exact"/>
              <w:ind w:left="0"/>
              <w:jc w:val="center"/>
              <w:rPr>
                <w:rFonts w:cs="Times New Roman"/>
                <w:sz w:val="18"/>
                <w:szCs w:val="18"/>
              </w:rPr>
            </w:pPr>
            <w:r w:rsidRPr="00D93A91">
              <w:rPr>
                <w:rFonts w:cs="Times New Roman"/>
                <w:sz w:val="18"/>
                <w:szCs w:val="18"/>
              </w:rPr>
              <w:t>Recon</w:t>
            </w:r>
            <w:r w:rsidR="00BA7592" w:rsidRPr="00D93A91">
              <w:rPr>
                <w:rFonts w:cs="Times New Roman"/>
                <w:sz w:val="18"/>
                <w:szCs w:val="18"/>
              </w:rPr>
              <w:t xml:space="preserve"> </w:t>
            </w:r>
            <w:r w:rsidRPr="00D93A91">
              <w:rPr>
                <w:rFonts w:cs="Times New Roman"/>
                <w:sz w:val="18"/>
                <w:szCs w:val="18"/>
              </w:rPr>
              <w:t>PEB</w:t>
            </w:r>
          </w:p>
          <w:p w:rsidR="00BA7592" w:rsidRPr="00D93A91" w:rsidRDefault="00BA7592" w:rsidP="00237D06">
            <w:pPr>
              <w:pStyle w:val="ListParagraph"/>
              <w:spacing w:after="0" w:line="240" w:lineRule="exact"/>
              <w:ind w:left="0"/>
              <w:jc w:val="center"/>
              <w:rPr>
                <w:rFonts w:cs="Times New Roman"/>
                <w:sz w:val="18"/>
                <w:szCs w:val="18"/>
              </w:rPr>
            </w:pPr>
          </w:p>
          <w:p w:rsidR="00D97C7C" w:rsidRPr="00D93A91" w:rsidRDefault="00D97C7C" w:rsidP="00237D06">
            <w:pPr>
              <w:pStyle w:val="ListParagraph"/>
              <w:spacing w:after="0" w:line="240" w:lineRule="exact"/>
              <w:ind w:left="0"/>
              <w:jc w:val="center"/>
              <w:rPr>
                <w:rFonts w:cs="Times New Roman"/>
                <w:sz w:val="18"/>
                <w:szCs w:val="18"/>
              </w:rPr>
            </w:pPr>
            <w:r w:rsidRPr="00D93A91">
              <w:rPr>
                <w:rFonts w:cs="Times New Roman"/>
                <w:sz w:val="18"/>
                <w:szCs w:val="18"/>
              </w:rPr>
              <w:t>5299</w:t>
            </w:r>
            <w:r w:rsidR="00D93A91">
              <w:rPr>
                <w:rFonts w:cs="Times New Roman"/>
                <w:sz w:val="18"/>
                <w:szCs w:val="18"/>
              </w:rPr>
              <w:t>-</w:t>
            </w:r>
          </w:p>
          <w:p w:rsidR="00D97C7C" w:rsidRPr="00D93A91" w:rsidRDefault="00D97C7C" w:rsidP="00237D06">
            <w:pPr>
              <w:pStyle w:val="ListParagraph"/>
              <w:spacing w:after="0" w:line="240" w:lineRule="exact"/>
              <w:ind w:left="0"/>
              <w:jc w:val="center"/>
              <w:rPr>
                <w:rFonts w:cs="Times New Roman"/>
                <w:sz w:val="18"/>
                <w:szCs w:val="18"/>
              </w:rPr>
            </w:pPr>
            <w:r w:rsidRPr="00D93A91">
              <w:rPr>
                <w:rFonts w:cs="Times New Roman"/>
                <w:sz w:val="18"/>
                <w:szCs w:val="18"/>
              </w:rPr>
              <w:t>5237</w:t>
            </w:r>
          </w:p>
          <w:p w:rsidR="00D97C7C" w:rsidRPr="00D93A91" w:rsidRDefault="00D97C7C" w:rsidP="00237D0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06" w:rsidRPr="00D93A91" w:rsidRDefault="00237D06" w:rsidP="00237D06">
            <w:pPr>
              <w:pStyle w:val="ListParagraph"/>
              <w:spacing w:after="0" w:line="240" w:lineRule="exact"/>
              <w:ind w:left="0"/>
              <w:jc w:val="center"/>
              <w:rPr>
                <w:rFonts w:cs="Times New Roman"/>
                <w:sz w:val="18"/>
                <w:szCs w:val="18"/>
              </w:rPr>
            </w:pPr>
            <w:r w:rsidRPr="00D93A91">
              <w:rPr>
                <w:rFonts w:cs="Times New Roman"/>
                <w:sz w:val="18"/>
                <w:szCs w:val="18"/>
              </w:rPr>
              <w:t>LIMDU</w:t>
            </w:r>
          </w:p>
          <w:p w:rsidR="00511F58" w:rsidRPr="00D93A91" w:rsidRDefault="00511F58" w:rsidP="00237D06">
            <w:pPr>
              <w:pStyle w:val="ListParagraph"/>
              <w:spacing w:after="0" w:line="240" w:lineRule="exact"/>
              <w:ind w:left="0"/>
              <w:jc w:val="center"/>
              <w:rPr>
                <w:rFonts w:cs="Times New Roman"/>
                <w:sz w:val="18"/>
                <w:szCs w:val="18"/>
              </w:rPr>
            </w:pPr>
            <w:r w:rsidRPr="00D93A91">
              <w:rPr>
                <w:rFonts w:cs="Times New Roman"/>
                <w:sz w:val="18"/>
                <w:szCs w:val="18"/>
              </w:rPr>
              <w:t>Fit</w:t>
            </w:r>
          </w:p>
          <w:p w:rsidR="00511F58" w:rsidRPr="00D93A91" w:rsidRDefault="008878B2" w:rsidP="00237D06">
            <w:pPr>
              <w:pStyle w:val="ListParagraph"/>
              <w:spacing w:after="0" w:line="240" w:lineRule="exact"/>
              <w:ind w:left="0"/>
              <w:jc w:val="center"/>
              <w:rPr>
                <w:rFonts w:cs="Times New Roman"/>
                <w:sz w:val="18"/>
                <w:szCs w:val="18"/>
              </w:rPr>
            </w:pPr>
            <w:r w:rsidRPr="00D93A91">
              <w:rPr>
                <w:rFonts w:cs="Times New Roman"/>
                <w:sz w:val="18"/>
                <w:szCs w:val="18"/>
              </w:rPr>
              <w:t>Fit</w:t>
            </w:r>
          </w:p>
          <w:p w:rsidR="00BA7592" w:rsidRPr="00D93A91" w:rsidRDefault="00BA7592" w:rsidP="00237D06">
            <w:pPr>
              <w:pStyle w:val="ListParagraph"/>
              <w:spacing w:after="0" w:line="240" w:lineRule="exact"/>
              <w:ind w:left="0"/>
              <w:jc w:val="center"/>
              <w:rPr>
                <w:rFonts w:cs="Times New Roman"/>
                <w:sz w:val="18"/>
                <w:szCs w:val="18"/>
              </w:rPr>
            </w:pPr>
          </w:p>
          <w:p w:rsidR="00D97C7C" w:rsidRPr="00D93A91" w:rsidRDefault="00D97C7C" w:rsidP="00237D06">
            <w:pPr>
              <w:pStyle w:val="ListParagraph"/>
              <w:spacing w:after="0" w:line="240" w:lineRule="exact"/>
              <w:ind w:left="0"/>
              <w:jc w:val="center"/>
              <w:rPr>
                <w:rFonts w:cs="Times New Roman"/>
                <w:sz w:val="18"/>
                <w:szCs w:val="18"/>
              </w:rPr>
            </w:pPr>
            <w:r w:rsidRPr="00D93A91">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511F58" w:rsidRPr="00D93A91" w:rsidRDefault="00237D06" w:rsidP="00237D06">
            <w:pPr>
              <w:pStyle w:val="ListParagraph"/>
              <w:spacing w:after="0" w:line="240" w:lineRule="exact"/>
              <w:ind w:left="0"/>
              <w:jc w:val="center"/>
              <w:rPr>
                <w:rFonts w:cs="Times New Roman"/>
                <w:sz w:val="18"/>
                <w:szCs w:val="18"/>
              </w:rPr>
            </w:pPr>
            <w:r w:rsidRPr="00D93A91">
              <w:rPr>
                <w:rFonts w:cs="Times New Roman"/>
                <w:sz w:val="18"/>
                <w:szCs w:val="18"/>
              </w:rPr>
              <w:t>20011016</w:t>
            </w:r>
            <w:r w:rsidR="00511F58" w:rsidRPr="00D93A91">
              <w:rPr>
                <w:rFonts w:cs="Times New Roman"/>
                <w:sz w:val="18"/>
                <w:szCs w:val="18"/>
              </w:rPr>
              <w:t>2004060</w:t>
            </w:r>
            <w:r w:rsidR="00BA7592" w:rsidRPr="00D93A91">
              <w:rPr>
                <w:rFonts w:cs="Times New Roman"/>
                <w:sz w:val="18"/>
                <w:szCs w:val="18"/>
              </w:rPr>
              <w:t>8</w:t>
            </w:r>
          </w:p>
          <w:p w:rsidR="00511F58" w:rsidRPr="00D93A91" w:rsidRDefault="008878B2" w:rsidP="00237D06">
            <w:pPr>
              <w:pStyle w:val="ListParagraph"/>
              <w:spacing w:after="0" w:line="240" w:lineRule="exact"/>
              <w:ind w:left="0"/>
              <w:jc w:val="center"/>
              <w:rPr>
                <w:rFonts w:cs="Times New Roman"/>
                <w:sz w:val="18"/>
                <w:szCs w:val="18"/>
              </w:rPr>
            </w:pPr>
            <w:r w:rsidRPr="00D93A91">
              <w:rPr>
                <w:rFonts w:cs="Times New Roman"/>
                <w:sz w:val="18"/>
                <w:szCs w:val="18"/>
              </w:rPr>
              <w:t>2004070</w:t>
            </w:r>
            <w:r w:rsidR="00BA7592" w:rsidRPr="00D93A91">
              <w:rPr>
                <w:rFonts w:cs="Times New Roman"/>
                <w:sz w:val="18"/>
                <w:szCs w:val="18"/>
              </w:rPr>
              <w:t>8</w:t>
            </w:r>
          </w:p>
          <w:p w:rsidR="00BA7592" w:rsidRPr="00D93A91" w:rsidRDefault="00BA7592" w:rsidP="00237D06">
            <w:pPr>
              <w:pStyle w:val="ListParagraph"/>
              <w:spacing w:after="0" w:line="240" w:lineRule="exact"/>
              <w:ind w:left="0"/>
              <w:jc w:val="center"/>
              <w:rPr>
                <w:rFonts w:cs="Times New Roman"/>
                <w:sz w:val="18"/>
                <w:szCs w:val="18"/>
              </w:rPr>
            </w:pPr>
          </w:p>
          <w:p w:rsidR="00D97C7C" w:rsidRPr="00D93A91" w:rsidRDefault="00D97C7C" w:rsidP="00237D06">
            <w:pPr>
              <w:pStyle w:val="ListParagraph"/>
              <w:spacing w:after="0" w:line="240" w:lineRule="exact"/>
              <w:ind w:left="0"/>
              <w:jc w:val="center"/>
              <w:rPr>
                <w:rFonts w:cs="Times New Roman"/>
                <w:sz w:val="18"/>
                <w:szCs w:val="18"/>
              </w:rPr>
            </w:pPr>
            <w:r w:rsidRPr="00D93A91">
              <w:rPr>
                <w:rFonts w:cs="Times New Roman"/>
                <w:sz w:val="18"/>
                <w:szCs w:val="18"/>
              </w:rPr>
              <w:t>20040</w:t>
            </w:r>
            <w:r w:rsidR="008878B2" w:rsidRPr="00D93A91">
              <w:rPr>
                <w:rFonts w:cs="Times New Roman"/>
                <w:sz w:val="18"/>
                <w:szCs w:val="18"/>
              </w:rPr>
              <w:t>8</w:t>
            </w:r>
            <w:r w:rsidRPr="00D93A91">
              <w:rPr>
                <w:rFonts w:cs="Times New Roman"/>
                <w:sz w:val="18"/>
                <w:szCs w:val="18"/>
              </w:rPr>
              <w:t>24</w:t>
            </w:r>
          </w:p>
        </w:tc>
        <w:tc>
          <w:tcPr>
            <w:tcW w:w="2430" w:type="dxa"/>
            <w:vMerge w:val="restart"/>
            <w:tcBorders>
              <w:top w:val="single" w:sz="4" w:space="0" w:color="000000" w:themeColor="text1"/>
              <w:left w:val="thinThickThinSmallGap" w:sz="24" w:space="0" w:color="000000" w:themeColor="text1"/>
              <w:right w:val="single" w:sz="4" w:space="0" w:color="000000" w:themeColor="text1"/>
            </w:tcBorders>
            <w:hideMark/>
          </w:tcPr>
          <w:p w:rsidR="00D97C7C" w:rsidRPr="00D93A91" w:rsidRDefault="00D97C7C" w:rsidP="008812DD">
            <w:pPr>
              <w:autoSpaceDE w:val="0"/>
              <w:autoSpaceDN w:val="0"/>
              <w:adjustRightInd w:val="0"/>
              <w:rPr>
                <w:color w:val="auto"/>
                <w:sz w:val="20"/>
                <w:szCs w:val="18"/>
              </w:rPr>
            </w:pPr>
            <w:r w:rsidRPr="00D93A91">
              <w:rPr>
                <w:color w:val="auto"/>
                <w:sz w:val="20"/>
                <w:szCs w:val="18"/>
              </w:rPr>
              <w:t xml:space="preserve">Status Post </w:t>
            </w:r>
            <w:proofErr w:type="spellStart"/>
            <w:r w:rsidRPr="00D93A91">
              <w:rPr>
                <w:color w:val="auto"/>
                <w:sz w:val="20"/>
                <w:szCs w:val="18"/>
              </w:rPr>
              <w:t>Laminectomy</w:t>
            </w:r>
            <w:proofErr w:type="spellEnd"/>
            <w:r w:rsidRPr="00D93A91">
              <w:rPr>
                <w:color w:val="auto"/>
                <w:sz w:val="20"/>
                <w:szCs w:val="18"/>
              </w:rPr>
              <w:t xml:space="preserve"> </w:t>
            </w:r>
            <w:r w:rsidR="00F113C3" w:rsidRPr="00D93A91">
              <w:rPr>
                <w:color w:val="auto"/>
                <w:sz w:val="20"/>
                <w:szCs w:val="18"/>
              </w:rPr>
              <w:t>w</w:t>
            </w:r>
            <w:r w:rsidRPr="00D93A91">
              <w:rPr>
                <w:color w:val="auto"/>
                <w:sz w:val="20"/>
                <w:szCs w:val="18"/>
              </w:rPr>
              <w:t xml:space="preserve">ith Residual Scarring  </w:t>
            </w:r>
          </w:p>
          <w:p w:rsidR="00D97C7C" w:rsidRPr="00D93A91" w:rsidRDefault="00D97C7C" w:rsidP="008812DD">
            <w:pPr>
              <w:autoSpaceDE w:val="0"/>
              <w:autoSpaceDN w:val="0"/>
              <w:adjustRightInd w:val="0"/>
              <w:rPr>
                <w:color w:val="auto"/>
                <w:sz w:val="20"/>
                <w:szCs w:val="18"/>
              </w:rPr>
            </w:pPr>
            <w:r w:rsidRPr="00D93A91">
              <w:rPr>
                <w:color w:val="auto"/>
                <w:sz w:val="20"/>
                <w:szCs w:val="18"/>
              </w:rPr>
              <w:t xml:space="preserve">Intermittent Sciatica </w:t>
            </w:r>
            <w:r w:rsidR="00F113C3" w:rsidRPr="00D93A91">
              <w:rPr>
                <w:color w:val="auto"/>
                <w:sz w:val="20"/>
                <w:szCs w:val="18"/>
              </w:rPr>
              <w:t>w</w:t>
            </w:r>
            <w:r w:rsidRPr="00D93A91">
              <w:rPr>
                <w:color w:val="auto"/>
                <w:sz w:val="20"/>
                <w:szCs w:val="18"/>
              </w:rPr>
              <w:t xml:space="preserve">ith Lumbar Strain (Claimed </w:t>
            </w:r>
            <w:r w:rsidR="00F113C3" w:rsidRPr="00D93A91">
              <w:rPr>
                <w:color w:val="auto"/>
                <w:sz w:val="20"/>
                <w:szCs w:val="18"/>
              </w:rPr>
              <w:t>a</w:t>
            </w:r>
            <w:r w:rsidRPr="00D93A91">
              <w:rPr>
                <w:color w:val="auto"/>
                <w:sz w:val="20"/>
                <w:szCs w:val="18"/>
              </w:rPr>
              <w:t>s</w:t>
            </w:r>
          </w:p>
          <w:p w:rsidR="00D97C7C" w:rsidRPr="00D93A91" w:rsidRDefault="00D97C7C" w:rsidP="0065514F">
            <w:pPr>
              <w:autoSpaceDE w:val="0"/>
              <w:autoSpaceDN w:val="0"/>
              <w:adjustRightInd w:val="0"/>
              <w:rPr>
                <w:color w:val="auto"/>
                <w:sz w:val="20"/>
                <w:szCs w:val="18"/>
              </w:rPr>
            </w:pPr>
            <w:r w:rsidRPr="00D93A91">
              <w:rPr>
                <w:color w:val="auto"/>
                <w:sz w:val="20"/>
                <w:szCs w:val="18"/>
              </w:rPr>
              <w:t xml:space="preserve">Low Back Pain </w:t>
            </w:r>
            <w:r w:rsidR="00F113C3" w:rsidRPr="00D93A91">
              <w:rPr>
                <w:color w:val="auto"/>
                <w:sz w:val="20"/>
                <w:szCs w:val="18"/>
              </w:rPr>
              <w:t>w</w:t>
            </w:r>
            <w:r w:rsidRPr="00D93A91">
              <w:rPr>
                <w:color w:val="auto"/>
                <w:sz w:val="20"/>
                <w:szCs w:val="18"/>
              </w:rPr>
              <w:t xml:space="preserve">ith </w:t>
            </w:r>
            <w:r w:rsidR="0065514F" w:rsidRPr="00D93A91">
              <w:rPr>
                <w:color w:val="auto"/>
                <w:sz w:val="20"/>
                <w:szCs w:val="18"/>
              </w:rPr>
              <w:t>R</w:t>
            </w:r>
            <w:r w:rsidRPr="00D93A91">
              <w:rPr>
                <w:color w:val="auto"/>
                <w:sz w:val="20"/>
                <w:szCs w:val="18"/>
              </w:rPr>
              <w:t xml:space="preserve">adiating Pain </w:t>
            </w:r>
            <w:r w:rsidR="00F113C3" w:rsidRPr="00D93A91">
              <w:rPr>
                <w:color w:val="auto"/>
                <w:sz w:val="20"/>
                <w:szCs w:val="18"/>
              </w:rPr>
              <w:t>i</w:t>
            </w:r>
            <w:r w:rsidRPr="00D93A91">
              <w:rPr>
                <w:color w:val="auto"/>
                <w:sz w:val="20"/>
                <w:szCs w:val="18"/>
              </w:rPr>
              <w:t xml:space="preserve">nto Legs </w:t>
            </w:r>
            <w:r w:rsidR="00F113C3" w:rsidRPr="00D93A91">
              <w:rPr>
                <w:color w:val="auto"/>
                <w:sz w:val="20"/>
                <w:szCs w:val="18"/>
              </w:rPr>
              <w:t>a</w:t>
            </w:r>
            <w:r w:rsidRPr="00D93A91">
              <w:rPr>
                <w:color w:val="auto"/>
                <w:sz w:val="20"/>
                <w:szCs w:val="18"/>
              </w:rPr>
              <w:t>nd Painful</w:t>
            </w:r>
            <w:r w:rsidR="0065514F" w:rsidRPr="00D93A91">
              <w:rPr>
                <w:color w:val="auto"/>
                <w:sz w:val="20"/>
                <w:szCs w:val="18"/>
              </w:rPr>
              <w:t xml:space="preserve"> </w:t>
            </w:r>
            <w:r w:rsidRPr="00D93A91">
              <w:rPr>
                <w:color w:val="auto"/>
                <w:sz w:val="20"/>
                <w:szCs w:val="18"/>
              </w:rPr>
              <w:t xml:space="preserve">Scars </w:t>
            </w:r>
            <w:r w:rsidR="00F113C3" w:rsidRPr="00D93A91">
              <w:rPr>
                <w:color w:val="auto"/>
                <w:sz w:val="20"/>
                <w:szCs w:val="18"/>
              </w:rPr>
              <w:t>o</w:t>
            </w:r>
            <w:r w:rsidRPr="00D93A91">
              <w:rPr>
                <w:color w:val="auto"/>
                <w:sz w:val="20"/>
                <w:szCs w:val="18"/>
              </w:rPr>
              <w:t>n Back)</w:t>
            </w:r>
          </w:p>
          <w:p w:rsidR="0065514F" w:rsidRPr="00D93A91" w:rsidRDefault="0065514F" w:rsidP="0065514F">
            <w:pPr>
              <w:autoSpaceDE w:val="0"/>
              <w:autoSpaceDN w:val="0"/>
              <w:adjustRightInd w:val="0"/>
              <w:rPr>
                <w:b/>
                <w:color w:val="auto"/>
                <w:sz w:val="20"/>
                <w:szCs w:val="18"/>
              </w:rPr>
            </w:pPr>
            <w:r w:rsidRPr="00D93A91">
              <w:rPr>
                <w:b/>
                <w:color w:val="auto"/>
                <w:sz w:val="20"/>
                <w:szCs w:val="18"/>
              </w:rPr>
              <w:t>Then</w:t>
            </w:r>
          </w:p>
          <w:p w:rsidR="0065514F" w:rsidRPr="00D93A91" w:rsidRDefault="0065514F" w:rsidP="0065514F">
            <w:pPr>
              <w:autoSpaceDE w:val="0"/>
              <w:autoSpaceDN w:val="0"/>
              <w:adjustRightInd w:val="0"/>
              <w:rPr>
                <w:sz w:val="18"/>
                <w:szCs w:val="18"/>
              </w:rPr>
            </w:pPr>
            <w:r w:rsidRPr="00D93A91">
              <w:rPr>
                <w:color w:val="auto"/>
                <w:sz w:val="20"/>
                <w:szCs w:val="18"/>
              </w:rPr>
              <w:t xml:space="preserve">Lumbar Strain with Postoperative </w:t>
            </w:r>
            <w:proofErr w:type="spellStart"/>
            <w:r w:rsidRPr="00D93A91">
              <w:rPr>
                <w:color w:val="auto"/>
                <w:sz w:val="20"/>
                <w:szCs w:val="18"/>
              </w:rPr>
              <w:t>Intervertebral</w:t>
            </w:r>
            <w:proofErr w:type="spellEnd"/>
            <w:r w:rsidRPr="00D93A91">
              <w:rPr>
                <w:color w:val="auto"/>
                <w:sz w:val="20"/>
                <w:szCs w:val="18"/>
              </w:rPr>
              <w:t xml:space="preserve"> Disc Syndrome</w:t>
            </w:r>
          </w:p>
        </w:tc>
        <w:tc>
          <w:tcPr>
            <w:tcW w:w="720" w:type="dxa"/>
            <w:vMerge w:val="restart"/>
            <w:tcBorders>
              <w:top w:val="single" w:sz="4" w:space="0" w:color="000000" w:themeColor="text1"/>
              <w:left w:val="single" w:sz="4" w:space="0" w:color="000000" w:themeColor="text1"/>
              <w:right w:val="single" w:sz="4" w:space="0" w:color="000000" w:themeColor="text1"/>
            </w:tcBorders>
            <w:hideMark/>
          </w:tcPr>
          <w:p w:rsidR="00D97C7C" w:rsidRPr="00D93A91" w:rsidRDefault="00D97C7C" w:rsidP="0065514F">
            <w:pPr>
              <w:pStyle w:val="ListParagraph"/>
              <w:ind w:left="0"/>
              <w:jc w:val="center"/>
              <w:rPr>
                <w:rFonts w:cs="Times New Roman"/>
                <w:sz w:val="18"/>
                <w:szCs w:val="18"/>
              </w:rPr>
            </w:pPr>
            <w:r w:rsidRPr="00D93A91">
              <w:rPr>
                <w:rFonts w:cs="Times New Roman"/>
                <w:sz w:val="18"/>
                <w:szCs w:val="18"/>
              </w:rPr>
              <w:t>5242</w:t>
            </w: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r w:rsidRPr="00D93A91">
              <w:rPr>
                <w:rFonts w:cs="Times New Roman"/>
                <w:sz w:val="18"/>
                <w:szCs w:val="18"/>
              </w:rPr>
              <w:t>5237-5243</w:t>
            </w:r>
          </w:p>
        </w:tc>
        <w:tc>
          <w:tcPr>
            <w:tcW w:w="900" w:type="dxa"/>
            <w:vMerge w:val="restart"/>
            <w:tcBorders>
              <w:top w:val="single" w:sz="4" w:space="0" w:color="000000" w:themeColor="text1"/>
              <w:left w:val="single" w:sz="4" w:space="0" w:color="000000" w:themeColor="text1"/>
              <w:right w:val="single" w:sz="4" w:space="0" w:color="000000" w:themeColor="text1"/>
            </w:tcBorders>
            <w:hideMark/>
          </w:tcPr>
          <w:p w:rsidR="00D97C7C" w:rsidRPr="00D93A91" w:rsidRDefault="00D97C7C" w:rsidP="0065514F">
            <w:pPr>
              <w:pStyle w:val="ListParagraph"/>
              <w:ind w:left="0"/>
              <w:jc w:val="center"/>
              <w:rPr>
                <w:rFonts w:cs="Times New Roman"/>
                <w:sz w:val="18"/>
                <w:szCs w:val="18"/>
              </w:rPr>
            </w:pPr>
            <w:r w:rsidRPr="00D93A91">
              <w:rPr>
                <w:rFonts w:cs="Times New Roman"/>
                <w:sz w:val="18"/>
                <w:szCs w:val="18"/>
              </w:rPr>
              <w:t>10%</w:t>
            </w: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r w:rsidRPr="00D93A91">
              <w:rPr>
                <w:rFonts w:cs="Times New Roman"/>
                <w:sz w:val="18"/>
                <w:szCs w:val="18"/>
              </w:rPr>
              <w:t>10%</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D97C7C" w:rsidRPr="00D93A91" w:rsidRDefault="00D97C7C" w:rsidP="0065514F">
            <w:pPr>
              <w:pStyle w:val="ListParagraph"/>
              <w:spacing w:after="0" w:line="240" w:lineRule="auto"/>
              <w:ind w:left="0"/>
              <w:jc w:val="center"/>
              <w:rPr>
                <w:rFonts w:cs="Times New Roman"/>
                <w:sz w:val="18"/>
                <w:szCs w:val="18"/>
              </w:rPr>
            </w:pPr>
            <w:r w:rsidRPr="00D93A91">
              <w:rPr>
                <w:rFonts w:cs="Times New Roman"/>
                <w:sz w:val="18"/>
                <w:szCs w:val="18"/>
              </w:rPr>
              <w:t>20050510</w:t>
            </w: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D97C7C" w:rsidRPr="00D93A91" w:rsidRDefault="0065514F" w:rsidP="002D5BE9">
            <w:pPr>
              <w:pStyle w:val="ListParagraph"/>
              <w:ind w:left="0"/>
              <w:jc w:val="center"/>
              <w:rPr>
                <w:rFonts w:cs="Times New Roman"/>
                <w:sz w:val="18"/>
                <w:szCs w:val="18"/>
              </w:rPr>
            </w:pPr>
            <w:r w:rsidRPr="00D93A91">
              <w:rPr>
                <w:rFonts w:cs="Times New Roman"/>
                <w:sz w:val="18"/>
                <w:szCs w:val="18"/>
              </w:rPr>
              <w:t>20070</w:t>
            </w:r>
            <w:r w:rsidR="002D5BE9" w:rsidRPr="00D93A91">
              <w:rPr>
                <w:rFonts w:cs="Times New Roman"/>
                <w:sz w:val="18"/>
                <w:szCs w:val="18"/>
              </w:rPr>
              <w:t>1</w:t>
            </w:r>
            <w:r w:rsidRPr="00D93A91">
              <w:rPr>
                <w:rFonts w:cs="Times New Roman"/>
                <w:sz w:val="18"/>
                <w:szCs w:val="18"/>
              </w:rPr>
              <w:t>20</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D97C7C" w:rsidRPr="00D93A91" w:rsidRDefault="00D97C7C" w:rsidP="0065514F">
            <w:pPr>
              <w:pStyle w:val="ListParagraph"/>
              <w:ind w:left="0"/>
              <w:jc w:val="center"/>
              <w:rPr>
                <w:rFonts w:cs="Times New Roman"/>
                <w:sz w:val="18"/>
                <w:szCs w:val="18"/>
              </w:rPr>
            </w:pPr>
            <w:r w:rsidRPr="00D93A91">
              <w:rPr>
                <w:rFonts w:cs="Times New Roman"/>
                <w:sz w:val="18"/>
                <w:szCs w:val="18"/>
              </w:rPr>
              <w:t>20050201</w:t>
            </w: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p>
          <w:p w:rsidR="0065514F" w:rsidRPr="00D93A91" w:rsidRDefault="0065514F" w:rsidP="0065514F">
            <w:pPr>
              <w:pStyle w:val="ListParagraph"/>
              <w:ind w:left="0"/>
              <w:jc w:val="center"/>
              <w:rPr>
                <w:rFonts w:cs="Times New Roman"/>
                <w:sz w:val="18"/>
                <w:szCs w:val="18"/>
              </w:rPr>
            </w:pPr>
            <w:r w:rsidRPr="00D93A91">
              <w:rPr>
                <w:rFonts w:cs="Times New Roman"/>
                <w:sz w:val="18"/>
                <w:szCs w:val="18"/>
              </w:rPr>
              <w:t>20061103</w:t>
            </w:r>
          </w:p>
        </w:tc>
      </w:tr>
      <w:tr w:rsidR="00237D06" w:rsidRPr="00D93A91" w:rsidTr="008878B2">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06" w:rsidRPr="00D93A91" w:rsidRDefault="00237D06" w:rsidP="0073527A">
            <w:pPr>
              <w:autoSpaceDE w:val="0"/>
              <w:autoSpaceDN w:val="0"/>
              <w:adjustRightInd w:val="0"/>
              <w:rPr>
                <w:color w:val="040404"/>
                <w:sz w:val="20"/>
                <w:szCs w:val="18"/>
              </w:rPr>
            </w:pPr>
            <w:r w:rsidRPr="00D93A91">
              <w:rPr>
                <w:color w:val="040404"/>
                <w:sz w:val="20"/>
                <w:szCs w:val="18"/>
              </w:rPr>
              <w:t xml:space="preserve">Acquired Spinal </w:t>
            </w:r>
            <w:proofErr w:type="spellStart"/>
            <w:r w:rsidRPr="00D93A91">
              <w:rPr>
                <w:color w:val="040404"/>
                <w:sz w:val="20"/>
                <w:szCs w:val="18"/>
              </w:rPr>
              <w:t>Stenosis</w:t>
            </w:r>
            <w:proofErr w:type="spellEnd"/>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r w:rsidRPr="00D93A91">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c>
          <w:tcPr>
            <w:tcW w:w="2430" w:type="dxa"/>
            <w:vMerge/>
            <w:tcBorders>
              <w:left w:val="thinThickThinSmallGap" w:sz="24" w:space="0" w:color="000000" w:themeColor="text1"/>
              <w:bottom w:val="single" w:sz="4" w:space="0" w:color="000000" w:themeColor="text1"/>
              <w:right w:val="single" w:sz="4" w:space="0" w:color="000000" w:themeColor="text1"/>
            </w:tcBorders>
            <w:hideMark/>
          </w:tcPr>
          <w:p w:rsidR="00237D06" w:rsidRPr="00D93A91" w:rsidRDefault="00237D06" w:rsidP="008812DD">
            <w:pPr>
              <w:pStyle w:val="ListParagraph"/>
              <w:spacing w:after="0" w:line="240" w:lineRule="auto"/>
              <w:ind w:left="0"/>
              <w:rPr>
                <w:rFonts w:cs="Times New Roman"/>
                <w:sz w:val="18"/>
                <w:szCs w:val="18"/>
              </w:rPr>
            </w:pPr>
          </w:p>
        </w:tc>
        <w:tc>
          <w:tcPr>
            <w:tcW w:w="720" w:type="dxa"/>
            <w:vMerge/>
            <w:tcBorders>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c>
          <w:tcPr>
            <w:tcW w:w="900" w:type="dxa"/>
            <w:vMerge/>
            <w:tcBorders>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r>
      <w:tr w:rsidR="00237D06" w:rsidRPr="00D93A91" w:rsidTr="008878B2">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06" w:rsidRPr="00D93A91" w:rsidRDefault="00237D06" w:rsidP="00237D06">
            <w:pPr>
              <w:pStyle w:val="ListParagraph"/>
              <w:spacing w:after="0" w:line="240" w:lineRule="auto"/>
              <w:ind w:left="0"/>
              <w:rPr>
                <w:color w:val="040404"/>
                <w:sz w:val="20"/>
                <w:szCs w:val="18"/>
              </w:rPr>
            </w:pPr>
            <w:proofErr w:type="spellStart"/>
            <w:r w:rsidRPr="00D93A91">
              <w:rPr>
                <w:color w:val="040404"/>
                <w:sz w:val="20"/>
                <w:szCs w:val="18"/>
              </w:rPr>
              <w:t>Lumbosacral</w:t>
            </w:r>
            <w:proofErr w:type="spellEnd"/>
            <w:r w:rsidRPr="00D93A91">
              <w:rPr>
                <w:color w:val="040404"/>
                <w:sz w:val="20"/>
                <w:szCs w:val="18"/>
              </w:rPr>
              <w:t xml:space="preserve"> Osteoarthritis</w:t>
            </w:r>
          </w:p>
          <w:p w:rsidR="00237D06" w:rsidRPr="00D93A91" w:rsidRDefault="00237D06" w:rsidP="0073527A">
            <w:pPr>
              <w:autoSpaceDE w:val="0"/>
              <w:autoSpaceDN w:val="0"/>
              <w:adjustRightInd w:val="0"/>
              <w:rPr>
                <w:color w:val="040404"/>
                <w:sz w:val="20"/>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r w:rsidRPr="00D93A91">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c>
          <w:tcPr>
            <w:tcW w:w="2430" w:type="dxa"/>
            <w:vMerge/>
            <w:tcBorders>
              <w:left w:val="thinThickThinSmallGap" w:sz="24" w:space="0" w:color="000000" w:themeColor="text1"/>
              <w:bottom w:val="single" w:sz="4" w:space="0" w:color="000000" w:themeColor="text1"/>
              <w:right w:val="single" w:sz="4" w:space="0" w:color="000000" w:themeColor="text1"/>
            </w:tcBorders>
            <w:hideMark/>
          </w:tcPr>
          <w:p w:rsidR="00237D06" w:rsidRPr="00D93A91" w:rsidRDefault="00237D06" w:rsidP="008812DD">
            <w:pPr>
              <w:pStyle w:val="ListParagraph"/>
              <w:spacing w:after="0" w:line="240" w:lineRule="auto"/>
              <w:ind w:left="0"/>
              <w:rPr>
                <w:rFonts w:cs="Times New Roman"/>
                <w:sz w:val="18"/>
                <w:szCs w:val="18"/>
              </w:rPr>
            </w:pPr>
          </w:p>
        </w:tc>
        <w:tc>
          <w:tcPr>
            <w:tcW w:w="720" w:type="dxa"/>
            <w:vMerge/>
            <w:tcBorders>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c>
          <w:tcPr>
            <w:tcW w:w="900" w:type="dxa"/>
            <w:vMerge/>
            <w:tcBorders>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237D06" w:rsidRPr="00D93A91" w:rsidRDefault="00237D06" w:rsidP="00497240">
            <w:pPr>
              <w:pStyle w:val="ListParagraph"/>
              <w:spacing w:after="0" w:line="240" w:lineRule="auto"/>
              <w:ind w:left="0"/>
              <w:jc w:val="center"/>
              <w:rPr>
                <w:rFonts w:cs="Times New Roman"/>
                <w:sz w:val="18"/>
                <w:szCs w:val="18"/>
              </w:rPr>
            </w:pPr>
          </w:p>
        </w:tc>
      </w:tr>
      <w:tr w:rsidR="00D97C7C" w:rsidRPr="00D93A91" w:rsidTr="008878B2">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7C" w:rsidRPr="00D93A91" w:rsidRDefault="00D97C7C" w:rsidP="00DE326E">
            <w:pPr>
              <w:pStyle w:val="ListParagraph"/>
              <w:spacing w:after="0" w:line="240" w:lineRule="auto"/>
              <w:ind w:left="0"/>
              <w:rPr>
                <w:rFonts w:cs="Times New Roman"/>
                <w:sz w:val="20"/>
                <w:szCs w:val="18"/>
              </w:rPr>
            </w:pPr>
            <w:r w:rsidRPr="00D93A91">
              <w:rPr>
                <w:color w:val="040404"/>
                <w:sz w:val="20"/>
                <w:szCs w:val="18"/>
              </w:rPr>
              <w:t>Disc Disease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7C" w:rsidRPr="00D93A91" w:rsidRDefault="00237D06" w:rsidP="00497240">
            <w:pPr>
              <w:pStyle w:val="ListParagraph"/>
              <w:spacing w:after="0" w:line="240" w:lineRule="auto"/>
              <w:ind w:left="0"/>
              <w:jc w:val="center"/>
              <w:rPr>
                <w:rFonts w:cs="Times New Roman"/>
                <w:sz w:val="18"/>
                <w:szCs w:val="18"/>
              </w:rPr>
            </w:pPr>
            <w:r w:rsidRPr="00D93A91">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C7C" w:rsidRPr="00D93A91" w:rsidRDefault="00D97C7C" w:rsidP="00497240">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97C7C" w:rsidRPr="00D93A91" w:rsidRDefault="00D97C7C" w:rsidP="00497240">
            <w:pPr>
              <w:pStyle w:val="ListParagraph"/>
              <w:spacing w:after="0" w:line="240" w:lineRule="auto"/>
              <w:ind w:left="0"/>
              <w:jc w:val="center"/>
              <w:rPr>
                <w:rFonts w:cs="Times New Roman"/>
                <w:sz w:val="18"/>
                <w:szCs w:val="18"/>
              </w:rPr>
            </w:pPr>
          </w:p>
        </w:tc>
        <w:tc>
          <w:tcPr>
            <w:tcW w:w="2430" w:type="dxa"/>
            <w:vMerge/>
            <w:tcBorders>
              <w:left w:val="thinThickThinSmallGap" w:sz="24" w:space="0" w:color="000000" w:themeColor="text1"/>
              <w:bottom w:val="single" w:sz="4" w:space="0" w:color="000000" w:themeColor="text1"/>
              <w:right w:val="single" w:sz="4" w:space="0" w:color="000000" w:themeColor="text1"/>
            </w:tcBorders>
            <w:hideMark/>
          </w:tcPr>
          <w:p w:rsidR="00D97C7C" w:rsidRPr="00D93A91" w:rsidRDefault="00D97C7C" w:rsidP="008812DD">
            <w:pPr>
              <w:pStyle w:val="ListParagraph"/>
              <w:spacing w:after="0" w:line="240" w:lineRule="auto"/>
              <w:ind w:left="0"/>
              <w:rPr>
                <w:rFonts w:cs="Times New Roman"/>
                <w:sz w:val="18"/>
                <w:szCs w:val="18"/>
              </w:rPr>
            </w:pPr>
          </w:p>
        </w:tc>
        <w:tc>
          <w:tcPr>
            <w:tcW w:w="720" w:type="dxa"/>
            <w:vMerge/>
            <w:tcBorders>
              <w:left w:val="single" w:sz="4" w:space="0" w:color="000000" w:themeColor="text1"/>
              <w:bottom w:val="single" w:sz="4" w:space="0" w:color="000000" w:themeColor="text1"/>
              <w:right w:val="single" w:sz="4" w:space="0" w:color="000000" w:themeColor="text1"/>
            </w:tcBorders>
            <w:hideMark/>
          </w:tcPr>
          <w:p w:rsidR="00D97C7C" w:rsidRPr="00D93A91" w:rsidRDefault="00D97C7C" w:rsidP="00497240">
            <w:pPr>
              <w:pStyle w:val="ListParagraph"/>
              <w:spacing w:after="0" w:line="240" w:lineRule="auto"/>
              <w:ind w:left="0"/>
              <w:jc w:val="center"/>
              <w:rPr>
                <w:rFonts w:cs="Times New Roman"/>
                <w:sz w:val="18"/>
                <w:szCs w:val="18"/>
              </w:rPr>
            </w:pPr>
          </w:p>
        </w:tc>
        <w:tc>
          <w:tcPr>
            <w:tcW w:w="900" w:type="dxa"/>
            <w:vMerge/>
            <w:tcBorders>
              <w:left w:val="single" w:sz="4" w:space="0" w:color="000000" w:themeColor="text1"/>
              <w:bottom w:val="single" w:sz="4" w:space="0" w:color="000000" w:themeColor="text1"/>
              <w:right w:val="single" w:sz="4" w:space="0" w:color="000000" w:themeColor="text1"/>
            </w:tcBorders>
            <w:hideMark/>
          </w:tcPr>
          <w:p w:rsidR="00D97C7C" w:rsidRPr="00D93A91" w:rsidRDefault="00D97C7C" w:rsidP="00497240">
            <w:pPr>
              <w:pStyle w:val="ListParagraph"/>
              <w:spacing w:after="0" w:line="240" w:lineRule="auto"/>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D97C7C" w:rsidRPr="00D93A91" w:rsidRDefault="00D97C7C" w:rsidP="00497240">
            <w:pPr>
              <w:pStyle w:val="ListParagraph"/>
              <w:spacing w:after="0" w:line="240" w:lineRule="auto"/>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D97C7C" w:rsidRPr="00D93A91" w:rsidRDefault="00D97C7C" w:rsidP="00497240">
            <w:pPr>
              <w:pStyle w:val="ListParagraph"/>
              <w:spacing w:after="0" w:line="240" w:lineRule="auto"/>
              <w:ind w:left="0"/>
              <w:jc w:val="center"/>
              <w:rPr>
                <w:rFonts w:cs="Times New Roman"/>
                <w:sz w:val="18"/>
                <w:szCs w:val="18"/>
              </w:rPr>
            </w:pPr>
          </w:p>
        </w:tc>
      </w:tr>
      <w:tr w:rsidR="004B6108"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auto"/>
            </w:tcBorders>
            <w:shd w:val="clear" w:color="auto" w:fill="FFFFFF" w:themeFill="background1"/>
            <w:vAlign w:val="center"/>
            <w:hideMark/>
          </w:tcPr>
          <w:p w:rsidR="004B6108" w:rsidRPr="00D93A91" w:rsidRDefault="00476BAD">
            <w:pPr>
              <w:jc w:val="center"/>
              <w:rPr>
                <w:rFonts w:eastAsiaTheme="minorEastAsia"/>
                <w:color w:val="auto"/>
                <w:sz w:val="18"/>
                <w:szCs w:val="18"/>
              </w:rPr>
            </w:pPr>
            <w:r w:rsidRPr="00D93A91">
              <w:rPr>
                <w:rFonts w:eastAsiaTheme="minorEastAsia"/>
                <w:color w:val="auto"/>
                <w:sz w:val="18"/>
                <w:szCs w:val="18"/>
              </w:rPr>
              <w:t>MEB H&amp;P: scar, mid/lower back</w:t>
            </w:r>
          </w:p>
        </w:tc>
        <w:tc>
          <w:tcPr>
            <w:tcW w:w="2430" w:type="dxa"/>
            <w:tcBorders>
              <w:top w:val="single" w:sz="4" w:space="0" w:color="000000" w:themeColor="text1"/>
              <w:left w:val="thinThickThinSmallGap" w:sz="24" w:space="0" w:color="auto"/>
              <w:bottom w:val="single" w:sz="4" w:space="0" w:color="000000" w:themeColor="text1"/>
              <w:right w:val="single" w:sz="4" w:space="0" w:color="000000" w:themeColor="text1"/>
            </w:tcBorders>
            <w:shd w:val="clear" w:color="auto" w:fill="FFFFFF" w:themeFill="background1"/>
            <w:hideMark/>
          </w:tcPr>
          <w:p w:rsidR="004B6108" w:rsidRPr="00D93A91" w:rsidRDefault="004B6108" w:rsidP="008812DD">
            <w:pPr>
              <w:pStyle w:val="ListParagraph"/>
              <w:spacing w:after="0" w:line="240" w:lineRule="auto"/>
              <w:ind w:left="0"/>
              <w:rPr>
                <w:rFonts w:cs="Times New Roman"/>
                <w:sz w:val="20"/>
                <w:szCs w:val="18"/>
              </w:rPr>
            </w:pPr>
            <w:r w:rsidRPr="00D93A91">
              <w:rPr>
                <w:rFonts w:cs="Times New Roman"/>
                <w:sz w:val="20"/>
                <w:szCs w:val="18"/>
              </w:rPr>
              <w:t>Surgical Scar on Lumbar Spine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sidP="00497240">
            <w:pPr>
              <w:pStyle w:val="ListParagraph"/>
              <w:spacing w:after="0" w:line="240" w:lineRule="auto"/>
              <w:ind w:left="0"/>
              <w:jc w:val="center"/>
              <w:rPr>
                <w:sz w:val="18"/>
                <w:szCs w:val="18"/>
              </w:rPr>
            </w:pPr>
            <w:r w:rsidRPr="00D93A91">
              <w:rPr>
                <w:sz w:val="18"/>
                <w:szCs w:val="18"/>
              </w:rPr>
              <w:t>7804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sidP="00497240">
            <w:pPr>
              <w:pStyle w:val="ListParagraph"/>
              <w:spacing w:after="0" w:line="240" w:lineRule="auto"/>
              <w:ind w:left="0"/>
              <w:jc w:val="center"/>
              <w:rPr>
                <w:sz w:val="18"/>
                <w:szCs w:val="18"/>
              </w:rPr>
            </w:pPr>
            <w:r w:rsidRPr="00D93A91">
              <w:rPr>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pPr>
              <w:rPr>
                <w:color w:val="auto"/>
              </w:rPr>
            </w:pPr>
            <w:r w:rsidRPr="00D93A91">
              <w:rPr>
                <w:rFonts w:cs="Times New Roman"/>
                <w:color w:val="auto"/>
                <w:sz w:val="18"/>
                <w:szCs w:val="18"/>
              </w:rPr>
              <w:t>20070120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sidP="00497240">
            <w:pPr>
              <w:pStyle w:val="ListParagraph"/>
              <w:spacing w:after="0" w:line="240" w:lineRule="auto"/>
              <w:ind w:left="0"/>
              <w:jc w:val="center"/>
              <w:rPr>
                <w:rFonts w:cs="Times New Roman"/>
                <w:sz w:val="18"/>
                <w:szCs w:val="18"/>
              </w:rPr>
            </w:pPr>
            <w:r w:rsidRPr="00D93A91">
              <w:rPr>
                <w:rFonts w:cs="Times New Roman"/>
                <w:sz w:val="18"/>
                <w:szCs w:val="18"/>
              </w:rPr>
              <w:t>20061103</w:t>
            </w:r>
          </w:p>
        </w:tc>
      </w:tr>
      <w:tr w:rsidR="004B6108"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auto"/>
            </w:tcBorders>
            <w:shd w:val="clear" w:color="auto" w:fill="FFFFFF" w:themeFill="background1"/>
            <w:vAlign w:val="center"/>
            <w:hideMark/>
          </w:tcPr>
          <w:p w:rsidR="004B6108" w:rsidRPr="00D93A91" w:rsidRDefault="004B6108">
            <w:pPr>
              <w:jc w:val="center"/>
              <w:rPr>
                <w:rFonts w:eastAsiaTheme="minorEastAsia"/>
                <w:color w:val="auto"/>
                <w:sz w:val="18"/>
                <w:szCs w:val="18"/>
              </w:rPr>
            </w:pPr>
            <w:r w:rsidRPr="00D93A91">
              <w:rPr>
                <w:rFonts w:eastAsiaTheme="minorEastAsia"/>
                <w:color w:val="auto"/>
                <w:sz w:val="18"/>
                <w:szCs w:val="18"/>
              </w:rPr>
              <w:t xml:space="preserve">Separation H&amp;P: Ongoing </w:t>
            </w:r>
            <w:proofErr w:type="spellStart"/>
            <w:r w:rsidRPr="00D93A91">
              <w:rPr>
                <w:rFonts w:eastAsiaTheme="minorEastAsia"/>
                <w:color w:val="auto"/>
                <w:sz w:val="18"/>
                <w:szCs w:val="18"/>
              </w:rPr>
              <w:t>radiculopathy</w:t>
            </w:r>
            <w:proofErr w:type="spellEnd"/>
          </w:p>
        </w:tc>
        <w:tc>
          <w:tcPr>
            <w:tcW w:w="2430" w:type="dxa"/>
            <w:tcBorders>
              <w:top w:val="single" w:sz="4" w:space="0" w:color="000000" w:themeColor="text1"/>
              <w:left w:val="thinThickThinSmallGap" w:sz="24" w:space="0" w:color="auto"/>
              <w:bottom w:val="single" w:sz="4" w:space="0" w:color="000000" w:themeColor="text1"/>
              <w:right w:val="single" w:sz="4" w:space="0" w:color="000000" w:themeColor="text1"/>
            </w:tcBorders>
            <w:shd w:val="clear" w:color="auto" w:fill="FFFFFF" w:themeFill="background1"/>
            <w:hideMark/>
          </w:tcPr>
          <w:p w:rsidR="004B6108" w:rsidRPr="00D93A91" w:rsidRDefault="004B6108" w:rsidP="008812DD">
            <w:pPr>
              <w:pStyle w:val="ListParagraph"/>
              <w:spacing w:after="0" w:line="240" w:lineRule="auto"/>
              <w:ind w:left="0"/>
              <w:rPr>
                <w:rFonts w:cs="Times New Roman"/>
                <w:sz w:val="20"/>
                <w:szCs w:val="18"/>
              </w:rPr>
            </w:pPr>
            <w:r w:rsidRPr="00D93A91">
              <w:rPr>
                <w:rFonts w:cs="Times New Roman"/>
                <w:sz w:val="20"/>
                <w:szCs w:val="18"/>
              </w:rPr>
              <w:t>Sciatica of the Right Lower Extremity associated with Lumbar Disc Disease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sidP="00497240">
            <w:pPr>
              <w:pStyle w:val="ListParagraph"/>
              <w:spacing w:after="0" w:line="240" w:lineRule="auto"/>
              <w:ind w:left="0"/>
              <w:jc w:val="center"/>
              <w:rPr>
                <w:sz w:val="18"/>
                <w:szCs w:val="18"/>
              </w:rPr>
            </w:pPr>
            <w:r w:rsidRPr="00D93A91">
              <w:rPr>
                <w:sz w:val="18"/>
                <w:szCs w:val="18"/>
              </w:rPr>
              <w:t>8520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sidP="00497240">
            <w:pPr>
              <w:pStyle w:val="ListParagraph"/>
              <w:spacing w:after="0" w:line="240" w:lineRule="auto"/>
              <w:ind w:left="0"/>
              <w:jc w:val="center"/>
              <w:rPr>
                <w:sz w:val="18"/>
                <w:szCs w:val="18"/>
              </w:rPr>
            </w:pPr>
            <w:r w:rsidRPr="00D93A91">
              <w:rPr>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pPr>
              <w:rPr>
                <w:color w:val="auto"/>
              </w:rPr>
            </w:pPr>
            <w:r w:rsidRPr="00D93A91">
              <w:rPr>
                <w:rFonts w:cs="Times New Roman"/>
                <w:color w:val="auto"/>
                <w:sz w:val="18"/>
                <w:szCs w:val="18"/>
              </w:rPr>
              <w:t>20070120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sidP="00497240">
            <w:pPr>
              <w:pStyle w:val="ListParagraph"/>
              <w:spacing w:after="0" w:line="240" w:lineRule="auto"/>
              <w:ind w:left="0"/>
              <w:jc w:val="center"/>
              <w:rPr>
                <w:rFonts w:cs="Times New Roman"/>
                <w:sz w:val="18"/>
                <w:szCs w:val="18"/>
              </w:rPr>
            </w:pPr>
            <w:r w:rsidRPr="00D93A91">
              <w:rPr>
                <w:rFonts w:cs="Times New Roman"/>
                <w:sz w:val="18"/>
                <w:szCs w:val="18"/>
              </w:rPr>
              <w:t>20061103</w:t>
            </w:r>
          </w:p>
        </w:tc>
      </w:tr>
      <w:tr w:rsidR="004B6108"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auto"/>
            </w:tcBorders>
            <w:shd w:val="clear" w:color="auto" w:fill="FFFFFF" w:themeFill="background1"/>
            <w:vAlign w:val="center"/>
            <w:hideMark/>
          </w:tcPr>
          <w:p w:rsidR="004B6108" w:rsidRPr="00D93A91" w:rsidRDefault="004B6108">
            <w:pPr>
              <w:jc w:val="center"/>
              <w:rPr>
                <w:rFonts w:eastAsiaTheme="minorEastAsia"/>
                <w:b/>
                <w:sz w:val="18"/>
                <w:szCs w:val="18"/>
              </w:rPr>
            </w:pPr>
            <w:r w:rsidRPr="00D93A91">
              <w:rPr>
                <w:rFonts w:eastAsiaTheme="minorEastAsia"/>
                <w:color w:val="auto"/>
                <w:sz w:val="18"/>
                <w:szCs w:val="18"/>
              </w:rPr>
              <w:t xml:space="preserve">Separation H&amp;P: Ongoing </w:t>
            </w:r>
            <w:proofErr w:type="spellStart"/>
            <w:r w:rsidRPr="00D93A91">
              <w:rPr>
                <w:rFonts w:eastAsiaTheme="minorEastAsia"/>
                <w:color w:val="auto"/>
                <w:sz w:val="18"/>
                <w:szCs w:val="18"/>
              </w:rPr>
              <w:t>radiculopathy</w:t>
            </w:r>
            <w:proofErr w:type="spellEnd"/>
          </w:p>
        </w:tc>
        <w:tc>
          <w:tcPr>
            <w:tcW w:w="2430" w:type="dxa"/>
            <w:tcBorders>
              <w:top w:val="single" w:sz="4" w:space="0" w:color="000000" w:themeColor="text1"/>
              <w:left w:val="thinThickThinSmallGap" w:sz="24" w:space="0" w:color="auto"/>
              <w:bottom w:val="single" w:sz="4" w:space="0" w:color="000000" w:themeColor="text1"/>
              <w:right w:val="single" w:sz="4" w:space="0" w:color="000000" w:themeColor="text1"/>
            </w:tcBorders>
            <w:shd w:val="clear" w:color="auto" w:fill="FFFFFF" w:themeFill="background1"/>
            <w:hideMark/>
          </w:tcPr>
          <w:p w:rsidR="004B6108" w:rsidRPr="00D93A91" w:rsidRDefault="004B6108" w:rsidP="00DD4573">
            <w:pPr>
              <w:pStyle w:val="ListParagraph"/>
              <w:spacing w:after="0" w:line="240" w:lineRule="auto"/>
              <w:ind w:left="0"/>
              <w:rPr>
                <w:rFonts w:cs="Times New Roman"/>
                <w:sz w:val="20"/>
                <w:szCs w:val="18"/>
              </w:rPr>
            </w:pPr>
            <w:r w:rsidRPr="00D93A91">
              <w:rPr>
                <w:rFonts w:cs="Times New Roman"/>
                <w:sz w:val="20"/>
                <w:szCs w:val="18"/>
              </w:rPr>
              <w:t>Sciatica of the Right Lower Extremity associated with Lumbar Disc Disease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sidP="00DD4573">
            <w:pPr>
              <w:pStyle w:val="ListParagraph"/>
              <w:spacing w:after="0" w:line="240" w:lineRule="auto"/>
              <w:ind w:left="0"/>
              <w:jc w:val="center"/>
              <w:rPr>
                <w:sz w:val="18"/>
                <w:szCs w:val="18"/>
              </w:rPr>
            </w:pPr>
            <w:r w:rsidRPr="00D93A91">
              <w:rPr>
                <w:sz w:val="18"/>
                <w:szCs w:val="18"/>
              </w:rPr>
              <w:t>8520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sidP="00DD4573">
            <w:pPr>
              <w:pStyle w:val="ListParagraph"/>
              <w:spacing w:after="0" w:line="240" w:lineRule="auto"/>
              <w:ind w:left="0"/>
              <w:jc w:val="center"/>
              <w:rPr>
                <w:sz w:val="18"/>
                <w:szCs w:val="18"/>
              </w:rPr>
            </w:pPr>
            <w:r w:rsidRPr="00D93A91">
              <w:rPr>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pPr>
              <w:rPr>
                <w:color w:val="auto"/>
              </w:rPr>
            </w:pPr>
            <w:r w:rsidRPr="00D93A91">
              <w:rPr>
                <w:rFonts w:cs="Times New Roman"/>
                <w:color w:val="auto"/>
                <w:sz w:val="18"/>
                <w:szCs w:val="18"/>
              </w:rPr>
              <w:t>20070120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6108" w:rsidRPr="00D93A91" w:rsidRDefault="004B6108" w:rsidP="00DD4573">
            <w:pPr>
              <w:pStyle w:val="ListParagraph"/>
              <w:spacing w:after="0" w:line="240" w:lineRule="auto"/>
              <w:ind w:left="0"/>
              <w:jc w:val="center"/>
              <w:rPr>
                <w:rFonts w:cs="Times New Roman"/>
                <w:sz w:val="18"/>
                <w:szCs w:val="18"/>
              </w:rPr>
            </w:pPr>
            <w:r w:rsidRPr="00D93A91">
              <w:rPr>
                <w:rFonts w:cs="Times New Roman"/>
                <w:sz w:val="18"/>
                <w:szCs w:val="18"/>
              </w:rPr>
              <w:t>20061103</w:t>
            </w:r>
          </w:p>
        </w:tc>
      </w:tr>
      <w:tr w:rsidR="0005761C" w:rsidRPr="00D93A91" w:rsidTr="00C309C2">
        <w:trPr>
          <w:trHeight w:val="125"/>
        </w:trPr>
        <w:tc>
          <w:tcPr>
            <w:tcW w:w="225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05761C" w:rsidRPr="00D93A91" w:rsidRDefault="0005761C" w:rsidP="00F113C3">
            <w:pPr>
              <w:rPr>
                <w:rFonts w:eastAsiaTheme="minorEastAsia"/>
                <w:color w:val="auto"/>
                <w:sz w:val="20"/>
                <w:szCs w:val="18"/>
              </w:rPr>
            </w:pPr>
            <w:r w:rsidRPr="00D93A91">
              <w:rPr>
                <w:rFonts w:eastAsiaTheme="minorEastAsia"/>
                <w:color w:val="auto"/>
                <w:sz w:val="20"/>
                <w:szCs w:val="18"/>
              </w:rPr>
              <w:t>Not Addressed by PEB</w:t>
            </w:r>
          </w:p>
        </w:tc>
        <w:tc>
          <w:tcPr>
            <w:tcW w:w="2790" w:type="dxa"/>
            <w:gridSpan w:val="3"/>
            <w:tcBorders>
              <w:top w:val="double" w:sz="4" w:space="0" w:color="000000" w:themeColor="text1"/>
              <w:left w:val="single" w:sz="4" w:space="0" w:color="000000" w:themeColor="text1"/>
              <w:bottom w:val="single" w:sz="4" w:space="0" w:color="000000" w:themeColor="text1"/>
              <w:right w:val="thinThickThinSmallGap" w:sz="24" w:space="0" w:color="auto"/>
            </w:tcBorders>
            <w:shd w:val="clear" w:color="auto" w:fill="FFFFFF" w:themeFill="background1"/>
            <w:vAlign w:val="center"/>
            <w:hideMark/>
          </w:tcPr>
          <w:p w:rsidR="0005761C" w:rsidRPr="00D93A91" w:rsidRDefault="0005761C">
            <w:pPr>
              <w:jc w:val="center"/>
              <w:rPr>
                <w:rFonts w:eastAsiaTheme="minorEastAsia"/>
                <w:color w:val="auto"/>
                <w:sz w:val="18"/>
                <w:szCs w:val="18"/>
              </w:rPr>
            </w:pPr>
            <w:r w:rsidRPr="00D93A91">
              <w:rPr>
                <w:rFonts w:eastAsiaTheme="minorEastAsia"/>
                <w:color w:val="auto"/>
                <w:sz w:val="18"/>
                <w:szCs w:val="18"/>
              </w:rPr>
              <w:t xml:space="preserve">MEB H&amp;P: </w:t>
            </w:r>
            <w:proofErr w:type="spellStart"/>
            <w:r w:rsidRPr="00D93A91">
              <w:rPr>
                <w:rFonts w:eastAsiaTheme="minorEastAsia"/>
                <w:color w:val="auto"/>
                <w:sz w:val="18"/>
                <w:szCs w:val="18"/>
              </w:rPr>
              <w:t>Pseudofolliculitis</w:t>
            </w:r>
            <w:proofErr w:type="spellEnd"/>
            <w:r w:rsidRPr="00D93A91">
              <w:rPr>
                <w:rFonts w:eastAsiaTheme="minorEastAsia"/>
                <w:color w:val="auto"/>
                <w:sz w:val="18"/>
                <w:szCs w:val="18"/>
              </w:rPr>
              <w:t xml:space="preserve"> </w:t>
            </w:r>
            <w:proofErr w:type="spellStart"/>
            <w:r w:rsidRPr="00D93A91">
              <w:rPr>
                <w:rFonts w:eastAsiaTheme="minorEastAsia"/>
                <w:color w:val="auto"/>
                <w:sz w:val="18"/>
                <w:szCs w:val="18"/>
              </w:rPr>
              <w:t>Barbae</w:t>
            </w:r>
            <w:proofErr w:type="spellEnd"/>
          </w:p>
        </w:tc>
        <w:tc>
          <w:tcPr>
            <w:tcW w:w="2430" w:type="dxa"/>
            <w:tcBorders>
              <w:top w:val="double" w:sz="4" w:space="0" w:color="auto"/>
              <w:left w:val="thinThickThinSmallGap" w:sz="24" w:space="0" w:color="auto"/>
              <w:bottom w:val="single" w:sz="4" w:space="0" w:color="000000" w:themeColor="text1"/>
              <w:right w:val="single" w:sz="4" w:space="0" w:color="000000" w:themeColor="text1"/>
            </w:tcBorders>
            <w:shd w:val="clear" w:color="auto" w:fill="FFFFFF" w:themeFill="background1"/>
            <w:hideMark/>
          </w:tcPr>
          <w:p w:rsidR="0005761C" w:rsidRPr="00D93A91" w:rsidRDefault="0005761C" w:rsidP="008812DD">
            <w:pPr>
              <w:pStyle w:val="ListParagraph"/>
              <w:spacing w:after="0" w:line="240" w:lineRule="auto"/>
              <w:ind w:left="0"/>
              <w:rPr>
                <w:rFonts w:cs="Times New Roman"/>
                <w:sz w:val="20"/>
                <w:szCs w:val="18"/>
              </w:rPr>
            </w:pPr>
            <w:proofErr w:type="spellStart"/>
            <w:r w:rsidRPr="00D93A91">
              <w:rPr>
                <w:rFonts w:cs="Times New Roman"/>
                <w:sz w:val="20"/>
                <w:szCs w:val="18"/>
              </w:rPr>
              <w:t>Pseudofolliculitis</w:t>
            </w:r>
            <w:proofErr w:type="spellEnd"/>
          </w:p>
        </w:tc>
        <w:tc>
          <w:tcPr>
            <w:tcW w:w="72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sz w:val="18"/>
                <w:szCs w:val="18"/>
              </w:rPr>
            </w:pPr>
            <w:r w:rsidRPr="00D93A91">
              <w:rPr>
                <w:sz w:val="18"/>
                <w:szCs w:val="18"/>
              </w:rPr>
              <w:t>7813-7806</w:t>
            </w:r>
          </w:p>
        </w:tc>
        <w:tc>
          <w:tcPr>
            <w:tcW w:w="90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sz w:val="18"/>
                <w:szCs w:val="18"/>
              </w:rPr>
            </w:pPr>
            <w:r w:rsidRPr="00D93A91">
              <w:rPr>
                <w:sz w:val="18"/>
                <w:szCs w:val="18"/>
              </w:rPr>
              <w:t>30%</w:t>
            </w:r>
          </w:p>
          <w:p w:rsidR="0005761C" w:rsidRPr="00D93A91" w:rsidRDefault="0005761C" w:rsidP="00497240">
            <w:pPr>
              <w:pStyle w:val="ListParagraph"/>
              <w:spacing w:after="0" w:line="240" w:lineRule="auto"/>
              <w:ind w:left="0"/>
              <w:jc w:val="center"/>
              <w:rPr>
                <w:sz w:val="18"/>
                <w:szCs w:val="18"/>
              </w:rPr>
            </w:pPr>
          </w:p>
          <w:p w:rsidR="0005761C" w:rsidRPr="00D93A91" w:rsidRDefault="0005761C" w:rsidP="00497240">
            <w:pPr>
              <w:pStyle w:val="ListParagraph"/>
              <w:spacing w:after="0" w:line="240" w:lineRule="auto"/>
              <w:ind w:left="0"/>
              <w:jc w:val="center"/>
              <w:rPr>
                <w:rFonts w:cs="Times New Roman"/>
                <w:sz w:val="18"/>
                <w:szCs w:val="18"/>
              </w:rPr>
            </w:pPr>
            <w:r w:rsidRPr="00D93A91">
              <w:rPr>
                <w:sz w:val="18"/>
                <w:szCs w:val="18"/>
              </w:rPr>
              <w:t>30%</w:t>
            </w:r>
          </w:p>
        </w:tc>
        <w:tc>
          <w:tcPr>
            <w:tcW w:w="99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sz w:val="18"/>
                <w:szCs w:val="18"/>
              </w:rPr>
            </w:pPr>
            <w:r w:rsidRPr="00D93A91">
              <w:rPr>
                <w:rFonts w:cs="Times New Roman"/>
                <w:sz w:val="18"/>
                <w:szCs w:val="18"/>
              </w:rPr>
              <w:t>20050510</w:t>
            </w:r>
          </w:p>
          <w:p w:rsidR="0005761C" w:rsidRPr="00D93A91" w:rsidRDefault="0005761C" w:rsidP="00497240">
            <w:pPr>
              <w:pStyle w:val="ListParagraph"/>
              <w:spacing w:after="0" w:line="240" w:lineRule="auto"/>
              <w:ind w:left="0"/>
              <w:jc w:val="center"/>
              <w:rPr>
                <w:rFonts w:cs="Times New Roman"/>
                <w:sz w:val="18"/>
                <w:szCs w:val="18"/>
              </w:rPr>
            </w:pPr>
          </w:p>
          <w:p w:rsidR="0005761C" w:rsidRPr="00D93A91" w:rsidRDefault="0005761C" w:rsidP="00497240">
            <w:pPr>
              <w:pStyle w:val="ListParagraph"/>
              <w:spacing w:after="0" w:line="240" w:lineRule="auto"/>
              <w:ind w:left="0"/>
              <w:jc w:val="center"/>
              <w:rPr>
                <w:rFonts w:cs="Times New Roman"/>
                <w:sz w:val="18"/>
                <w:szCs w:val="18"/>
              </w:rPr>
            </w:pPr>
            <w:r w:rsidRPr="00D93A91">
              <w:rPr>
                <w:rFonts w:cs="Times New Roman"/>
                <w:sz w:val="18"/>
                <w:szCs w:val="18"/>
              </w:rPr>
              <w:t>20071205</w:t>
            </w:r>
          </w:p>
          <w:p w:rsidR="0005761C" w:rsidRPr="00D93A91" w:rsidRDefault="0005761C" w:rsidP="00497240">
            <w:pPr>
              <w:pStyle w:val="ListParagraph"/>
              <w:spacing w:after="0" w:line="240" w:lineRule="auto"/>
              <w:ind w:left="0"/>
              <w:jc w:val="center"/>
              <w:rPr>
                <w:rFonts w:cs="Times New Roman"/>
                <w:sz w:val="18"/>
                <w:szCs w:val="18"/>
              </w:rPr>
            </w:pPr>
          </w:p>
        </w:tc>
        <w:tc>
          <w:tcPr>
            <w:tcW w:w="108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sz w:val="18"/>
                <w:szCs w:val="18"/>
              </w:rPr>
            </w:pPr>
            <w:r w:rsidRPr="00D93A91">
              <w:rPr>
                <w:rFonts w:cs="Times New Roman"/>
                <w:sz w:val="18"/>
                <w:szCs w:val="18"/>
              </w:rPr>
              <w:t>20050201</w:t>
            </w:r>
          </w:p>
        </w:tc>
      </w:tr>
      <w:tr w:rsidR="0005761C"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05761C">
            <w:pPr>
              <w:jc w:val="center"/>
              <w:rPr>
                <w:rFonts w:eastAsiaTheme="minorEastAsia"/>
                <w:color w:val="auto"/>
                <w:sz w:val="18"/>
                <w:szCs w:val="18"/>
              </w:rPr>
            </w:pPr>
            <w:r w:rsidRPr="00D93A91">
              <w:rPr>
                <w:rFonts w:eastAsiaTheme="minorEastAsia"/>
                <w:color w:val="auto"/>
                <w:sz w:val="18"/>
                <w:szCs w:val="18"/>
              </w:rPr>
              <w:t>Separation H&amp;P: Impingement Syndrome</w:t>
            </w:r>
            <w:proofErr w:type="gramStart"/>
            <w:r w:rsidRPr="00D93A91">
              <w:rPr>
                <w:rFonts w:eastAsiaTheme="minorEastAsia"/>
                <w:color w:val="auto"/>
                <w:sz w:val="18"/>
                <w:szCs w:val="18"/>
              </w:rPr>
              <w:t>, ?</w:t>
            </w:r>
            <w:proofErr w:type="gramEnd"/>
            <w:r w:rsidRPr="00D93A91">
              <w:rPr>
                <w:rFonts w:eastAsiaTheme="minorEastAsia"/>
                <w:color w:val="auto"/>
                <w:sz w:val="18"/>
                <w:szCs w:val="18"/>
              </w:rPr>
              <w:t xml:space="preserve"> side</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8812DD">
            <w:pPr>
              <w:pStyle w:val="ListParagraph"/>
              <w:spacing w:after="0" w:line="240" w:lineRule="auto"/>
              <w:ind w:left="0"/>
              <w:rPr>
                <w:rFonts w:cs="Times New Roman"/>
                <w:sz w:val="20"/>
                <w:szCs w:val="18"/>
              </w:rPr>
            </w:pPr>
            <w:r w:rsidRPr="00D93A91">
              <w:rPr>
                <w:rFonts w:cs="Times New Roman"/>
                <w:sz w:val="20"/>
                <w:szCs w:val="18"/>
              </w:rPr>
              <w:t>Right Rotator Cuff Tendonitis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5024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497240">
            <w:pPr>
              <w:jc w:val="center"/>
              <w:rPr>
                <w:rFonts w:eastAsiaTheme="minorEastAsia"/>
                <w:color w:val="000000" w:themeColor="text1"/>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cs="Times New Roman"/>
                <w:color w:val="000000" w:themeColor="text1"/>
                <w:sz w:val="18"/>
                <w:szCs w:val="18"/>
              </w:rPr>
              <w:t>20050201</w:t>
            </w:r>
          </w:p>
        </w:tc>
      </w:tr>
      <w:tr w:rsidR="0005761C"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05761C" w:rsidP="0005761C">
            <w:pPr>
              <w:jc w:val="center"/>
              <w:rPr>
                <w:rFonts w:eastAsiaTheme="minorEastAsia"/>
                <w:color w:val="auto"/>
                <w:sz w:val="18"/>
                <w:szCs w:val="18"/>
              </w:rPr>
            </w:pPr>
            <w:r w:rsidRPr="00D93A91">
              <w:rPr>
                <w:rFonts w:eastAsiaTheme="minorEastAsia"/>
                <w:color w:val="auto"/>
                <w:sz w:val="18"/>
                <w:szCs w:val="18"/>
              </w:rPr>
              <w:t>Separation H&amp;P: Impingement Syndrome</w:t>
            </w:r>
            <w:proofErr w:type="gramStart"/>
            <w:r w:rsidRPr="00D93A91">
              <w:rPr>
                <w:rFonts w:eastAsiaTheme="minorEastAsia"/>
                <w:color w:val="auto"/>
                <w:sz w:val="18"/>
                <w:szCs w:val="18"/>
              </w:rPr>
              <w:t>, ?</w:t>
            </w:r>
            <w:proofErr w:type="gramEnd"/>
            <w:r w:rsidRPr="00D93A91">
              <w:rPr>
                <w:rFonts w:eastAsiaTheme="minorEastAsia"/>
                <w:color w:val="auto"/>
                <w:sz w:val="18"/>
                <w:szCs w:val="18"/>
              </w:rPr>
              <w:t xml:space="preserve"> side </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8812DD">
            <w:pPr>
              <w:rPr>
                <w:rFonts w:eastAsiaTheme="minorEastAsia"/>
                <w:sz w:val="20"/>
                <w:szCs w:val="18"/>
              </w:rPr>
            </w:pPr>
            <w:r w:rsidRPr="00D93A91">
              <w:rPr>
                <w:color w:val="auto"/>
                <w:sz w:val="20"/>
                <w:szCs w:val="18"/>
              </w:rPr>
              <w:t>Left Shoulder Rotator Cuff Tendonitis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color w:val="000000" w:themeColor="text1"/>
                <w:sz w:val="18"/>
                <w:szCs w:val="18"/>
              </w:rPr>
              <w:t>5024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color w:val="000000" w:themeColor="text1"/>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497240">
            <w:pPr>
              <w:jc w:val="center"/>
              <w:rPr>
                <w:rFonts w:eastAsiaTheme="minorEastAsia"/>
                <w:color w:val="000000" w:themeColor="text1"/>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rFonts w:cs="Times New Roman"/>
                <w:color w:val="000000" w:themeColor="text1"/>
                <w:sz w:val="18"/>
                <w:szCs w:val="18"/>
              </w:rPr>
              <w:t>20050201</w:t>
            </w:r>
          </w:p>
        </w:tc>
      </w:tr>
      <w:tr w:rsidR="0005761C" w:rsidRPr="00D93A91" w:rsidTr="00C309C2">
        <w:trPr>
          <w:trHeight w:val="35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05761C">
            <w:pPr>
              <w:jc w:val="center"/>
              <w:rPr>
                <w:rFonts w:eastAsiaTheme="minorEastAsia"/>
                <w:color w:val="auto"/>
                <w:sz w:val="18"/>
                <w:szCs w:val="18"/>
              </w:rPr>
            </w:pPr>
            <w:r w:rsidRPr="00D93A91">
              <w:rPr>
                <w:rFonts w:eastAsiaTheme="minorEastAsia"/>
                <w:color w:val="auto"/>
                <w:sz w:val="18"/>
                <w:szCs w:val="18"/>
              </w:rPr>
              <w:t>Separation H&amp;P: bilateral hip pain</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8812DD">
            <w:pPr>
              <w:rPr>
                <w:rFonts w:eastAsiaTheme="minorEastAsia"/>
                <w:sz w:val="20"/>
                <w:szCs w:val="18"/>
              </w:rPr>
            </w:pPr>
            <w:r w:rsidRPr="00D93A91">
              <w:rPr>
                <w:color w:val="auto"/>
                <w:sz w:val="20"/>
                <w:szCs w:val="18"/>
              </w:rPr>
              <w:t>Left Hip Strain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color w:val="000000" w:themeColor="text1"/>
                <w:sz w:val="18"/>
                <w:szCs w:val="18"/>
              </w:rPr>
              <w:t>5024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color w:val="000000" w:themeColor="text1"/>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497240">
            <w:pPr>
              <w:jc w:val="center"/>
              <w:rPr>
                <w:rFonts w:eastAsiaTheme="minorEastAsia"/>
                <w:color w:val="000000" w:themeColor="text1"/>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rFonts w:cs="Times New Roman"/>
                <w:color w:val="000000" w:themeColor="text1"/>
                <w:sz w:val="18"/>
                <w:szCs w:val="18"/>
              </w:rPr>
              <w:t>20050201</w:t>
            </w:r>
          </w:p>
        </w:tc>
      </w:tr>
      <w:tr w:rsidR="0005761C" w:rsidRPr="00D93A91" w:rsidTr="00C309C2">
        <w:trPr>
          <w:trHeight w:val="35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05761C" w:rsidP="00DD4573">
            <w:pPr>
              <w:jc w:val="center"/>
              <w:rPr>
                <w:rFonts w:eastAsiaTheme="minorEastAsia"/>
                <w:color w:val="auto"/>
                <w:sz w:val="18"/>
                <w:szCs w:val="18"/>
              </w:rPr>
            </w:pPr>
            <w:r w:rsidRPr="00D93A91">
              <w:rPr>
                <w:rFonts w:eastAsiaTheme="minorEastAsia"/>
                <w:color w:val="auto"/>
                <w:sz w:val="18"/>
                <w:szCs w:val="18"/>
              </w:rPr>
              <w:t>Separation H&amp;P: bilateral hip pain</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DD4573">
            <w:pPr>
              <w:rPr>
                <w:rFonts w:eastAsiaTheme="minorEastAsia"/>
                <w:sz w:val="20"/>
                <w:szCs w:val="18"/>
              </w:rPr>
            </w:pPr>
            <w:r w:rsidRPr="00D93A91">
              <w:rPr>
                <w:color w:val="auto"/>
                <w:sz w:val="20"/>
                <w:szCs w:val="18"/>
              </w:rPr>
              <w:t>Right Hip Strain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DD4573">
            <w:pPr>
              <w:jc w:val="center"/>
              <w:rPr>
                <w:rFonts w:eastAsiaTheme="minorEastAsia"/>
                <w:color w:val="000000" w:themeColor="text1"/>
                <w:sz w:val="18"/>
                <w:szCs w:val="18"/>
              </w:rPr>
            </w:pPr>
            <w:r w:rsidRPr="00D93A91">
              <w:rPr>
                <w:color w:val="000000" w:themeColor="text1"/>
                <w:sz w:val="18"/>
                <w:szCs w:val="18"/>
              </w:rPr>
              <w:t>5024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DD4573">
            <w:pPr>
              <w:jc w:val="center"/>
              <w:rPr>
                <w:rFonts w:eastAsiaTheme="minorEastAsia"/>
                <w:color w:val="000000" w:themeColor="text1"/>
                <w:sz w:val="18"/>
                <w:szCs w:val="18"/>
              </w:rPr>
            </w:pPr>
            <w:r w:rsidRPr="00D93A91">
              <w:rPr>
                <w:color w:val="000000" w:themeColor="text1"/>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DD4573">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DD4573">
            <w:pPr>
              <w:jc w:val="center"/>
              <w:rPr>
                <w:rFonts w:eastAsiaTheme="minorEastAsia"/>
                <w:color w:val="000000" w:themeColor="text1"/>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DD4573">
            <w:pPr>
              <w:jc w:val="center"/>
              <w:rPr>
                <w:rFonts w:eastAsiaTheme="minorEastAsia"/>
                <w:color w:val="000000" w:themeColor="text1"/>
                <w:sz w:val="18"/>
                <w:szCs w:val="18"/>
              </w:rPr>
            </w:pPr>
            <w:r w:rsidRPr="00D93A91">
              <w:rPr>
                <w:rFonts w:cs="Times New Roman"/>
                <w:color w:val="000000" w:themeColor="text1"/>
                <w:sz w:val="18"/>
                <w:szCs w:val="18"/>
              </w:rPr>
              <w:t>20050201</w:t>
            </w:r>
          </w:p>
        </w:tc>
      </w:tr>
      <w:tr w:rsidR="0005761C"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476BAD">
            <w:pPr>
              <w:jc w:val="center"/>
              <w:rPr>
                <w:rFonts w:eastAsiaTheme="minorEastAsia"/>
                <w:color w:val="auto"/>
                <w:sz w:val="18"/>
                <w:szCs w:val="18"/>
              </w:rPr>
            </w:pPr>
            <w:r w:rsidRPr="00D93A91">
              <w:rPr>
                <w:rFonts w:eastAsiaTheme="minorEastAsia"/>
                <w:color w:val="auto"/>
                <w:sz w:val="18"/>
                <w:szCs w:val="18"/>
              </w:rPr>
              <w:t>Not in DES</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8812DD">
            <w:pPr>
              <w:rPr>
                <w:rFonts w:eastAsiaTheme="minorEastAsia"/>
                <w:sz w:val="20"/>
                <w:szCs w:val="18"/>
              </w:rPr>
            </w:pPr>
            <w:r w:rsidRPr="00D93A91">
              <w:rPr>
                <w:color w:val="auto"/>
                <w:sz w:val="20"/>
                <w:szCs w:val="18"/>
              </w:rPr>
              <w:t>Right Patellar Tendonitis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5260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497240">
            <w:pPr>
              <w:jc w:val="center"/>
              <w:rPr>
                <w:rFonts w:eastAsiaTheme="minorEastAsia"/>
                <w:color w:val="000000" w:themeColor="text1"/>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rFonts w:cs="Times New Roman"/>
                <w:color w:val="000000" w:themeColor="text1"/>
                <w:sz w:val="18"/>
                <w:szCs w:val="18"/>
              </w:rPr>
              <w:t>20050201</w:t>
            </w:r>
          </w:p>
        </w:tc>
      </w:tr>
      <w:tr w:rsidR="0005761C"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05761C">
            <w:pPr>
              <w:jc w:val="center"/>
              <w:rPr>
                <w:rFonts w:eastAsiaTheme="minorEastAsia"/>
                <w:color w:val="auto"/>
                <w:sz w:val="18"/>
                <w:szCs w:val="18"/>
              </w:rPr>
            </w:pPr>
            <w:r w:rsidRPr="00D93A91">
              <w:rPr>
                <w:rFonts w:eastAsiaTheme="minorEastAsia"/>
                <w:color w:val="auto"/>
                <w:sz w:val="18"/>
                <w:szCs w:val="18"/>
              </w:rPr>
              <w:t>NAR</w:t>
            </w:r>
            <w:r w:rsidR="00BD4386" w:rsidRPr="00D93A91">
              <w:rPr>
                <w:rFonts w:eastAsiaTheme="minorEastAsia"/>
                <w:color w:val="auto"/>
                <w:sz w:val="18"/>
                <w:szCs w:val="18"/>
              </w:rPr>
              <w:t>SUM: left knee arthroscopy 1993</w:t>
            </w:r>
            <w:r w:rsidRPr="00D93A91">
              <w:rPr>
                <w:rFonts w:eastAsiaTheme="minorEastAsia"/>
                <w:color w:val="auto"/>
                <w:sz w:val="18"/>
                <w:szCs w:val="18"/>
              </w:rPr>
              <w:t xml:space="preserve"> </w:t>
            </w:r>
            <w:r w:rsidR="00BD4386" w:rsidRPr="00D93A91">
              <w:rPr>
                <w:rFonts w:eastAsiaTheme="minorEastAsia"/>
                <w:color w:val="auto"/>
                <w:sz w:val="18"/>
                <w:szCs w:val="18"/>
              </w:rPr>
              <w:t xml:space="preserve">with partial medial and lateral </w:t>
            </w:r>
            <w:proofErr w:type="spellStart"/>
            <w:r w:rsidR="00BD4386" w:rsidRPr="00D93A91">
              <w:rPr>
                <w:rFonts w:eastAsiaTheme="minorEastAsia"/>
                <w:color w:val="auto"/>
                <w:sz w:val="18"/>
                <w:szCs w:val="18"/>
              </w:rPr>
              <w:t>meniscectomies</w:t>
            </w:r>
            <w:proofErr w:type="spellEnd"/>
            <w:r w:rsidR="00BD4386" w:rsidRPr="00D93A91">
              <w:rPr>
                <w:rFonts w:eastAsiaTheme="minorEastAsia"/>
                <w:color w:val="auto"/>
                <w:sz w:val="18"/>
                <w:szCs w:val="18"/>
              </w:rPr>
              <w:t xml:space="preserve">; </w:t>
            </w:r>
            <w:r w:rsidRPr="00D93A91">
              <w:rPr>
                <w:rFonts w:eastAsiaTheme="minorEastAsia"/>
                <w:color w:val="auto"/>
                <w:sz w:val="18"/>
                <w:szCs w:val="18"/>
              </w:rPr>
              <w:t xml:space="preserve">Separation H&amp;P: Left </w:t>
            </w:r>
            <w:proofErr w:type="spellStart"/>
            <w:r w:rsidRPr="00D93A91">
              <w:rPr>
                <w:rFonts w:eastAsiaTheme="minorEastAsia"/>
                <w:color w:val="auto"/>
                <w:sz w:val="18"/>
                <w:szCs w:val="18"/>
              </w:rPr>
              <w:t>Patellofemoral</w:t>
            </w:r>
            <w:proofErr w:type="spellEnd"/>
            <w:r w:rsidRPr="00D93A91">
              <w:rPr>
                <w:rFonts w:eastAsiaTheme="minorEastAsia"/>
                <w:color w:val="auto"/>
                <w:sz w:val="18"/>
                <w:szCs w:val="18"/>
              </w:rPr>
              <w:t xml:space="preserve"> Syndrome</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8812DD">
            <w:pPr>
              <w:rPr>
                <w:rFonts w:eastAsiaTheme="minorEastAsia"/>
                <w:sz w:val="20"/>
                <w:szCs w:val="18"/>
              </w:rPr>
            </w:pPr>
            <w:r w:rsidRPr="00D93A91">
              <w:rPr>
                <w:color w:val="auto"/>
                <w:sz w:val="20"/>
                <w:szCs w:val="18"/>
              </w:rPr>
              <w:t>Left Patellar Tendonitis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5260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497240">
            <w:pPr>
              <w:jc w:val="center"/>
              <w:rPr>
                <w:rFonts w:eastAsiaTheme="minorEastAsia"/>
                <w:color w:val="000000" w:themeColor="text1"/>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jc w:val="center"/>
              <w:rPr>
                <w:rFonts w:eastAsiaTheme="minorEastAsia"/>
                <w:color w:val="000000" w:themeColor="text1"/>
                <w:sz w:val="18"/>
                <w:szCs w:val="18"/>
              </w:rPr>
            </w:pPr>
            <w:r w:rsidRPr="00D93A91">
              <w:rPr>
                <w:rFonts w:cs="Times New Roman"/>
                <w:color w:val="000000" w:themeColor="text1"/>
                <w:sz w:val="18"/>
                <w:szCs w:val="18"/>
              </w:rPr>
              <w:t>20050201</w:t>
            </w:r>
          </w:p>
        </w:tc>
      </w:tr>
      <w:tr w:rsidR="0005761C"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05761C">
            <w:pPr>
              <w:jc w:val="center"/>
              <w:rPr>
                <w:rFonts w:eastAsiaTheme="minorEastAsia"/>
                <w:color w:val="auto"/>
                <w:sz w:val="18"/>
                <w:szCs w:val="18"/>
              </w:rPr>
            </w:pPr>
            <w:r w:rsidRPr="00D93A91">
              <w:rPr>
                <w:rFonts w:eastAsiaTheme="minorEastAsia"/>
                <w:color w:val="auto"/>
                <w:sz w:val="18"/>
                <w:szCs w:val="18"/>
              </w:rPr>
              <w:t>Separation H&amp;P: Tinnitus</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8812DD">
            <w:pPr>
              <w:pStyle w:val="ListParagraph"/>
              <w:spacing w:after="0" w:line="240" w:lineRule="auto"/>
              <w:ind w:left="0"/>
              <w:rPr>
                <w:rFonts w:cs="Times New Roman"/>
                <w:sz w:val="20"/>
                <w:szCs w:val="18"/>
              </w:rPr>
            </w:pPr>
            <w:r w:rsidRPr="00D93A91">
              <w:rPr>
                <w:sz w:val="20"/>
                <w:szCs w:val="18"/>
              </w:rPr>
              <w:t>Tinnitus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6510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20050201</w:t>
            </w:r>
          </w:p>
        </w:tc>
      </w:tr>
      <w:tr w:rsidR="0005761C"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05761C">
            <w:pPr>
              <w:jc w:val="center"/>
              <w:rPr>
                <w:rFonts w:eastAsiaTheme="minorEastAsia"/>
                <w:color w:val="auto"/>
                <w:sz w:val="18"/>
                <w:szCs w:val="18"/>
              </w:rPr>
            </w:pPr>
            <w:r w:rsidRPr="00D93A91">
              <w:rPr>
                <w:rFonts w:eastAsiaTheme="minorEastAsia"/>
                <w:color w:val="auto"/>
                <w:sz w:val="18"/>
                <w:szCs w:val="18"/>
              </w:rPr>
              <w:t>Separation H&amp;P: GERD</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8812DD">
            <w:pPr>
              <w:autoSpaceDE w:val="0"/>
              <w:autoSpaceDN w:val="0"/>
              <w:adjustRightInd w:val="0"/>
              <w:rPr>
                <w:rFonts w:eastAsiaTheme="minorEastAsia" w:cs="Times New Roman"/>
                <w:sz w:val="20"/>
                <w:szCs w:val="18"/>
              </w:rPr>
            </w:pPr>
            <w:proofErr w:type="spellStart"/>
            <w:r w:rsidRPr="00D93A91">
              <w:rPr>
                <w:color w:val="auto"/>
                <w:sz w:val="20"/>
                <w:szCs w:val="18"/>
              </w:rPr>
              <w:t>Gastroesophageal</w:t>
            </w:r>
            <w:proofErr w:type="spellEnd"/>
            <w:r w:rsidRPr="00D93A91">
              <w:rPr>
                <w:color w:val="auto"/>
                <w:sz w:val="20"/>
                <w:szCs w:val="18"/>
              </w:rPr>
              <w:t xml:space="preserve"> Reflux Disease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7346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497240">
            <w:pPr>
              <w:pStyle w:val="ListParagraph"/>
              <w:spacing w:after="0" w:line="240" w:lineRule="auto"/>
              <w:ind w:left="0"/>
              <w:jc w:val="center"/>
              <w:rPr>
                <w:rFonts w:cs="Times New Roman"/>
                <w:color w:val="000000" w:themeColor="text1"/>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20050201</w:t>
            </w:r>
          </w:p>
        </w:tc>
      </w:tr>
      <w:tr w:rsidR="0005761C"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05761C">
            <w:pPr>
              <w:jc w:val="center"/>
              <w:rPr>
                <w:rFonts w:eastAsiaTheme="minorEastAsia"/>
                <w:color w:val="auto"/>
                <w:sz w:val="18"/>
                <w:szCs w:val="18"/>
              </w:rPr>
            </w:pPr>
            <w:r w:rsidRPr="00D93A91">
              <w:rPr>
                <w:rFonts w:eastAsiaTheme="minorEastAsia"/>
                <w:color w:val="auto"/>
                <w:sz w:val="18"/>
                <w:szCs w:val="18"/>
              </w:rPr>
              <w:t>Separation H&amp;P: Right wrist pain</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8812DD">
            <w:pPr>
              <w:autoSpaceDE w:val="0"/>
              <w:autoSpaceDN w:val="0"/>
              <w:adjustRightInd w:val="0"/>
              <w:rPr>
                <w:color w:val="auto"/>
                <w:sz w:val="20"/>
                <w:szCs w:val="18"/>
              </w:rPr>
            </w:pPr>
            <w:r w:rsidRPr="00D93A91">
              <w:rPr>
                <w:color w:val="auto"/>
                <w:sz w:val="20"/>
                <w:szCs w:val="18"/>
              </w:rPr>
              <w:t>Right Carpal Tunnel Syndrome (Claimed As Right Wrist</w:t>
            </w:r>
          </w:p>
          <w:p w:rsidR="0005761C" w:rsidRPr="00D93A91" w:rsidRDefault="0005761C" w:rsidP="008812DD">
            <w:pPr>
              <w:pStyle w:val="ListParagraph"/>
              <w:spacing w:after="0" w:line="240" w:lineRule="auto"/>
              <w:ind w:left="0"/>
              <w:rPr>
                <w:rFonts w:cs="Times New Roman"/>
                <w:sz w:val="20"/>
                <w:szCs w:val="18"/>
              </w:rPr>
            </w:pPr>
            <w:r w:rsidRPr="00D93A91">
              <w:rPr>
                <w:sz w:val="20"/>
                <w:szCs w:val="18"/>
              </w:rPr>
              <w:t>Pain)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8515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497240">
            <w:pPr>
              <w:pStyle w:val="ListParagraph"/>
              <w:spacing w:after="0" w:line="240" w:lineRule="auto"/>
              <w:ind w:left="0"/>
              <w:jc w:val="center"/>
              <w:rPr>
                <w:rFonts w:cs="Times New Roman"/>
                <w:color w:val="000000" w:themeColor="text1"/>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20050201</w:t>
            </w:r>
          </w:p>
        </w:tc>
      </w:tr>
      <w:tr w:rsidR="0005761C"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05761C">
            <w:pPr>
              <w:jc w:val="center"/>
              <w:rPr>
                <w:rFonts w:eastAsiaTheme="minorEastAsia"/>
                <w:color w:val="auto"/>
                <w:sz w:val="18"/>
                <w:szCs w:val="18"/>
              </w:rPr>
            </w:pPr>
            <w:r w:rsidRPr="00D93A91">
              <w:rPr>
                <w:rFonts w:eastAsiaTheme="minorEastAsia"/>
                <w:color w:val="auto"/>
                <w:sz w:val="18"/>
                <w:szCs w:val="18"/>
              </w:rPr>
              <w:t xml:space="preserve">MEB H&amp;P: </w:t>
            </w:r>
            <w:proofErr w:type="spellStart"/>
            <w:r w:rsidRPr="00D93A91">
              <w:rPr>
                <w:rFonts w:eastAsiaTheme="minorEastAsia"/>
                <w:color w:val="auto"/>
                <w:sz w:val="18"/>
                <w:szCs w:val="18"/>
              </w:rPr>
              <w:t>Tinea</w:t>
            </w:r>
            <w:proofErr w:type="spellEnd"/>
            <w:r w:rsidRPr="00D93A91">
              <w:rPr>
                <w:rFonts w:eastAsiaTheme="minorEastAsia"/>
                <w:color w:val="auto"/>
                <w:sz w:val="18"/>
                <w:szCs w:val="18"/>
              </w:rPr>
              <w:t xml:space="preserve"> </w:t>
            </w:r>
            <w:proofErr w:type="spellStart"/>
            <w:r w:rsidRPr="00D93A91">
              <w:rPr>
                <w:rFonts w:eastAsiaTheme="minorEastAsia"/>
                <w:color w:val="auto"/>
                <w:sz w:val="18"/>
                <w:szCs w:val="18"/>
              </w:rPr>
              <w:t>Pedis</w:t>
            </w:r>
            <w:proofErr w:type="spellEnd"/>
            <w:r w:rsidRPr="00D93A91">
              <w:rPr>
                <w:rFonts w:eastAsiaTheme="minorEastAsia"/>
                <w:color w:val="auto"/>
                <w:sz w:val="18"/>
                <w:szCs w:val="18"/>
              </w:rPr>
              <w:t xml:space="preserve">, </w:t>
            </w:r>
            <w:proofErr w:type="spellStart"/>
            <w:r w:rsidR="004B6108" w:rsidRPr="00D93A91">
              <w:rPr>
                <w:rFonts w:eastAsiaTheme="minorEastAsia"/>
                <w:color w:val="auto"/>
                <w:sz w:val="18"/>
                <w:szCs w:val="18"/>
              </w:rPr>
              <w:lastRenderedPageBreak/>
              <w:t>Onychomycosis</w:t>
            </w:r>
            <w:proofErr w:type="spellEnd"/>
          </w:p>
          <w:p w:rsidR="004B6108" w:rsidRPr="00D93A91" w:rsidRDefault="004B6108">
            <w:pPr>
              <w:jc w:val="center"/>
              <w:rPr>
                <w:rFonts w:eastAsiaTheme="minorEastAsia"/>
                <w:color w:val="auto"/>
                <w:sz w:val="18"/>
                <w:szCs w:val="18"/>
              </w:rPr>
            </w:pPr>
            <w:r w:rsidRPr="00D93A91">
              <w:rPr>
                <w:rFonts w:eastAsiaTheme="minorEastAsia"/>
                <w:color w:val="auto"/>
                <w:sz w:val="18"/>
                <w:szCs w:val="18"/>
              </w:rPr>
              <w:t>Separation H&amp;P: Bilateral Bunions</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F113C3">
            <w:pPr>
              <w:autoSpaceDE w:val="0"/>
              <w:autoSpaceDN w:val="0"/>
              <w:adjustRightInd w:val="0"/>
              <w:spacing w:line="240" w:lineRule="exact"/>
              <w:rPr>
                <w:color w:val="auto"/>
                <w:sz w:val="20"/>
                <w:szCs w:val="20"/>
              </w:rPr>
            </w:pPr>
            <w:r w:rsidRPr="00D93A91">
              <w:rPr>
                <w:color w:val="auto"/>
                <w:sz w:val="20"/>
                <w:szCs w:val="20"/>
              </w:rPr>
              <w:lastRenderedPageBreak/>
              <w:t xml:space="preserve">Bilateral </w:t>
            </w:r>
            <w:proofErr w:type="spellStart"/>
            <w:r w:rsidRPr="00D93A91">
              <w:rPr>
                <w:color w:val="auto"/>
                <w:sz w:val="20"/>
                <w:szCs w:val="20"/>
              </w:rPr>
              <w:t>Hallux</w:t>
            </w:r>
            <w:proofErr w:type="spellEnd"/>
            <w:r w:rsidRPr="00D93A91">
              <w:rPr>
                <w:color w:val="auto"/>
                <w:sz w:val="20"/>
                <w:szCs w:val="20"/>
              </w:rPr>
              <w:t xml:space="preserve"> </w:t>
            </w:r>
            <w:proofErr w:type="spellStart"/>
            <w:r w:rsidRPr="00D93A91">
              <w:rPr>
                <w:color w:val="auto"/>
                <w:sz w:val="20"/>
                <w:szCs w:val="20"/>
              </w:rPr>
              <w:t>Valgus</w:t>
            </w:r>
            <w:proofErr w:type="spellEnd"/>
            <w:r w:rsidRPr="00D93A91">
              <w:rPr>
                <w:color w:val="auto"/>
                <w:sz w:val="20"/>
                <w:szCs w:val="20"/>
              </w:rPr>
              <w:t xml:space="preserve">, </w:t>
            </w:r>
            <w:proofErr w:type="spellStart"/>
            <w:r w:rsidRPr="00D93A91">
              <w:rPr>
                <w:color w:val="auto"/>
                <w:sz w:val="20"/>
                <w:szCs w:val="20"/>
              </w:rPr>
              <w:t>Pes</w:t>
            </w:r>
            <w:proofErr w:type="spellEnd"/>
            <w:r w:rsidRPr="00D93A91">
              <w:rPr>
                <w:color w:val="auto"/>
                <w:sz w:val="20"/>
                <w:szCs w:val="20"/>
              </w:rPr>
              <w:t xml:space="preserve"> </w:t>
            </w:r>
            <w:proofErr w:type="spellStart"/>
            <w:r w:rsidRPr="00D93A91">
              <w:rPr>
                <w:color w:val="auto"/>
                <w:sz w:val="20"/>
                <w:szCs w:val="20"/>
              </w:rPr>
              <w:lastRenderedPageBreak/>
              <w:t>Planus</w:t>
            </w:r>
            <w:proofErr w:type="spellEnd"/>
            <w:r w:rsidRPr="00D93A91">
              <w:rPr>
                <w:color w:val="auto"/>
                <w:sz w:val="20"/>
                <w:szCs w:val="20"/>
              </w:rPr>
              <w:t>, with Associated</w:t>
            </w:r>
          </w:p>
          <w:p w:rsidR="0005761C" w:rsidRPr="00D93A91" w:rsidRDefault="0005761C" w:rsidP="00F113C3">
            <w:pPr>
              <w:autoSpaceDE w:val="0"/>
              <w:autoSpaceDN w:val="0"/>
              <w:adjustRightInd w:val="0"/>
              <w:spacing w:line="240" w:lineRule="exact"/>
              <w:rPr>
                <w:color w:val="auto"/>
                <w:sz w:val="20"/>
                <w:szCs w:val="20"/>
              </w:rPr>
            </w:pPr>
            <w:proofErr w:type="spellStart"/>
            <w:r w:rsidRPr="00D93A91">
              <w:rPr>
                <w:color w:val="auto"/>
                <w:sz w:val="20"/>
                <w:szCs w:val="20"/>
              </w:rPr>
              <w:t>Onychomycosis</w:t>
            </w:r>
            <w:proofErr w:type="spellEnd"/>
            <w:r w:rsidRPr="00D93A91">
              <w:rPr>
                <w:color w:val="auto"/>
                <w:sz w:val="20"/>
                <w:szCs w:val="20"/>
              </w:rPr>
              <w:t xml:space="preserve"> (Claimed as Bilateral Bunions and</w:t>
            </w:r>
          </w:p>
          <w:p w:rsidR="0005761C" w:rsidRPr="00D93A91" w:rsidRDefault="0005761C" w:rsidP="00F113C3">
            <w:pPr>
              <w:autoSpaceDE w:val="0"/>
              <w:autoSpaceDN w:val="0"/>
              <w:adjustRightInd w:val="0"/>
              <w:spacing w:line="240" w:lineRule="exact"/>
              <w:rPr>
                <w:color w:val="auto"/>
                <w:sz w:val="20"/>
                <w:szCs w:val="18"/>
              </w:rPr>
            </w:pPr>
            <w:r w:rsidRPr="00D93A91">
              <w:rPr>
                <w:color w:val="auto"/>
                <w:sz w:val="20"/>
                <w:szCs w:val="20"/>
              </w:rPr>
              <w:t>Toenail Infection)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lastRenderedPageBreak/>
              <w:t>5280-</w:t>
            </w:r>
            <w:r w:rsidRPr="00D93A91">
              <w:rPr>
                <w:rFonts w:eastAsiaTheme="minorEastAsia"/>
                <w:color w:val="000000" w:themeColor="text1"/>
                <w:sz w:val="18"/>
                <w:szCs w:val="18"/>
              </w:rPr>
              <w:lastRenderedPageBreak/>
              <w:t>5276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DD4573">
            <w:pPr>
              <w:jc w:val="center"/>
              <w:rPr>
                <w:rFonts w:eastAsiaTheme="minorEastAsia"/>
                <w:color w:val="000000" w:themeColor="text1"/>
                <w:sz w:val="18"/>
                <w:szCs w:val="18"/>
              </w:rPr>
            </w:pPr>
            <w:r w:rsidRPr="00D93A91">
              <w:rPr>
                <w:rFonts w:eastAsiaTheme="minorEastAsia"/>
                <w:color w:val="000000" w:themeColor="text1"/>
                <w:sz w:val="18"/>
                <w:szCs w:val="18"/>
              </w:rPr>
              <w:lastRenderedPageBreak/>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DD4573">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DD4573">
            <w:pPr>
              <w:pStyle w:val="ListParagraph"/>
              <w:spacing w:after="0" w:line="240" w:lineRule="auto"/>
              <w:ind w:left="0"/>
              <w:jc w:val="center"/>
              <w:rPr>
                <w:rFonts w:cs="Times New Roman"/>
                <w:color w:val="000000" w:themeColor="text1"/>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DD4573">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lastRenderedPageBreak/>
              <w:t>20050201</w:t>
            </w:r>
          </w:p>
        </w:tc>
      </w:tr>
      <w:tr w:rsidR="0005761C" w:rsidRPr="00D93A91"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lastRenderedPageBreak/>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05761C">
            <w:pPr>
              <w:jc w:val="center"/>
              <w:rPr>
                <w:rFonts w:eastAsiaTheme="minorEastAsia"/>
                <w:color w:val="auto"/>
                <w:sz w:val="18"/>
                <w:szCs w:val="18"/>
              </w:rPr>
            </w:pPr>
            <w:r w:rsidRPr="00D93A91">
              <w:rPr>
                <w:rFonts w:eastAsiaTheme="minorEastAsia"/>
                <w:color w:val="auto"/>
                <w:sz w:val="18"/>
                <w:szCs w:val="18"/>
              </w:rPr>
              <w:t>MEB H&amp;P: seasonal allergic rhinitis</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8812DD">
            <w:pPr>
              <w:autoSpaceDE w:val="0"/>
              <w:autoSpaceDN w:val="0"/>
              <w:adjustRightInd w:val="0"/>
              <w:rPr>
                <w:color w:val="auto"/>
                <w:sz w:val="20"/>
                <w:szCs w:val="18"/>
              </w:rPr>
            </w:pPr>
            <w:r w:rsidRPr="00D93A91">
              <w:rPr>
                <w:color w:val="auto"/>
                <w:sz w:val="20"/>
                <w:szCs w:val="18"/>
              </w:rPr>
              <w:t>Sinusitis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6510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DD4573">
            <w:pPr>
              <w:jc w:val="center"/>
              <w:rPr>
                <w:rFonts w:eastAsiaTheme="minorEastAsia"/>
                <w:color w:val="000000" w:themeColor="text1"/>
                <w:sz w:val="18"/>
                <w:szCs w:val="18"/>
              </w:rPr>
            </w:pPr>
            <w:r w:rsidRPr="00D93A91">
              <w:rPr>
                <w:rFonts w:eastAsiaTheme="minorEastAsia"/>
                <w:color w:val="000000" w:themeColor="text1"/>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DD4573">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DD4573">
            <w:pPr>
              <w:pStyle w:val="ListParagraph"/>
              <w:spacing w:after="0" w:line="240" w:lineRule="auto"/>
              <w:ind w:left="0"/>
              <w:jc w:val="center"/>
              <w:rPr>
                <w:rFonts w:cs="Times New Roman"/>
                <w:color w:val="000000" w:themeColor="text1"/>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DD4573">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20050201</w:t>
            </w:r>
          </w:p>
        </w:tc>
      </w:tr>
      <w:tr w:rsidR="0005761C" w:rsidRPr="00473D5C" w:rsidTr="00C309C2">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 w:rsidRPr="00D93A91">
              <w:rPr>
                <w:rFonts w:eastAsiaTheme="minorEastAsia"/>
                <w:color w:val="auto"/>
                <w:sz w:val="20"/>
                <w:szCs w:val="18"/>
              </w:rPr>
              <w:t>Not Addressed by PEB</w:t>
            </w: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5761C" w:rsidRPr="00D93A91" w:rsidRDefault="004B6108">
            <w:pPr>
              <w:jc w:val="center"/>
              <w:rPr>
                <w:rFonts w:eastAsiaTheme="minorEastAsia"/>
                <w:color w:val="auto"/>
                <w:sz w:val="18"/>
                <w:szCs w:val="18"/>
              </w:rPr>
            </w:pPr>
            <w:r w:rsidRPr="00D93A91">
              <w:rPr>
                <w:rFonts w:eastAsiaTheme="minorEastAsia"/>
                <w:color w:val="auto"/>
                <w:sz w:val="18"/>
                <w:szCs w:val="18"/>
              </w:rPr>
              <w:t>MEB H&amp;P: Pre-hypertension</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8812DD">
            <w:pPr>
              <w:pStyle w:val="ListParagraph"/>
              <w:spacing w:after="0" w:line="240" w:lineRule="auto"/>
              <w:ind w:left="0"/>
              <w:rPr>
                <w:rFonts w:cs="Times New Roman"/>
                <w:sz w:val="20"/>
                <w:szCs w:val="18"/>
              </w:rPr>
            </w:pPr>
            <w:r w:rsidRPr="00D93A91">
              <w:rPr>
                <w:sz w:val="20"/>
                <w:szCs w:val="18"/>
              </w:rPr>
              <w:t>Hypertension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7101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Deferred</w:t>
            </w:r>
          </w:p>
          <w:p w:rsidR="0005761C" w:rsidRPr="00D93A91" w:rsidRDefault="0005761C" w:rsidP="00497240">
            <w:pPr>
              <w:jc w:val="center"/>
              <w:rPr>
                <w:rFonts w:eastAsiaTheme="minorEastAsia"/>
                <w:color w:val="000000" w:themeColor="text1"/>
                <w:sz w:val="18"/>
                <w:szCs w:val="18"/>
              </w:rPr>
            </w:pPr>
            <w:r w:rsidRPr="00D93A91">
              <w:rPr>
                <w:rFonts w:eastAsiaTheme="minorEastAsia"/>
                <w:color w:val="000000" w:themeColor="text1"/>
                <w:sz w:val="18"/>
                <w:szCs w:val="18"/>
              </w:rPr>
              <w:t>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20050510</w:t>
            </w:r>
          </w:p>
          <w:p w:rsidR="0005761C" w:rsidRPr="00D93A91" w:rsidRDefault="0005761C" w:rsidP="0065514F">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20051212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5761C" w:rsidRPr="00D93A91" w:rsidRDefault="0005761C" w:rsidP="00497240">
            <w:pPr>
              <w:pStyle w:val="ListParagraph"/>
              <w:spacing w:after="0" w:line="240" w:lineRule="auto"/>
              <w:ind w:left="0"/>
              <w:jc w:val="center"/>
              <w:rPr>
                <w:rFonts w:cs="Times New Roman"/>
                <w:color w:val="000000" w:themeColor="text1"/>
                <w:sz w:val="18"/>
                <w:szCs w:val="18"/>
              </w:rPr>
            </w:pPr>
            <w:r w:rsidRPr="00D93A91">
              <w:rPr>
                <w:rFonts w:cs="Times New Roman"/>
                <w:color w:val="000000" w:themeColor="text1"/>
                <w:sz w:val="18"/>
                <w:szCs w:val="18"/>
              </w:rPr>
              <w:t>20050201</w:t>
            </w:r>
          </w:p>
        </w:tc>
      </w:tr>
      <w:tr w:rsidR="0065514F" w:rsidRPr="00473D5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5514F" w:rsidRPr="00D93A91" w:rsidRDefault="0065514F">
            <w:pPr>
              <w:pStyle w:val="ListParagraph"/>
              <w:spacing w:after="0" w:line="240" w:lineRule="auto"/>
              <w:ind w:left="0"/>
              <w:jc w:val="center"/>
              <w:rPr>
                <w:rFonts w:cs="Times New Roman"/>
                <w:b/>
                <w:szCs w:val="20"/>
              </w:rPr>
            </w:pPr>
            <w:r w:rsidRPr="00D93A91">
              <w:rPr>
                <w:rFonts w:cs="Times New Roman"/>
                <w:b/>
                <w:szCs w:val="20"/>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5514F" w:rsidRPr="00D93A91" w:rsidRDefault="0065514F">
            <w:pPr>
              <w:pStyle w:val="ListParagraph"/>
              <w:spacing w:after="0" w:line="240" w:lineRule="auto"/>
              <w:ind w:left="0"/>
              <w:jc w:val="center"/>
              <w:rPr>
                <w:rFonts w:cs="Times New Roman"/>
                <w:b/>
                <w:szCs w:val="20"/>
              </w:rPr>
            </w:pPr>
            <w:r w:rsidRPr="00D93A91">
              <w:rPr>
                <w:rFonts w:cs="Times New Roman"/>
                <w:b/>
                <w:szCs w:val="20"/>
              </w:rPr>
              <w:t>TOTAL Combined (</w:t>
            </w:r>
            <w:r w:rsidRPr="00D93A91">
              <w:rPr>
                <w:rFonts w:cs="Times New Roman"/>
                <w:b/>
                <w:i/>
                <w:szCs w:val="20"/>
              </w:rPr>
              <w:t>Includes Non-PEB Conditions</w:t>
            </w:r>
            <w:r w:rsidRPr="00D93A91">
              <w:rPr>
                <w:rFonts w:cs="Times New Roman"/>
                <w:b/>
                <w:szCs w:val="20"/>
              </w:rPr>
              <w:t xml:space="preserve">):    </w:t>
            </w:r>
          </w:p>
          <w:p w:rsidR="0065514F" w:rsidRPr="00D93A91" w:rsidRDefault="0065514F" w:rsidP="006812D3">
            <w:pPr>
              <w:pStyle w:val="ListParagraph"/>
              <w:spacing w:after="0" w:line="240" w:lineRule="auto"/>
              <w:ind w:left="0"/>
              <w:jc w:val="center"/>
              <w:rPr>
                <w:rFonts w:cs="Times New Roman"/>
                <w:b/>
                <w:szCs w:val="20"/>
              </w:rPr>
            </w:pPr>
            <w:r w:rsidRPr="00D93A91">
              <w:rPr>
                <w:rFonts w:cs="Times New Roman"/>
                <w:b/>
                <w:szCs w:val="20"/>
              </w:rPr>
              <w:t xml:space="preserve"> 70% from 20050201        </w:t>
            </w:r>
          </w:p>
          <w:p w:rsidR="00DD4573" w:rsidRPr="00D93A91" w:rsidRDefault="0065514F" w:rsidP="006812D3">
            <w:pPr>
              <w:pStyle w:val="ListParagraph"/>
              <w:spacing w:after="0" w:line="240" w:lineRule="auto"/>
              <w:ind w:left="0"/>
              <w:jc w:val="center"/>
              <w:rPr>
                <w:rFonts w:cs="Times New Roman"/>
                <w:szCs w:val="20"/>
              </w:rPr>
            </w:pPr>
            <w:r w:rsidRPr="00D93A91">
              <w:rPr>
                <w:rFonts w:cs="Times New Roman"/>
                <w:szCs w:val="20"/>
              </w:rPr>
              <w:t xml:space="preserve">(Bilateral factor of 4.7 for 5024, 5024, 5024, 5024, 5260, 5260) </w:t>
            </w:r>
          </w:p>
          <w:p w:rsidR="00DD4573" w:rsidRPr="00D93A91" w:rsidRDefault="00DD4573" w:rsidP="006812D3">
            <w:pPr>
              <w:pStyle w:val="ListParagraph"/>
              <w:spacing w:after="0" w:line="240" w:lineRule="auto"/>
              <w:ind w:left="0"/>
              <w:jc w:val="center"/>
              <w:rPr>
                <w:rFonts w:cs="Times New Roman"/>
                <w:b/>
                <w:szCs w:val="20"/>
              </w:rPr>
            </w:pPr>
            <w:r w:rsidRPr="00D93A91">
              <w:rPr>
                <w:rFonts w:cs="Times New Roman"/>
                <w:b/>
                <w:szCs w:val="20"/>
              </w:rPr>
              <w:t>80% from 11/03/2006</w:t>
            </w:r>
            <w:r w:rsidR="0065514F" w:rsidRPr="00D93A91">
              <w:rPr>
                <w:rFonts w:cs="Times New Roman"/>
                <w:b/>
                <w:szCs w:val="20"/>
              </w:rPr>
              <w:t xml:space="preserve">  </w:t>
            </w:r>
          </w:p>
          <w:p w:rsidR="0065514F" w:rsidRPr="00D93A91" w:rsidRDefault="00DD4573" w:rsidP="00DD4573">
            <w:pPr>
              <w:pStyle w:val="ListParagraph"/>
              <w:spacing w:after="0" w:line="240" w:lineRule="auto"/>
              <w:ind w:left="0"/>
              <w:jc w:val="center"/>
              <w:rPr>
                <w:rFonts w:cs="Times New Roman"/>
                <w:szCs w:val="20"/>
              </w:rPr>
            </w:pPr>
            <w:r w:rsidRPr="00D93A91">
              <w:rPr>
                <w:rFonts w:cs="Times New Roman"/>
                <w:szCs w:val="20"/>
              </w:rPr>
              <w:t xml:space="preserve">(Bilateral factor of 4.7 for 5024, 5024, 5024, 5024, 5260, 5260) </w:t>
            </w:r>
            <w:r w:rsidR="0065514F" w:rsidRPr="00D93A91">
              <w:rPr>
                <w:rFonts w:cs="Times New Roman"/>
                <w:szCs w:val="20"/>
              </w:rPr>
              <w:t xml:space="preserve">                                                             </w:t>
            </w:r>
          </w:p>
        </w:tc>
      </w:tr>
    </w:tbl>
    <w:p w:rsidR="00A90D55" w:rsidRPr="00497240" w:rsidRDefault="008B5D31" w:rsidP="00875F2D">
      <w:pPr>
        <w:tabs>
          <w:tab w:val="left" w:pos="288"/>
          <w:tab w:val="left" w:pos="4752"/>
        </w:tabs>
        <w:spacing w:line="240" w:lineRule="exact"/>
        <w:jc w:val="both"/>
        <w:rPr>
          <w:rFonts w:asciiTheme="minorHAnsi" w:hAnsiTheme="minorHAnsi"/>
          <w:color w:val="auto"/>
          <w:szCs w:val="24"/>
        </w:rPr>
      </w:pPr>
      <w:r w:rsidRPr="00497240">
        <w:rPr>
          <w:rFonts w:asciiTheme="minorHAnsi" w:hAnsiTheme="minorHAnsi"/>
          <w:color w:val="auto"/>
          <w:szCs w:val="24"/>
          <w:u w:val="single"/>
        </w:rPr>
        <w:t>____________________________________________________________</w:t>
      </w:r>
      <w:r w:rsidR="00526C9B">
        <w:rPr>
          <w:rFonts w:asciiTheme="minorHAnsi" w:hAnsiTheme="minorHAnsi"/>
          <w:color w:val="auto"/>
          <w:szCs w:val="24"/>
          <w:u w:val="single"/>
        </w:rPr>
        <w:t>______________</w:t>
      </w:r>
      <w:r w:rsidRPr="00497240">
        <w:rPr>
          <w:rFonts w:asciiTheme="minorHAnsi" w:hAnsiTheme="minorHAnsi"/>
          <w:color w:val="auto"/>
          <w:szCs w:val="24"/>
          <w:u w:val="single"/>
        </w:rPr>
        <w:t>___</w:t>
      </w:r>
      <w:r w:rsidR="00A90D55" w:rsidRPr="00497240">
        <w:rPr>
          <w:rFonts w:asciiTheme="minorHAnsi" w:hAnsiTheme="minorHAnsi"/>
          <w:color w:val="auto"/>
          <w:szCs w:val="24"/>
        </w:rPr>
        <w:t>_</w:t>
      </w:r>
    </w:p>
    <w:p w:rsidR="004B7B76" w:rsidRPr="00497240" w:rsidRDefault="004B7B76" w:rsidP="00875F2D">
      <w:pPr>
        <w:tabs>
          <w:tab w:val="left" w:pos="288"/>
          <w:tab w:val="left" w:pos="4752"/>
        </w:tabs>
        <w:spacing w:line="240" w:lineRule="exact"/>
        <w:jc w:val="both"/>
        <w:rPr>
          <w:color w:val="auto"/>
          <w:szCs w:val="24"/>
        </w:rPr>
      </w:pPr>
    </w:p>
    <w:p w:rsidR="00A90D55" w:rsidRDefault="00A90D55" w:rsidP="00497240">
      <w:pPr>
        <w:tabs>
          <w:tab w:val="left" w:pos="288"/>
          <w:tab w:val="left" w:pos="4752"/>
        </w:tabs>
        <w:spacing w:line="240" w:lineRule="exact"/>
        <w:jc w:val="both"/>
        <w:rPr>
          <w:color w:val="auto"/>
          <w:szCs w:val="24"/>
        </w:rPr>
      </w:pPr>
      <w:r w:rsidRPr="00497240">
        <w:rPr>
          <w:color w:val="auto"/>
          <w:szCs w:val="24"/>
          <w:u w:val="single"/>
        </w:rPr>
        <w:t>ANALYSIS SUMMARY</w:t>
      </w:r>
      <w:r w:rsidRPr="00497240">
        <w:rPr>
          <w:color w:val="auto"/>
          <w:szCs w:val="24"/>
        </w:rPr>
        <w:t>:</w:t>
      </w:r>
    </w:p>
    <w:p w:rsidR="001B3174" w:rsidRDefault="001B3174" w:rsidP="00497240">
      <w:pPr>
        <w:autoSpaceDE w:val="0"/>
        <w:autoSpaceDN w:val="0"/>
        <w:adjustRightInd w:val="0"/>
        <w:spacing w:line="240" w:lineRule="exact"/>
        <w:jc w:val="both"/>
        <w:rPr>
          <w:color w:val="auto"/>
          <w:szCs w:val="24"/>
          <w:u w:val="single"/>
        </w:rPr>
      </w:pPr>
    </w:p>
    <w:p w:rsidR="00AE3316" w:rsidRDefault="00920ECA" w:rsidP="00497240">
      <w:pPr>
        <w:autoSpaceDE w:val="0"/>
        <w:autoSpaceDN w:val="0"/>
        <w:adjustRightInd w:val="0"/>
        <w:spacing w:line="240" w:lineRule="exact"/>
        <w:jc w:val="both"/>
        <w:rPr>
          <w:color w:val="auto"/>
          <w:szCs w:val="24"/>
          <w:u w:val="single"/>
        </w:rPr>
      </w:pPr>
      <w:r w:rsidRPr="00920ECA">
        <w:rPr>
          <w:color w:val="auto"/>
          <w:szCs w:val="24"/>
          <w:u w:val="single"/>
        </w:rPr>
        <w:t xml:space="preserve">Analysis </w:t>
      </w:r>
      <w:proofErr w:type="spellStart"/>
      <w:r w:rsidR="00BD10CD" w:rsidRPr="00920ECA">
        <w:rPr>
          <w:color w:val="auto"/>
          <w:szCs w:val="24"/>
          <w:u w:val="single"/>
        </w:rPr>
        <w:t>Lumbosac</w:t>
      </w:r>
      <w:r w:rsidRPr="00920ECA">
        <w:rPr>
          <w:color w:val="auto"/>
          <w:szCs w:val="24"/>
          <w:u w:val="single"/>
        </w:rPr>
        <w:t>ral</w:t>
      </w:r>
      <w:proofErr w:type="spellEnd"/>
      <w:r w:rsidRPr="00920ECA">
        <w:rPr>
          <w:color w:val="auto"/>
          <w:szCs w:val="24"/>
          <w:u w:val="single"/>
        </w:rPr>
        <w:t xml:space="preserve"> </w:t>
      </w:r>
      <w:proofErr w:type="spellStart"/>
      <w:r w:rsidRPr="00920ECA">
        <w:rPr>
          <w:color w:val="auto"/>
          <w:szCs w:val="24"/>
          <w:u w:val="single"/>
        </w:rPr>
        <w:t>Spondylosis</w:t>
      </w:r>
      <w:proofErr w:type="spellEnd"/>
      <w:r w:rsidRPr="00920ECA">
        <w:rPr>
          <w:color w:val="auto"/>
          <w:szCs w:val="24"/>
          <w:u w:val="single"/>
        </w:rPr>
        <w:t xml:space="preserve"> w/o </w:t>
      </w:r>
      <w:proofErr w:type="spellStart"/>
      <w:r w:rsidRPr="00920ECA">
        <w:rPr>
          <w:color w:val="auto"/>
          <w:szCs w:val="24"/>
          <w:u w:val="single"/>
        </w:rPr>
        <w:t>Myelopathy</w:t>
      </w:r>
      <w:proofErr w:type="spellEnd"/>
      <w:r w:rsidRPr="00920ECA">
        <w:rPr>
          <w:color w:val="auto"/>
          <w:szCs w:val="24"/>
          <w:u w:val="single"/>
        </w:rPr>
        <w:t>:</w:t>
      </w:r>
    </w:p>
    <w:p w:rsidR="00920ECA" w:rsidRPr="00730217" w:rsidRDefault="00920ECA" w:rsidP="00497240">
      <w:pPr>
        <w:autoSpaceDE w:val="0"/>
        <w:autoSpaceDN w:val="0"/>
        <w:adjustRightInd w:val="0"/>
        <w:spacing w:line="240" w:lineRule="exact"/>
        <w:jc w:val="both"/>
        <w:rPr>
          <w:color w:val="auto"/>
          <w:szCs w:val="24"/>
        </w:rPr>
      </w:pPr>
      <w:r w:rsidRPr="00920ECA">
        <w:rPr>
          <w:color w:val="auto"/>
          <w:szCs w:val="24"/>
        </w:rPr>
        <w:t xml:space="preserve">The CI had a long history of low back pain which intermittently severely limited his physical activity. </w:t>
      </w:r>
      <w:r w:rsidR="001B3174">
        <w:rPr>
          <w:color w:val="auto"/>
          <w:szCs w:val="24"/>
        </w:rPr>
        <w:t xml:space="preserve"> </w:t>
      </w:r>
      <w:r w:rsidRPr="00920ECA">
        <w:rPr>
          <w:color w:val="auto"/>
          <w:szCs w:val="24"/>
        </w:rPr>
        <w:t xml:space="preserve">He was a former wrestler at the United States Naval Academy and noted that the pain begin while he was a Midshipman. </w:t>
      </w:r>
      <w:r w:rsidR="001B3174">
        <w:rPr>
          <w:color w:val="auto"/>
          <w:szCs w:val="24"/>
        </w:rPr>
        <w:t xml:space="preserve"> </w:t>
      </w:r>
      <w:r w:rsidRPr="00920ECA">
        <w:rPr>
          <w:color w:val="auto"/>
          <w:szCs w:val="24"/>
        </w:rPr>
        <w:t xml:space="preserve">The </w:t>
      </w:r>
      <w:r w:rsidR="001B3174">
        <w:rPr>
          <w:color w:val="auto"/>
          <w:szCs w:val="24"/>
        </w:rPr>
        <w:t>narrative summary (</w:t>
      </w:r>
      <w:r w:rsidRPr="00920ECA">
        <w:rPr>
          <w:color w:val="auto"/>
          <w:szCs w:val="24"/>
        </w:rPr>
        <w:t>NARSUM</w:t>
      </w:r>
      <w:r w:rsidR="001B3174">
        <w:rPr>
          <w:color w:val="auto"/>
          <w:szCs w:val="24"/>
        </w:rPr>
        <w:t>)</w:t>
      </w:r>
      <w:r w:rsidRPr="00920ECA">
        <w:rPr>
          <w:color w:val="auto"/>
          <w:szCs w:val="24"/>
        </w:rPr>
        <w:t xml:space="preserve"> of March 2004 reports it had been very difficult to run more than a short distance, less than a mile, over the previous nine years. </w:t>
      </w:r>
      <w:r w:rsidR="001B3174">
        <w:rPr>
          <w:color w:val="auto"/>
          <w:szCs w:val="24"/>
        </w:rPr>
        <w:t xml:space="preserve"> </w:t>
      </w:r>
      <w:r w:rsidRPr="00920ECA">
        <w:rPr>
          <w:color w:val="auto"/>
          <w:szCs w:val="24"/>
        </w:rPr>
        <w:t xml:space="preserve">He had pain with prolonged standing, which he found was relieved by bending at the waist as well as sitting or lying down. </w:t>
      </w:r>
      <w:r w:rsidR="001B3174">
        <w:rPr>
          <w:color w:val="auto"/>
          <w:szCs w:val="24"/>
        </w:rPr>
        <w:t xml:space="preserve"> </w:t>
      </w:r>
      <w:r w:rsidRPr="00920ECA">
        <w:rPr>
          <w:color w:val="auto"/>
          <w:szCs w:val="24"/>
        </w:rPr>
        <w:t xml:space="preserve">Episodically his pain was increased while sitting or lying down. </w:t>
      </w:r>
      <w:r w:rsidR="001B3174">
        <w:rPr>
          <w:color w:val="auto"/>
          <w:szCs w:val="24"/>
        </w:rPr>
        <w:t xml:space="preserve"> </w:t>
      </w:r>
      <w:r w:rsidRPr="00920ECA">
        <w:rPr>
          <w:color w:val="auto"/>
          <w:szCs w:val="24"/>
        </w:rPr>
        <w:t xml:space="preserve">He's had episodes of lower extremity weakness or a feeling of heaviness </w:t>
      </w:r>
      <w:r w:rsidRPr="00730217">
        <w:rPr>
          <w:color w:val="auto"/>
          <w:szCs w:val="24"/>
        </w:rPr>
        <w:t xml:space="preserve">but denied any tripping or falling. </w:t>
      </w:r>
      <w:r w:rsidR="001B3174">
        <w:rPr>
          <w:color w:val="auto"/>
          <w:szCs w:val="24"/>
        </w:rPr>
        <w:t xml:space="preserve"> </w:t>
      </w:r>
      <w:r w:rsidRPr="00730217">
        <w:rPr>
          <w:color w:val="auto"/>
          <w:szCs w:val="24"/>
        </w:rPr>
        <w:t>He denied any changes in bowel or bladder habits.</w:t>
      </w:r>
    </w:p>
    <w:p w:rsidR="00920ECA" w:rsidRPr="00730217" w:rsidRDefault="00920ECA" w:rsidP="00497240">
      <w:pPr>
        <w:autoSpaceDE w:val="0"/>
        <w:autoSpaceDN w:val="0"/>
        <w:adjustRightInd w:val="0"/>
        <w:spacing w:line="240" w:lineRule="exact"/>
        <w:jc w:val="both"/>
        <w:rPr>
          <w:color w:val="auto"/>
          <w:szCs w:val="24"/>
        </w:rPr>
      </w:pPr>
    </w:p>
    <w:p w:rsidR="00730217" w:rsidRDefault="00920ECA" w:rsidP="00497240">
      <w:pPr>
        <w:autoSpaceDE w:val="0"/>
        <w:autoSpaceDN w:val="0"/>
        <w:adjustRightInd w:val="0"/>
        <w:spacing w:line="240" w:lineRule="exact"/>
        <w:jc w:val="both"/>
        <w:rPr>
          <w:color w:val="auto"/>
          <w:szCs w:val="24"/>
        </w:rPr>
      </w:pPr>
      <w:r w:rsidRPr="00730217">
        <w:rPr>
          <w:color w:val="auto"/>
          <w:szCs w:val="24"/>
        </w:rPr>
        <w:t xml:space="preserve">The CI had a previous </w:t>
      </w:r>
      <w:r w:rsidR="001B3174">
        <w:rPr>
          <w:color w:val="auto"/>
          <w:szCs w:val="24"/>
        </w:rPr>
        <w:t>Limited Duty (</w:t>
      </w:r>
      <w:r w:rsidRPr="00730217">
        <w:rPr>
          <w:color w:val="auto"/>
          <w:szCs w:val="24"/>
        </w:rPr>
        <w:t>LIMDU</w:t>
      </w:r>
      <w:r w:rsidR="001B3174">
        <w:rPr>
          <w:color w:val="auto"/>
          <w:szCs w:val="24"/>
        </w:rPr>
        <w:t>)</w:t>
      </w:r>
      <w:r w:rsidRPr="00730217">
        <w:rPr>
          <w:color w:val="auto"/>
          <w:szCs w:val="24"/>
        </w:rPr>
        <w:t xml:space="preserve"> </w:t>
      </w:r>
      <w:r w:rsidR="00730217">
        <w:rPr>
          <w:color w:val="auto"/>
          <w:szCs w:val="24"/>
        </w:rPr>
        <w:t xml:space="preserve">Board in October 2001 after a seven year history of low back pain. </w:t>
      </w:r>
      <w:r w:rsidR="001B3174">
        <w:rPr>
          <w:color w:val="auto"/>
          <w:szCs w:val="24"/>
        </w:rPr>
        <w:t xml:space="preserve"> </w:t>
      </w:r>
      <w:r w:rsidR="00730217">
        <w:rPr>
          <w:color w:val="auto"/>
          <w:szCs w:val="24"/>
        </w:rPr>
        <w:t>At that time he had decreased range</w:t>
      </w:r>
      <w:r w:rsidR="001B3174">
        <w:rPr>
          <w:color w:val="auto"/>
          <w:szCs w:val="24"/>
        </w:rPr>
        <w:t>-</w:t>
      </w:r>
      <w:r w:rsidR="00730217">
        <w:rPr>
          <w:color w:val="auto"/>
          <w:szCs w:val="24"/>
        </w:rPr>
        <w:t>of</w:t>
      </w:r>
      <w:r w:rsidR="001B3174">
        <w:rPr>
          <w:color w:val="auto"/>
          <w:szCs w:val="24"/>
        </w:rPr>
        <w:t>-</w:t>
      </w:r>
      <w:r w:rsidR="00730217">
        <w:rPr>
          <w:color w:val="auto"/>
          <w:szCs w:val="24"/>
        </w:rPr>
        <w:t>motion (ROM) in all planes secondary to pain with normal strength, sensation, and deep tendon reflexes.</w:t>
      </w:r>
      <w:r w:rsidR="001B3174">
        <w:rPr>
          <w:color w:val="auto"/>
          <w:szCs w:val="24"/>
        </w:rPr>
        <w:t xml:space="preserve"> </w:t>
      </w:r>
      <w:r w:rsidR="00730217">
        <w:rPr>
          <w:color w:val="auto"/>
          <w:szCs w:val="24"/>
        </w:rPr>
        <w:t xml:space="preserve"> A </w:t>
      </w:r>
      <w:r w:rsidR="001B3174" w:rsidRPr="001B3174">
        <w:rPr>
          <w:color w:val="auto"/>
          <w:szCs w:val="24"/>
        </w:rPr>
        <w:t xml:space="preserve">Magnetic Resonance Imaging </w:t>
      </w:r>
      <w:r w:rsidR="001B3174">
        <w:rPr>
          <w:color w:val="auto"/>
          <w:szCs w:val="24"/>
        </w:rPr>
        <w:t>(</w:t>
      </w:r>
      <w:r w:rsidR="00730217">
        <w:rPr>
          <w:color w:val="auto"/>
          <w:szCs w:val="24"/>
        </w:rPr>
        <w:t>MRI</w:t>
      </w:r>
      <w:r w:rsidR="001B3174">
        <w:rPr>
          <w:color w:val="auto"/>
          <w:szCs w:val="24"/>
        </w:rPr>
        <w:t>)</w:t>
      </w:r>
      <w:r w:rsidR="00730217">
        <w:rPr>
          <w:color w:val="auto"/>
          <w:szCs w:val="24"/>
        </w:rPr>
        <w:t xml:space="preserve"> revealed multilevel lumbar </w:t>
      </w:r>
      <w:proofErr w:type="spellStart"/>
      <w:r w:rsidR="00730217">
        <w:rPr>
          <w:color w:val="auto"/>
          <w:szCs w:val="24"/>
        </w:rPr>
        <w:t>stenosis</w:t>
      </w:r>
      <w:proofErr w:type="spellEnd"/>
      <w:r w:rsidR="00730217">
        <w:rPr>
          <w:color w:val="auto"/>
          <w:szCs w:val="24"/>
        </w:rPr>
        <w:t xml:space="preserve"> with significant narrowing of the spinal canal at L3-4 and L4-5 levels. </w:t>
      </w:r>
    </w:p>
    <w:p w:rsidR="00730217" w:rsidRDefault="00730217" w:rsidP="00497240">
      <w:pPr>
        <w:autoSpaceDE w:val="0"/>
        <w:autoSpaceDN w:val="0"/>
        <w:adjustRightInd w:val="0"/>
        <w:spacing w:line="240" w:lineRule="exact"/>
        <w:jc w:val="both"/>
        <w:rPr>
          <w:color w:val="auto"/>
          <w:szCs w:val="24"/>
        </w:rPr>
      </w:pPr>
    </w:p>
    <w:p w:rsidR="00203F9B" w:rsidRDefault="00730217" w:rsidP="00497240">
      <w:pPr>
        <w:autoSpaceDE w:val="0"/>
        <w:autoSpaceDN w:val="0"/>
        <w:adjustRightInd w:val="0"/>
        <w:spacing w:line="240" w:lineRule="exact"/>
        <w:jc w:val="both"/>
        <w:rPr>
          <w:color w:val="auto"/>
          <w:szCs w:val="24"/>
        </w:rPr>
      </w:pPr>
      <w:proofErr w:type="spellStart"/>
      <w:r>
        <w:rPr>
          <w:color w:val="auto"/>
          <w:szCs w:val="24"/>
        </w:rPr>
        <w:t>Decompressive</w:t>
      </w:r>
      <w:proofErr w:type="spellEnd"/>
      <w:r>
        <w:rPr>
          <w:color w:val="auto"/>
          <w:szCs w:val="24"/>
        </w:rPr>
        <w:t xml:space="preserve"> </w:t>
      </w:r>
      <w:proofErr w:type="spellStart"/>
      <w:r>
        <w:rPr>
          <w:color w:val="auto"/>
          <w:szCs w:val="24"/>
        </w:rPr>
        <w:t>laminectomies</w:t>
      </w:r>
      <w:proofErr w:type="spellEnd"/>
      <w:r>
        <w:rPr>
          <w:color w:val="auto"/>
          <w:szCs w:val="24"/>
        </w:rPr>
        <w:t xml:space="preserve"> were done at the L3-4 and L4-5 levels in November 2001. </w:t>
      </w:r>
      <w:r w:rsidR="001B3174">
        <w:rPr>
          <w:color w:val="auto"/>
          <w:szCs w:val="24"/>
        </w:rPr>
        <w:t xml:space="preserve"> </w:t>
      </w:r>
      <w:r>
        <w:rPr>
          <w:color w:val="auto"/>
          <w:szCs w:val="24"/>
        </w:rPr>
        <w:t xml:space="preserve">The CI then </w:t>
      </w:r>
      <w:r w:rsidRPr="00730217">
        <w:rPr>
          <w:color w:val="auto"/>
          <w:szCs w:val="24"/>
        </w:rPr>
        <w:t xml:space="preserve">received extensive rehabilitation and conservative measures including a 10-week core strengthening program, chiropractic manipulation, and pain management including methadone and </w:t>
      </w:r>
      <w:proofErr w:type="spellStart"/>
      <w:r w:rsidRPr="00730217">
        <w:rPr>
          <w:color w:val="auto"/>
          <w:szCs w:val="24"/>
        </w:rPr>
        <w:t>Duragesic</w:t>
      </w:r>
      <w:proofErr w:type="spellEnd"/>
      <w:r w:rsidRPr="00730217">
        <w:rPr>
          <w:color w:val="auto"/>
          <w:szCs w:val="24"/>
        </w:rPr>
        <w:t xml:space="preserve"> patches.</w:t>
      </w:r>
      <w:r>
        <w:rPr>
          <w:color w:val="auto"/>
          <w:szCs w:val="24"/>
        </w:rPr>
        <w:t xml:space="preserve"> </w:t>
      </w:r>
      <w:r w:rsidR="001B3174">
        <w:rPr>
          <w:color w:val="auto"/>
          <w:szCs w:val="24"/>
        </w:rPr>
        <w:t xml:space="preserve"> </w:t>
      </w:r>
      <w:r>
        <w:rPr>
          <w:color w:val="auto"/>
          <w:szCs w:val="24"/>
        </w:rPr>
        <w:t xml:space="preserve">However, he remained in limited duty with significant continuing pain and inability to perform the physical readiness test or any vigorous activity. </w:t>
      </w:r>
      <w:r w:rsidR="001B3174">
        <w:rPr>
          <w:color w:val="auto"/>
          <w:szCs w:val="24"/>
        </w:rPr>
        <w:t xml:space="preserve"> </w:t>
      </w:r>
      <w:proofErr w:type="spellStart"/>
      <w:r w:rsidR="00203F9B">
        <w:rPr>
          <w:color w:val="auto"/>
          <w:szCs w:val="24"/>
        </w:rPr>
        <w:t>Intradiscal</w:t>
      </w:r>
      <w:proofErr w:type="spellEnd"/>
      <w:r w:rsidR="00203F9B">
        <w:rPr>
          <w:color w:val="auto"/>
          <w:szCs w:val="24"/>
        </w:rPr>
        <w:t xml:space="preserve"> </w:t>
      </w:r>
      <w:proofErr w:type="spellStart"/>
      <w:r w:rsidR="00203F9B">
        <w:rPr>
          <w:color w:val="auto"/>
          <w:szCs w:val="24"/>
        </w:rPr>
        <w:t>electrothermal</w:t>
      </w:r>
      <w:proofErr w:type="spellEnd"/>
      <w:r w:rsidR="00203F9B">
        <w:rPr>
          <w:color w:val="auto"/>
          <w:szCs w:val="24"/>
        </w:rPr>
        <w:t xml:space="preserve"> </w:t>
      </w:r>
      <w:proofErr w:type="spellStart"/>
      <w:r w:rsidR="00203F9B">
        <w:rPr>
          <w:color w:val="auto"/>
          <w:szCs w:val="24"/>
        </w:rPr>
        <w:t>annuplasty</w:t>
      </w:r>
      <w:proofErr w:type="spellEnd"/>
      <w:r w:rsidR="00203F9B">
        <w:rPr>
          <w:color w:val="auto"/>
          <w:szCs w:val="24"/>
        </w:rPr>
        <w:t xml:space="preserve"> therapy was considered but after a second opinion, the CI reasonably declined this procedure.</w:t>
      </w:r>
    </w:p>
    <w:p w:rsidR="00203F9B" w:rsidRDefault="00203F9B" w:rsidP="00497240">
      <w:pPr>
        <w:autoSpaceDE w:val="0"/>
        <w:autoSpaceDN w:val="0"/>
        <w:adjustRightInd w:val="0"/>
        <w:spacing w:line="240" w:lineRule="exact"/>
        <w:jc w:val="both"/>
        <w:rPr>
          <w:color w:val="auto"/>
          <w:szCs w:val="24"/>
        </w:rPr>
      </w:pPr>
    </w:p>
    <w:p w:rsidR="00920ECA" w:rsidRPr="00730217" w:rsidRDefault="00730217" w:rsidP="00497240">
      <w:pPr>
        <w:autoSpaceDE w:val="0"/>
        <w:autoSpaceDN w:val="0"/>
        <w:adjustRightInd w:val="0"/>
        <w:spacing w:line="240" w:lineRule="exact"/>
        <w:jc w:val="both"/>
        <w:rPr>
          <w:color w:val="auto"/>
          <w:szCs w:val="24"/>
        </w:rPr>
      </w:pPr>
      <w:r>
        <w:rPr>
          <w:color w:val="auto"/>
          <w:szCs w:val="24"/>
        </w:rPr>
        <w:t xml:space="preserve">An initial informal PEB found him fit for duty in June 2004 and </w:t>
      </w:r>
      <w:r w:rsidR="00E82FD9">
        <w:rPr>
          <w:color w:val="auto"/>
          <w:szCs w:val="24"/>
        </w:rPr>
        <w:t>r</w:t>
      </w:r>
      <w:r>
        <w:rPr>
          <w:color w:val="auto"/>
          <w:szCs w:val="24"/>
        </w:rPr>
        <w:t xml:space="preserve">econsideration </w:t>
      </w:r>
      <w:r w:rsidR="00203F9B">
        <w:rPr>
          <w:color w:val="auto"/>
          <w:szCs w:val="24"/>
        </w:rPr>
        <w:t xml:space="preserve">in July 2004 </w:t>
      </w:r>
      <w:r>
        <w:rPr>
          <w:color w:val="auto"/>
          <w:szCs w:val="24"/>
        </w:rPr>
        <w:t xml:space="preserve">did not change the finding. However, a Formal PEB </w:t>
      </w:r>
      <w:r w:rsidR="001B3174">
        <w:rPr>
          <w:color w:val="auto"/>
          <w:szCs w:val="24"/>
        </w:rPr>
        <w:t>in A</w:t>
      </w:r>
      <w:r w:rsidR="00203F9B">
        <w:rPr>
          <w:color w:val="auto"/>
          <w:szCs w:val="24"/>
        </w:rPr>
        <w:t xml:space="preserve">ugust 2004 </w:t>
      </w:r>
      <w:r>
        <w:rPr>
          <w:color w:val="auto"/>
          <w:szCs w:val="24"/>
        </w:rPr>
        <w:t xml:space="preserve">determined he was unfit for </w:t>
      </w:r>
      <w:r>
        <w:rPr>
          <w:color w:val="auto"/>
          <w:szCs w:val="24"/>
        </w:rPr>
        <w:lastRenderedPageBreak/>
        <w:t>continued naval service</w:t>
      </w:r>
      <w:r w:rsidR="00203F9B">
        <w:rPr>
          <w:color w:val="auto"/>
          <w:szCs w:val="24"/>
        </w:rPr>
        <w:t xml:space="preserve"> because of physical disability based on chronic activity limiting low back pain. </w:t>
      </w:r>
      <w:r w:rsidR="001B3174">
        <w:rPr>
          <w:color w:val="auto"/>
          <w:szCs w:val="24"/>
        </w:rPr>
        <w:t xml:space="preserve"> </w:t>
      </w:r>
      <w:r w:rsidR="00203F9B">
        <w:rPr>
          <w:color w:val="auto"/>
          <w:szCs w:val="24"/>
        </w:rPr>
        <w:t xml:space="preserve">This was based on the new evidence of a non-medical assessment of 20040817 that clearly identified the inability to perform his required duties, the accommodations made by the command, and the adverse impact on the mission. </w:t>
      </w:r>
      <w:r w:rsidR="001B3174">
        <w:rPr>
          <w:color w:val="auto"/>
          <w:szCs w:val="24"/>
        </w:rPr>
        <w:t xml:space="preserve"> </w:t>
      </w:r>
      <w:r w:rsidR="00203F9B">
        <w:rPr>
          <w:color w:val="auto"/>
          <w:szCs w:val="24"/>
        </w:rPr>
        <w:t>The CI’s strong work ethic was noted.</w:t>
      </w:r>
    </w:p>
    <w:p w:rsidR="00DC233D" w:rsidRPr="00473D5C" w:rsidRDefault="00DC233D" w:rsidP="00DC233D">
      <w:pPr>
        <w:pStyle w:val="ListParagraph"/>
        <w:rPr>
          <w:rFonts w:ascii="Courier" w:eastAsia="Calibri" w:hAnsi="Courier" w:cs="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900"/>
        <w:gridCol w:w="2340"/>
        <w:gridCol w:w="2340"/>
        <w:gridCol w:w="1890"/>
      </w:tblGrid>
      <w:tr w:rsidR="00FD2A84" w:rsidRPr="00D93A91" w:rsidTr="00AA1399">
        <w:tc>
          <w:tcPr>
            <w:tcW w:w="171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Movement</w:t>
            </w:r>
          </w:p>
          <w:p w:rsidR="00FD2A84" w:rsidRPr="00920ECA" w:rsidRDefault="00FD2A84" w:rsidP="00C846EA">
            <w:pPr>
              <w:pStyle w:val="ListParagraph"/>
              <w:spacing w:after="0" w:line="240" w:lineRule="auto"/>
              <w:ind w:left="0"/>
              <w:rPr>
                <w:rFonts w:eastAsia="Calibri" w:cs="Times New Roman"/>
              </w:rPr>
            </w:pPr>
            <w:proofErr w:type="spellStart"/>
            <w:r w:rsidRPr="00920ECA">
              <w:rPr>
                <w:rFonts w:eastAsia="Calibri" w:cs="Times New Roman"/>
              </w:rPr>
              <w:t>Thoracolumbar</w:t>
            </w:r>
            <w:proofErr w:type="spellEnd"/>
          </w:p>
        </w:tc>
        <w:tc>
          <w:tcPr>
            <w:tcW w:w="90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Normal ROM</w:t>
            </w:r>
          </w:p>
          <w:p w:rsidR="00FD2A84" w:rsidRPr="00920ECA" w:rsidRDefault="00FD2A84" w:rsidP="00C846EA">
            <w:pPr>
              <w:pStyle w:val="ListParagraph"/>
              <w:spacing w:after="0" w:line="240" w:lineRule="auto"/>
              <w:ind w:left="0"/>
              <w:rPr>
                <w:rFonts w:eastAsia="Calibri" w:cs="Times New Roman"/>
              </w:rPr>
            </w:pP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ROM Mil</w:t>
            </w:r>
            <w:r w:rsidR="00203F9B">
              <w:rPr>
                <w:rFonts w:eastAsia="Calibri" w:cs="Times New Roman"/>
              </w:rPr>
              <w:t>itary</w:t>
            </w:r>
          </w:p>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20040330</w:t>
            </w:r>
          </w:p>
          <w:p w:rsidR="00920ECA" w:rsidRPr="00920ECA" w:rsidRDefault="00920ECA" w:rsidP="00C846EA">
            <w:pPr>
              <w:pStyle w:val="ListParagraph"/>
              <w:spacing w:after="0" w:line="240" w:lineRule="auto"/>
              <w:ind w:left="0"/>
              <w:rPr>
                <w:rFonts w:eastAsia="Calibri" w:cs="Times New Roman"/>
              </w:rPr>
            </w:pPr>
            <w:r w:rsidRPr="00920ECA">
              <w:rPr>
                <w:rFonts w:eastAsia="Calibri" w:cs="Times New Roman"/>
              </w:rPr>
              <w:t>(11 months before separation)</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ROM VA</w:t>
            </w:r>
            <w:r w:rsidR="00203F9B">
              <w:rPr>
                <w:rFonts w:eastAsia="Calibri" w:cs="Times New Roman"/>
              </w:rPr>
              <w:t xml:space="preserve"> C&amp;P</w:t>
            </w:r>
          </w:p>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20050510</w:t>
            </w:r>
          </w:p>
          <w:p w:rsidR="00920ECA" w:rsidRPr="00920ECA" w:rsidRDefault="00920ECA" w:rsidP="00C846EA">
            <w:pPr>
              <w:pStyle w:val="ListParagraph"/>
              <w:spacing w:after="0" w:line="240" w:lineRule="auto"/>
              <w:ind w:left="0"/>
              <w:rPr>
                <w:rFonts w:eastAsia="Calibri" w:cs="Times New Roman"/>
              </w:rPr>
            </w:pPr>
            <w:r w:rsidRPr="00920ECA">
              <w:rPr>
                <w:rFonts w:eastAsia="Calibri" w:cs="Times New Roman"/>
              </w:rPr>
              <w:t>(3 months after separation)</w:t>
            </w:r>
          </w:p>
        </w:tc>
        <w:tc>
          <w:tcPr>
            <w:tcW w:w="189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 xml:space="preserve"> </w:t>
            </w:r>
            <w:r w:rsidR="00AA1399">
              <w:rPr>
                <w:rFonts w:eastAsia="Calibri" w:cs="Times New Roman"/>
              </w:rPr>
              <w:t xml:space="preserve">ROM VA C&amp;P </w:t>
            </w:r>
            <w:r w:rsidRPr="00920ECA">
              <w:rPr>
                <w:rFonts w:eastAsia="Calibri" w:cs="Times New Roman"/>
              </w:rPr>
              <w:t>20070120</w:t>
            </w:r>
          </w:p>
          <w:p w:rsidR="00920ECA" w:rsidRPr="00920ECA" w:rsidRDefault="00920ECA" w:rsidP="00C846EA">
            <w:pPr>
              <w:pStyle w:val="ListParagraph"/>
              <w:spacing w:after="0" w:line="240" w:lineRule="auto"/>
              <w:ind w:left="0"/>
              <w:rPr>
                <w:rFonts w:eastAsia="Calibri" w:cs="Times New Roman"/>
              </w:rPr>
            </w:pPr>
            <w:r w:rsidRPr="00920ECA">
              <w:rPr>
                <w:rFonts w:eastAsia="Calibri" w:cs="Times New Roman"/>
              </w:rPr>
              <w:t>(2 years after separation)</w:t>
            </w:r>
          </w:p>
        </w:tc>
      </w:tr>
      <w:tr w:rsidR="00FD2A84" w:rsidRPr="00D93A91" w:rsidTr="00AA1399">
        <w:tc>
          <w:tcPr>
            <w:tcW w:w="171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Flex</w:t>
            </w:r>
          </w:p>
        </w:tc>
        <w:tc>
          <w:tcPr>
            <w:tcW w:w="900" w:type="dxa"/>
          </w:tcPr>
          <w:p w:rsidR="00FD2A84" w:rsidRPr="00920ECA" w:rsidRDefault="00FD2A84" w:rsidP="00262C19">
            <w:pPr>
              <w:pStyle w:val="ListParagraph"/>
              <w:spacing w:after="0" w:line="240" w:lineRule="auto"/>
              <w:ind w:left="0"/>
              <w:rPr>
                <w:rFonts w:eastAsia="Calibri" w:cs="Times New Roman"/>
              </w:rPr>
            </w:pPr>
            <w:r w:rsidRPr="00920ECA">
              <w:rPr>
                <w:rFonts w:eastAsia="Calibri" w:cs="Times New Roman"/>
              </w:rPr>
              <w:t>0-90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75</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85</w:t>
            </w:r>
          </w:p>
        </w:tc>
        <w:tc>
          <w:tcPr>
            <w:tcW w:w="189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90</w:t>
            </w:r>
          </w:p>
        </w:tc>
      </w:tr>
      <w:tr w:rsidR="00FD2A84" w:rsidRPr="00D93A91" w:rsidTr="00AA1399">
        <w:tc>
          <w:tcPr>
            <w:tcW w:w="171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Ext</w:t>
            </w:r>
          </w:p>
        </w:tc>
        <w:tc>
          <w:tcPr>
            <w:tcW w:w="900" w:type="dxa"/>
          </w:tcPr>
          <w:p w:rsidR="00FD2A84" w:rsidRPr="00920ECA" w:rsidRDefault="00FD2A84" w:rsidP="00262C19">
            <w:pPr>
              <w:pStyle w:val="ListParagraph"/>
              <w:spacing w:after="0" w:line="240" w:lineRule="auto"/>
              <w:ind w:left="0"/>
              <w:rPr>
                <w:rFonts w:eastAsia="Calibri" w:cs="Times New Roman"/>
              </w:rPr>
            </w:pPr>
            <w:r w:rsidRPr="00920ECA">
              <w:rPr>
                <w:rFonts w:eastAsia="Calibri" w:cs="Times New Roman"/>
              </w:rPr>
              <w:t>0-20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10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20</w:t>
            </w:r>
          </w:p>
        </w:tc>
        <w:tc>
          <w:tcPr>
            <w:tcW w:w="189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30 (20)</w:t>
            </w:r>
          </w:p>
        </w:tc>
      </w:tr>
      <w:tr w:rsidR="00FD2A84" w:rsidRPr="00D93A91" w:rsidTr="00AA1399">
        <w:trPr>
          <w:trHeight w:val="188"/>
        </w:trPr>
        <w:tc>
          <w:tcPr>
            <w:tcW w:w="171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R Lat flex</w:t>
            </w:r>
          </w:p>
        </w:tc>
        <w:tc>
          <w:tcPr>
            <w:tcW w:w="90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0-30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30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25</w:t>
            </w:r>
          </w:p>
        </w:tc>
        <w:tc>
          <w:tcPr>
            <w:tcW w:w="189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30</w:t>
            </w:r>
          </w:p>
        </w:tc>
      </w:tr>
      <w:tr w:rsidR="00FD2A84" w:rsidRPr="00D93A91" w:rsidTr="00AA1399">
        <w:tc>
          <w:tcPr>
            <w:tcW w:w="171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L lat flex</w:t>
            </w:r>
          </w:p>
        </w:tc>
        <w:tc>
          <w:tcPr>
            <w:tcW w:w="90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0-30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30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25</w:t>
            </w:r>
          </w:p>
        </w:tc>
        <w:tc>
          <w:tcPr>
            <w:tcW w:w="189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30</w:t>
            </w:r>
          </w:p>
        </w:tc>
      </w:tr>
      <w:tr w:rsidR="00FD2A84" w:rsidRPr="00D93A91" w:rsidTr="00AA1399">
        <w:tc>
          <w:tcPr>
            <w:tcW w:w="171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R rotation</w:t>
            </w:r>
          </w:p>
        </w:tc>
        <w:tc>
          <w:tcPr>
            <w:tcW w:w="90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0-30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30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25</w:t>
            </w:r>
          </w:p>
        </w:tc>
        <w:tc>
          <w:tcPr>
            <w:tcW w:w="189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30</w:t>
            </w:r>
          </w:p>
        </w:tc>
      </w:tr>
      <w:tr w:rsidR="00FD2A84" w:rsidRPr="00D93A91" w:rsidTr="00AA1399">
        <w:tc>
          <w:tcPr>
            <w:tcW w:w="171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L rotation</w:t>
            </w:r>
          </w:p>
        </w:tc>
        <w:tc>
          <w:tcPr>
            <w:tcW w:w="90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0-30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30</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25</w:t>
            </w:r>
          </w:p>
        </w:tc>
        <w:tc>
          <w:tcPr>
            <w:tcW w:w="189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30</w:t>
            </w:r>
          </w:p>
        </w:tc>
      </w:tr>
      <w:tr w:rsidR="00FD2A84" w:rsidRPr="00D93A91" w:rsidTr="00AA1399">
        <w:tc>
          <w:tcPr>
            <w:tcW w:w="171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COMBINED</w:t>
            </w:r>
          </w:p>
        </w:tc>
        <w:tc>
          <w:tcPr>
            <w:tcW w:w="90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 xml:space="preserve"> 245</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205</w:t>
            </w:r>
          </w:p>
        </w:tc>
        <w:tc>
          <w:tcPr>
            <w:tcW w:w="234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 xml:space="preserve"> 205</w:t>
            </w:r>
          </w:p>
        </w:tc>
        <w:tc>
          <w:tcPr>
            <w:tcW w:w="189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230</w:t>
            </w:r>
          </w:p>
        </w:tc>
      </w:tr>
      <w:tr w:rsidR="00FD2A84" w:rsidRPr="00473D5C" w:rsidTr="00AA1399">
        <w:tc>
          <w:tcPr>
            <w:tcW w:w="1710" w:type="dxa"/>
          </w:tcPr>
          <w:p w:rsidR="00FD2A84" w:rsidRPr="00920ECA" w:rsidRDefault="00FD2A84" w:rsidP="00C846EA">
            <w:pPr>
              <w:pStyle w:val="ListParagraph"/>
              <w:spacing w:after="0" w:line="240" w:lineRule="auto"/>
              <w:ind w:left="0"/>
              <w:rPr>
                <w:rFonts w:eastAsia="Calibri" w:cs="Times New Roman"/>
              </w:rPr>
            </w:pPr>
            <w:r w:rsidRPr="00920ECA">
              <w:rPr>
                <w:rFonts w:eastAsia="Calibri" w:cs="Times New Roman"/>
              </w:rPr>
              <w:t>Notes:</w:t>
            </w:r>
          </w:p>
        </w:tc>
        <w:tc>
          <w:tcPr>
            <w:tcW w:w="900" w:type="dxa"/>
          </w:tcPr>
          <w:p w:rsidR="00FD2A84" w:rsidRPr="00920ECA" w:rsidRDefault="00FD2A84" w:rsidP="00C846EA">
            <w:pPr>
              <w:pStyle w:val="ListParagraph"/>
              <w:spacing w:after="0" w:line="240" w:lineRule="auto"/>
              <w:ind w:left="0"/>
              <w:rPr>
                <w:rFonts w:eastAsia="Calibri" w:cs="Times New Roman"/>
              </w:rPr>
            </w:pPr>
          </w:p>
        </w:tc>
        <w:tc>
          <w:tcPr>
            <w:tcW w:w="2340" w:type="dxa"/>
          </w:tcPr>
          <w:p w:rsidR="00FD2A84" w:rsidRPr="00920ECA" w:rsidRDefault="00FD2A84" w:rsidP="00431604">
            <w:pPr>
              <w:pStyle w:val="ListParagraph"/>
              <w:spacing w:after="0" w:line="240" w:lineRule="auto"/>
              <w:ind w:left="0"/>
              <w:jc w:val="both"/>
              <w:rPr>
                <w:rFonts w:eastAsia="Calibri" w:cs="Times New Roman"/>
              </w:rPr>
            </w:pPr>
            <w:r w:rsidRPr="00920ECA">
              <w:rPr>
                <w:rFonts w:eastAsia="Calibri" w:cs="Times New Roman"/>
              </w:rPr>
              <w:t>Motor 5/5; normal sensation; DTR 2+ bilaterally</w:t>
            </w:r>
            <w:r w:rsidR="00431604" w:rsidRPr="00920ECA">
              <w:rPr>
                <w:rFonts w:eastAsia="Calibri" w:cs="Times New Roman"/>
              </w:rPr>
              <w:t>; normal gait; normal posture; tender to palpation; negative straight leg raise bilaterally</w:t>
            </w:r>
          </w:p>
        </w:tc>
        <w:tc>
          <w:tcPr>
            <w:tcW w:w="2340" w:type="dxa"/>
          </w:tcPr>
          <w:p w:rsidR="00FD2A84" w:rsidRPr="00920ECA" w:rsidRDefault="00FD2A84" w:rsidP="00431604">
            <w:pPr>
              <w:pStyle w:val="ListParagraph"/>
              <w:spacing w:after="0" w:line="240" w:lineRule="auto"/>
              <w:ind w:left="0"/>
              <w:jc w:val="both"/>
              <w:rPr>
                <w:rFonts w:eastAsia="Calibri" w:cs="Times New Roman"/>
              </w:rPr>
            </w:pPr>
            <w:r w:rsidRPr="00920ECA">
              <w:rPr>
                <w:rFonts w:eastAsia="Calibri" w:cs="Times New Roman"/>
              </w:rPr>
              <w:t>Motor 5/5; normal sensation; DTR 2+ bilaterally</w:t>
            </w:r>
            <w:r w:rsidR="00431604" w:rsidRPr="00920ECA">
              <w:rPr>
                <w:rFonts w:eastAsia="Calibri" w:cs="Times New Roman"/>
              </w:rPr>
              <w:t>; normal gait; normal posture; not tender to palpation; negative straight leg raise bilaterally</w:t>
            </w:r>
          </w:p>
        </w:tc>
        <w:tc>
          <w:tcPr>
            <w:tcW w:w="1890" w:type="dxa"/>
          </w:tcPr>
          <w:p w:rsidR="00FD2A84" w:rsidRPr="00920ECA" w:rsidRDefault="00FD2A84" w:rsidP="00C846EA">
            <w:pPr>
              <w:pStyle w:val="ListParagraph"/>
              <w:spacing w:after="0" w:line="240" w:lineRule="auto"/>
              <w:ind w:left="0"/>
              <w:rPr>
                <w:rFonts w:eastAsia="Calibri" w:cs="Times New Roman"/>
              </w:rPr>
            </w:pPr>
          </w:p>
        </w:tc>
      </w:tr>
    </w:tbl>
    <w:p w:rsidR="00DC233D" w:rsidRDefault="00DC329D" w:rsidP="00A258B7">
      <w:pPr>
        <w:spacing w:line="240" w:lineRule="exact"/>
        <w:rPr>
          <w:rFonts w:ascii="Times New Roman" w:hAnsi="Times New Roman"/>
          <w:color w:val="auto"/>
          <w:szCs w:val="24"/>
        </w:rPr>
      </w:pPr>
      <w:r>
        <w:rPr>
          <w:rFonts w:ascii="Times New Roman" w:hAnsi="Times New Roman"/>
          <w:color w:val="auto"/>
          <w:szCs w:val="24"/>
        </w:rPr>
        <w:t xml:space="preserve"> </w:t>
      </w:r>
    </w:p>
    <w:p w:rsidR="00186B42" w:rsidRPr="00D93A91" w:rsidRDefault="00EF1C01" w:rsidP="00180765">
      <w:pPr>
        <w:autoSpaceDE w:val="0"/>
        <w:autoSpaceDN w:val="0"/>
        <w:adjustRightInd w:val="0"/>
        <w:spacing w:line="240" w:lineRule="exact"/>
        <w:jc w:val="both"/>
        <w:rPr>
          <w:color w:val="auto"/>
          <w:szCs w:val="24"/>
        </w:rPr>
      </w:pPr>
      <w:r w:rsidRPr="00D93A91">
        <w:rPr>
          <w:color w:val="auto"/>
          <w:szCs w:val="24"/>
          <w:u w:val="single"/>
        </w:rPr>
        <w:t>Other Conditions</w:t>
      </w:r>
      <w:r w:rsidR="00015307" w:rsidRPr="00D93A91">
        <w:rPr>
          <w:color w:val="auto"/>
          <w:szCs w:val="24"/>
          <w:u w:val="single"/>
        </w:rPr>
        <w:t xml:space="preserve"> </w:t>
      </w:r>
      <w:r w:rsidR="00D93A91">
        <w:rPr>
          <w:color w:val="auto"/>
          <w:szCs w:val="24"/>
          <w:u w:val="single"/>
        </w:rPr>
        <w:t xml:space="preserve">mentioned in </w:t>
      </w:r>
      <w:r w:rsidR="001B3174">
        <w:rPr>
          <w:color w:val="auto"/>
          <w:szCs w:val="24"/>
          <w:u w:val="single"/>
        </w:rPr>
        <w:t>Disability Evaluation System (</w:t>
      </w:r>
      <w:r w:rsidR="00D93A91">
        <w:rPr>
          <w:color w:val="auto"/>
          <w:szCs w:val="24"/>
          <w:u w:val="single"/>
        </w:rPr>
        <w:t>DES</w:t>
      </w:r>
      <w:r w:rsidR="001B3174">
        <w:rPr>
          <w:color w:val="auto"/>
          <w:szCs w:val="24"/>
          <w:u w:val="single"/>
        </w:rPr>
        <w:t>):</w:t>
      </w:r>
    </w:p>
    <w:p w:rsidR="00D93A91" w:rsidRPr="00D93A91" w:rsidRDefault="00EF1C01" w:rsidP="00D93A91">
      <w:pPr>
        <w:autoSpaceDE w:val="0"/>
        <w:autoSpaceDN w:val="0"/>
        <w:adjustRightInd w:val="0"/>
        <w:spacing w:line="240" w:lineRule="exact"/>
        <w:jc w:val="both"/>
        <w:rPr>
          <w:color w:val="auto"/>
          <w:szCs w:val="24"/>
        </w:rPr>
      </w:pPr>
      <w:proofErr w:type="spellStart"/>
      <w:r w:rsidRPr="00D93A91">
        <w:rPr>
          <w:color w:val="auto"/>
          <w:szCs w:val="24"/>
        </w:rPr>
        <w:t>Pseudofollic</w:t>
      </w:r>
      <w:r w:rsidR="00015307" w:rsidRPr="00D93A91">
        <w:rPr>
          <w:color w:val="auto"/>
          <w:szCs w:val="24"/>
        </w:rPr>
        <w:t>ulitis</w:t>
      </w:r>
      <w:proofErr w:type="spellEnd"/>
      <w:r w:rsidR="00015307" w:rsidRPr="00D93A91">
        <w:rPr>
          <w:color w:val="auto"/>
          <w:szCs w:val="24"/>
        </w:rPr>
        <w:t>;</w:t>
      </w:r>
      <w:r w:rsidRPr="00D93A91">
        <w:rPr>
          <w:color w:val="auto"/>
          <w:szCs w:val="24"/>
        </w:rPr>
        <w:t xml:space="preserve"> Right Rotator Cuff Tendonitis</w:t>
      </w:r>
      <w:r w:rsidR="00015307" w:rsidRPr="00D93A91">
        <w:rPr>
          <w:color w:val="auto"/>
          <w:szCs w:val="24"/>
        </w:rPr>
        <w:t>;</w:t>
      </w:r>
      <w:r w:rsidRPr="00D93A91">
        <w:rPr>
          <w:color w:val="auto"/>
          <w:szCs w:val="24"/>
        </w:rPr>
        <w:t xml:space="preserve"> Left Shoulder Rotator Cuff Tendonitis</w:t>
      </w:r>
      <w:r w:rsidR="00015307" w:rsidRPr="00D93A91">
        <w:rPr>
          <w:color w:val="auto"/>
          <w:szCs w:val="24"/>
        </w:rPr>
        <w:t>;</w:t>
      </w:r>
      <w:r w:rsidRPr="00D93A91">
        <w:rPr>
          <w:color w:val="auto"/>
          <w:szCs w:val="24"/>
        </w:rPr>
        <w:t xml:space="preserve"> Left Hip Strain</w:t>
      </w:r>
      <w:r w:rsidR="00015307" w:rsidRPr="00D93A91">
        <w:rPr>
          <w:color w:val="auto"/>
          <w:szCs w:val="24"/>
        </w:rPr>
        <w:t>;</w:t>
      </w:r>
      <w:r w:rsidRPr="00D93A91">
        <w:rPr>
          <w:color w:val="auto"/>
          <w:szCs w:val="24"/>
        </w:rPr>
        <w:t xml:space="preserve"> Left Patellar Tendonitis</w:t>
      </w:r>
      <w:r w:rsidR="00015307" w:rsidRPr="00D93A91">
        <w:rPr>
          <w:color w:val="auto"/>
          <w:szCs w:val="24"/>
        </w:rPr>
        <w:t>;</w:t>
      </w:r>
      <w:r w:rsidRPr="00D93A91">
        <w:rPr>
          <w:color w:val="auto"/>
          <w:szCs w:val="24"/>
        </w:rPr>
        <w:t xml:space="preserve"> Tinnitus</w:t>
      </w:r>
      <w:r w:rsidR="00015307" w:rsidRPr="00D93A91">
        <w:rPr>
          <w:color w:val="auto"/>
          <w:szCs w:val="24"/>
        </w:rPr>
        <w:t>;</w:t>
      </w:r>
      <w:r w:rsidRPr="00D93A91">
        <w:rPr>
          <w:color w:val="auto"/>
          <w:szCs w:val="24"/>
        </w:rPr>
        <w:t xml:space="preserve"> </w:t>
      </w:r>
      <w:proofErr w:type="spellStart"/>
      <w:r w:rsidRPr="00D93A91">
        <w:rPr>
          <w:color w:val="auto"/>
          <w:szCs w:val="24"/>
        </w:rPr>
        <w:t>Gastroesophageal</w:t>
      </w:r>
      <w:proofErr w:type="spellEnd"/>
      <w:r w:rsidRPr="00D93A91">
        <w:rPr>
          <w:color w:val="auto"/>
          <w:szCs w:val="24"/>
        </w:rPr>
        <w:t xml:space="preserve"> Reflux Disease</w:t>
      </w:r>
      <w:r w:rsidR="00015307" w:rsidRPr="00D93A91">
        <w:rPr>
          <w:color w:val="auto"/>
          <w:szCs w:val="24"/>
        </w:rPr>
        <w:t>;</w:t>
      </w:r>
      <w:r w:rsidRPr="00D93A91">
        <w:rPr>
          <w:color w:val="auto"/>
          <w:szCs w:val="24"/>
        </w:rPr>
        <w:t xml:space="preserve"> Right Carpal Tunnel Syndrome</w:t>
      </w:r>
      <w:r w:rsidR="00015307" w:rsidRPr="00D93A91">
        <w:rPr>
          <w:color w:val="auto"/>
          <w:szCs w:val="24"/>
        </w:rPr>
        <w:t>;</w:t>
      </w:r>
      <w:r w:rsidRPr="00D93A91">
        <w:rPr>
          <w:color w:val="auto"/>
          <w:szCs w:val="24"/>
        </w:rPr>
        <w:t xml:space="preserve"> </w:t>
      </w:r>
      <w:r w:rsidR="00015307" w:rsidRPr="00D93A91">
        <w:rPr>
          <w:color w:val="auto"/>
          <w:szCs w:val="24"/>
        </w:rPr>
        <w:t xml:space="preserve">Bilateral </w:t>
      </w:r>
      <w:proofErr w:type="spellStart"/>
      <w:r w:rsidR="00015307" w:rsidRPr="00D93A91">
        <w:rPr>
          <w:color w:val="auto"/>
          <w:szCs w:val="24"/>
        </w:rPr>
        <w:t>Hallux</w:t>
      </w:r>
      <w:proofErr w:type="spellEnd"/>
      <w:r w:rsidR="00015307" w:rsidRPr="00D93A91">
        <w:rPr>
          <w:color w:val="auto"/>
          <w:szCs w:val="24"/>
        </w:rPr>
        <w:t xml:space="preserve"> </w:t>
      </w:r>
      <w:proofErr w:type="spellStart"/>
      <w:r w:rsidR="00015307" w:rsidRPr="00D93A91">
        <w:rPr>
          <w:color w:val="auto"/>
          <w:szCs w:val="24"/>
        </w:rPr>
        <w:t>Valgus</w:t>
      </w:r>
      <w:proofErr w:type="spellEnd"/>
      <w:r w:rsidR="00015307" w:rsidRPr="00D93A91">
        <w:rPr>
          <w:color w:val="auto"/>
          <w:szCs w:val="24"/>
        </w:rPr>
        <w:t xml:space="preserve">, </w:t>
      </w:r>
      <w:proofErr w:type="spellStart"/>
      <w:r w:rsidR="00015307" w:rsidRPr="00D93A91">
        <w:rPr>
          <w:color w:val="auto"/>
          <w:szCs w:val="24"/>
        </w:rPr>
        <w:t>Pes</w:t>
      </w:r>
      <w:proofErr w:type="spellEnd"/>
      <w:r w:rsidR="00015307" w:rsidRPr="00D93A91">
        <w:rPr>
          <w:color w:val="auto"/>
          <w:szCs w:val="24"/>
        </w:rPr>
        <w:t xml:space="preserve"> </w:t>
      </w:r>
      <w:proofErr w:type="spellStart"/>
      <w:r w:rsidR="00015307" w:rsidRPr="00D93A91">
        <w:rPr>
          <w:color w:val="auto"/>
          <w:szCs w:val="24"/>
        </w:rPr>
        <w:t>Planus</w:t>
      </w:r>
      <w:proofErr w:type="spellEnd"/>
      <w:r w:rsidR="00015307" w:rsidRPr="00D93A91">
        <w:rPr>
          <w:color w:val="auto"/>
          <w:szCs w:val="24"/>
        </w:rPr>
        <w:t xml:space="preserve">, with Associated </w:t>
      </w:r>
      <w:proofErr w:type="spellStart"/>
      <w:r w:rsidR="00015307" w:rsidRPr="00D93A91">
        <w:rPr>
          <w:color w:val="auto"/>
          <w:szCs w:val="24"/>
        </w:rPr>
        <w:t>Onychomycosis</w:t>
      </w:r>
      <w:proofErr w:type="spellEnd"/>
      <w:r w:rsidR="00015307" w:rsidRPr="00D93A91">
        <w:rPr>
          <w:color w:val="auto"/>
          <w:szCs w:val="24"/>
        </w:rPr>
        <w:t>; Sinusitis</w:t>
      </w:r>
      <w:r w:rsidR="00D93A91">
        <w:rPr>
          <w:color w:val="auto"/>
          <w:szCs w:val="24"/>
        </w:rPr>
        <w:t xml:space="preserve">; </w:t>
      </w:r>
      <w:r w:rsidR="00D93A91" w:rsidRPr="00D93A91">
        <w:rPr>
          <w:color w:val="auto"/>
          <w:szCs w:val="24"/>
        </w:rPr>
        <w:t>Surgical Scar on Lumbar Spine</w:t>
      </w:r>
    </w:p>
    <w:p w:rsidR="00EF1C01" w:rsidRPr="00D93A91" w:rsidRDefault="00EF1C01" w:rsidP="00180765">
      <w:pPr>
        <w:autoSpaceDE w:val="0"/>
        <w:autoSpaceDN w:val="0"/>
        <w:adjustRightInd w:val="0"/>
        <w:spacing w:line="240" w:lineRule="exact"/>
        <w:jc w:val="both"/>
        <w:rPr>
          <w:color w:val="auto"/>
          <w:szCs w:val="24"/>
        </w:rPr>
      </w:pPr>
    </w:p>
    <w:p w:rsidR="00015307" w:rsidRPr="00D93A91" w:rsidRDefault="00015307" w:rsidP="00180765">
      <w:pPr>
        <w:autoSpaceDE w:val="0"/>
        <w:autoSpaceDN w:val="0"/>
        <w:adjustRightInd w:val="0"/>
        <w:spacing w:line="240" w:lineRule="exact"/>
        <w:jc w:val="both"/>
        <w:rPr>
          <w:color w:val="auto"/>
          <w:szCs w:val="24"/>
        </w:rPr>
      </w:pPr>
      <w:bookmarkStart w:id="0" w:name="OLE_LINK1"/>
      <w:bookmarkStart w:id="1" w:name="OLE_LINK2"/>
      <w:r w:rsidRPr="00D93A91">
        <w:rPr>
          <w:color w:val="auto"/>
          <w:szCs w:val="24"/>
        </w:rPr>
        <w:t>No interference with satisfactory performance of required duties. No duty restrictions or accommodations directly attributable to these conditions.</w:t>
      </w:r>
    </w:p>
    <w:bookmarkEnd w:id="0"/>
    <w:bookmarkEnd w:id="1"/>
    <w:p w:rsidR="00186B42" w:rsidRPr="00D93A91" w:rsidRDefault="00186B42" w:rsidP="00180765">
      <w:pPr>
        <w:autoSpaceDE w:val="0"/>
        <w:autoSpaceDN w:val="0"/>
        <w:adjustRightInd w:val="0"/>
        <w:spacing w:line="240" w:lineRule="exact"/>
        <w:jc w:val="both"/>
        <w:rPr>
          <w:color w:val="auto"/>
          <w:szCs w:val="24"/>
        </w:rPr>
      </w:pPr>
    </w:p>
    <w:p w:rsidR="00186B42" w:rsidRPr="00D93A91" w:rsidRDefault="00186B42" w:rsidP="00180765">
      <w:pPr>
        <w:autoSpaceDE w:val="0"/>
        <w:autoSpaceDN w:val="0"/>
        <w:adjustRightInd w:val="0"/>
        <w:spacing w:line="240" w:lineRule="exact"/>
        <w:jc w:val="both"/>
        <w:rPr>
          <w:color w:val="auto"/>
          <w:szCs w:val="24"/>
          <w:u w:val="single"/>
        </w:rPr>
      </w:pPr>
      <w:r w:rsidRPr="00D93A91">
        <w:rPr>
          <w:color w:val="auto"/>
          <w:szCs w:val="24"/>
          <w:u w:val="single"/>
        </w:rPr>
        <w:t xml:space="preserve">Other conditions not </w:t>
      </w:r>
      <w:r w:rsidR="00D93A91">
        <w:rPr>
          <w:color w:val="auto"/>
          <w:szCs w:val="24"/>
          <w:u w:val="single"/>
        </w:rPr>
        <w:t xml:space="preserve">mentioned </w:t>
      </w:r>
      <w:r w:rsidRPr="00D93A91">
        <w:rPr>
          <w:color w:val="auto"/>
          <w:szCs w:val="24"/>
          <w:u w:val="single"/>
        </w:rPr>
        <w:t>in DES:</w:t>
      </w:r>
    </w:p>
    <w:p w:rsidR="00A258B7" w:rsidRPr="00A942BC" w:rsidRDefault="00D93A91" w:rsidP="00D93A91">
      <w:pPr>
        <w:autoSpaceDE w:val="0"/>
        <w:autoSpaceDN w:val="0"/>
        <w:adjustRightInd w:val="0"/>
        <w:spacing w:line="240" w:lineRule="exact"/>
        <w:jc w:val="both"/>
        <w:rPr>
          <w:color w:val="FF0000"/>
          <w:szCs w:val="24"/>
        </w:rPr>
      </w:pPr>
      <w:r w:rsidRPr="00D93A91">
        <w:rPr>
          <w:color w:val="auto"/>
          <w:szCs w:val="24"/>
        </w:rPr>
        <w:t>Sciatica of the Right Lower Extremity associated with Lumbar Disc Disease</w:t>
      </w:r>
      <w:r>
        <w:rPr>
          <w:color w:val="auto"/>
          <w:szCs w:val="24"/>
        </w:rPr>
        <w:t xml:space="preserve">, </w:t>
      </w:r>
      <w:r w:rsidRPr="00D93A91">
        <w:rPr>
          <w:color w:val="auto"/>
          <w:szCs w:val="24"/>
        </w:rPr>
        <w:t>Sciatica of the Right Lower Extremity associated with Lumbar Disc Disease</w:t>
      </w:r>
      <w:r>
        <w:rPr>
          <w:color w:val="auto"/>
          <w:szCs w:val="24"/>
        </w:rPr>
        <w:t xml:space="preserve">; and </w:t>
      </w:r>
      <w:r w:rsidR="00186B42" w:rsidRPr="00D93A91">
        <w:rPr>
          <w:color w:val="auto"/>
          <w:szCs w:val="24"/>
        </w:rPr>
        <w:t>Right Patellar Tendonitis</w:t>
      </w:r>
    </w:p>
    <w:p w:rsidR="00A90D55" w:rsidRPr="00473D5C" w:rsidRDefault="001B3174" w:rsidP="00875F2D">
      <w:pPr>
        <w:tabs>
          <w:tab w:val="left" w:pos="288"/>
          <w:tab w:val="left" w:pos="4752"/>
        </w:tabs>
        <w:spacing w:line="240" w:lineRule="exact"/>
        <w:jc w:val="both"/>
        <w:rPr>
          <w:color w:val="000080"/>
          <w:szCs w:val="24"/>
        </w:rPr>
      </w:pPr>
      <w:r w:rsidRPr="00497240">
        <w:rPr>
          <w:rFonts w:asciiTheme="minorHAnsi" w:hAnsiTheme="minorHAnsi"/>
          <w:color w:val="auto"/>
          <w:szCs w:val="24"/>
          <w:u w:val="single"/>
        </w:rPr>
        <w:t>____________________________________________________________</w:t>
      </w:r>
      <w:r>
        <w:rPr>
          <w:rFonts w:asciiTheme="minorHAnsi" w:hAnsiTheme="minorHAnsi"/>
          <w:color w:val="auto"/>
          <w:szCs w:val="24"/>
          <w:u w:val="single"/>
        </w:rPr>
        <w:t>______________</w:t>
      </w:r>
      <w:r w:rsidRPr="00497240">
        <w:rPr>
          <w:rFonts w:asciiTheme="minorHAnsi" w:hAnsiTheme="minorHAnsi"/>
          <w:color w:val="auto"/>
          <w:szCs w:val="24"/>
          <w:u w:val="single"/>
        </w:rPr>
        <w:t>___</w:t>
      </w:r>
      <w:r w:rsidRPr="00497240">
        <w:rPr>
          <w:rFonts w:asciiTheme="minorHAnsi" w:hAnsiTheme="minorHAnsi"/>
          <w:color w:val="auto"/>
          <w:szCs w:val="24"/>
        </w:rPr>
        <w:t>_</w:t>
      </w:r>
    </w:p>
    <w:p w:rsidR="00A90D55" w:rsidRPr="00473D5C" w:rsidRDefault="00A90D55" w:rsidP="00875F2D">
      <w:pPr>
        <w:tabs>
          <w:tab w:val="left" w:pos="288"/>
          <w:tab w:val="left" w:pos="4752"/>
        </w:tabs>
        <w:spacing w:line="240" w:lineRule="exact"/>
        <w:jc w:val="both"/>
        <w:rPr>
          <w:color w:val="000080"/>
          <w:szCs w:val="24"/>
        </w:rPr>
      </w:pPr>
    </w:p>
    <w:p w:rsidR="00EC0E65" w:rsidRDefault="00FB593A" w:rsidP="004D5130">
      <w:pPr>
        <w:spacing w:line="240" w:lineRule="exact"/>
        <w:jc w:val="both"/>
        <w:rPr>
          <w:rFonts w:eastAsiaTheme="minorHAnsi"/>
          <w:color w:val="auto"/>
          <w:szCs w:val="24"/>
        </w:rPr>
      </w:pPr>
      <w:r w:rsidRPr="00042913">
        <w:rPr>
          <w:color w:val="auto"/>
          <w:szCs w:val="24"/>
          <w:u w:val="single"/>
        </w:rPr>
        <w:t>BOARD FINDINGS</w:t>
      </w:r>
      <w:r w:rsidRPr="00042913">
        <w:rPr>
          <w:color w:val="auto"/>
          <w:szCs w:val="24"/>
        </w:rPr>
        <w:t>:</w:t>
      </w:r>
      <w:r w:rsidRPr="00473D5C">
        <w:rPr>
          <w:rFonts w:eastAsiaTheme="minorHAnsi"/>
          <w:color w:val="auto"/>
          <w:szCs w:val="24"/>
        </w:rPr>
        <w:t xml:space="preserve">  IAW </w:t>
      </w:r>
      <w:proofErr w:type="spellStart"/>
      <w:r w:rsidRPr="00473D5C">
        <w:rPr>
          <w:rFonts w:eastAsiaTheme="minorHAnsi"/>
          <w:color w:val="auto"/>
          <w:szCs w:val="24"/>
        </w:rPr>
        <w:t>DoDI</w:t>
      </w:r>
      <w:proofErr w:type="spellEnd"/>
      <w:r w:rsidRPr="00473D5C">
        <w:rPr>
          <w:rFonts w:eastAsiaTheme="minorHAnsi"/>
          <w:color w:val="auto"/>
          <w:szCs w:val="24"/>
        </w:rPr>
        <w:t xml:space="preserve"> 6040.44, provisions of </w:t>
      </w:r>
      <w:proofErr w:type="spellStart"/>
      <w:r w:rsidRPr="00473D5C">
        <w:rPr>
          <w:rFonts w:eastAsiaTheme="minorHAnsi"/>
          <w:color w:val="auto"/>
          <w:szCs w:val="24"/>
        </w:rPr>
        <w:t>DoD</w:t>
      </w:r>
      <w:proofErr w:type="spellEnd"/>
      <w:r w:rsidRPr="00473D5C">
        <w:rPr>
          <w:rFonts w:eastAsiaTheme="minorHAnsi"/>
          <w:color w:val="auto"/>
          <w:szCs w:val="24"/>
        </w:rPr>
        <w:t xml:space="preserve"> or Military Department regulations or guidelines relied upon by the PEB will not be considered by the </w:t>
      </w:r>
      <w:r w:rsidR="007165CE" w:rsidRPr="00473D5C">
        <w:rPr>
          <w:rFonts w:eastAsiaTheme="minorHAnsi"/>
          <w:color w:val="auto"/>
          <w:szCs w:val="24"/>
        </w:rPr>
        <w:t>Board</w:t>
      </w:r>
      <w:r w:rsidRPr="00473D5C">
        <w:rPr>
          <w:rFonts w:eastAsiaTheme="minorHAnsi"/>
          <w:color w:val="auto"/>
          <w:szCs w:val="24"/>
        </w:rPr>
        <w:t xml:space="preserve"> to the extent they were </w:t>
      </w:r>
      <w:r w:rsidR="004D5130">
        <w:rPr>
          <w:rFonts w:eastAsiaTheme="minorHAnsi"/>
          <w:color w:val="auto"/>
          <w:szCs w:val="24"/>
        </w:rPr>
        <w:t>i</w:t>
      </w:r>
      <w:r w:rsidRPr="00473D5C">
        <w:rPr>
          <w:rFonts w:eastAsiaTheme="minorHAnsi"/>
          <w:color w:val="auto"/>
          <w:szCs w:val="24"/>
        </w:rPr>
        <w:t xml:space="preserve">nconsistent with the VASRD in effect at the time of the adjudication. </w:t>
      </w:r>
      <w:r w:rsidR="001B3174">
        <w:rPr>
          <w:rFonts w:eastAsiaTheme="minorHAnsi"/>
          <w:color w:val="auto"/>
          <w:szCs w:val="24"/>
        </w:rPr>
        <w:t xml:space="preserve"> </w:t>
      </w:r>
      <w:r w:rsidR="004D5130">
        <w:rPr>
          <w:rFonts w:eastAsiaTheme="minorHAnsi"/>
          <w:color w:val="auto"/>
          <w:szCs w:val="24"/>
        </w:rPr>
        <w:t xml:space="preserve">After careful consideration of all available information the Board </w:t>
      </w:r>
      <w:r w:rsidR="004D5130" w:rsidRPr="00D93A91">
        <w:rPr>
          <w:rFonts w:eastAsiaTheme="minorHAnsi"/>
          <w:color w:val="auto"/>
          <w:szCs w:val="24"/>
        </w:rPr>
        <w:t>unanimously</w:t>
      </w:r>
      <w:r w:rsidR="004D5130">
        <w:rPr>
          <w:rFonts w:eastAsiaTheme="minorHAnsi"/>
          <w:color w:val="auto"/>
          <w:szCs w:val="24"/>
        </w:rPr>
        <w:t xml:space="preserve"> determined that the CI’s </w:t>
      </w:r>
      <w:r w:rsidR="004D5130">
        <w:rPr>
          <w:rFonts w:eastAsiaTheme="minorHAnsi"/>
          <w:color w:val="auto"/>
          <w:szCs w:val="24"/>
        </w:rPr>
        <w:lastRenderedPageBreak/>
        <w:t>condition at the time of separation from service is appropriately rated at 10% based on the VASRD General Rating Formula for Diseases and Injuries of the Spine.</w:t>
      </w:r>
    </w:p>
    <w:p w:rsidR="00042913" w:rsidRDefault="00042913" w:rsidP="004D5130">
      <w:pPr>
        <w:spacing w:line="240" w:lineRule="exact"/>
        <w:jc w:val="both"/>
        <w:rPr>
          <w:rFonts w:eastAsiaTheme="minorHAnsi"/>
          <w:color w:val="auto"/>
          <w:szCs w:val="24"/>
        </w:rPr>
      </w:pPr>
    </w:p>
    <w:p w:rsidR="004D5130" w:rsidRPr="00D93A91" w:rsidRDefault="004D5130" w:rsidP="00D93A91">
      <w:pPr>
        <w:spacing w:line="240" w:lineRule="exact"/>
        <w:jc w:val="both"/>
        <w:rPr>
          <w:color w:val="auto"/>
          <w:szCs w:val="24"/>
        </w:rPr>
      </w:pPr>
      <w:r>
        <w:rPr>
          <w:color w:val="auto"/>
          <w:szCs w:val="24"/>
        </w:rPr>
        <w:t xml:space="preserve">Back conditions are rated based on functional limitations demonstrated by limitations of </w:t>
      </w:r>
      <w:r w:rsidR="00186B42">
        <w:rPr>
          <w:color w:val="auto"/>
          <w:szCs w:val="24"/>
        </w:rPr>
        <w:t xml:space="preserve">the </w:t>
      </w:r>
      <w:r>
        <w:rPr>
          <w:color w:val="auto"/>
          <w:szCs w:val="24"/>
        </w:rPr>
        <w:t>ROM of the spine</w:t>
      </w:r>
      <w:r w:rsidR="00186B42">
        <w:rPr>
          <w:color w:val="auto"/>
          <w:szCs w:val="24"/>
        </w:rPr>
        <w:t xml:space="preserve"> with or without symptoms such as pain (whether or not it radiates), stiffness, or aching. </w:t>
      </w:r>
      <w:r w:rsidR="001B3174">
        <w:rPr>
          <w:color w:val="auto"/>
          <w:szCs w:val="24"/>
        </w:rPr>
        <w:t xml:space="preserve"> </w:t>
      </w:r>
      <w:r w:rsidR="00186B42">
        <w:rPr>
          <w:color w:val="auto"/>
          <w:szCs w:val="24"/>
        </w:rPr>
        <w:t xml:space="preserve">Associated neurologic abnormalities are rated separately under the appropriate VASRD code. </w:t>
      </w:r>
      <w:r w:rsidR="001B3174">
        <w:rPr>
          <w:color w:val="auto"/>
          <w:szCs w:val="24"/>
        </w:rPr>
        <w:t xml:space="preserve"> </w:t>
      </w:r>
      <w:r w:rsidR="00186B42">
        <w:rPr>
          <w:color w:val="auto"/>
          <w:szCs w:val="24"/>
        </w:rPr>
        <w:t xml:space="preserve">On both the Navy and VA examinations the forward flexion of the CI’s </w:t>
      </w:r>
      <w:proofErr w:type="spellStart"/>
      <w:r w:rsidR="00186B42">
        <w:rPr>
          <w:color w:val="auto"/>
          <w:szCs w:val="24"/>
        </w:rPr>
        <w:t>thoracolumbar</w:t>
      </w:r>
      <w:proofErr w:type="spellEnd"/>
      <w:r w:rsidR="00186B42">
        <w:rPr>
          <w:color w:val="auto"/>
          <w:szCs w:val="24"/>
        </w:rPr>
        <w:t xml:space="preserve"> spine was greater than 60 degrees but not greater than 85 degrees and this warrants a 10% disability </w:t>
      </w:r>
      <w:r w:rsidR="00186B42" w:rsidRPr="00D93A91">
        <w:rPr>
          <w:color w:val="auto"/>
          <w:szCs w:val="24"/>
        </w:rPr>
        <w:t xml:space="preserve">rating. Neither examination documented abnormal gait, abnormal spinal contour, or neurological abnormality. </w:t>
      </w:r>
    </w:p>
    <w:p w:rsidR="00D93A91" w:rsidRPr="00D93A91" w:rsidRDefault="00D93A91" w:rsidP="00D93A91">
      <w:pPr>
        <w:spacing w:line="240" w:lineRule="exact"/>
        <w:jc w:val="both"/>
        <w:rPr>
          <w:color w:val="auto"/>
          <w:szCs w:val="24"/>
        </w:rPr>
      </w:pPr>
    </w:p>
    <w:p w:rsidR="00D93A91" w:rsidRPr="00D93A91" w:rsidRDefault="00D93A91" w:rsidP="001B3174">
      <w:pPr>
        <w:pStyle w:val="PlainText"/>
        <w:tabs>
          <w:tab w:val="left" w:pos="720"/>
          <w:tab w:val="left" w:pos="1080"/>
          <w:tab w:val="left" w:pos="1350"/>
          <w:tab w:val="left" w:pos="1620"/>
          <w:tab w:val="right" w:leader="dot" w:pos="9180"/>
        </w:tabs>
        <w:spacing w:line="240" w:lineRule="exact"/>
        <w:jc w:val="both"/>
        <w:rPr>
          <w:rFonts w:ascii="Courier" w:hAnsi="Courier"/>
          <w:sz w:val="24"/>
          <w:szCs w:val="24"/>
        </w:rPr>
      </w:pPr>
      <w:proofErr w:type="spellStart"/>
      <w:r w:rsidRPr="00D93A91">
        <w:rPr>
          <w:rFonts w:ascii="Courier" w:hAnsi="Courier"/>
          <w:sz w:val="24"/>
          <w:szCs w:val="24"/>
        </w:rPr>
        <w:t>Intervertebral</w:t>
      </w:r>
      <w:proofErr w:type="spellEnd"/>
      <w:r w:rsidRPr="00D93A91">
        <w:rPr>
          <w:rFonts w:ascii="Courier" w:hAnsi="Courier"/>
          <w:sz w:val="24"/>
          <w:szCs w:val="24"/>
        </w:rPr>
        <w:t xml:space="preserve"> </w:t>
      </w:r>
      <w:r>
        <w:rPr>
          <w:rFonts w:ascii="Courier" w:hAnsi="Courier"/>
          <w:sz w:val="24"/>
          <w:szCs w:val="24"/>
        </w:rPr>
        <w:t>D</w:t>
      </w:r>
      <w:r w:rsidRPr="00D93A91">
        <w:rPr>
          <w:rFonts w:ascii="Courier" w:hAnsi="Courier"/>
          <w:sz w:val="24"/>
          <w:szCs w:val="24"/>
        </w:rPr>
        <w:t xml:space="preserve">isc Syndrome (preoperatively or postoperatively) can be evaluated either under the General Rating Formula for Diseases and Injuries of the Spine or under the Formula for Rating </w:t>
      </w:r>
      <w:proofErr w:type="spellStart"/>
      <w:r w:rsidRPr="00D93A91">
        <w:rPr>
          <w:rFonts w:ascii="Courier" w:hAnsi="Courier"/>
          <w:sz w:val="24"/>
          <w:szCs w:val="24"/>
        </w:rPr>
        <w:t>Intervertebral</w:t>
      </w:r>
      <w:proofErr w:type="spellEnd"/>
      <w:r w:rsidRPr="00D93A91">
        <w:rPr>
          <w:rFonts w:ascii="Courier" w:hAnsi="Courier"/>
          <w:sz w:val="24"/>
          <w:szCs w:val="24"/>
        </w:rPr>
        <w:t xml:space="preserve"> Disc Syndrome Based on Incapacitating Episodes, whichever method results in the higher evaluation when all disabilities are combined under VASRD </w:t>
      </w:r>
      <w:r w:rsidRPr="00D93A91">
        <w:rPr>
          <w:rFonts w:ascii="Courier" w:hAnsi="Times New Roman"/>
          <w:sz w:val="24"/>
          <w:szCs w:val="24"/>
        </w:rPr>
        <w:t>§</w:t>
      </w:r>
      <w:r w:rsidRPr="00D93A91">
        <w:rPr>
          <w:rFonts w:ascii="Courier" w:hAnsi="Courier"/>
          <w:sz w:val="24"/>
          <w:szCs w:val="24"/>
        </w:rPr>
        <w:t xml:space="preserve">4.25. </w:t>
      </w:r>
      <w:r w:rsidR="001B3174">
        <w:rPr>
          <w:rFonts w:ascii="Courier" w:hAnsi="Courier"/>
          <w:sz w:val="24"/>
          <w:szCs w:val="24"/>
        </w:rPr>
        <w:t xml:space="preserve"> </w:t>
      </w:r>
      <w:r w:rsidRPr="00D93A91">
        <w:rPr>
          <w:rFonts w:ascii="Courier" w:hAnsi="Courier"/>
          <w:sz w:val="24"/>
          <w:szCs w:val="24"/>
        </w:rPr>
        <w:t xml:space="preserve">There is no evidence of incapacitating episodes as defined in the VASRD, i.e. physician prescribed bed rest, other than at the time of surgery. </w:t>
      </w:r>
      <w:r w:rsidR="001B3174">
        <w:rPr>
          <w:rFonts w:ascii="Courier" w:hAnsi="Courier"/>
          <w:sz w:val="24"/>
          <w:szCs w:val="24"/>
        </w:rPr>
        <w:t xml:space="preserve"> </w:t>
      </w:r>
      <w:r w:rsidRPr="00D93A91">
        <w:rPr>
          <w:rFonts w:ascii="Courier" w:hAnsi="Courier"/>
          <w:sz w:val="24"/>
          <w:szCs w:val="24"/>
        </w:rPr>
        <w:t xml:space="preserve">Therefore the CI’s back condition is rated using the </w:t>
      </w:r>
      <w:r w:rsidRPr="00D93A91">
        <w:rPr>
          <w:rFonts w:ascii="Courier" w:eastAsiaTheme="minorHAnsi" w:hAnsi="Courier"/>
          <w:sz w:val="24"/>
          <w:szCs w:val="24"/>
        </w:rPr>
        <w:t>General Rating Formula for Diseases and Injuries of the Spine.</w:t>
      </w:r>
    </w:p>
    <w:p w:rsidR="00042913" w:rsidRPr="00D93A91" w:rsidRDefault="00042913" w:rsidP="004D5130">
      <w:pPr>
        <w:spacing w:line="240" w:lineRule="exact"/>
        <w:jc w:val="both"/>
        <w:rPr>
          <w:rFonts w:eastAsiaTheme="minorHAnsi"/>
          <w:i/>
          <w:color w:val="FF0000"/>
          <w:szCs w:val="24"/>
        </w:rPr>
      </w:pPr>
    </w:p>
    <w:p w:rsidR="00F5126A" w:rsidRPr="004D5130" w:rsidRDefault="004D5130" w:rsidP="00180765">
      <w:pPr>
        <w:autoSpaceDE w:val="0"/>
        <w:autoSpaceDN w:val="0"/>
        <w:adjustRightInd w:val="0"/>
        <w:spacing w:line="240" w:lineRule="exact"/>
        <w:jc w:val="both"/>
        <w:rPr>
          <w:rFonts w:eastAsiaTheme="minorHAnsi"/>
          <w:color w:val="auto"/>
          <w:szCs w:val="24"/>
        </w:rPr>
      </w:pPr>
      <w:r w:rsidRPr="004D5130">
        <w:rPr>
          <w:rFonts w:eastAsiaTheme="minorHAnsi"/>
          <w:color w:val="auto"/>
          <w:szCs w:val="24"/>
        </w:rPr>
        <w:t>The Board also considered</w:t>
      </w:r>
      <w:r>
        <w:rPr>
          <w:rFonts w:eastAsiaTheme="minorHAnsi"/>
          <w:color w:val="auto"/>
          <w:szCs w:val="24"/>
        </w:rPr>
        <w:t xml:space="preserve"> the following conditions and </w:t>
      </w:r>
      <w:r w:rsidRPr="00D93A91">
        <w:rPr>
          <w:rFonts w:eastAsiaTheme="minorHAnsi"/>
          <w:color w:val="auto"/>
          <w:szCs w:val="24"/>
        </w:rPr>
        <w:t>unanimously</w:t>
      </w:r>
      <w:r>
        <w:rPr>
          <w:rFonts w:eastAsiaTheme="minorHAnsi"/>
          <w:color w:val="auto"/>
          <w:szCs w:val="24"/>
        </w:rPr>
        <w:t xml:space="preserve"> determined that none were unfitting at the time of separation from service and therefore no disability rating is applied</w:t>
      </w:r>
      <w:r w:rsidRPr="00180765">
        <w:rPr>
          <w:rFonts w:eastAsiaTheme="minorHAnsi"/>
          <w:color w:val="auto"/>
          <w:szCs w:val="24"/>
        </w:rPr>
        <w:t xml:space="preserve">: </w:t>
      </w:r>
      <w:r w:rsidR="001B3174">
        <w:rPr>
          <w:rFonts w:eastAsiaTheme="minorHAnsi"/>
          <w:color w:val="auto"/>
          <w:szCs w:val="24"/>
        </w:rPr>
        <w:t xml:space="preserve"> </w:t>
      </w:r>
      <w:proofErr w:type="spellStart"/>
      <w:r w:rsidR="00180765" w:rsidRPr="00180765">
        <w:rPr>
          <w:color w:val="auto"/>
          <w:szCs w:val="24"/>
        </w:rPr>
        <w:t>Pseudofolliculitis</w:t>
      </w:r>
      <w:proofErr w:type="spellEnd"/>
      <w:r w:rsidR="00180765" w:rsidRPr="00180765">
        <w:rPr>
          <w:color w:val="auto"/>
          <w:szCs w:val="24"/>
        </w:rPr>
        <w:t xml:space="preserve">; Right Rotator Cuff Tendonitis; Left Shoulder Rotator Cuff Tendonitis; Left Hip Strain; Left Patellar Tendonitis; Tinnitus; </w:t>
      </w:r>
      <w:proofErr w:type="spellStart"/>
      <w:r w:rsidR="00180765" w:rsidRPr="00180765">
        <w:rPr>
          <w:color w:val="auto"/>
          <w:szCs w:val="24"/>
        </w:rPr>
        <w:t>Gastroesophageal</w:t>
      </w:r>
      <w:proofErr w:type="spellEnd"/>
      <w:r w:rsidR="00180765" w:rsidRPr="00180765">
        <w:rPr>
          <w:color w:val="auto"/>
          <w:szCs w:val="24"/>
        </w:rPr>
        <w:t xml:space="preserve"> Reflux Disease; Right Carpal Tunnel Syndrome; Bilateral </w:t>
      </w:r>
      <w:proofErr w:type="spellStart"/>
      <w:r w:rsidR="00180765" w:rsidRPr="00180765">
        <w:rPr>
          <w:color w:val="auto"/>
          <w:szCs w:val="24"/>
        </w:rPr>
        <w:t>Hallux</w:t>
      </w:r>
      <w:proofErr w:type="spellEnd"/>
      <w:r w:rsidR="00180765" w:rsidRPr="00180765">
        <w:rPr>
          <w:color w:val="auto"/>
          <w:szCs w:val="24"/>
        </w:rPr>
        <w:t xml:space="preserve"> </w:t>
      </w:r>
      <w:proofErr w:type="spellStart"/>
      <w:r w:rsidR="00180765" w:rsidRPr="00180765">
        <w:rPr>
          <w:color w:val="auto"/>
          <w:szCs w:val="24"/>
        </w:rPr>
        <w:t>Valgus</w:t>
      </w:r>
      <w:proofErr w:type="spellEnd"/>
      <w:r w:rsidR="00180765" w:rsidRPr="00180765">
        <w:rPr>
          <w:color w:val="auto"/>
          <w:szCs w:val="24"/>
        </w:rPr>
        <w:t xml:space="preserve">, </w:t>
      </w:r>
      <w:proofErr w:type="spellStart"/>
      <w:r w:rsidR="00180765" w:rsidRPr="00180765">
        <w:rPr>
          <w:color w:val="auto"/>
          <w:szCs w:val="24"/>
        </w:rPr>
        <w:t>Pes</w:t>
      </w:r>
      <w:proofErr w:type="spellEnd"/>
      <w:r w:rsidR="00180765" w:rsidRPr="00180765">
        <w:rPr>
          <w:color w:val="auto"/>
          <w:szCs w:val="24"/>
        </w:rPr>
        <w:t xml:space="preserve"> </w:t>
      </w:r>
      <w:proofErr w:type="spellStart"/>
      <w:r w:rsidR="00180765" w:rsidRPr="00180765">
        <w:rPr>
          <w:color w:val="auto"/>
          <w:szCs w:val="24"/>
        </w:rPr>
        <w:t>Planus</w:t>
      </w:r>
      <w:proofErr w:type="spellEnd"/>
      <w:r w:rsidR="00180765" w:rsidRPr="00180765">
        <w:rPr>
          <w:color w:val="auto"/>
          <w:szCs w:val="24"/>
        </w:rPr>
        <w:t xml:space="preserve">, with Associated </w:t>
      </w:r>
      <w:proofErr w:type="spellStart"/>
      <w:r w:rsidR="00180765" w:rsidRPr="00180765">
        <w:rPr>
          <w:color w:val="auto"/>
          <w:szCs w:val="24"/>
        </w:rPr>
        <w:t>Onychomycosis</w:t>
      </w:r>
      <w:proofErr w:type="spellEnd"/>
      <w:r w:rsidR="00180765" w:rsidRPr="00180765">
        <w:rPr>
          <w:color w:val="auto"/>
          <w:szCs w:val="24"/>
        </w:rPr>
        <w:t xml:space="preserve">; Sinusitis; </w:t>
      </w:r>
      <w:r w:rsidR="00180765">
        <w:rPr>
          <w:color w:val="auto"/>
          <w:szCs w:val="24"/>
        </w:rPr>
        <w:t xml:space="preserve">and </w:t>
      </w:r>
      <w:r w:rsidR="00180765" w:rsidRPr="00180765">
        <w:rPr>
          <w:color w:val="auto"/>
          <w:szCs w:val="24"/>
        </w:rPr>
        <w:t>Surgical Scar on Lumbar Spine</w:t>
      </w:r>
      <w:r w:rsidRPr="00180765">
        <w:rPr>
          <w:rFonts w:eastAsiaTheme="minorHAnsi"/>
          <w:color w:val="auto"/>
          <w:szCs w:val="24"/>
        </w:rPr>
        <w:t xml:space="preserve">. </w:t>
      </w:r>
      <w:r w:rsidR="001B3174">
        <w:rPr>
          <w:rFonts w:eastAsiaTheme="minorHAnsi"/>
          <w:color w:val="auto"/>
          <w:szCs w:val="24"/>
        </w:rPr>
        <w:t xml:space="preserve"> </w:t>
      </w:r>
      <w:r w:rsidRPr="00180765">
        <w:rPr>
          <w:rFonts w:eastAsiaTheme="minorHAnsi"/>
          <w:color w:val="auto"/>
          <w:szCs w:val="24"/>
        </w:rPr>
        <w:t>These conditions did not interfere with satisfactory performance of required duties and no functional limitations can be attributed</w:t>
      </w:r>
      <w:r>
        <w:rPr>
          <w:rFonts w:eastAsiaTheme="minorHAnsi"/>
          <w:color w:val="auto"/>
          <w:szCs w:val="24"/>
        </w:rPr>
        <w:t xml:space="preserve"> to these conditions. </w:t>
      </w:r>
    </w:p>
    <w:p w:rsidR="001E5815" w:rsidRPr="00473D5C" w:rsidRDefault="001E5815" w:rsidP="004D5130">
      <w:pPr>
        <w:spacing w:line="240" w:lineRule="exact"/>
        <w:jc w:val="both"/>
        <w:rPr>
          <w:rFonts w:eastAsiaTheme="minorHAnsi"/>
          <w:color w:val="auto"/>
          <w:szCs w:val="24"/>
        </w:rPr>
      </w:pPr>
    </w:p>
    <w:p w:rsidR="001E5815" w:rsidRPr="00473D5C" w:rsidRDefault="00042913" w:rsidP="00180765">
      <w:pPr>
        <w:autoSpaceDE w:val="0"/>
        <w:autoSpaceDN w:val="0"/>
        <w:adjustRightInd w:val="0"/>
        <w:spacing w:line="240" w:lineRule="exact"/>
        <w:jc w:val="both"/>
        <w:rPr>
          <w:color w:val="auto"/>
          <w:szCs w:val="24"/>
        </w:rPr>
      </w:pPr>
      <w:r w:rsidRPr="00D93A91">
        <w:rPr>
          <w:color w:val="auto"/>
          <w:szCs w:val="24"/>
        </w:rPr>
        <w:t>The other diagnos</w:t>
      </w:r>
      <w:r w:rsidR="00180765" w:rsidRPr="00D93A91">
        <w:rPr>
          <w:color w:val="auto"/>
          <w:szCs w:val="24"/>
        </w:rPr>
        <w:t>e</w:t>
      </w:r>
      <w:r w:rsidRPr="00D93A91">
        <w:rPr>
          <w:color w:val="auto"/>
          <w:szCs w:val="24"/>
        </w:rPr>
        <w:t>s</w:t>
      </w:r>
      <w:r w:rsidR="001E5815" w:rsidRPr="00D93A91">
        <w:rPr>
          <w:color w:val="auto"/>
          <w:szCs w:val="24"/>
        </w:rPr>
        <w:t xml:space="preserve"> rated by the VA </w:t>
      </w:r>
      <w:r w:rsidRPr="00D93A91">
        <w:rPr>
          <w:color w:val="auto"/>
          <w:szCs w:val="24"/>
        </w:rPr>
        <w:t>(</w:t>
      </w:r>
      <w:r w:rsidR="00180765" w:rsidRPr="00D93A91">
        <w:rPr>
          <w:color w:val="auto"/>
          <w:szCs w:val="24"/>
        </w:rPr>
        <w:t xml:space="preserve">Sciatica of the Right Lower Extremity associated with Lumbar Disc Disease; Sciatica of the Right Lower Extremity associated with Lumbar Disc Disease; and </w:t>
      </w:r>
      <w:r w:rsidRPr="00E82FD9">
        <w:rPr>
          <w:color w:val="auto"/>
          <w:szCs w:val="24"/>
        </w:rPr>
        <w:t>Right Patellar Tendonitis</w:t>
      </w:r>
      <w:r w:rsidRPr="00D93A91">
        <w:rPr>
          <w:color w:val="auto"/>
          <w:szCs w:val="24"/>
        </w:rPr>
        <w:t xml:space="preserve">) </w:t>
      </w:r>
      <w:r w:rsidR="001E5815" w:rsidRPr="00D93A91">
        <w:rPr>
          <w:color w:val="auto"/>
          <w:szCs w:val="24"/>
        </w:rPr>
        <w:t>w</w:t>
      </w:r>
      <w:r w:rsidR="00180765" w:rsidRPr="00D93A91">
        <w:rPr>
          <w:color w:val="auto"/>
          <w:szCs w:val="24"/>
        </w:rPr>
        <w:t>ere</w:t>
      </w:r>
      <w:r w:rsidR="001E5815" w:rsidRPr="00D93A91">
        <w:rPr>
          <w:color w:val="auto"/>
          <w:szCs w:val="24"/>
        </w:rPr>
        <w:t xml:space="preserve"> not mentioned in the D</w:t>
      </w:r>
      <w:r w:rsidR="00E82FD9">
        <w:rPr>
          <w:color w:val="auto"/>
          <w:szCs w:val="24"/>
        </w:rPr>
        <w:t>ES</w:t>
      </w:r>
      <w:r w:rsidR="001E5815" w:rsidRPr="00D93A91">
        <w:rPr>
          <w:color w:val="auto"/>
          <w:szCs w:val="24"/>
        </w:rPr>
        <w:t xml:space="preserve"> package and </w:t>
      </w:r>
      <w:r w:rsidRPr="00D93A91">
        <w:rPr>
          <w:color w:val="auto"/>
          <w:szCs w:val="24"/>
        </w:rPr>
        <w:t>is</w:t>
      </w:r>
      <w:r w:rsidR="001E5815" w:rsidRPr="00D93A91">
        <w:rPr>
          <w:color w:val="auto"/>
          <w:szCs w:val="24"/>
        </w:rPr>
        <w:t xml:space="preserve"> therefore outside the scope of the</w:t>
      </w:r>
      <w:r w:rsidR="001E5815" w:rsidRPr="00180765">
        <w:rPr>
          <w:color w:val="auto"/>
          <w:szCs w:val="24"/>
        </w:rPr>
        <w:t xml:space="preserve"> Board. </w:t>
      </w:r>
      <w:r w:rsidR="001B3174">
        <w:rPr>
          <w:color w:val="auto"/>
          <w:szCs w:val="24"/>
        </w:rPr>
        <w:t xml:space="preserve"> </w:t>
      </w:r>
      <w:r w:rsidR="001E5815" w:rsidRPr="00180765">
        <w:rPr>
          <w:color w:val="auto"/>
          <w:szCs w:val="24"/>
        </w:rPr>
        <w:t>The CI retains the rig</w:t>
      </w:r>
      <w:r w:rsidR="00E5581B" w:rsidRPr="00180765">
        <w:rPr>
          <w:color w:val="auto"/>
          <w:szCs w:val="24"/>
        </w:rPr>
        <w:t>ht to request his</w:t>
      </w:r>
      <w:r w:rsidR="001E5815" w:rsidRPr="00180765">
        <w:rPr>
          <w:color w:val="auto"/>
          <w:szCs w:val="24"/>
        </w:rPr>
        <w:t xml:space="preserve"> service Board of Correction for </w:t>
      </w:r>
      <w:r w:rsidRPr="00180765">
        <w:rPr>
          <w:color w:val="auto"/>
          <w:szCs w:val="24"/>
        </w:rPr>
        <w:t>Naval Records</w:t>
      </w:r>
      <w:r w:rsidR="00E5581B" w:rsidRPr="00180765">
        <w:rPr>
          <w:color w:val="auto"/>
          <w:szCs w:val="24"/>
        </w:rPr>
        <w:t xml:space="preserve"> (</w:t>
      </w:r>
      <w:r w:rsidR="001E5815" w:rsidRPr="00E5581B">
        <w:rPr>
          <w:color w:val="auto"/>
          <w:szCs w:val="24"/>
        </w:rPr>
        <w:t>BCNR</w:t>
      </w:r>
      <w:r w:rsidR="001E5815" w:rsidRPr="00473D5C">
        <w:rPr>
          <w:color w:val="auto"/>
          <w:szCs w:val="24"/>
        </w:rPr>
        <w:t>) to consider adding these conditions as unfitting.</w:t>
      </w:r>
    </w:p>
    <w:p w:rsidR="00FB593A" w:rsidRPr="00042913" w:rsidRDefault="008B5D31" w:rsidP="004D5130">
      <w:pPr>
        <w:tabs>
          <w:tab w:val="left" w:pos="288"/>
          <w:tab w:val="left" w:pos="4752"/>
        </w:tabs>
        <w:spacing w:line="240" w:lineRule="exact"/>
        <w:jc w:val="both"/>
        <w:rPr>
          <w:color w:val="auto"/>
          <w:szCs w:val="24"/>
        </w:rPr>
      </w:pPr>
      <w:r w:rsidRPr="00042913">
        <w:rPr>
          <w:color w:val="auto"/>
          <w:szCs w:val="24"/>
          <w:u w:val="single"/>
        </w:rPr>
        <w:t>_______________________________________________________</w:t>
      </w:r>
      <w:r w:rsidR="004D5130">
        <w:rPr>
          <w:color w:val="auto"/>
          <w:szCs w:val="24"/>
          <w:u w:val="single"/>
        </w:rPr>
        <w:t>______</w:t>
      </w:r>
      <w:r w:rsidRPr="00042913">
        <w:rPr>
          <w:color w:val="auto"/>
          <w:szCs w:val="24"/>
          <w:u w:val="single"/>
        </w:rPr>
        <w:t>__</w:t>
      </w:r>
      <w:r w:rsidRPr="00042913">
        <w:rPr>
          <w:color w:val="auto"/>
          <w:szCs w:val="24"/>
        </w:rPr>
        <w:t>_</w:t>
      </w:r>
    </w:p>
    <w:p w:rsidR="00FB593A" w:rsidRPr="00042913" w:rsidRDefault="00FB593A" w:rsidP="004D5130">
      <w:pPr>
        <w:tabs>
          <w:tab w:val="left" w:pos="288"/>
          <w:tab w:val="left" w:pos="4752"/>
        </w:tabs>
        <w:spacing w:line="240" w:lineRule="exact"/>
        <w:jc w:val="both"/>
        <w:rPr>
          <w:color w:val="auto"/>
          <w:szCs w:val="24"/>
        </w:rPr>
      </w:pPr>
    </w:p>
    <w:p w:rsidR="00203F9B" w:rsidRDefault="00FB593A" w:rsidP="000F28FB">
      <w:pPr>
        <w:spacing w:line="240" w:lineRule="exact"/>
        <w:jc w:val="both"/>
        <w:rPr>
          <w:color w:val="auto"/>
          <w:szCs w:val="24"/>
        </w:rPr>
      </w:pPr>
      <w:r w:rsidRPr="00042913">
        <w:rPr>
          <w:color w:val="auto"/>
          <w:szCs w:val="24"/>
          <w:u w:val="single"/>
        </w:rPr>
        <w:t>RECOMMENDATION</w:t>
      </w:r>
      <w:r w:rsidRPr="00042913">
        <w:rPr>
          <w:color w:val="auto"/>
          <w:szCs w:val="24"/>
        </w:rPr>
        <w:t>:</w:t>
      </w:r>
      <w:r w:rsidRPr="00473D5C">
        <w:rPr>
          <w:color w:val="000080"/>
          <w:szCs w:val="24"/>
        </w:rPr>
        <w:t xml:space="preserve"> </w:t>
      </w:r>
      <w:r w:rsidR="00042913" w:rsidRPr="004D5130">
        <w:rPr>
          <w:color w:val="auto"/>
          <w:szCs w:val="24"/>
        </w:rPr>
        <w:t xml:space="preserve">The Board therefore recommends that there be no </w:t>
      </w:r>
      <w:proofErr w:type="spellStart"/>
      <w:r w:rsidR="00042913" w:rsidRPr="004D5130">
        <w:rPr>
          <w:color w:val="auto"/>
          <w:szCs w:val="24"/>
        </w:rPr>
        <w:t>recharacterization</w:t>
      </w:r>
      <w:proofErr w:type="spellEnd"/>
      <w:r w:rsidR="00042913" w:rsidRPr="004D5130">
        <w:rPr>
          <w:color w:val="auto"/>
          <w:szCs w:val="24"/>
        </w:rPr>
        <w:t xml:space="preserve"> of the CI</w:t>
      </w:r>
      <w:r w:rsidR="00042913" w:rsidRPr="004D5130">
        <w:rPr>
          <w:rFonts w:hAnsiTheme="minorHAnsi"/>
          <w:color w:val="auto"/>
          <w:szCs w:val="24"/>
        </w:rPr>
        <w:t>’</w:t>
      </w:r>
      <w:r w:rsidR="00042913" w:rsidRPr="004D5130">
        <w:rPr>
          <w:color w:val="auto"/>
          <w:szCs w:val="24"/>
        </w:rPr>
        <w:t>s disability and separation determination.</w:t>
      </w:r>
    </w:p>
    <w:p w:rsidR="00B522CD" w:rsidRPr="00042913" w:rsidRDefault="008B5D31" w:rsidP="00875F2D">
      <w:pPr>
        <w:tabs>
          <w:tab w:val="left" w:pos="288"/>
          <w:tab w:val="left" w:pos="4752"/>
        </w:tabs>
        <w:spacing w:line="240" w:lineRule="exact"/>
        <w:jc w:val="both"/>
        <w:rPr>
          <w:color w:val="auto"/>
          <w:szCs w:val="24"/>
        </w:rPr>
      </w:pPr>
      <w:r w:rsidRPr="00042913">
        <w:rPr>
          <w:color w:val="auto"/>
          <w:szCs w:val="24"/>
          <w:u w:val="single"/>
        </w:rPr>
        <w:t>_______________________________________________________________</w:t>
      </w:r>
      <w:r w:rsidRPr="00042913">
        <w:rPr>
          <w:color w:val="auto"/>
          <w:szCs w:val="24"/>
        </w:rPr>
        <w:t>_</w:t>
      </w:r>
    </w:p>
    <w:p w:rsidR="00D91DA6" w:rsidRDefault="00D91DA6" w:rsidP="00875F2D">
      <w:pPr>
        <w:tabs>
          <w:tab w:val="left" w:pos="288"/>
          <w:tab w:val="left" w:pos="4752"/>
        </w:tabs>
        <w:spacing w:line="240" w:lineRule="exact"/>
        <w:jc w:val="both"/>
        <w:rPr>
          <w:color w:val="auto"/>
          <w:szCs w:val="24"/>
        </w:rPr>
      </w:pPr>
    </w:p>
    <w:p w:rsidR="000F28FB" w:rsidRDefault="000F28FB" w:rsidP="00875F2D">
      <w:pPr>
        <w:tabs>
          <w:tab w:val="left" w:pos="288"/>
          <w:tab w:val="left" w:pos="4752"/>
        </w:tabs>
        <w:spacing w:line="240" w:lineRule="exact"/>
        <w:jc w:val="both"/>
        <w:rPr>
          <w:color w:val="auto"/>
          <w:szCs w:val="24"/>
        </w:rPr>
      </w:pPr>
    </w:p>
    <w:p w:rsidR="00E82FD9" w:rsidRPr="00042913" w:rsidRDefault="00E82FD9" w:rsidP="00875F2D">
      <w:pPr>
        <w:tabs>
          <w:tab w:val="left" w:pos="288"/>
          <w:tab w:val="left" w:pos="4752"/>
        </w:tabs>
        <w:spacing w:line="240" w:lineRule="exact"/>
        <w:jc w:val="both"/>
        <w:rPr>
          <w:color w:val="auto"/>
          <w:szCs w:val="24"/>
        </w:rPr>
      </w:pPr>
    </w:p>
    <w:p w:rsidR="00D91DA6" w:rsidRPr="00042913" w:rsidRDefault="00114F20" w:rsidP="00875F2D">
      <w:pPr>
        <w:tabs>
          <w:tab w:val="left" w:pos="288"/>
          <w:tab w:val="left" w:pos="4752"/>
        </w:tabs>
        <w:spacing w:line="240" w:lineRule="exact"/>
        <w:jc w:val="both"/>
        <w:rPr>
          <w:color w:val="auto"/>
          <w:szCs w:val="24"/>
        </w:rPr>
      </w:pPr>
      <w:r w:rsidRPr="00042913">
        <w:rPr>
          <w:color w:val="auto"/>
          <w:szCs w:val="24"/>
        </w:rPr>
        <w:lastRenderedPageBreak/>
        <w:t>The following documentary evidence was considered:</w:t>
      </w:r>
    </w:p>
    <w:p w:rsidR="00114F20" w:rsidRPr="00042913" w:rsidRDefault="00114F20" w:rsidP="00875F2D">
      <w:pPr>
        <w:tabs>
          <w:tab w:val="left" w:pos="288"/>
          <w:tab w:val="left" w:pos="4752"/>
        </w:tabs>
        <w:spacing w:line="240" w:lineRule="exact"/>
        <w:jc w:val="both"/>
        <w:rPr>
          <w:color w:val="auto"/>
          <w:szCs w:val="24"/>
        </w:rPr>
      </w:pPr>
    </w:p>
    <w:p w:rsidR="00114F20" w:rsidRPr="00042913" w:rsidRDefault="0051146C" w:rsidP="00875F2D">
      <w:pPr>
        <w:tabs>
          <w:tab w:val="left" w:pos="288"/>
          <w:tab w:val="left" w:pos="4752"/>
        </w:tabs>
        <w:spacing w:line="240" w:lineRule="exact"/>
        <w:jc w:val="both"/>
        <w:rPr>
          <w:color w:val="auto"/>
          <w:szCs w:val="24"/>
        </w:rPr>
      </w:pPr>
      <w:r w:rsidRPr="00042913">
        <w:rPr>
          <w:color w:val="auto"/>
          <w:szCs w:val="24"/>
        </w:rPr>
        <w:t xml:space="preserve">Exhibit A.  DD Form </w:t>
      </w:r>
      <w:proofErr w:type="gramStart"/>
      <w:r w:rsidRPr="00042913">
        <w:rPr>
          <w:color w:val="auto"/>
          <w:szCs w:val="24"/>
        </w:rPr>
        <w:t>294,</w:t>
      </w:r>
      <w:proofErr w:type="gramEnd"/>
      <w:r w:rsidRPr="00042913">
        <w:rPr>
          <w:color w:val="auto"/>
          <w:szCs w:val="24"/>
        </w:rPr>
        <w:t xml:space="preserve"> dated </w:t>
      </w:r>
      <w:r w:rsidR="00E5581B" w:rsidRPr="00042913">
        <w:rPr>
          <w:color w:val="auto"/>
          <w:szCs w:val="24"/>
        </w:rPr>
        <w:t>20090319</w:t>
      </w:r>
      <w:r w:rsidR="00114F20" w:rsidRPr="00042913">
        <w:rPr>
          <w:color w:val="auto"/>
          <w:szCs w:val="24"/>
        </w:rPr>
        <w:t>, w/</w:t>
      </w:r>
      <w:proofErr w:type="spellStart"/>
      <w:r w:rsidR="00114F20" w:rsidRPr="00042913">
        <w:rPr>
          <w:color w:val="auto"/>
          <w:szCs w:val="24"/>
        </w:rPr>
        <w:t>atchs</w:t>
      </w:r>
      <w:proofErr w:type="spellEnd"/>
      <w:r w:rsidR="00114F20" w:rsidRPr="00042913">
        <w:rPr>
          <w:color w:val="auto"/>
          <w:szCs w:val="24"/>
        </w:rPr>
        <w:t>.</w:t>
      </w:r>
    </w:p>
    <w:p w:rsidR="00114F20" w:rsidRPr="00042913" w:rsidRDefault="00114F20" w:rsidP="00875F2D">
      <w:pPr>
        <w:tabs>
          <w:tab w:val="left" w:pos="288"/>
          <w:tab w:val="left" w:pos="4752"/>
        </w:tabs>
        <w:spacing w:line="240" w:lineRule="exact"/>
        <w:jc w:val="both"/>
        <w:rPr>
          <w:color w:val="auto"/>
          <w:szCs w:val="24"/>
        </w:rPr>
      </w:pPr>
      <w:r w:rsidRPr="00042913">
        <w:rPr>
          <w:color w:val="auto"/>
          <w:szCs w:val="24"/>
        </w:rPr>
        <w:t xml:space="preserve">Exhibit B.  </w:t>
      </w:r>
      <w:proofErr w:type="gramStart"/>
      <w:r w:rsidRPr="00042913">
        <w:rPr>
          <w:color w:val="auto"/>
          <w:szCs w:val="24"/>
        </w:rPr>
        <w:t>Service Treatment Record.</w:t>
      </w:r>
      <w:proofErr w:type="gramEnd"/>
    </w:p>
    <w:p w:rsidR="00114F20" w:rsidRPr="00042913" w:rsidRDefault="00114F20" w:rsidP="00875F2D">
      <w:pPr>
        <w:tabs>
          <w:tab w:val="left" w:pos="288"/>
          <w:tab w:val="left" w:pos="4752"/>
        </w:tabs>
        <w:spacing w:line="240" w:lineRule="exact"/>
        <w:jc w:val="both"/>
        <w:rPr>
          <w:color w:val="auto"/>
          <w:szCs w:val="24"/>
        </w:rPr>
      </w:pPr>
      <w:r w:rsidRPr="00042913">
        <w:rPr>
          <w:color w:val="auto"/>
          <w:szCs w:val="24"/>
        </w:rPr>
        <w:t xml:space="preserve">Exhibit C.  </w:t>
      </w:r>
      <w:proofErr w:type="gramStart"/>
      <w:r w:rsidRPr="00042913">
        <w:rPr>
          <w:color w:val="auto"/>
          <w:szCs w:val="24"/>
        </w:rPr>
        <w:t>Department of Veterans</w:t>
      </w:r>
      <w:r w:rsidR="00385D6F" w:rsidRPr="00042913">
        <w:rPr>
          <w:color w:val="auto"/>
          <w:szCs w:val="24"/>
        </w:rPr>
        <w:t>'</w:t>
      </w:r>
      <w:r w:rsidRPr="00042913">
        <w:rPr>
          <w:color w:val="auto"/>
          <w:szCs w:val="24"/>
        </w:rPr>
        <w:t xml:space="preserve"> Affairs Treatment Record.</w:t>
      </w:r>
      <w:proofErr w:type="gramEnd"/>
    </w:p>
    <w:p w:rsidR="00D91DA6" w:rsidRPr="00042913" w:rsidRDefault="00D91DA6" w:rsidP="00875F2D">
      <w:pPr>
        <w:tabs>
          <w:tab w:val="left" w:pos="288"/>
          <w:tab w:val="left" w:pos="4752"/>
        </w:tabs>
        <w:spacing w:line="240" w:lineRule="exact"/>
        <w:jc w:val="both"/>
        <w:rPr>
          <w:color w:val="auto"/>
          <w:szCs w:val="24"/>
        </w:rPr>
      </w:pPr>
    </w:p>
    <w:p w:rsidR="00114F20" w:rsidRPr="00042913" w:rsidRDefault="00114F20" w:rsidP="00875F2D">
      <w:pPr>
        <w:tabs>
          <w:tab w:val="left" w:pos="288"/>
          <w:tab w:val="left" w:pos="4752"/>
        </w:tabs>
        <w:spacing w:line="240" w:lineRule="exact"/>
        <w:jc w:val="both"/>
        <w:rPr>
          <w:rFonts w:asciiTheme="minorHAnsi" w:hAnsiTheme="minorHAnsi"/>
          <w:color w:val="auto"/>
          <w:szCs w:val="24"/>
        </w:rPr>
      </w:pPr>
    </w:p>
    <w:p w:rsidR="00114F20" w:rsidRPr="00042913" w:rsidRDefault="00114F20" w:rsidP="00875F2D">
      <w:pPr>
        <w:tabs>
          <w:tab w:val="left" w:pos="288"/>
          <w:tab w:val="left" w:pos="4752"/>
        </w:tabs>
        <w:spacing w:line="240" w:lineRule="exact"/>
        <w:jc w:val="both"/>
        <w:rPr>
          <w:rFonts w:asciiTheme="minorHAnsi" w:hAnsiTheme="minorHAnsi"/>
          <w:color w:val="auto"/>
          <w:szCs w:val="24"/>
        </w:rPr>
      </w:pPr>
    </w:p>
    <w:p w:rsidR="00114F20" w:rsidRPr="00042913" w:rsidRDefault="00114F20" w:rsidP="00875F2D">
      <w:pPr>
        <w:tabs>
          <w:tab w:val="left" w:pos="288"/>
          <w:tab w:val="left" w:pos="4752"/>
        </w:tabs>
        <w:spacing w:line="240" w:lineRule="exact"/>
        <w:jc w:val="both"/>
        <w:rPr>
          <w:rFonts w:asciiTheme="minorHAnsi" w:hAnsiTheme="minorHAnsi"/>
          <w:color w:val="auto"/>
          <w:szCs w:val="24"/>
        </w:rPr>
      </w:pPr>
    </w:p>
    <w:p w:rsidR="004B1378" w:rsidRDefault="004B1378">
      <w:pPr>
        <w:rPr>
          <w:color w:val="auto"/>
        </w:rPr>
      </w:pPr>
      <w:r>
        <w:rPr>
          <w:color w:val="auto"/>
        </w:rPr>
        <w:br w:type="page"/>
      </w:r>
    </w:p>
    <w:p w:rsidR="00AA04B3" w:rsidRPr="00042913" w:rsidRDefault="00AA04B3" w:rsidP="00875F2D">
      <w:pPr>
        <w:tabs>
          <w:tab w:val="left" w:pos="288"/>
          <w:tab w:val="left" w:pos="4320"/>
          <w:tab w:val="left" w:pos="4410"/>
          <w:tab w:val="left" w:pos="4770"/>
          <w:tab w:val="left" w:pos="4860"/>
          <w:tab w:val="left" w:pos="5040"/>
        </w:tabs>
        <w:spacing w:line="240" w:lineRule="exact"/>
        <w:jc w:val="both"/>
        <w:rPr>
          <w:color w:val="auto"/>
        </w:rPr>
      </w:pPr>
    </w:p>
    <w:p w:rsidR="004B1378" w:rsidRDefault="004B1378" w:rsidP="004B1378">
      <w:pPr>
        <w:pStyle w:val="Default"/>
      </w:pPr>
    </w:p>
    <w:p w:rsidR="004B1378" w:rsidRDefault="004B1378" w:rsidP="004B1378">
      <w:pPr>
        <w:pStyle w:val="Default"/>
        <w:rPr>
          <w:color w:val="auto"/>
        </w:rPr>
      </w:pPr>
    </w:p>
    <w:p w:rsidR="004B1378" w:rsidRDefault="004B1378" w:rsidP="004B1378">
      <w:pPr>
        <w:pStyle w:val="CM1"/>
        <w:jc w:val="center"/>
        <w:rPr>
          <w:sz w:val="17"/>
          <w:szCs w:val="17"/>
        </w:rPr>
      </w:pPr>
      <w:r>
        <w:t xml:space="preserve"> </w:t>
      </w:r>
      <w:r>
        <w:rPr>
          <w:b/>
          <w:bCs/>
          <w:sz w:val="17"/>
          <w:szCs w:val="17"/>
        </w:rPr>
        <w:t xml:space="preserve">DEPARTMENT OF THE NAVY </w:t>
      </w:r>
    </w:p>
    <w:p w:rsidR="004B1378" w:rsidRDefault="004B1378" w:rsidP="004B1378">
      <w:pPr>
        <w:pStyle w:val="CM2"/>
        <w:jc w:val="center"/>
        <w:rPr>
          <w:sz w:val="14"/>
          <w:szCs w:val="14"/>
        </w:rPr>
      </w:pPr>
      <w:r>
        <w:rPr>
          <w:sz w:val="14"/>
          <w:szCs w:val="14"/>
        </w:rPr>
        <w:t xml:space="preserve">SECRETARY OF THE NAVY COUNCIL OF REVIEW BOARDS 720 KENNON STREET SE STE 309 </w:t>
      </w:r>
    </w:p>
    <w:p w:rsidR="004B1378" w:rsidRDefault="004B1378" w:rsidP="004B1378">
      <w:pPr>
        <w:pStyle w:val="CM10"/>
        <w:jc w:val="both"/>
        <w:rPr>
          <w:sz w:val="14"/>
          <w:szCs w:val="14"/>
        </w:rPr>
      </w:pPr>
      <w:r>
        <w:rPr>
          <w:sz w:val="14"/>
          <w:szCs w:val="14"/>
        </w:rPr>
        <w:t xml:space="preserve">WASHINGTON NAVY YARD DC 20374-5023 </w:t>
      </w:r>
    </w:p>
    <w:p w:rsidR="004B1378" w:rsidRDefault="004B1378" w:rsidP="004B1378">
      <w:pPr>
        <w:pStyle w:val="CM24"/>
        <w:spacing w:after="127"/>
        <w:ind w:left="5632"/>
        <w:rPr>
          <w:sz w:val="9"/>
          <w:szCs w:val="9"/>
        </w:rPr>
      </w:pPr>
      <w:r>
        <w:rPr>
          <w:sz w:val="9"/>
          <w:szCs w:val="9"/>
        </w:rPr>
        <w:t xml:space="preserve">IN REPLY REFER TO </w:t>
      </w:r>
    </w:p>
    <w:p w:rsidR="004B1378" w:rsidRDefault="004B1378" w:rsidP="004B1378">
      <w:pPr>
        <w:pStyle w:val="CM12"/>
        <w:ind w:left="7305"/>
        <w:rPr>
          <w:rFonts w:ascii="Times New Roman" w:hAnsi="Times New Roman" w:cs="Times New Roman"/>
          <w:sz w:val="22"/>
          <w:szCs w:val="22"/>
        </w:rPr>
      </w:pPr>
      <w:r>
        <w:rPr>
          <w:rFonts w:ascii="Times New Roman" w:hAnsi="Times New Roman" w:cs="Times New Roman"/>
          <w:sz w:val="22"/>
          <w:szCs w:val="22"/>
        </w:rPr>
        <w:t xml:space="preserve">1850 </w:t>
      </w:r>
    </w:p>
    <w:p w:rsidR="004B1378" w:rsidRDefault="004B1378" w:rsidP="004B1378">
      <w:pPr>
        <w:pStyle w:val="CM12"/>
        <w:ind w:left="7305"/>
        <w:rPr>
          <w:rFonts w:ascii="Times New Roman" w:hAnsi="Times New Roman" w:cs="Times New Roman"/>
          <w:sz w:val="22"/>
          <w:szCs w:val="22"/>
        </w:rPr>
      </w:pPr>
      <w:r>
        <w:rPr>
          <w:rFonts w:ascii="Times New Roman" w:hAnsi="Times New Roman" w:cs="Times New Roman"/>
          <w:sz w:val="22"/>
          <w:szCs w:val="22"/>
        </w:rPr>
        <w:t>CORB</w:t>
      </w:r>
      <w:proofErr w:type="gramStart"/>
      <w:r>
        <w:rPr>
          <w:rFonts w:ascii="Times New Roman" w:hAnsi="Times New Roman" w:cs="Times New Roman"/>
          <w:sz w:val="22"/>
          <w:szCs w:val="22"/>
        </w:rPr>
        <w:t>:003</w:t>
      </w:r>
      <w:proofErr w:type="gramEnd"/>
      <w:r>
        <w:rPr>
          <w:rFonts w:ascii="Times New Roman" w:hAnsi="Times New Roman" w:cs="Times New Roman"/>
          <w:sz w:val="22"/>
          <w:szCs w:val="22"/>
        </w:rPr>
        <w:t xml:space="preserve"> </w:t>
      </w:r>
    </w:p>
    <w:p w:rsidR="004B1378" w:rsidRDefault="004B1378" w:rsidP="004B1378">
      <w:pPr>
        <w:pStyle w:val="CM25"/>
        <w:spacing w:after="277"/>
        <w:ind w:left="8310"/>
        <w:rPr>
          <w:rFonts w:ascii="Times New Roman" w:hAnsi="Times New Roman" w:cs="Times New Roman"/>
          <w:sz w:val="22"/>
          <w:szCs w:val="22"/>
        </w:rPr>
      </w:pPr>
      <w:r>
        <w:rPr>
          <w:rFonts w:ascii="Times New Roman" w:hAnsi="Times New Roman" w:cs="Times New Roman"/>
          <w:sz w:val="22"/>
          <w:szCs w:val="22"/>
        </w:rPr>
        <w:t>1 June</w:t>
      </w:r>
      <w:r>
        <w:rPr>
          <w:rFonts w:ascii="Times New Roman" w:hAnsi="Times New Roman" w:cs="Times New Roman"/>
          <w:sz w:val="22"/>
          <w:szCs w:val="22"/>
        </w:rPr>
        <w:tab/>
        <w:t xml:space="preserve"> 2010 </w:t>
      </w:r>
    </w:p>
    <w:p w:rsidR="004B1378" w:rsidRDefault="004B1378" w:rsidP="004B1378">
      <w:pPr>
        <w:pStyle w:val="CM13"/>
        <w:ind w:left="1065" w:hanging="1000"/>
        <w:rPr>
          <w:rFonts w:ascii="Times New Roman" w:hAnsi="Times New Roman" w:cs="Times New Roman"/>
          <w:sz w:val="22"/>
          <w:szCs w:val="22"/>
        </w:rPr>
      </w:pPr>
      <w:r>
        <w:rPr>
          <w:rFonts w:ascii="Times New Roman" w:hAnsi="Times New Roman" w:cs="Times New Roman"/>
          <w:sz w:val="22"/>
          <w:szCs w:val="22"/>
        </w:rPr>
        <w:t>From:</w:t>
      </w:r>
      <w:r>
        <w:rPr>
          <w:rFonts w:ascii="Times New Roman" w:hAnsi="Times New Roman" w:cs="Times New Roman"/>
          <w:sz w:val="22"/>
          <w:szCs w:val="22"/>
        </w:rPr>
        <w:tab/>
        <w:t xml:space="preserve"> Director, Secretary of the Navy Council of Review Boards </w:t>
      </w:r>
    </w:p>
    <w:p w:rsidR="004B1378" w:rsidRDefault="004B1378" w:rsidP="004B1378">
      <w:pPr>
        <w:pStyle w:val="CM25"/>
        <w:spacing w:after="277" w:line="276" w:lineRule="atLeast"/>
        <w:ind w:left="1000" w:right="5975" w:hanging="1000"/>
        <w:rPr>
          <w:rFonts w:ascii="Times New Roman" w:hAnsi="Times New Roman" w:cs="Times New Roman"/>
          <w:sz w:val="22"/>
          <w:szCs w:val="22"/>
        </w:rPr>
      </w:pPr>
      <w:r>
        <w:rPr>
          <w:rFonts w:ascii="Times New Roman" w:hAnsi="Times New Roman" w:cs="Times New Roman"/>
          <w:sz w:val="22"/>
          <w:szCs w:val="22"/>
        </w:rPr>
        <w:t>To:</w:t>
      </w:r>
      <w:r>
        <w:rPr>
          <w:rFonts w:ascii="Times New Roman" w:hAnsi="Times New Roman" w:cs="Times New Roman"/>
          <w:sz w:val="22"/>
          <w:szCs w:val="22"/>
        </w:rPr>
        <w:tab/>
        <w:t xml:space="preserve">  </w:t>
      </w:r>
    </w:p>
    <w:p w:rsidR="004B1378" w:rsidRDefault="004B1378" w:rsidP="004B1378">
      <w:pPr>
        <w:pStyle w:val="CM25"/>
        <w:spacing w:after="277" w:line="276" w:lineRule="atLeast"/>
        <w:ind w:left="1060" w:hanging="1000"/>
        <w:rPr>
          <w:rFonts w:ascii="Times New Roman" w:hAnsi="Times New Roman" w:cs="Times New Roman"/>
          <w:sz w:val="22"/>
          <w:szCs w:val="22"/>
        </w:rPr>
      </w:pPr>
      <w:proofErr w:type="spellStart"/>
      <w:r>
        <w:rPr>
          <w:rFonts w:ascii="Times New Roman" w:hAnsi="Times New Roman" w:cs="Times New Roman"/>
          <w:sz w:val="22"/>
          <w:szCs w:val="22"/>
        </w:rPr>
        <w:t>Subj</w:t>
      </w:r>
      <w:proofErr w:type="spellEnd"/>
      <w:r>
        <w:rPr>
          <w:rFonts w:ascii="Times New Roman" w:hAnsi="Times New Roman" w:cs="Times New Roman"/>
          <w:sz w:val="22"/>
          <w:szCs w:val="22"/>
        </w:rPr>
        <w:t>:</w:t>
      </w:r>
      <w:r>
        <w:rPr>
          <w:rFonts w:ascii="Times New Roman" w:hAnsi="Times New Roman" w:cs="Times New Roman"/>
          <w:sz w:val="22"/>
          <w:szCs w:val="22"/>
        </w:rPr>
        <w:tab/>
        <w:t xml:space="preserve"> PHYSICAL DISABILITY BOARD OF REVIEW (PDBR) </w:t>
      </w:r>
    </w:p>
    <w:p w:rsidR="004B1378" w:rsidRDefault="004B1378" w:rsidP="004B1378">
      <w:pPr>
        <w:pStyle w:val="CM13"/>
        <w:ind w:left="1065" w:hanging="1000"/>
        <w:rPr>
          <w:rFonts w:ascii="Times New Roman" w:hAnsi="Times New Roman" w:cs="Times New Roman"/>
          <w:sz w:val="22"/>
          <w:szCs w:val="22"/>
        </w:rPr>
      </w:pPr>
      <w:r>
        <w:rPr>
          <w:rFonts w:ascii="Times New Roman" w:hAnsi="Times New Roman" w:cs="Times New Roman"/>
          <w:sz w:val="22"/>
          <w:szCs w:val="22"/>
        </w:rPr>
        <w:t>Ref:</w:t>
      </w:r>
      <w:r>
        <w:rPr>
          <w:rFonts w:ascii="Times New Roman" w:hAnsi="Times New Roman" w:cs="Times New Roman"/>
          <w:sz w:val="22"/>
          <w:szCs w:val="22"/>
        </w:rPr>
        <w:tab/>
        <w:t xml:space="preserve"> (a) </w:t>
      </w:r>
      <w:r>
        <w:rPr>
          <w:rFonts w:ascii="Times New Roman" w:hAnsi="Times New Roman" w:cs="Times New Roman"/>
          <w:sz w:val="21"/>
          <w:szCs w:val="21"/>
        </w:rPr>
        <w:t xml:space="preserve">0001 </w:t>
      </w:r>
      <w:r>
        <w:rPr>
          <w:rFonts w:ascii="Times New Roman" w:hAnsi="Times New Roman" w:cs="Times New Roman"/>
          <w:sz w:val="22"/>
          <w:szCs w:val="22"/>
        </w:rPr>
        <w:t xml:space="preserve">6040.44 </w:t>
      </w:r>
    </w:p>
    <w:p w:rsidR="004B1378" w:rsidRDefault="004B1378" w:rsidP="004B1378">
      <w:pPr>
        <w:pStyle w:val="CM25"/>
        <w:spacing w:after="277" w:line="276" w:lineRule="atLeast"/>
        <w:ind w:left="60" w:firstLine="1042"/>
        <w:rPr>
          <w:rFonts w:ascii="Times New Roman" w:hAnsi="Times New Roman" w:cs="Times New Roman"/>
          <w:sz w:val="22"/>
          <w:szCs w:val="22"/>
        </w:rPr>
      </w:pPr>
      <w:r>
        <w:rPr>
          <w:rFonts w:ascii="Times New Roman" w:hAnsi="Times New Roman" w:cs="Times New Roman"/>
          <w:sz w:val="22"/>
          <w:szCs w:val="22"/>
        </w:rPr>
        <w:t xml:space="preserve">(b) PDBR </w:t>
      </w:r>
      <w:proofErr w:type="spellStart"/>
      <w:r>
        <w:rPr>
          <w:rFonts w:ascii="Times New Roman" w:hAnsi="Times New Roman" w:cs="Times New Roman"/>
          <w:sz w:val="22"/>
          <w:szCs w:val="22"/>
        </w:rPr>
        <w:t>ltr</w:t>
      </w:r>
      <w:proofErr w:type="spellEnd"/>
      <w:r>
        <w:rPr>
          <w:rFonts w:ascii="Times New Roman" w:hAnsi="Times New Roman" w:cs="Times New Roman"/>
          <w:sz w:val="22"/>
          <w:szCs w:val="22"/>
        </w:rPr>
        <w:t xml:space="preserve"> of 4 May 10 </w:t>
      </w:r>
    </w:p>
    <w:p w:rsidR="004B1378" w:rsidRDefault="004B1378" w:rsidP="004B1378">
      <w:pPr>
        <w:pStyle w:val="Default"/>
        <w:numPr>
          <w:ilvl w:val="0"/>
          <w:numId w:val="1"/>
        </w:numPr>
        <w:spacing w:after="264"/>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Pursuant to reference (a), the PDBR reviewed your case and forwarded its recommendation (reference (b)) to the Department of the Navy for appropriate action. </w:t>
      </w:r>
    </w:p>
    <w:p w:rsidR="004B1378" w:rsidRDefault="004B1378" w:rsidP="004B1378">
      <w:pPr>
        <w:pStyle w:val="Default"/>
        <w:numPr>
          <w:ilvl w:val="0"/>
          <w:numId w:val="1"/>
        </w:numPr>
        <w:spacing w:after="264"/>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On 28 May 2010, the Assistant Secretary of the Navy (Manpower </w:t>
      </w:r>
      <w:r>
        <w:rPr>
          <w:rFonts w:ascii="Times New Roman" w:hAnsi="Times New Roman" w:cs="Times New Roman"/>
          <w:color w:val="auto"/>
          <w:sz w:val="23"/>
          <w:szCs w:val="23"/>
        </w:rPr>
        <w:t xml:space="preserve">&amp; </w:t>
      </w:r>
      <w:r>
        <w:rPr>
          <w:rFonts w:ascii="Times New Roman" w:hAnsi="Times New Roman" w:cs="Times New Roman"/>
          <w:color w:val="auto"/>
          <w:sz w:val="22"/>
          <w:szCs w:val="22"/>
        </w:rPr>
        <w:t xml:space="preserve">Reserve Affairs) took action on your case by accepting the recommendation of the PDBR that no change be made to the characterization of separation or disability rating assigned by the Department of the Navy's Physical Evaluation Board. </w:t>
      </w:r>
    </w:p>
    <w:p w:rsidR="004B1378" w:rsidRDefault="004B1378" w:rsidP="004B1378">
      <w:pPr>
        <w:pStyle w:val="Default"/>
        <w:numPr>
          <w:ilvl w:val="0"/>
          <w:numId w:val="1"/>
        </w:numPr>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The Secretary's decision represents final action in your case by the Department of the Navy and is not subject to appeal or further review by the Board for Correction of Naval Records. </w:t>
      </w:r>
    </w:p>
    <w:p w:rsidR="004B1378" w:rsidRDefault="004B1378" w:rsidP="004B1378">
      <w:pPr>
        <w:pStyle w:val="Default"/>
        <w:rPr>
          <w:rFonts w:ascii="Times New Roman" w:hAnsi="Times New Roman" w:cs="Times New Roman"/>
          <w:color w:val="auto"/>
          <w:sz w:val="22"/>
          <w:szCs w:val="22"/>
        </w:rPr>
      </w:pPr>
    </w:p>
    <w:p w:rsidR="004B1378" w:rsidRDefault="004B1378" w:rsidP="004B1378">
      <w:pPr>
        <w:pStyle w:val="CM27"/>
        <w:spacing w:after="78"/>
        <w:ind w:left="4712"/>
        <w:rPr>
          <w:rFonts w:ascii="Times New Roman" w:hAnsi="Times New Roman" w:cs="Times New Roman"/>
          <w:sz w:val="22"/>
          <w:szCs w:val="22"/>
        </w:rPr>
      </w:pPr>
    </w:p>
    <w:p w:rsidR="004B1378" w:rsidRDefault="004B1378" w:rsidP="004B1378">
      <w:pPr>
        <w:pStyle w:val="Default"/>
        <w:spacing w:line="278" w:lineRule="atLeast"/>
        <w:ind w:left="4687" w:right="2902"/>
        <w:rPr>
          <w:rFonts w:ascii="Times New Roman" w:hAnsi="Times New Roman" w:cs="Times New Roman"/>
          <w:color w:val="auto"/>
          <w:sz w:val="22"/>
          <w:szCs w:val="22"/>
        </w:rPr>
      </w:pPr>
    </w:p>
    <w:p w:rsidR="004B1378" w:rsidRDefault="004B1378" w:rsidP="004B1378">
      <w:pPr>
        <w:pStyle w:val="Default"/>
        <w:spacing w:line="273" w:lineRule="atLeast"/>
        <w:ind w:left="70" w:right="8142" w:hanging="70"/>
      </w:pPr>
      <w:r>
        <w:rPr>
          <w:rFonts w:ascii="Times New Roman" w:hAnsi="Times New Roman" w:cs="Times New Roman"/>
          <w:color w:val="auto"/>
          <w:sz w:val="22"/>
          <w:szCs w:val="22"/>
        </w:rPr>
        <w:t xml:space="preserve">'Copy to: PDBR </w:t>
      </w:r>
    </w:p>
    <w:p w:rsidR="00AA04B3" w:rsidRPr="00473D5C" w:rsidRDefault="00AA04B3" w:rsidP="00875F2D">
      <w:pPr>
        <w:tabs>
          <w:tab w:val="left" w:pos="288"/>
          <w:tab w:val="left" w:pos="4320"/>
          <w:tab w:val="left" w:pos="4410"/>
          <w:tab w:val="left" w:pos="4770"/>
          <w:tab w:val="left" w:pos="4860"/>
          <w:tab w:val="left" w:pos="5040"/>
        </w:tabs>
        <w:spacing w:line="240" w:lineRule="exact"/>
        <w:jc w:val="both"/>
        <w:rPr>
          <w:color w:val="000080"/>
        </w:rPr>
      </w:pPr>
    </w:p>
    <w:p w:rsidR="000379D0" w:rsidRPr="00473D5C" w:rsidRDefault="000379D0" w:rsidP="00875F2D">
      <w:pPr>
        <w:tabs>
          <w:tab w:val="left" w:pos="288"/>
          <w:tab w:val="left" w:pos="4320"/>
          <w:tab w:val="left" w:pos="4410"/>
          <w:tab w:val="left" w:pos="4770"/>
          <w:tab w:val="left" w:pos="4860"/>
          <w:tab w:val="left" w:pos="5040"/>
        </w:tabs>
        <w:spacing w:line="240" w:lineRule="exact"/>
        <w:jc w:val="both"/>
        <w:rPr>
          <w:color w:val="000080"/>
        </w:rPr>
      </w:pPr>
    </w:p>
    <w:sectPr w:rsidR="000379D0" w:rsidRPr="00473D5C"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EF" w:rsidRDefault="00230DEF">
      <w:r>
        <w:separator/>
      </w:r>
    </w:p>
  </w:endnote>
  <w:endnote w:type="continuationSeparator" w:id="0">
    <w:p w:rsidR="00230DEF" w:rsidRDefault="00230DEF">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altName w:val="Times"/>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CA" w:rsidRDefault="00A81F6C">
    <w:pPr>
      <w:pStyle w:val="Footer"/>
      <w:framePr w:wrap="around" w:vAnchor="text" w:hAnchor="margin" w:xAlign="center" w:y="1"/>
      <w:rPr>
        <w:rStyle w:val="PageNumber"/>
      </w:rPr>
    </w:pPr>
    <w:r>
      <w:rPr>
        <w:rStyle w:val="PageNumber"/>
      </w:rPr>
      <w:fldChar w:fldCharType="begin"/>
    </w:r>
    <w:r w:rsidR="00920ECA">
      <w:rPr>
        <w:rStyle w:val="PageNumber"/>
      </w:rPr>
      <w:instrText xml:space="preserve">PAGE  </w:instrText>
    </w:r>
    <w:r>
      <w:rPr>
        <w:rStyle w:val="PageNumber"/>
      </w:rPr>
      <w:fldChar w:fldCharType="separate"/>
    </w:r>
    <w:r w:rsidR="00920ECA">
      <w:rPr>
        <w:rStyle w:val="PageNumber"/>
        <w:noProof/>
      </w:rPr>
      <w:t>2</w:t>
    </w:r>
    <w:r>
      <w:rPr>
        <w:rStyle w:val="PageNumber"/>
      </w:rPr>
      <w:fldChar w:fldCharType="end"/>
    </w:r>
  </w:p>
  <w:p w:rsidR="00920ECA" w:rsidRDefault="00920EC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CA" w:rsidRPr="00526C9B" w:rsidRDefault="00A81F6C" w:rsidP="00526C9B">
    <w:pPr>
      <w:pStyle w:val="Footer"/>
      <w:framePr w:wrap="around" w:vAnchor="text" w:hAnchor="page" w:x="6121" w:y="4"/>
      <w:rPr>
        <w:rStyle w:val="PageNumber"/>
        <w:color w:val="auto"/>
      </w:rPr>
    </w:pPr>
    <w:r w:rsidRPr="00526C9B">
      <w:rPr>
        <w:rStyle w:val="PageNumber"/>
        <w:color w:val="auto"/>
      </w:rPr>
      <w:fldChar w:fldCharType="begin"/>
    </w:r>
    <w:r w:rsidR="00920ECA" w:rsidRPr="00526C9B">
      <w:rPr>
        <w:rStyle w:val="PageNumber"/>
        <w:color w:val="auto"/>
      </w:rPr>
      <w:instrText xml:space="preserve">PAGE  </w:instrText>
    </w:r>
    <w:r w:rsidRPr="00526C9B">
      <w:rPr>
        <w:rStyle w:val="PageNumber"/>
        <w:color w:val="auto"/>
      </w:rPr>
      <w:fldChar w:fldCharType="separate"/>
    </w:r>
    <w:r w:rsidR="004B1378">
      <w:rPr>
        <w:rStyle w:val="PageNumber"/>
        <w:noProof/>
        <w:color w:val="auto"/>
      </w:rPr>
      <w:t>7</w:t>
    </w:r>
    <w:r w:rsidRPr="00526C9B">
      <w:rPr>
        <w:rStyle w:val="PageNumber"/>
        <w:color w:val="auto"/>
      </w:rPr>
      <w:fldChar w:fldCharType="end"/>
    </w:r>
  </w:p>
  <w:p w:rsidR="00920ECA" w:rsidRPr="00526C9B" w:rsidRDefault="00920ECA" w:rsidP="002B0749">
    <w:pPr>
      <w:pStyle w:val="Footer"/>
      <w:jc w:val="right"/>
      <w:rPr>
        <w:color w:val="auto"/>
      </w:rPr>
    </w:pPr>
    <w:r>
      <w:tab/>
    </w:r>
    <w:r>
      <w:tab/>
    </w:r>
    <w:r w:rsidRPr="00526C9B">
      <w:rPr>
        <w:caps/>
        <w:color w:val="auto"/>
      </w:rPr>
      <w:t>PD0900250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EF" w:rsidRDefault="00230DEF">
      <w:r>
        <w:separator/>
      </w:r>
    </w:p>
  </w:footnote>
  <w:footnote w:type="continuationSeparator" w:id="0">
    <w:p w:rsidR="00230DEF" w:rsidRDefault="00230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BDDCC"/>
    <w:multiLevelType w:val="hybridMultilevel"/>
    <w:tmpl w:val="CEC3CE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15307"/>
    <w:rsid w:val="000225BA"/>
    <w:rsid w:val="00023D43"/>
    <w:rsid w:val="00023DAE"/>
    <w:rsid w:val="00027894"/>
    <w:rsid w:val="00035C3A"/>
    <w:rsid w:val="000379D0"/>
    <w:rsid w:val="000416F8"/>
    <w:rsid w:val="00042913"/>
    <w:rsid w:val="00044D45"/>
    <w:rsid w:val="00051622"/>
    <w:rsid w:val="000517E7"/>
    <w:rsid w:val="0005761C"/>
    <w:rsid w:val="00072433"/>
    <w:rsid w:val="000762F6"/>
    <w:rsid w:val="0009163A"/>
    <w:rsid w:val="0009212F"/>
    <w:rsid w:val="000A2BCE"/>
    <w:rsid w:val="000A3E5F"/>
    <w:rsid w:val="000A4BBA"/>
    <w:rsid w:val="000C2881"/>
    <w:rsid w:val="000C4705"/>
    <w:rsid w:val="000C5105"/>
    <w:rsid w:val="000C789A"/>
    <w:rsid w:val="000C7DE4"/>
    <w:rsid w:val="000D15E7"/>
    <w:rsid w:val="000D43F9"/>
    <w:rsid w:val="000D4717"/>
    <w:rsid w:val="000D7D55"/>
    <w:rsid w:val="000F11E8"/>
    <w:rsid w:val="000F28FB"/>
    <w:rsid w:val="000F427B"/>
    <w:rsid w:val="00102695"/>
    <w:rsid w:val="0010417F"/>
    <w:rsid w:val="00104A67"/>
    <w:rsid w:val="0010530E"/>
    <w:rsid w:val="00107185"/>
    <w:rsid w:val="00114F20"/>
    <w:rsid w:val="00115BDA"/>
    <w:rsid w:val="00116FEA"/>
    <w:rsid w:val="00121752"/>
    <w:rsid w:val="001231DC"/>
    <w:rsid w:val="001315DD"/>
    <w:rsid w:val="00135385"/>
    <w:rsid w:val="001364D1"/>
    <w:rsid w:val="001410AA"/>
    <w:rsid w:val="00144A1E"/>
    <w:rsid w:val="001541C5"/>
    <w:rsid w:val="00177659"/>
    <w:rsid w:val="00180765"/>
    <w:rsid w:val="00185ECB"/>
    <w:rsid w:val="00186B42"/>
    <w:rsid w:val="0019273F"/>
    <w:rsid w:val="001A11C2"/>
    <w:rsid w:val="001A7538"/>
    <w:rsid w:val="001B3174"/>
    <w:rsid w:val="001B5B59"/>
    <w:rsid w:val="001C181A"/>
    <w:rsid w:val="001C2053"/>
    <w:rsid w:val="001C28D1"/>
    <w:rsid w:val="001C7418"/>
    <w:rsid w:val="001D0051"/>
    <w:rsid w:val="001D2224"/>
    <w:rsid w:val="001D6A8C"/>
    <w:rsid w:val="001D7A56"/>
    <w:rsid w:val="001E5815"/>
    <w:rsid w:val="001F5527"/>
    <w:rsid w:val="0020353C"/>
    <w:rsid w:val="00203F9B"/>
    <w:rsid w:val="00204C9F"/>
    <w:rsid w:val="00217C09"/>
    <w:rsid w:val="00221D83"/>
    <w:rsid w:val="00225196"/>
    <w:rsid w:val="00225CB4"/>
    <w:rsid w:val="002276EA"/>
    <w:rsid w:val="00230DEF"/>
    <w:rsid w:val="002338CA"/>
    <w:rsid w:val="00237D06"/>
    <w:rsid w:val="0024227D"/>
    <w:rsid w:val="00246860"/>
    <w:rsid w:val="0025183C"/>
    <w:rsid w:val="00262C19"/>
    <w:rsid w:val="0026318D"/>
    <w:rsid w:val="00264FA8"/>
    <w:rsid w:val="0027159C"/>
    <w:rsid w:val="00274549"/>
    <w:rsid w:val="00274E46"/>
    <w:rsid w:val="002767B8"/>
    <w:rsid w:val="00276C86"/>
    <w:rsid w:val="002A6A3C"/>
    <w:rsid w:val="002B03B2"/>
    <w:rsid w:val="002B0749"/>
    <w:rsid w:val="002D18B4"/>
    <w:rsid w:val="002D5BE9"/>
    <w:rsid w:val="002E1C31"/>
    <w:rsid w:val="002E3474"/>
    <w:rsid w:val="002E764B"/>
    <w:rsid w:val="002F4BDA"/>
    <w:rsid w:val="002F7F81"/>
    <w:rsid w:val="00313E93"/>
    <w:rsid w:val="00323BB2"/>
    <w:rsid w:val="00323E70"/>
    <w:rsid w:val="00337190"/>
    <w:rsid w:val="003441D2"/>
    <w:rsid w:val="0035607B"/>
    <w:rsid w:val="00363362"/>
    <w:rsid w:val="0037520D"/>
    <w:rsid w:val="00377BD2"/>
    <w:rsid w:val="00384362"/>
    <w:rsid w:val="00385D6F"/>
    <w:rsid w:val="00393651"/>
    <w:rsid w:val="003A41BA"/>
    <w:rsid w:val="003A6A99"/>
    <w:rsid w:val="003B227A"/>
    <w:rsid w:val="003B325E"/>
    <w:rsid w:val="003D2BA3"/>
    <w:rsid w:val="003D7DDB"/>
    <w:rsid w:val="003E0543"/>
    <w:rsid w:val="003F58B0"/>
    <w:rsid w:val="004007E9"/>
    <w:rsid w:val="00401BBC"/>
    <w:rsid w:val="00404B45"/>
    <w:rsid w:val="00406CC5"/>
    <w:rsid w:val="004074A4"/>
    <w:rsid w:val="00407C56"/>
    <w:rsid w:val="004172DB"/>
    <w:rsid w:val="00422B75"/>
    <w:rsid w:val="00431604"/>
    <w:rsid w:val="0043361E"/>
    <w:rsid w:val="0043503A"/>
    <w:rsid w:val="0044384F"/>
    <w:rsid w:val="00447DBB"/>
    <w:rsid w:val="004543BC"/>
    <w:rsid w:val="004574C6"/>
    <w:rsid w:val="00457BCF"/>
    <w:rsid w:val="0046204E"/>
    <w:rsid w:val="004718E7"/>
    <w:rsid w:val="00473D5C"/>
    <w:rsid w:val="004761CC"/>
    <w:rsid w:val="00476BAD"/>
    <w:rsid w:val="00482C39"/>
    <w:rsid w:val="00496F3F"/>
    <w:rsid w:val="00497240"/>
    <w:rsid w:val="004A24D2"/>
    <w:rsid w:val="004A4136"/>
    <w:rsid w:val="004A575C"/>
    <w:rsid w:val="004A7F8F"/>
    <w:rsid w:val="004B03F3"/>
    <w:rsid w:val="004B1378"/>
    <w:rsid w:val="004B196C"/>
    <w:rsid w:val="004B6108"/>
    <w:rsid w:val="004B7169"/>
    <w:rsid w:val="004B7B76"/>
    <w:rsid w:val="004D5130"/>
    <w:rsid w:val="004E32EA"/>
    <w:rsid w:val="00504748"/>
    <w:rsid w:val="00510588"/>
    <w:rsid w:val="0051146C"/>
    <w:rsid w:val="00511F58"/>
    <w:rsid w:val="0052590B"/>
    <w:rsid w:val="00526591"/>
    <w:rsid w:val="00526C9B"/>
    <w:rsid w:val="00532BE7"/>
    <w:rsid w:val="005350A5"/>
    <w:rsid w:val="00536379"/>
    <w:rsid w:val="00540BEF"/>
    <w:rsid w:val="005436C2"/>
    <w:rsid w:val="00553CA3"/>
    <w:rsid w:val="0057050A"/>
    <w:rsid w:val="00570CA7"/>
    <w:rsid w:val="0059375B"/>
    <w:rsid w:val="005A258C"/>
    <w:rsid w:val="005A3560"/>
    <w:rsid w:val="005B011A"/>
    <w:rsid w:val="005F1115"/>
    <w:rsid w:val="005F27F2"/>
    <w:rsid w:val="005F424D"/>
    <w:rsid w:val="00601D18"/>
    <w:rsid w:val="00612AE9"/>
    <w:rsid w:val="00615641"/>
    <w:rsid w:val="00622C2A"/>
    <w:rsid w:val="006234A2"/>
    <w:rsid w:val="00625929"/>
    <w:rsid w:val="00634C4A"/>
    <w:rsid w:val="0063700F"/>
    <w:rsid w:val="006418C9"/>
    <w:rsid w:val="00645046"/>
    <w:rsid w:val="006450F6"/>
    <w:rsid w:val="0065514F"/>
    <w:rsid w:val="00662D7A"/>
    <w:rsid w:val="00662F08"/>
    <w:rsid w:val="00663589"/>
    <w:rsid w:val="0067443B"/>
    <w:rsid w:val="006812D3"/>
    <w:rsid w:val="00684E2B"/>
    <w:rsid w:val="00690FDA"/>
    <w:rsid w:val="00696476"/>
    <w:rsid w:val="006A376D"/>
    <w:rsid w:val="006A40E6"/>
    <w:rsid w:val="006A75FA"/>
    <w:rsid w:val="006B5923"/>
    <w:rsid w:val="006D13AA"/>
    <w:rsid w:val="006D2D39"/>
    <w:rsid w:val="006E06D1"/>
    <w:rsid w:val="006E7356"/>
    <w:rsid w:val="006F1A46"/>
    <w:rsid w:val="00715833"/>
    <w:rsid w:val="007165CE"/>
    <w:rsid w:val="00721D12"/>
    <w:rsid w:val="00721F8B"/>
    <w:rsid w:val="0072537E"/>
    <w:rsid w:val="00726A26"/>
    <w:rsid w:val="00730217"/>
    <w:rsid w:val="0073527A"/>
    <w:rsid w:val="00736A49"/>
    <w:rsid w:val="00744EBB"/>
    <w:rsid w:val="00746AE2"/>
    <w:rsid w:val="0075410C"/>
    <w:rsid w:val="0075745B"/>
    <w:rsid w:val="0076100C"/>
    <w:rsid w:val="00764D78"/>
    <w:rsid w:val="007710D1"/>
    <w:rsid w:val="00775C47"/>
    <w:rsid w:val="00781BD4"/>
    <w:rsid w:val="00784832"/>
    <w:rsid w:val="00791F1E"/>
    <w:rsid w:val="00796BDC"/>
    <w:rsid w:val="007A0B39"/>
    <w:rsid w:val="007A168F"/>
    <w:rsid w:val="007A28E4"/>
    <w:rsid w:val="007A5AD1"/>
    <w:rsid w:val="007B0A06"/>
    <w:rsid w:val="007B7C41"/>
    <w:rsid w:val="007C433E"/>
    <w:rsid w:val="007D0292"/>
    <w:rsid w:val="007E2046"/>
    <w:rsid w:val="007E4FBB"/>
    <w:rsid w:val="00801386"/>
    <w:rsid w:val="00801CBB"/>
    <w:rsid w:val="00811D5B"/>
    <w:rsid w:val="00817713"/>
    <w:rsid w:val="00826B60"/>
    <w:rsid w:val="00830999"/>
    <w:rsid w:val="00830D5E"/>
    <w:rsid w:val="00830F69"/>
    <w:rsid w:val="00831644"/>
    <w:rsid w:val="00834458"/>
    <w:rsid w:val="00837465"/>
    <w:rsid w:val="00841457"/>
    <w:rsid w:val="0084374E"/>
    <w:rsid w:val="00845DA8"/>
    <w:rsid w:val="0085206E"/>
    <w:rsid w:val="00853718"/>
    <w:rsid w:val="008541EF"/>
    <w:rsid w:val="00855696"/>
    <w:rsid w:val="0086162B"/>
    <w:rsid w:val="00865207"/>
    <w:rsid w:val="00871262"/>
    <w:rsid w:val="0087389C"/>
    <w:rsid w:val="00875B51"/>
    <w:rsid w:val="00875F2D"/>
    <w:rsid w:val="008812DD"/>
    <w:rsid w:val="0088547B"/>
    <w:rsid w:val="008878B2"/>
    <w:rsid w:val="00892607"/>
    <w:rsid w:val="008957E0"/>
    <w:rsid w:val="008A3B2E"/>
    <w:rsid w:val="008A63A9"/>
    <w:rsid w:val="008B5C07"/>
    <w:rsid w:val="008B5D31"/>
    <w:rsid w:val="008C11B7"/>
    <w:rsid w:val="008D01BA"/>
    <w:rsid w:val="008D1F33"/>
    <w:rsid w:val="008E2D99"/>
    <w:rsid w:val="008E4A60"/>
    <w:rsid w:val="008F4442"/>
    <w:rsid w:val="00900959"/>
    <w:rsid w:val="009026E8"/>
    <w:rsid w:val="00914ADB"/>
    <w:rsid w:val="00920ECA"/>
    <w:rsid w:val="00923B25"/>
    <w:rsid w:val="00925FB1"/>
    <w:rsid w:val="0093186A"/>
    <w:rsid w:val="00935B59"/>
    <w:rsid w:val="00942645"/>
    <w:rsid w:val="0095340A"/>
    <w:rsid w:val="00954581"/>
    <w:rsid w:val="0095466C"/>
    <w:rsid w:val="0096168C"/>
    <w:rsid w:val="009732B8"/>
    <w:rsid w:val="00973C9C"/>
    <w:rsid w:val="00975F78"/>
    <w:rsid w:val="00977CB4"/>
    <w:rsid w:val="0098446F"/>
    <w:rsid w:val="00985099"/>
    <w:rsid w:val="009A0DE3"/>
    <w:rsid w:val="009B1534"/>
    <w:rsid w:val="009B4D5C"/>
    <w:rsid w:val="009B69D3"/>
    <w:rsid w:val="009B7BA7"/>
    <w:rsid w:val="009C0938"/>
    <w:rsid w:val="009C3D79"/>
    <w:rsid w:val="009C3F82"/>
    <w:rsid w:val="009C7DF5"/>
    <w:rsid w:val="009D1ADE"/>
    <w:rsid w:val="009E1283"/>
    <w:rsid w:val="009E6A3F"/>
    <w:rsid w:val="00A1105B"/>
    <w:rsid w:val="00A156D5"/>
    <w:rsid w:val="00A15CAD"/>
    <w:rsid w:val="00A16876"/>
    <w:rsid w:val="00A16CC4"/>
    <w:rsid w:val="00A200AA"/>
    <w:rsid w:val="00A2186F"/>
    <w:rsid w:val="00A2270B"/>
    <w:rsid w:val="00A2496E"/>
    <w:rsid w:val="00A258B7"/>
    <w:rsid w:val="00A326B1"/>
    <w:rsid w:val="00A47CF1"/>
    <w:rsid w:val="00A50418"/>
    <w:rsid w:val="00A608FB"/>
    <w:rsid w:val="00A70E7B"/>
    <w:rsid w:val="00A75377"/>
    <w:rsid w:val="00A76094"/>
    <w:rsid w:val="00A76FA2"/>
    <w:rsid w:val="00A81F6C"/>
    <w:rsid w:val="00A834A5"/>
    <w:rsid w:val="00A86CB6"/>
    <w:rsid w:val="00A90D55"/>
    <w:rsid w:val="00A90F64"/>
    <w:rsid w:val="00A942BC"/>
    <w:rsid w:val="00AA04B3"/>
    <w:rsid w:val="00AA1399"/>
    <w:rsid w:val="00AB7D85"/>
    <w:rsid w:val="00AC439D"/>
    <w:rsid w:val="00AC4C54"/>
    <w:rsid w:val="00AE2D29"/>
    <w:rsid w:val="00AE3316"/>
    <w:rsid w:val="00AF699F"/>
    <w:rsid w:val="00B03A90"/>
    <w:rsid w:val="00B07781"/>
    <w:rsid w:val="00B15E38"/>
    <w:rsid w:val="00B24412"/>
    <w:rsid w:val="00B32179"/>
    <w:rsid w:val="00B40A3E"/>
    <w:rsid w:val="00B45677"/>
    <w:rsid w:val="00B4659E"/>
    <w:rsid w:val="00B522CD"/>
    <w:rsid w:val="00B55917"/>
    <w:rsid w:val="00B610A5"/>
    <w:rsid w:val="00B62859"/>
    <w:rsid w:val="00B63009"/>
    <w:rsid w:val="00B63799"/>
    <w:rsid w:val="00B72303"/>
    <w:rsid w:val="00B75C3B"/>
    <w:rsid w:val="00B80224"/>
    <w:rsid w:val="00B82277"/>
    <w:rsid w:val="00BA2D98"/>
    <w:rsid w:val="00BA30D1"/>
    <w:rsid w:val="00BA5BE2"/>
    <w:rsid w:val="00BA7592"/>
    <w:rsid w:val="00BA7F46"/>
    <w:rsid w:val="00BB0244"/>
    <w:rsid w:val="00BB0A0A"/>
    <w:rsid w:val="00BC4B9A"/>
    <w:rsid w:val="00BD10CD"/>
    <w:rsid w:val="00BD4386"/>
    <w:rsid w:val="00BD4667"/>
    <w:rsid w:val="00BD6806"/>
    <w:rsid w:val="00BD7831"/>
    <w:rsid w:val="00BD7C10"/>
    <w:rsid w:val="00BE0DEB"/>
    <w:rsid w:val="00BE6FEB"/>
    <w:rsid w:val="00BF72BD"/>
    <w:rsid w:val="00C13B34"/>
    <w:rsid w:val="00C2065C"/>
    <w:rsid w:val="00C207E4"/>
    <w:rsid w:val="00C261C6"/>
    <w:rsid w:val="00C309C2"/>
    <w:rsid w:val="00C30A97"/>
    <w:rsid w:val="00C31DDC"/>
    <w:rsid w:val="00C34326"/>
    <w:rsid w:val="00C464F1"/>
    <w:rsid w:val="00C47AB6"/>
    <w:rsid w:val="00C51D72"/>
    <w:rsid w:val="00C54DF3"/>
    <w:rsid w:val="00C6159E"/>
    <w:rsid w:val="00C71BEC"/>
    <w:rsid w:val="00C846EA"/>
    <w:rsid w:val="00C84AD1"/>
    <w:rsid w:val="00C85579"/>
    <w:rsid w:val="00CA068D"/>
    <w:rsid w:val="00CA282D"/>
    <w:rsid w:val="00CB1DBF"/>
    <w:rsid w:val="00CB23DC"/>
    <w:rsid w:val="00CB28E2"/>
    <w:rsid w:val="00CB7FF7"/>
    <w:rsid w:val="00CC1F8E"/>
    <w:rsid w:val="00CC2044"/>
    <w:rsid w:val="00CC69EC"/>
    <w:rsid w:val="00CD34C7"/>
    <w:rsid w:val="00CD56FC"/>
    <w:rsid w:val="00CE162C"/>
    <w:rsid w:val="00CE300C"/>
    <w:rsid w:val="00CE498F"/>
    <w:rsid w:val="00CE5AF2"/>
    <w:rsid w:val="00CF4394"/>
    <w:rsid w:val="00D01E06"/>
    <w:rsid w:val="00D05186"/>
    <w:rsid w:val="00D1648B"/>
    <w:rsid w:val="00D20AC0"/>
    <w:rsid w:val="00D336C8"/>
    <w:rsid w:val="00D339E8"/>
    <w:rsid w:val="00D40B1F"/>
    <w:rsid w:val="00D42513"/>
    <w:rsid w:val="00D42C21"/>
    <w:rsid w:val="00D50C8C"/>
    <w:rsid w:val="00D52393"/>
    <w:rsid w:val="00D70047"/>
    <w:rsid w:val="00D71918"/>
    <w:rsid w:val="00D73E5B"/>
    <w:rsid w:val="00D76AB2"/>
    <w:rsid w:val="00D829AD"/>
    <w:rsid w:val="00D87788"/>
    <w:rsid w:val="00D910C2"/>
    <w:rsid w:val="00D9189B"/>
    <w:rsid w:val="00D91DA6"/>
    <w:rsid w:val="00D93A91"/>
    <w:rsid w:val="00D94746"/>
    <w:rsid w:val="00D95D25"/>
    <w:rsid w:val="00D972D4"/>
    <w:rsid w:val="00D97C7C"/>
    <w:rsid w:val="00DA195B"/>
    <w:rsid w:val="00DA3ED0"/>
    <w:rsid w:val="00DB2A8C"/>
    <w:rsid w:val="00DB5D58"/>
    <w:rsid w:val="00DB6FBE"/>
    <w:rsid w:val="00DC233D"/>
    <w:rsid w:val="00DC329D"/>
    <w:rsid w:val="00DD3593"/>
    <w:rsid w:val="00DD4573"/>
    <w:rsid w:val="00DE326E"/>
    <w:rsid w:val="00DE6552"/>
    <w:rsid w:val="00DE7E74"/>
    <w:rsid w:val="00E017F0"/>
    <w:rsid w:val="00E03DE1"/>
    <w:rsid w:val="00E041E4"/>
    <w:rsid w:val="00E14581"/>
    <w:rsid w:val="00E15539"/>
    <w:rsid w:val="00E16541"/>
    <w:rsid w:val="00E2632B"/>
    <w:rsid w:val="00E405EA"/>
    <w:rsid w:val="00E40F19"/>
    <w:rsid w:val="00E42789"/>
    <w:rsid w:val="00E50BEB"/>
    <w:rsid w:val="00E5581B"/>
    <w:rsid w:val="00E55F25"/>
    <w:rsid w:val="00E700C2"/>
    <w:rsid w:val="00E82B6D"/>
    <w:rsid w:val="00E82FD9"/>
    <w:rsid w:val="00E83F78"/>
    <w:rsid w:val="00E866F8"/>
    <w:rsid w:val="00EA11B6"/>
    <w:rsid w:val="00EA2DD8"/>
    <w:rsid w:val="00EA681F"/>
    <w:rsid w:val="00EB56F8"/>
    <w:rsid w:val="00EB76E4"/>
    <w:rsid w:val="00EC0E65"/>
    <w:rsid w:val="00ED0393"/>
    <w:rsid w:val="00ED5CCF"/>
    <w:rsid w:val="00EE0B44"/>
    <w:rsid w:val="00EE150E"/>
    <w:rsid w:val="00EF1C01"/>
    <w:rsid w:val="00EF3786"/>
    <w:rsid w:val="00EF48C9"/>
    <w:rsid w:val="00EF608E"/>
    <w:rsid w:val="00F0706C"/>
    <w:rsid w:val="00F07F42"/>
    <w:rsid w:val="00F113C3"/>
    <w:rsid w:val="00F1516A"/>
    <w:rsid w:val="00F22A26"/>
    <w:rsid w:val="00F27F60"/>
    <w:rsid w:val="00F32139"/>
    <w:rsid w:val="00F34E08"/>
    <w:rsid w:val="00F41D91"/>
    <w:rsid w:val="00F46964"/>
    <w:rsid w:val="00F4740F"/>
    <w:rsid w:val="00F5126A"/>
    <w:rsid w:val="00F52F29"/>
    <w:rsid w:val="00F66C3F"/>
    <w:rsid w:val="00F718A8"/>
    <w:rsid w:val="00F71C7A"/>
    <w:rsid w:val="00F72183"/>
    <w:rsid w:val="00F8020A"/>
    <w:rsid w:val="00F82981"/>
    <w:rsid w:val="00F8311F"/>
    <w:rsid w:val="00F83248"/>
    <w:rsid w:val="00F853AE"/>
    <w:rsid w:val="00F93DCC"/>
    <w:rsid w:val="00F9435D"/>
    <w:rsid w:val="00FB030E"/>
    <w:rsid w:val="00FB593A"/>
    <w:rsid w:val="00FB6E82"/>
    <w:rsid w:val="00FB7356"/>
    <w:rsid w:val="00FC082D"/>
    <w:rsid w:val="00FC4576"/>
    <w:rsid w:val="00FC7DBC"/>
    <w:rsid w:val="00FD0E31"/>
    <w:rsid w:val="00FD1D5A"/>
    <w:rsid w:val="00FD2A84"/>
    <w:rsid w:val="00FE45B0"/>
    <w:rsid w:val="00FF32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4B1378"/>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4B1378"/>
    <w:rPr>
      <w:color w:val="auto"/>
    </w:rPr>
  </w:style>
  <w:style w:type="paragraph" w:customStyle="1" w:styleId="CM2">
    <w:name w:val="CM2"/>
    <w:basedOn w:val="Default"/>
    <w:next w:val="Default"/>
    <w:uiPriority w:val="99"/>
    <w:rsid w:val="004B1378"/>
    <w:pPr>
      <w:spacing w:line="176" w:lineRule="atLeast"/>
    </w:pPr>
    <w:rPr>
      <w:color w:val="auto"/>
    </w:rPr>
  </w:style>
  <w:style w:type="paragraph" w:customStyle="1" w:styleId="CM10">
    <w:name w:val="CM10"/>
    <w:basedOn w:val="Default"/>
    <w:next w:val="Default"/>
    <w:uiPriority w:val="99"/>
    <w:rsid w:val="004B1378"/>
    <w:rPr>
      <w:color w:val="auto"/>
    </w:rPr>
  </w:style>
  <w:style w:type="paragraph" w:customStyle="1" w:styleId="CM24">
    <w:name w:val="CM24"/>
    <w:basedOn w:val="Default"/>
    <w:next w:val="Default"/>
    <w:uiPriority w:val="99"/>
    <w:rsid w:val="004B1378"/>
    <w:rPr>
      <w:color w:val="auto"/>
    </w:rPr>
  </w:style>
  <w:style w:type="paragraph" w:customStyle="1" w:styleId="CM12">
    <w:name w:val="CM12"/>
    <w:basedOn w:val="Default"/>
    <w:next w:val="Default"/>
    <w:uiPriority w:val="99"/>
    <w:rsid w:val="004B1378"/>
    <w:rPr>
      <w:color w:val="auto"/>
    </w:rPr>
  </w:style>
  <w:style w:type="paragraph" w:customStyle="1" w:styleId="CM25">
    <w:name w:val="CM25"/>
    <w:basedOn w:val="Default"/>
    <w:next w:val="Default"/>
    <w:uiPriority w:val="99"/>
    <w:rsid w:val="004B1378"/>
    <w:rPr>
      <w:color w:val="auto"/>
    </w:rPr>
  </w:style>
  <w:style w:type="paragraph" w:customStyle="1" w:styleId="CM13">
    <w:name w:val="CM13"/>
    <w:basedOn w:val="Default"/>
    <w:next w:val="Default"/>
    <w:uiPriority w:val="99"/>
    <w:rsid w:val="004B1378"/>
    <w:rPr>
      <w:color w:val="auto"/>
    </w:rPr>
  </w:style>
  <w:style w:type="paragraph" w:customStyle="1" w:styleId="CM27">
    <w:name w:val="CM27"/>
    <w:basedOn w:val="Default"/>
    <w:next w:val="Default"/>
    <w:uiPriority w:val="99"/>
    <w:rsid w:val="004B1378"/>
    <w:rPr>
      <w:color w:val="auto"/>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CA3D-EA3E-412E-9C4F-8E39A163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2016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7</cp:revision>
  <cp:lastPrinted>2010-05-03T11:56:00Z</cp:lastPrinted>
  <dcterms:created xsi:type="dcterms:W3CDTF">2010-04-29T19:41:00Z</dcterms:created>
  <dcterms:modified xsi:type="dcterms:W3CDTF">2012-02-02T20:49:00Z</dcterms:modified>
</cp:coreProperties>
</file>