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765DA" w:rsidRDefault="00540BEF" w:rsidP="00540BEF">
      <w:pPr>
        <w:tabs>
          <w:tab w:val="left" w:pos="288"/>
          <w:tab w:val="left" w:pos="4752"/>
        </w:tabs>
        <w:spacing w:line="240" w:lineRule="exact"/>
        <w:jc w:val="center"/>
        <w:rPr>
          <w:rFonts w:asciiTheme="minorHAnsi" w:hAnsiTheme="minorHAnsi"/>
          <w:color w:val="auto"/>
        </w:rPr>
      </w:pPr>
      <w:r w:rsidRPr="000765DA">
        <w:rPr>
          <w:rFonts w:asciiTheme="minorHAnsi" w:hAnsiTheme="minorHAnsi"/>
          <w:color w:val="auto"/>
        </w:rPr>
        <w:t xml:space="preserve">RECORD OF PROCEEDINGS </w:t>
      </w:r>
    </w:p>
    <w:p w:rsidR="00540BEF" w:rsidRPr="000765DA" w:rsidRDefault="00540BEF" w:rsidP="00540BEF">
      <w:pPr>
        <w:tabs>
          <w:tab w:val="left" w:pos="288"/>
          <w:tab w:val="left" w:pos="4752"/>
        </w:tabs>
        <w:spacing w:line="240" w:lineRule="exact"/>
        <w:jc w:val="center"/>
        <w:rPr>
          <w:rFonts w:asciiTheme="minorHAnsi" w:hAnsiTheme="minorHAnsi"/>
          <w:color w:val="auto"/>
        </w:rPr>
      </w:pPr>
      <w:r w:rsidRPr="000765DA">
        <w:rPr>
          <w:rFonts w:asciiTheme="minorHAnsi" w:hAnsiTheme="minorHAnsi"/>
          <w:color w:val="auto"/>
        </w:rPr>
        <w:t>PHYSICAL DISABILITY BOARD OF REVIEW</w:t>
      </w:r>
      <w:r w:rsidR="00CD5D1B">
        <w:rPr>
          <w:rFonts w:asciiTheme="minorHAnsi" w:hAnsiTheme="minorHAnsi"/>
          <w:color w:val="auto"/>
        </w:rPr>
        <w:t xml:space="preserve"> </w:t>
      </w:r>
    </w:p>
    <w:p w:rsidR="00540BEF" w:rsidRPr="000765DA" w:rsidRDefault="00540BEF" w:rsidP="00540BEF">
      <w:pPr>
        <w:tabs>
          <w:tab w:val="left" w:pos="288"/>
          <w:tab w:val="left" w:pos="4752"/>
        </w:tabs>
        <w:spacing w:line="240" w:lineRule="exact"/>
        <w:jc w:val="both"/>
        <w:rPr>
          <w:rFonts w:asciiTheme="minorHAnsi" w:hAnsiTheme="minorHAnsi"/>
          <w:color w:val="auto"/>
        </w:rPr>
      </w:pPr>
    </w:p>
    <w:p w:rsidR="009573EF" w:rsidRPr="000765DA" w:rsidRDefault="009573EF" w:rsidP="000765DA">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rPr>
        <w:t>NAME:</w:t>
      </w:r>
      <w:r w:rsidRPr="000765DA">
        <w:rPr>
          <w:rFonts w:asciiTheme="minorHAnsi" w:hAnsiTheme="minorHAnsi"/>
          <w:color w:val="auto"/>
        </w:rPr>
        <w:tab/>
      </w:r>
      <w:r w:rsidRPr="000765DA">
        <w:rPr>
          <w:rFonts w:asciiTheme="minorHAnsi" w:hAnsiTheme="minorHAnsi"/>
          <w:color w:val="auto"/>
        </w:rPr>
        <w:tab/>
      </w:r>
      <w:r w:rsidR="000765DA" w:rsidRPr="000765DA">
        <w:rPr>
          <w:rFonts w:asciiTheme="minorHAnsi" w:hAnsiTheme="minorHAnsi"/>
          <w:color w:val="auto"/>
        </w:rPr>
        <w:tab/>
      </w:r>
      <w:r w:rsidRPr="000765DA">
        <w:rPr>
          <w:rFonts w:asciiTheme="minorHAnsi" w:hAnsiTheme="minorHAnsi"/>
          <w:color w:val="auto"/>
        </w:rPr>
        <w:t xml:space="preserve">BRANCH OF SERVICE: ARMY </w:t>
      </w:r>
    </w:p>
    <w:p w:rsidR="006579FD" w:rsidRDefault="009573EF" w:rsidP="000765DA">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rPr>
        <w:t>CASE NUMBER: PD0900244</w:t>
      </w:r>
      <w:r w:rsidRPr="000765DA">
        <w:rPr>
          <w:rFonts w:asciiTheme="minorHAnsi" w:hAnsiTheme="minorHAnsi"/>
          <w:color w:val="auto"/>
        </w:rPr>
        <w:tab/>
      </w:r>
      <w:r w:rsidRPr="000765DA">
        <w:rPr>
          <w:rFonts w:asciiTheme="minorHAnsi" w:hAnsiTheme="minorHAnsi"/>
          <w:color w:val="auto"/>
        </w:rPr>
        <w:tab/>
      </w:r>
      <w:r w:rsidR="000765DA" w:rsidRPr="000765DA">
        <w:rPr>
          <w:rFonts w:asciiTheme="minorHAnsi" w:hAnsiTheme="minorHAnsi"/>
          <w:color w:val="auto"/>
        </w:rPr>
        <w:tab/>
      </w:r>
      <w:r w:rsidRPr="000765DA">
        <w:rPr>
          <w:rFonts w:asciiTheme="minorHAnsi" w:hAnsiTheme="minorHAnsi"/>
          <w:color w:val="auto"/>
        </w:rPr>
        <w:t>BOARD DATE: 2010</w:t>
      </w:r>
      <w:r w:rsidR="000765DA" w:rsidRPr="000765DA">
        <w:rPr>
          <w:rFonts w:asciiTheme="minorHAnsi" w:hAnsiTheme="minorHAnsi"/>
          <w:color w:val="auto"/>
        </w:rPr>
        <w:t>0813</w:t>
      </w:r>
    </w:p>
    <w:p w:rsidR="009573EF" w:rsidRPr="000765DA" w:rsidRDefault="009573EF" w:rsidP="000765DA">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rPr>
        <w:t>SEPARATION</w:t>
      </w:r>
      <w:r w:rsidR="000765DA" w:rsidRPr="000765DA">
        <w:rPr>
          <w:rFonts w:asciiTheme="minorHAnsi" w:hAnsiTheme="minorHAnsi"/>
          <w:color w:val="auto"/>
        </w:rPr>
        <w:t xml:space="preserve"> </w:t>
      </w:r>
      <w:r w:rsidRPr="000765DA">
        <w:rPr>
          <w:rFonts w:asciiTheme="minorHAnsi" w:hAnsiTheme="minorHAnsi"/>
          <w:color w:val="auto"/>
        </w:rPr>
        <w:t>DATE: 20060830</w:t>
      </w:r>
    </w:p>
    <w:p w:rsidR="00540BEF" w:rsidRPr="000765DA" w:rsidRDefault="00540BEF" w:rsidP="00540BEF">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u w:val="single"/>
        </w:rPr>
        <w:t>________________________________</w:t>
      </w:r>
      <w:r w:rsidR="000765DA" w:rsidRPr="000765DA">
        <w:rPr>
          <w:rFonts w:asciiTheme="minorHAnsi" w:hAnsiTheme="minorHAnsi"/>
          <w:color w:val="auto"/>
          <w:u w:val="single"/>
        </w:rPr>
        <w:t>_______________</w:t>
      </w:r>
      <w:r w:rsidRPr="000765DA">
        <w:rPr>
          <w:rFonts w:asciiTheme="minorHAnsi" w:hAnsiTheme="minorHAnsi"/>
          <w:color w:val="auto"/>
          <w:u w:val="single"/>
        </w:rPr>
        <w:t>_______________________________</w:t>
      </w:r>
    </w:p>
    <w:p w:rsidR="00B522CD" w:rsidRPr="000765DA" w:rsidRDefault="00B522CD" w:rsidP="00875F2D">
      <w:pPr>
        <w:tabs>
          <w:tab w:val="left" w:pos="288"/>
          <w:tab w:val="left" w:pos="4752"/>
        </w:tabs>
        <w:spacing w:line="240" w:lineRule="exact"/>
        <w:jc w:val="both"/>
        <w:rPr>
          <w:rFonts w:asciiTheme="minorHAnsi" w:hAnsiTheme="minorHAnsi"/>
          <w:color w:val="auto"/>
        </w:rPr>
      </w:pPr>
    </w:p>
    <w:p w:rsidR="0061014A" w:rsidRPr="000765DA" w:rsidRDefault="002C6E5B" w:rsidP="00A34E0A">
      <w:pPr>
        <w:tabs>
          <w:tab w:val="left" w:pos="288"/>
          <w:tab w:val="left" w:pos="4752"/>
        </w:tabs>
        <w:spacing w:line="240" w:lineRule="exact"/>
        <w:jc w:val="both"/>
        <w:rPr>
          <w:rFonts w:asciiTheme="minorHAnsi" w:hAnsiTheme="minorHAnsi"/>
          <w:color w:val="auto"/>
          <w:szCs w:val="24"/>
        </w:rPr>
      </w:pPr>
      <w:r w:rsidRPr="000765DA">
        <w:rPr>
          <w:rFonts w:asciiTheme="minorHAnsi" w:hAnsiTheme="minorHAnsi"/>
          <w:color w:val="auto"/>
          <w:u w:val="single"/>
        </w:rPr>
        <w:t>SUMMARY OF CASE</w:t>
      </w:r>
      <w:r w:rsidRPr="000765DA">
        <w:rPr>
          <w:rFonts w:asciiTheme="minorHAnsi" w:hAnsiTheme="minorHAnsi"/>
          <w:color w:val="auto"/>
        </w:rPr>
        <w:t xml:space="preserve">:  </w:t>
      </w:r>
      <w:r w:rsidRPr="000765DA">
        <w:rPr>
          <w:rFonts w:asciiTheme="minorHAnsi" w:hAnsiTheme="minorHAnsi"/>
          <w:color w:val="auto"/>
          <w:szCs w:val="24"/>
        </w:rPr>
        <w:t xml:space="preserve">This covered individual (CI) was </w:t>
      </w:r>
      <w:r w:rsidR="00E322F7" w:rsidRPr="000765DA">
        <w:rPr>
          <w:rFonts w:asciiTheme="minorHAnsi" w:hAnsiTheme="minorHAnsi"/>
          <w:color w:val="auto"/>
          <w:szCs w:val="24"/>
        </w:rPr>
        <w:t>a</w:t>
      </w:r>
      <w:r w:rsidR="009573EF" w:rsidRPr="000765DA">
        <w:rPr>
          <w:rFonts w:asciiTheme="minorHAnsi" w:hAnsiTheme="minorHAnsi"/>
          <w:color w:val="auto"/>
          <w:szCs w:val="24"/>
        </w:rPr>
        <w:t xml:space="preserve">n Army </w:t>
      </w:r>
      <w:r w:rsidR="00152096">
        <w:rPr>
          <w:rFonts w:asciiTheme="minorHAnsi" w:hAnsiTheme="minorHAnsi"/>
          <w:color w:val="auto"/>
          <w:szCs w:val="24"/>
        </w:rPr>
        <w:t xml:space="preserve">National </w:t>
      </w:r>
      <w:r w:rsidR="009573EF" w:rsidRPr="000765DA">
        <w:rPr>
          <w:rFonts w:asciiTheme="minorHAnsi" w:hAnsiTheme="minorHAnsi"/>
          <w:color w:val="auto"/>
          <w:szCs w:val="24"/>
        </w:rPr>
        <w:t>Guard SSG (88M</w:t>
      </w:r>
      <w:r w:rsidR="00E322F7" w:rsidRPr="000765DA">
        <w:rPr>
          <w:rFonts w:asciiTheme="minorHAnsi" w:hAnsiTheme="minorHAnsi"/>
          <w:color w:val="auto"/>
          <w:szCs w:val="24"/>
        </w:rPr>
        <w:t xml:space="preserve">, </w:t>
      </w:r>
      <w:r w:rsidR="009573EF" w:rsidRPr="000765DA">
        <w:rPr>
          <w:rFonts w:asciiTheme="minorHAnsi" w:hAnsiTheme="minorHAnsi"/>
          <w:color w:val="auto"/>
          <w:szCs w:val="24"/>
        </w:rPr>
        <w:t>H</w:t>
      </w:r>
      <w:r w:rsidR="00206878" w:rsidRPr="000765DA">
        <w:rPr>
          <w:rFonts w:asciiTheme="minorHAnsi" w:hAnsiTheme="minorHAnsi"/>
          <w:color w:val="auto"/>
          <w:szCs w:val="24"/>
        </w:rPr>
        <w:t xml:space="preserve">eavy </w:t>
      </w:r>
      <w:r w:rsidR="009573EF" w:rsidRPr="000765DA">
        <w:rPr>
          <w:rFonts w:asciiTheme="minorHAnsi" w:hAnsiTheme="minorHAnsi"/>
          <w:color w:val="auto"/>
          <w:szCs w:val="24"/>
        </w:rPr>
        <w:t>Vehicle Driver</w:t>
      </w:r>
      <w:r w:rsidR="00E322F7" w:rsidRPr="000765DA">
        <w:rPr>
          <w:rFonts w:asciiTheme="minorHAnsi" w:hAnsiTheme="minorHAnsi"/>
          <w:color w:val="auto"/>
          <w:szCs w:val="24"/>
        </w:rPr>
        <w:t xml:space="preserve">) </w:t>
      </w:r>
      <w:r w:rsidRPr="000765DA">
        <w:rPr>
          <w:rFonts w:asciiTheme="minorHAnsi" w:hAnsiTheme="minorHAnsi"/>
          <w:color w:val="auto"/>
          <w:szCs w:val="24"/>
        </w:rPr>
        <w:t xml:space="preserve">medically separated from the </w:t>
      </w:r>
      <w:r w:rsidR="00152096">
        <w:rPr>
          <w:rFonts w:asciiTheme="minorHAnsi" w:hAnsiTheme="minorHAnsi"/>
          <w:color w:val="auto"/>
          <w:szCs w:val="24"/>
        </w:rPr>
        <w:t>National</w:t>
      </w:r>
      <w:r w:rsidRPr="000765DA">
        <w:rPr>
          <w:rFonts w:asciiTheme="minorHAnsi" w:hAnsiTheme="minorHAnsi"/>
          <w:color w:val="auto"/>
          <w:szCs w:val="24"/>
        </w:rPr>
        <w:t xml:space="preserve"> </w:t>
      </w:r>
      <w:r w:rsidR="00D43F3B" w:rsidRPr="000765DA">
        <w:rPr>
          <w:rFonts w:asciiTheme="minorHAnsi" w:hAnsiTheme="minorHAnsi"/>
          <w:color w:val="auto"/>
          <w:szCs w:val="24"/>
        </w:rPr>
        <w:t xml:space="preserve">Guard </w:t>
      </w:r>
      <w:r w:rsidRPr="000765DA">
        <w:rPr>
          <w:rFonts w:asciiTheme="minorHAnsi" w:hAnsiTheme="minorHAnsi"/>
          <w:color w:val="auto"/>
          <w:szCs w:val="24"/>
        </w:rPr>
        <w:t>in 200</w:t>
      </w:r>
      <w:r w:rsidR="00D43F3B" w:rsidRPr="000765DA">
        <w:rPr>
          <w:rFonts w:asciiTheme="minorHAnsi" w:hAnsiTheme="minorHAnsi"/>
          <w:color w:val="auto"/>
          <w:szCs w:val="24"/>
        </w:rPr>
        <w:t>6</w:t>
      </w:r>
      <w:r w:rsidRPr="000765DA">
        <w:rPr>
          <w:rFonts w:asciiTheme="minorHAnsi" w:hAnsiTheme="minorHAnsi"/>
          <w:color w:val="auto"/>
          <w:szCs w:val="24"/>
        </w:rPr>
        <w:t xml:space="preserve"> after </w:t>
      </w:r>
      <w:r w:rsidR="00D43F3B" w:rsidRPr="000765DA">
        <w:rPr>
          <w:rFonts w:asciiTheme="minorHAnsi" w:hAnsiTheme="minorHAnsi"/>
          <w:color w:val="auto"/>
          <w:szCs w:val="24"/>
        </w:rPr>
        <w:t>3</w:t>
      </w:r>
      <w:r w:rsidRPr="000765DA">
        <w:rPr>
          <w:rFonts w:asciiTheme="minorHAnsi" w:hAnsiTheme="minorHAnsi"/>
          <w:color w:val="auto"/>
          <w:szCs w:val="24"/>
        </w:rPr>
        <w:t xml:space="preserve"> years of </w:t>
      </w:r>
      <w:r w:rsidR="00D43F3B" w:rsidRPr="000765DA">
        <w:rPr>
          <w:rFonts w:asciiTheme="minorHAnsi" w:hAnsiTheme="minorHAnsi"/>
          <w:color w:val="auto"/>
          <w:szCs w:val="24"/>
        </w:rPr>
        <w:t>active and 31 years combined service</w:t>
      </w:r>
      <w:r w:rsidRPr="000765DA">
        <w:rPr>
          <w:rFonts w:asciiTheme="minorHAnsi" w:hAnsiTheme="minorHAnsi"/>
          <w:color w:val="auto"/>
          <w:szCs w:val="24"/>
        </w:rPr>
        <w:t xml:space="preserve">.  </w:t>
      </w:r>
      <w:r w:rsidR="00D43F3B" w:rsidRPr="000765DA">
        <w:rPr>
          <w:rFonts w:asciiTheme="minorHAnsi" w:hAnsiTheme="minorHAnsi"/>
          <w:color w:val="auto"/>
          <w:szCs w:val="24"/>
        </w:rPr>
        <w:t>The medical basis for the separation was his left knee and low back pain</w:t>
      </w:r>
      <w:r w:rsidR="007D4702" w:rsidRPr="000765DA">
        <w:rPr>
          <w:rFonts w:asciiTheme="minorHAnsi" w:hAnsiTheme="minorHAnsi"/>
          <w:color w:val="auto"/>
          <w:szCs w:val="24"/>
        </w:rPr>
        <w:t xml:space="preserve"> (LBP) conditions</w:t>
      </w:r>
      <w:r w:rsidR="00D43F3B" w:rsidRPr="000765DA">
        <w:rPr>
          <w:rFonts w:asciiTheme="minorHAnsi" w:hAnsiTheme="minorHAnsi"/>
          <w:color w:val="auto"/>
          <w:szCs w:val="24"/>
        </w:rPr>
        <w:t xml:space="preserve">. </w:t>
      </w:r>
      <w:r w:rsidR="00A26572" w:rsidRPr="000765DA">
        <w:rPr>
          <w:rFonts w:asciiTheme="minorHAnsi" w:hAnsiTheme="minorHAnsi"/>
          <w:color w:val="auto"/>
          <w:szCs w:val="24"/>
        </w:rPr>
        <w:t xml:space="preserve"> </w:t>
      </w:r>
      <w:r w:rsidR="00D43F3B" w:rsidRPr="000765DA">
        <w:rPr>
          <w:rFonts w:asciiTheme="minorHAnsi" w:hAnsiTheme="minorHAnsi"/>
          <w:color w:val="auto"/>
          <w:szCs w:val="24"/>
        </w:rPr>
        <w:t xml:space="preserve">While in Kuwait in June 2005 </w:t>
      </w:r>
      <w:r w:rsidR="00A26572" w:rsidRPr="000765DA">
        <w:rPr>
          <w:rFonts w:asciiTheme="minorHAnsi" w:hAnsiTheme="minorHAnsi"/>
          <w:color w:val="auto"/>
          <w:szCs w:val="24"/>
        </w:rPr>
        <w:t>the CI</w:t>
      </w:r>
      <w:r w:rsidR="00D43F3B" w:rsidRPr="000765DA">
        <w:rPr>
          <w:rFonts w:asciiTheme="minorHAnsi" w:hAnsiTheme="minorHAnsi"/>
          <w:color w:val="auto"/>
          <w:szCs w:val="24"/>
        </w:rPr>
        <w:t xml:space="preserve"> hit his </w:t>
      </w:r>
      <w:r w:rsidR="00A26572" w:rsidRPr="000765DA">
        <w:rPr>
          <w:rFonts w:asciiTheme="minorHAnsi" w:hAnsiTheme="minorHAnsi"/>
          <w:color w:val="auto"/>
          <w:szCs w:val="24"/>
        </w:rPr>
        <w:t xml:space="preserve">left </w:t>
      </w:r>
      <w:r w:rsidR="00D43F3B" w:rsidRPr="000765DA">
        <w:rPr>
          <w:rFonts w:asciiTheme="minorHAnsi" w:hAnsiTheme="minorHAnsi"/>
          <w:color w:val="auto"/>
          <w:szCs w:val="24"/>
        </w:rPr>
        <w:t>knee on a pile of rocks</w:t>
      </w:r>
      <w:r w:rsidR="00A26572" w:rsidRPr="000765DA">
        <w:rPr>
          <w:rFonts w:asciiTheme="minorHAnsi" w:hAnsiTheme="minorHAnsi"/>
          <w:color w:val="auto"/>
          <w:szCs w:val="24"/>
        </w:rPr>
        <w:t xml:space="preserve"> and </w:t>
      </w:r>
      <w:r w:rsidR="00152096">
        <w:rPr>
          <w:rFonts w:asciiTheme="minorHAnsi" w:hAnsiTheme="minorHAnsi"/>
          <w:color w:val="auto"/>
          <w:szCs w:val="24"/>
        </w:rPr>
        <w:t xml:space="preserve">again </w:t>
      </w:r>
      <w:r w:rsidR="00A26572" w:rsidRPr="000765DA">
        <w:rPr>
          <w:rFonts w:asciiTheme="minorHAnsi" w:hAnsiTheme="minorHAnsi"/>
          <w:color w:val="auto"/>
          <w:szCs w:val="24"/>
        </w:rPr>
        <w:t xml:space="preserve">during a convoy </w:t>
      </w:r>
      <w:r w:rsidR="003F4EA3" w:rsidRPr="000765DA">
        <w:rPr>
          <w:rFonts w:asciiTheme="minorHAnsi" w:hAnsiTheme="minorHAnsi"/>
          <w:color w:val="auto"/>
          <w:szCs w:val="24"/>
        </w:rPr>
        <w:t xml:space="preserve">vehicle </w:t>
      </w:r>
      <w:r w:rsidR="00A26572" w:rsidRPr="000765DA">
        <w:rPr>
          <w:rFonts w:asciiTheme="minorHAnsi" w:hAnsiTheme="minorHAnsi"/>
          <w:color w:val="auto"/>
          <w:szCs w:val="24"/>
        </w:rPr>
        <w:t>crash</w:t>
      </w:r>
      <w:r w:rsidR="00D43F3B" w:rsidRPr="000765DA">
        <w:rPr>
          <w:rFonts w:asciiTheme="minorHAnsi" w:hAnsiTheme="minorHAnsi"/>
          <w:color w:val="auto"/>
          <w:szCs w:val="24"/>
        </w:rPr>
        <w:t xml:space="preserve">. </w:t>
      </w:r>
      <w:r w:rsidR="00A26572" w:rsidRPr="000765DA">
        <w:rPr>
          <w:rFonts w:asciiTheme="minorHAnsi" w:hAnsiTheme="minorHAnsi"/>
          <w:color w:val="auto"/>
          <w:szCs w:val="24"/>
        </w:rPr>
        <w:t xml:space="preserve"> The CI subsequently underwent surgical repair in Aug 2005 that included lateral meniscus removal and bony repairs.  </w:t>
      </w:r>
      <w:r w:rsidR="003F4EA3" w:rsidRPr="000765DA">
        <w:rPr>
          <w:rFonts w:asciiTheme="minorHAnsi" w:hAnsiTheme="minorHAnsi"/>
          <w:color w:val="auto"/>
          <w:szCs w:val="24"/>
        </w:rPr>
        <w:t>Symptoms persisted and h</w:t>
      </w:r>
      <w:r w:rsidR="00A26572" w:rsidRPr="000765DA">
        <w:rPr>
          <w:rFonts w:asciiTheme="minorHAnsi" w:hAnsiTheme="minorHAnsi"/>
          <w:color w:val="auto"/>
          <w:szCs w:val="24"/>
        </w:rPr>
        <w:t xml:space="preserve">e was not considered a </w:t>
      </w:r>
      <w:r w:rsidR="003F4EA3" w:rsidRPr="000765DA">
        <w:rPr>
          <w:rFonts w:asciiTheme="minorHAnsi" w:hAnsiTheme="minorHAnsi"/>
          <w:color w:val="auto"/>
          <w:szCs w:val="24"/>
        </w:rPr>
        <w:t xml:space="preserve">near-term </w:t>
      </w:r>
      <w:r w:rsidR="00A26572" w:rsidRPr="000765DA">
        <w:rPr>
          <w:rFonts w:asciiTheme="minorHAnsi" w:hAnsiTheme="minorHAnsi"/>
          <w:color w:val="auto"/>
          <w:szCs w:val="24"/>
        </w:rPr>
        <w:t>candidate</w:t>
      </w:r>
      <w:r w:rsidR="003F4EA3" w:rsidRPr="000765DA">
        <w:rPr>
          <w:rFonts w:asciiTheme="minorHAnsi" w:hAnsiTheme="minorHAnsi"/>
          <w:color w:val="auto"/>
          <w:szCs w:val="24"/>
        </w:rPr>
        <w:t xml:space="preserve"> for a second surgery</w:t>
      </w:r>
      <w:r w:rsidR="00754751" w:rsidRPr="000765DA">
        <w:rPr>
          <w:rFonts w:asciiTheme="minorHAnsi" w:hAnsiTheme="minorHAnsi"/>
          <w:color w:val="auto"/>
          <w:szCs w:val="24"/>
        </w:rPr>
        <w:t xml:space="preserve">, but prognosis was for a </w:t>
      </w:r>
      <w:r w:rsidR="00A26572" w:rsidRPr="000765DA">
        <w:rPr>
          <w:rFonts w:asciiTheme="minorHAnsi" w:hAnsiTheme="minorHAnsi"/>
          <w:color w:val="auto"/>
          <w:szCs w:val="24"/>
        </w:rPr>
        <w:t xml:space="preserve">knee replacement </w:t>
      </w:r>
      <w:r w:rsidR="00754751" w:rsidRPr="000765DA">
        <w:rPr>
          <w:rFonts w:asciiTheme="minorHAnsi" w:hAnsiTheme="minorHAnsi"/>
          <w:color w:val="auto"/>
          <w:szCs w:val="24"/>
        </w:rPr>
        <w:t xml:space="preserve">in the </w:t>
      </w:r>
      <w:r w:rsidR="002B6484">
        <w:rPr>
          <w:rFonts w:asciiTheme="minorHAnsi" w:hAnsiTheme="minorHAnsi"/>
          <w:color w:val="auto"/>
          <w:szCs w:val="24"/>
        </w:rPr>
        <w:t xml:space="preserve">distant </w:t>
      </w:r>
      <w:r w:rsidR="00754751" w:rsidRPr="000765DA">
        <w:rPr>
          <w:rFonts w:asciiTheme="minorHAnsi" w:hAnsiTheme="minorHAnsi"/>
          <w:color w:val="auto"/>
          <w:szCs w:val="24"/>
        </w:rPr>
        <w:t>future.  The CI also began complaining of left hip and back pain i</w:t>
      </w:r>
      <w:r w:rsidR="00D43F3B" w:rsidRPr="000765DA">
        <w:rPr>
          <w:rFonts w:asciiTheme="minorHAnsi" w:hAnsiTheme="minorHAnsi"/>
          <w:color w:val="auto"/>
          <w:szCs w:val="24"/>
        </w:rPr>
        <w:t>n early 2006</w:t>
      </w:r>
      <w:r w:rsidR="00754751" w:rsidRPr="000765DA">
        <w:rPr>
          <w:rFonts w:asciiTheme="minorHAnsi" w:hAnsiTheme="minorHAnsi"/>
          <w:color w:val="auto"/>
          <w:szCs w:val="24"/>
        </w:rPr>
        <w:t xml:space="preserve"> without specific trauma.  He had a hip injection and specialty pain clinic referral included three epidural lumbar spine injections that did not provide permanent relief.  Despite rehabilitation and medications for the left knee and lower back conditions, he did not respond adequately to perform within his MOS or participate in the APFT.  He </w:t>
      </w:r>
      <w:r w:rsidR="00E322F7" w:rsidRPr="000765DA">
        <w:rPr>
          <w:rFonts w:asciiTheme="minorHAnsi" w:hAnsiTheme="minorHAnsi"/>
          <w:color w:val="auto"/>
          <w:szCs w:val="24"/>
        </w:rPr>
        <w:t>was issued a permanent L3 profile and underwent a MEB</w:t>
      </w:r>
      <w:r w:rsidR="00276B33" w:rsidRPr="000765DA">
        <w:rPr>
          <w:rFonts w:asciiTheme="minorHAnsi" w:hAnsiTheme="minorHAnsi"/>
          <w:color w:val="auto"/>
          <w:szCs w:val="24"/>
        </w:rPr>
        <w:t xml:space="preserve"> with final DA Form 3947 detailing seven conditions; </w:t>
      </w:r>
      <w:r w:rsidR="005A0366" w:rsidRPr="000765DA">
        <w:rPr>
          <w:rFonts w:asciiTheme="minorHAnsi" w:hAnsiTheme="minorHAnsi"/>
          <w:color w:val="auto"/>
          <w:szCs w:val="24"/>
        </w:rPr>
        <w:t>the</w:t>
      </w:r>
      <w:r w:rsidR="00D43F3B" w:rsidRPr="000765DA">
        <w:rPr>
          <w:rFonts w:asciiTheme="minorHAnsi" w:hAnsiTheme="minorHAnsi"/>
          <w:color w:val="auto"/>
          <w:szCs w:val="24"/>
        </w:rPr>
        <w:t xml:space="preserve"> left knee and </w:t>
      </w:r>
      <w:r w:rsidR="00206878" w:rsidRPr="000765DA">
        <w:rPr>
          <w:rFonts w:asciiTheme="minorHAnsi" w:hAnsiTheme="minorHAnsi"/>
          <w:color w:val="auto"/>
          <w:szCs w:val="24"/>
        </w:rPr>
        <w:t>lower back conditions</w:t>
      </w:r>
      <w:r w:rsidR="00D43F3B" w:rsidRPr="000765DA">
        <w:rPr>
          <w:rFonts w:asciiTheme="minorHAnsi" w:hAnsiTheme="minorHAnsi"/>
          <w:color w:val="auto"/>
          <w:szCs w:val="24"/>
        </w:rPr>
        <w:t xml:space="preserve"> were determined to be medically unacceptable IAW AR 40-501.  Other conditions, specifically left hip, </w:t>
      </w:r>
      <w:r w:rsidR="00206878" w:rsidRPr="000765DA">
        <w:rPr>
          <w:rFonts w:asciiTheme="minorHAnsi" w:hAnsiTheme="minorHAnsi"/>
          <w:color w:val="auto"/>
          <w:szCs w:val="24"/>
        </w:rPr>
        <w:t>abdominal (</w:t>
      </w:r>
      <w:r w:rsidR="00D43F3B" w:rsidRPr="000765DA">
        <w:rPr>
          <w:rFonts w:asciiTheme="minorHAnsi" w:hAnsiTheme="minorHAnsi"/>
          <w:color w:val="auto"/>
          <w:szCs w:val="24"/>
        </w:rPr>
        <w:t>GERD</w:t>
      </w:r>
      <w:r w:rsidR="00206878" w:rsidRPr="000765DA">
        <w:rPr>
          <w:rFonts w:asciiTheme="minorHAnsi" w:hAnsiTheme="minorHAnsi"/>
          <w:color w:val="auto"/>
          <w:szCs w:val="24"/>
        </w:rPr>
        <w:t>)</w:t>
      </w:r>
      <w:r w:rsidR="00D43F3B" w:rsidRPr="000765DA">
        <w:rPr>
          <w:rFonts w:asciiTheme="minorHAnsi" w:hAnsiTheme="minorHAnsi"/>
          <w:color w:val="auto"/>
          <w:szCs w:val="24"/>
        </w:rPr>
        <w:t xml:space="preserve">, </w:t>
      </w:r>
      <w:proofErr w:type="spellStart"/>
      <w:r w:rsidR="00D43F3B" w:rsidRPr="000765DA">
        <w:rPr>
          <w:rFonts w:asciiTheme="minorHAnsi" w:hAnsiTheme="minorHAnsi"/>
          <w:color w:val="auto"/>
          <w:szCs w:val="24"/>
        </w:rPr>
        <w:t>hyperlipidemia</w:t>
      </w:r>
      <w:proofErr w:type="spellEnd"/>
      <w:r w:rsidR="00D43F3B" w:rsidRPr="000765DA">
        <w:rPr>
          <w:rFonts w:asciiTheme="minorHAnsi" w:hAnsiTheme="minorHAnsi"/>
          <w:color w:val="auto"/>
          <w:szCs w:val="24"/>
        </w:rPr>
        <w:t xml:space="preserve">, hypertension and bilateral </w:t>
      </w:r>
      <w:r w:rsidR="00206878" w:rsidRPr="000765DA">
        <w:rPr>
          <w:rFonts w:asciiTheme="minorHAnsi" w:hAnsiTheme="minorHAnsi"/>
          <w:color w:val="auto"/>
          <w:szCs w:val="24"/>
        </w:rPr>
        <w:t>foot (</w:t>
      </w:r>
      <w:r w:rsidR="00D43F3B" w:rsidRPr="000765DA">
        <w:rPr>
          <w:rFonts w:asciiTheme="minorHAnsi" w:hAnsiTheme="minorHAnsi"/>
          <w:color w:val="auto"/>
          <w:szCs w:val="24"/>
        </w:rPr>
        <w:t>bunions</w:t>
      </w:r>
      <w:r w:rsidR="00206878" w:rsidRPr="000765DA">
        <w:rPr>
          <w:rFonts w:asciiTheme="minorHAnsi" w:hAnsiTheme="minorHAnsi"/>
          <w:color w:val="auto"/>
          <w:szCs w:val="24"/>
        </w:rPr>
        <w:t>) conditions</w:t>
      </w:r>
      <w:r w:rsidR="00D43F3B" w:rsidRPr="000765DA">
        <w:rPr>
          <w:rFonts w:asciiTheme="minorHAnsi" w:hAnsiTheme="minorHAnsi"/>
          <w:color w:val="auto"/>
          <w:szCs w:val="24"/>
        </w:rPr>
        <w:t xml:space="preserve"> were determined to be medically acceptable</w:t>
      </w:r>
      <w:r w:rsidR="00276B33" w:rsidRPr="000765DA">
        <w:rPr>
          <w:rFonts w:asciiTheme="minorHAnsi" w:hAnsiTheme="minorHAnsi"/>
          <w:color w:val="auto"/>
          <w:szCs w:val="24"/>
        </w:rPr>
        <w:t xml:space="preserve"> IAW AR 40-501</w:t>
      </w:r>
      <w:r w:rsidR="00D43F3B" w:rsidRPr="000765DA">
        <w:rPr>
          <w:rFonts w:asciiTheme="minorHAnsi" w:hAnsiTheme="minorHAnsi"/>
          <w:color w:val="auto"/>
          <w:szCs w:val="24"/>
        </w:rPr>
        <w:t xml:space="preserve">. </w:t>
      </w:r>
      <w:r w:rsidR="00206878" w:rsidRPr="000765DA">
        <w:rPr>
          <w:rFonts w:asciiTheme="minorHAnsi" w:hAnsiTheme="minorHAnsi"/>
          <w:color w:val="auto"/>
          <w:szCs w:val="24"/>
        </w:rPr>
        <w:t xml:space="preserve"> The CI was referred to the </w:t>
      </w:r>
      <w:r w:rsidR="000611E1">
        <w:rPr>
          <w:rFonts w:asciiTheme="minorHAnsi" w:hAnsiTheme="minorHAnsi"/>
          <w:color w:val="auto"/>
          <w:szCs w:val="24"/>
        </w:rPr>
        <w:t>Physical Evaluation Board (</w:t>
      </w:r>
      <w:r w:rsidR="00206878" w:rsidRPr="000765DA">
        <w:rPr>
          <w:rFonts w:asciiTheme="minorHAnsi" w:hAnsiTheme="minorHAnsi"/>
          <w:color w:val="auto"/>
          <w:szCs w:val="24"/>
        </w:rPr>
        <w:t>PEB</w:t>
      </w:r>
      <w:r w:rsidR="000611E1">
        <w:rPr>
          <w:rFonts w:asciiTheme="minorHAnsi" w:hAnsiTheme="minorHAnsi"/>
          <w:color w:val="auto"/>
          <w:szCs w:val="24"/>
        </w:rPr>
        <w:t>)</w:t>
      </w:r>
      <w:r w:rsidR="00206878" w:rsidRPr="000765DA">
        <w:rPr>
          <w:rFonts w:asciiTheme="minorHAnsi" w:hAnsiTheme="minorHAnsi"/>
          <w:color w:val="auto"/>
          <w:szCs w:val="24"/>
        </w:rPr>
        <w:t xml:space="preserve">, found unfit only for the lower back </w:t>
      </w:r>
      <w:r w:rsidR="00276B33" w:rsidRPr="000765DA">
        <w:rPr>
          <w:rFonts w:asciiTheme="minorHAnsi" w:hAnsiTheme="minorHAnsi"/>
          <w:color w:val="auto"/>
          <w:szCs w:val="24"/>
        </w:rPr>
        <w:t>and left knee conditions rated 10% and 0% respectively; all other conditions were fo</w:t>
      </w:r>
      <w:r w:rsidR="00754751" w:rsidRPr="000765DA">
        <w:rPr>
          <w:rFonts w:asciiTheme="minorHAnsi" w:hAnsiTheme="minorHAnsi"/>
          <w:color w:val="auto"/>
          <w:szCs w:val="24"/>
        </w:rPr>
        <w:t>u</w:t>
      </w:r>
      <w:r w:rsidR="00276B33" w:rsidRPr="000765DA">
        <w:rPr>
          <w:rFonts w:asciiTheme="minorHAnsi" w:hAnsiTheme="minorHAnsi"/>
          <w:color w:val="auto"/>
          <w:szCs w:val="24"/>
        </w:rPr>
        <w:t xml:space="preserve">nd </w:t>
      </w:r>
      <w:r w:rsidR="00754751" w:rsidRPr="000765DA">
        <w:rPr>
          <w:rFonts w:asciiTheme="minorHAnsi" w:hAnsiTheme="minorHAnsi"/>
          <w:color w:val="auto"/>
          <w:szCs w:val="24"/>
        </w:rPr>
        <w:t xml:space="preserve">to be </w:t>
      </w:r>
      <w:r w:rsidR="00276B33" w:rsidRPr="000765DA">
        <w:rPr>
          <w:rFonts w:asciiTheme="minorHAnsi" w:hAnsiTheme="minorHAnsi"/>
          <w:color w:val="auto"/>
          <w:szCs w:val="24"/>
        </w:rPr>
        <w:t>not unfitting.  The CI appealed to the Formal PEB (FPEB) who found the CI unfit only for the same conditions, but increased the rating</w:t>
      </w:r>
      <w:r w:rsidR="00754751" w:rsidRPr="000765DA">
        <w:rPr>
          <w:rFonts w:asciiTheme="minorHAnsi" w:hAnsiTheme="minorHAnsi"/>
          <w:color w:val="auto"/>
          <w:szCs w:val="24"/>
        </w:rPr>
        <w:t>s to 10% each.</w:t>
      </w:r>
      <w:r w:rsidR="00276B33" w:rsidRPr="000765DA">
        <w:rPr>
          <w:rFonts w:asciiTheme="minorHAnsi" w:hAnsiTheme="minorHAnsi"/>
          <w:color w:val="auto"/>
          <w:szCs w:val="24"/>
        </w:rPr>
        <w:t xml:space="preserve">  The CI’s appeals of the FPEB did not lead to any changes in the findings, and the CI was </w:t>
      </w:r>
      <w:r w:rsidR="00DF6B3A" w:rsidRPr="000765DA">
        <w:rPr>
          <w:rFonts w:asciiTheme="minorHAnsi" w:hAnsiTheme="minorHAnsi"/>
          <w:color w:val="auto"/>
          <w:szCs w:val="24"/>
        </w:rPr>
        <w:t xml:space="preserve">determined to have </w:t>
      </w:r>
      <w:r w:rsidR="00206878" w:rsidRPr="000765DA">
        <w:rPr>
          <w:rFonts w:asciiTheme="minorHAnsi" w:hAnsiTheme="minorHAnsi"/>
          <w:color w:val="auto"/>
          <w:szCs w:val="24"/>
        </w:rPr>
        <w:t xml:space="preserve">a 20% combined disability using the Veterans </w:t>
      </w:r>
      <w:r w:rsidR="000611E1">
        <w:rPr>
          <w:rFonts w:asciiTheme="minorHAnsi" w:hAnsiTheme="minorHAnsi"/>
          <w:color w:val="auto"/>
          <w:szCs w:val="24"/>
        </w:rPr>
        <w:t>Administration</w:t>
      </w:r>
      <w:r w:rsidR="00206878" w:rsidRPr="000765DA">
        <w:rPr>
          <w:rFonts w:asciiTheme="minorHAnsi" w:hAnsiTheme="minorHAnsi"/>
          <w:color w:val="auto"/>
          <w:szCs w:val="24"/>
        </w:rPr>
        <w:t xml:space="preserve"> Schedule for Rating Disabilities (VASRD) and applicable Army and Department of Defense regulations</w:t>
      </w:r>
      <w:r w:rsidR="00276B33" w:rsidRPr="000765DA">
        <w:rPr>
          <w:rFonts w:asciiTheme="minorHAnsi" w:hAnsiTheme="minorHAnsi"/>
          <w:color w:val="auto"/>
          <w:szCs w:val="24"/>
        </w:rPr>
        <w:t xml:space="preserve"> including the USAPDA pain policy</w:t>
      </w:r>
      <w:r w:rsidR="00206878" w:rsidRPr="000765DA">
        <w:rPr>
          <w:rFonts w:asciiTheme="minorHAnsi" w:hAnsiTheme="minorHAnsi"/>
          <w:color w:val="auto"/>
          <w:szCs w:val="24"/>
        </w:rPr>
        <w:t>.</w:t>
      </w:r>
      <w:r w:rsidR="00DF6B3A" w:rsidRPr="000765DA">
        <w:rPr>
          <w:rFonts w:asciiTheme="minorHAnsi" w:hAnsiTheme="minorHAnsi"/>
          <w:color w:val="auto"/>
          <w:szCs w:val="24"/>
        </w:rPr>
        <w:t xml:space="preserve">  The CI </w:t>
      </w:r>
      <w:proofErr w:type="gramStart"/>
      <w:r w:rsidR="00DF6B3A" w:rsidRPr="000765DA">
        <w:rPr>
          <w:rFonts w:asciiTheme="minorHAnsi" w:hAnsiTheme="minorHAnsi"/>
          <w:color w:val="auto"/>
          <w:szCs w:val="24"/>
        </w:rPr>
        <w:t xml:space="preserve">elected </w:t>
      </w:r>
      <w:r w:rsidR="007A1643">
        <w:rPr>
          <w:rFonts w:asciiTheme="minorHAnsi" w:hAnsiTheme="minorHAnsi"/>
          <w:color w:val="auto"/>
          <w:szCs w:val="24"/>
        </w:rPr>
        <w:t xml:space="preserve"> Reserve</w:t>
      </w:r>
      <w:proofErr w:type="gramEnd"/>
      <w:r w:rsidR="007A1643">
        <w:rPr>
          <w:rFonts w:asciiTheme="minorHAnsi" w:hAnsiTheme="minorHAnsi"/>
          <w:color w:val="auto"/>
          <w:szCs w:val="24"/>
        </w:rPr>
        <w:t xml:space="preserve"> retirement i</w:t>
      </w:r>
      <w:r w:rsidR="00DF6B3A" w:rsidRPr="000765DA">
        <w:rPr>
          <w:rFonts w:asciiTheme="minorHAnsi" w:hAnsiTheme="minorHAnsi"/>
          <w:color w:val="auto"/>
          <w:szCs w:val="24"/>
        </w:rPr>
        <w:t>n-</w:t>
      </w:r>
      <w:r w:rsidR="007A1643">
        <w:rPr>
          <w:rFonts w:asciiTheme="minorHAnsi" w:hAnsiTheme="minorHAnsi"/>
          <w:color w:val="auto"/>
          <w:szCs w:val="24"/>
        </w:rPr>
        <w:t>l</w:t>
      </w:r>
      <w:r w:rsidR="00DF6B3A" w:rsidRPr="000765DA">
        <w:rPr>
          <w:rFonts w:asciiTheme="minorHAnsi" w:hAnsiTheme="minorHAnsi"/>
          <w:color w:val="auto"/>
          <w:szCs w:val="24"/>
        </w:rPr>
        <w:t xml:space="preserve">ieu of </w:t>
      </w:r>
      <w:r w:rsidR="007A1643">
        <w:rPr>
          <w:rFonts w:asciiTheme="minorHAnsi" w:hAnsiTheme="minorHAnsi"/>
          <w:color w:val="auto"/>
          <w:szCs w:val="24"/>
        </w:rPr>
        <w:t>discharge with di</w:t>
      </w:r>
      <w:r w:rsidR="00DF6B3A" w:rsidRPr="000765DA">
        <w:rPr>
          <w:rFonts w:asciiTheme="minorHAnsi" w:hAnsiTheme="minorHAnsi"/>
          <w:color w:val="auto"/>
          <w:szCs w:val="24"/>
        </w:rPr>
        <w:t xml:space="preserve">sability </w:t>
      </w:r>
      <w:r w:rsidR="007A1643">
        <w:rPr>
          <w:rFonts w:asciiTheme="minorHAnsi" w:hAnsiTheme="minorHAnsi"/>
          <w:color w:val="auto"/>
          <w:szCs w:val="24"/>
        </w:rPr>
        <w:t>s</w:t>
      </w:r>
      <w:r w:rsidR="00DF6B3A" w:rsidRPr="000765DA">
        <w:rPr>
          <w:rFonts w:asciiTheme="minorHAnsi" w:hAnsiTheme="minorHAnsi"/>
          <w:color w:val="auto"/>
          <w:szCs w:val="24"/>
        </w:rPr>
        <w:t>everance</w:t>
      </w:r>
      <w:r w:rsidR="007A1643">
        <w:rPr>
          <w:rFonts w:asciiTheme="minorHAnsi" w:hAnsiTheme="minorHAnsi"/>
          <w:color w:val="auto"/>
          <w:szCs w:val="24"/>
        </w:rPr>
        <w:t xml:space="preserve"> pay</w:t>
      </w:r>
      <w:r w:rsidR="00DF6B3A" w:rsidRPr="000765DA">
        <w:rPr>
          <w:rFonts w:asciiTheme="minorHAnsi" w:hAnsiTheme="minorHAnsi"/>
          <w:color w:val="auto"/>
          <w:szCs w:val="24"/>
        </w:rPr>
        <w:t xml:space="preserve">.  </w:t>
      </w:r>
      <w:r w:rsidR="00206878" w:rsidRPr="000765DA">
        <w:rPr>
          <w:rFonts w:asciiTheme="minorHAnsi" w:hAnsiTheme="minorHAnsi"/>
          <w:color w:val="auto"/>
          <w:szCs w:val="24"/>
        </w:rPr>
        <w:t xml:space="preserve"> </w:t>
      </w:r>
    </w:p>
    <w:p w:rsidR="000765DA" w:rsidRPr="000765DA" w:rsidRDefault="000765DA" w:rsidP="000765DA">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u w:val="single"/>
        </w:rPr>
        <w:t>______________________________________________________________________________</w:t>
      </w:r>
    </w:p>
    <w:p w:rsidR="00923B25" w:rsidRPr="000765DA" w:rsidRDefault="00923B25" w:rsidP="00875F2D">
      <w:pPr>
        <w:tabs>
          <w:tab w:val="left" w:pos="288"/>
          <w:tab w:val="left" w:pos="4752"/>
        </w:tabs>
        <w:spacing w:line="240" w:lineRule="exact"/>
        <w:jc w:val="both"/>
        <w:rPr>
          <w:rFonts w:asciiTheme="minorHAnsi" w:hAnsiTheme="minorHAnsi"/>
          <w:color w:val="auto"/>
        </w:rPr>
      </w:pPr>
    </w:p>
    <w:p w:rsidR="000765DA" w:rsidRPr="000765DA" w:rsidRDefault="002C6E5B" w:rsidP="000765DA">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u w:val="single"/>
        </w:rPr>
        <w:t>CI CONTENTION</w:t>
      </w:r>
      <w:r w:rsidRPr="000765DA">
        <w:rPr>
          <w:rFonts w:asciiTheme="minorHAnsi" w:hAnsiTheme="minorHAnsi"/>
          <w:color w:val="auto"/>
        </w:rPr>
        <w:t xml:space="preserve">:  </w:t>
      </w:r>
      <w:r w:rsidRPr="000765DA">
        <w:rPr>
          <w:rFonts w:asciiTheme="minorHAnsi" w:hAnsiTheme="minorHAnsi"/>
          <w:color w:val="auto"/>
          <w:szCs w:val="24"/>
        </w:rPr>
        <w:t>The CI states:</w:t>
      </w:r>
      <w:r w:rsidR="00C932C5" w:rsidRPr="000765DA">
        <w:rPr>
          <w:rFonts w:asciiTheme="minorHAnsi" w:hAnsiTheme="minorHAnsi"/>
          <w:color w:val="auto"/>
          <w:szCs w:val="24"/>
        </w:rPr>
        <w:t xml:space="preserve"> </w:t>
      </w:r>
      <w:r w:rsidR="00D43F3B" w:rsidRPr="000765DA">
        <w:rPr>
          <w:rFonts w:asciiTheme="minorHAnsi" w:hAnsiTheme="minorHAnsi"/>
          <w:color w:val="auto"/>
          <w:szCs w:val="24"/>
        </w:rPr>
        <w:t xml:space="preserve"> ‘The PEB did not review all records accurately detailing the full extent of knee and back injury. </w:t>
      </w:r>
      <w:proofErr w:type="gramStart"/>
      <w:r w:rsidR="00D43F3B" w:rsidRPr="000765DA">
        <w:rPr>
          <w:rFonts w:asciiTheme="minorHAnsi" w:hAnsiTheme="minorHAnsi"/>
          <w:color w:val="auto"/>
          <w:szCs w:val="24"/>
        </w:rPr>
        <w:t>Was discharged from service a few days after being diagnosed with type II diabetes and never rated for the diabetes.</w:t>
      </w:r>
      <w:proofErr w:type="gramEnd"/>
      <w:r w:rsidR="00D43F3B" w:rsidRPr="000765DA">
        <w:rPr>
          <w:rFonts w:asciiTheme="minorHAnsi" w:hAnsiTheme="minorHAnsi"/>
          <w:color w:val="auto"/>
          <w:szCs w:val="24"/>
        </w:rPr>
        <w:t xml:space="preserve"> The case manager was constantly trying to persuade me to accept the PEBs decision or risk losing the percentage of disability that had been awarded. A rebu</w:t>
      </w:r>
      <w:r w:rsidR="00A813A6">
        <w:rPr>
          <w:rFonts w:asciiTheme="minorHAnsi" w:hAnsiTheme="minorHAnsi"/>
          <w:color w:val="auto"/>
          <w:szCs w:val="24"/>
        </w:rPr>
        <w:t>t</w:t>
      </w:r>
      <w:r w:rsidR="00D43F3B" w:rsidRPr="000765DA">
        <w:rPr>
          <w:rFonts w:asciiTheme="minorHAnsi" w:hAnsiTheme="minorHAnsi"/>
          <w:color w:val="auto"/>
          <w:szCs w:val="24"/>
        </w:rPr>
        <w:t xml:space="preserve">tal was submitted to the board by fax on August 7, 2006 and I was discharged by the time I received notice that the board would not change their decision but would stand by 20% rating. I was never given the opportunity to discuss with anyone why after serving in the military for more than 31 years I was discharged from active duty on August 30, 2006 with no processing out. In addition, I was also discharged from the national guard on August 31, 2006.’  </w:t>
      </w:r>
      <w:r w:rsidR="006573F2" w:rsidRPr="000765DA">
        <w:rPr>
          <w:rFonts w:asciiTheme="minorHAnsi" w:hAnsiTheme="minorHAnsi"/>
          <w:color w:val="auto"/>
          <w:szCs w:val="24"/>
        </w:rPr>
        <w:t xml:space="preserve">He additionally lists all of his VA conditions and ratings as per the rating chart below.  </w:t>
      </w:r>
      <w:r w:rsidR="00841243" w:rsidRPr="000765DA">
        <w:rPr>
          <w:rFonts w:asciiTheme="minorHAnsi" w:hAnsiTheme="minorHAnsi"/>
          <w:color w:val="auto"/>
          <w:szCs w:val="24"/>
        </w:rPr>
        <w:t xml:space="preserve">A contention for their inclusion in the separation rating is therefore implied.  </w:t>
      </w:r>
      <w:r w:rsidR="000765DA" w:rsidRPr="000765DA">
        <w:rPr>
          <w:rFonts w:asciiTheme="minorHAnsi" w:hAnsiTheme="minorHAnsi"/>
          <w:color w:val="auto"/>
          <w:u w:val="single"/>
        </w:rPr>
        <w:t>______________________________________________________________________________</w:t>
      </w:r>
    </w:p>
    <w:p w:rsidR="001C181A" w:rsidRPr="000765DA" w:rsidRDefault="001C181A" w:rsidP="000765DA">
      <w:pPr>
        <w:tabs>
          <w:tab w:val="left" w:pos="288"/>
          <w:tab w:val="left" w:pos="4752"/>
        </w:tabs>
        <w:spacing w:line="240" w:lineRule="exact"/>
        <w:rPr>
          <w:rFonts w:asciiTheme="minorHAnsi" w:hAnsiTheme="minorHAnsi"/>
          <w:color w:val="auto"/>
        </w:rPr>
      </w:pPr>
    </w:p>
    <w:p w:rsidR="003F4EA3" w:rsidRPr="000765DA" w:rsidRDefault="003F4EA3">
      <w:pPr>
        <w:rPr>
          <w:rFonts w:asciiTheme="minorHAnsi" w:hAnsiTheme="minorHAnsi"/>
          <w:color w:val="auto"/>
          <w:u w:val="single"/>
        </w:rPr>
      </w:pPr>
      <w:r w:rsidRPr="000765DA">
        <w:rPr>
          <w:rFonts w:asciiTheme="minorHAnsi" w:hAnsiTheme="minorHAnsi"/>
          <w:color w:val="auto"/>
          <w:u w:val="single"/>
        </w:rPr>
        <w:br w:type="page"/>
      </w:r>
    </w:p>
    <w:p w:rsidR="002338CA" w:rsidRPr="000765DA" w:rsidRDefault="002C6E5B" w:rsidP="00875F2D">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u w:val="single"/>
        </w:rPr>
        <w:lastRenderedPageBreak/>
        <w:t>RATING COMPARISON</w:t>
      </w:r>
      <w:r w:rsidRPr="000765DA">
        <w:rPr>
          <w:rFonts w:asciiTheme="minorHAnsi" w:hAnsiTheme="minorHAnsi"/>
          <w:color w:val="auto"/>
        </w:rPr>
        <w:t>:</w:t>
      </w:r>
      <w:r w:rsidR="007812B7" w:rsidRPr="000765DA">
        <w:rPr>
          <w:rFonts w:asciiTheme="minorHAnsi" w:hAnsiTheme="minorHAnsi"/>
          <w:color w:val="auto"/>
        </w:rPr>
        <w:t xml:space="preserve"> </w:t>
      </w:r>
      <w:r w:rsidR="004A7257" w:rsidRPr="000765DA">
        <w:rPr>
          <w:rFonts w:asciiTheme="minorHAnsi" w:hAnsiTheme="minorHAnsi"/>
          <w:color w:val="auto"/>
        </w:rPr>
        <w:t xml:space="preserve"> </w:t>
      </w:r>
    </w:p>
    <w:p w:rsidR="00F82981" w:rsidRPr="000765DA" w:rsidRDefault="00F82981" w:rsidP="00875F2D">
      <w:pPr>
        <w:tabs>
          <w:tab w:val="left" w:pos="288"/>
          <w:tab w:val="left" w:pos="4752"/>
        </w:tabs>
        <w:spacing w:line="240" w:lineRule="exact"/>
        <w:jc w:val="both"/>
        <w:rPr>
          <w:rFonts w:asciiTheme="minorHAnsi" w:hAnsiTheme="minorHAnsi"/>
          <w:color w:val="auto"/>
        </w:rPr>
      </w:pPr>
    </w:p>
    <w:tbl>
      <w:tblPr>
        <w:tblStyle w:val="TableGrid"/>
        <w:tblW w:w="9270" w:type="dxa"/>
        <w:tblInd w:w="108" w:type="dxa"/>
        <w:tblLayout w:type="fixed"/>
        <w:tblLook w:val="04A0"/>
      </w:tblPr>
      <w:tblGrid>
        <w:gridCol w:w="2520"/>
        <w:gridCol w:w="720"/>
        <w:gridCol w:w="810"/>
        <w:gridCol w:w="2340"/>
        <w:gridCol w:w="360"/>
        <w:gridCol w:w="720"/>
        <w:gridCol w:w="810"/>
        <w:gridCol w:w="990"/>
      </w:tblGrid>
      <w:tr w:rsidR="00684E2B" w:rsidRPr="000765DA" w:rsidTr="00092219">
        <w:trPr>
          <w:trHeight w:val="233"/>
        </w:trPr>
        <w:tc>
          <w:tcPr>
            <w:tcW w:w="4050" w:type="dxa"/>
            <w:gridSpan w:val="3"/>
            <w:tcBorders>
              <w:right w:val="thinThickThinSmallGap" w:sz="24" w:space="0" w:color="auto"/>
            </w:tcBorders>
            <w:shd w:val="clear" w:color="auto" w:fill="D9D9D9" w:themeFill="background1" w:themeFillShade="D9"/>
          </w:tcPr>
          <w:p w:rsidR="00684E2B" w:rsidRPr="000765DA" w:rsidRDefault="00684E2B" w:rsidP="00BF0BC5">
            <w:pPr>
              <w:pStyle w:val="ListParagraph"/>
              <w:spacing w:after="0" w:line="240" w:lineRule="auto"/>
              <w:ind w:left="0"/>
              <w:jc w:val="center"/>
              <w:rPr>
                <w:rFonts w:cs="Times New Roman"/>
                <w:b/>
                <w:sz w:val="20"/>
                <w:szCs w:val="20"/>
              </w:rPr>
            </w:pPr>
            <w:r w:rsidRPr="000765DA">
              <w:rPr>
                <w:rFonts w:cs="Times New Roman"/>
                <w:b/>
                <w:sz w:val="20"/>
                <w:szCs w:val="20"/>
              </w:rPr>
              <w:t>Service PEB</w:t>
            </w:r>
            <w:r w:rsidR="002B2645" w:rsidRPr="000765DA">
              <w:rPr>
                <w:rFonts w:cs="Times New Roman"/>
                <w:b/>
                <w:sz w:val="20"/>
                <w:szCs w:val="20"/>
              </w:rPr>
              <w:t xml:space="preserve"> – Dated </w:t>
            </w:r>
            <w:r w:rsidR="00D43F3B" w:rsidRPr="000765DA">
              <w:rPr>
                <w:rFonts w:cs="Times New Roman"/>
                <w:b/>
                <w:sz w:val="20"/>
                <w:szCs w:val="20"/>
              </w:rPr>
              <w:t>20060728</w:t>
            </w:r>
          </w:p>
        </w:tc>
        <w:tc>
          <w:tcPr>
            <w:tcW w:w="5220" w:type="dxa"/>
            <w:gridSpan w:val="5"/>
            <w:tcBorders>
              <w:left w:val="thinThickThinSmallGap" w:sz="24" w:space="0" w:color="auto"/>
            </w:tcBorders>
            <w:shd w:val="clear" w:color="auto" w:fill="D9D9D9" w:themeFill="background1" w:themeFillShade="D9"/>
          </w:tcPr>
          <w:p w:rsidR="00684E2B" w:rsidRPr="000765DA" w:rsidRDefault="00684E2B" w:rsidP="004A7257">
            <w:pPr>
              <w:pStyle w:val="ListParagraph"/>
              <w:spacing w:after="0" w:line="240" w:lineRule="auto"/>
              <w:ind w:left="0"/>
              <w:jc w:val="center"/>
              <w:rPr>
                <w:rFonts w:cs="Times New Roman"/>
                <w:b/>
                <w:sz w:val="20"/>
                <w:szCs w:val="20"/>
              </w:rPr>
            </w:pPr>
            <w:r w:rsidRPr="000765DA">
              <w:rPr>
                <w:rFonts w:cs="Times New Roman"/>
                <w:b/>
                <w:sz w:val="20"/>
                <w:szCs w:val="20"/>
              </w:rPr>
              <w:t>VA (</w:t>
            </w:r>
            <w:r w:rsidR="004A7257" w:rsidRPr="000765DA">
              <w:rPr>
                <w:rFonts w:cs="Times New Roman"/>
                <w:b/>
                <w:sz w:val="20"/>
                <w:szCs w:val="20"/>
              </w:rPr>
              <w:t>4</w:t>
            </w:r>
            <w:r w:rsidRPr="000765DA">
              <w:rPr>
                <w:rFonts w:cs="Times New Roman"/>
                <w:b/>
                <w:sz w:val="20"/>
                <w:szCs w:val="20"/>
              </w:rPr>
              <w:t xml:space="preserve"> Mo. after Separation)</w:t>
            </w:r>
            <w:r w:rsidR="000C3C13" w:rsidRPr="000765DA">
              <w:rPr>
                <w:rFonts w:cs="Times New Roman"/>
                <w:b/>
                <w:sz w:val="20"/>
                <w:szCs w:val="20"/>
              </w:rPr>
              <w:t xml:space="preserve"> – All Effective </w:t>
            </w:r>
            <w:r w:rsidR="00D43F3B" w:rsidRPr="000765DA">
              <w:rPr>
                <w:rFonts w:cs="Times New Roman"/>
                <w:b/>
                <w:sz w:val="20"/>
                <w:szCs w:val="20"/>
              </w:rPr>
              <w:t>20060831</w:t>
            </w:r>
          </w:p>
        </w:tc>
      </w:tr>
      <w:tr w:rsidR="002B2645" w:rsidRPr="000765DA" w:rsidTr="00092219">
        <w:trPr>
          <w:trHeight w:val="233"/>
        </w:trPr>
        <w:tc>
          <w:tcPr>
            <w:tcW w:w="2520" w:type="dxa"/>
            <w:tcBorders>
              <w:bottom w:val="single" w:sz="4" w:space="0" w:color="000000" w:themeColor="text1"/>
            </w:tcBorders>
            <w:shd w:val="clear" w:color="auto" w:fill="D9D9D9" w:themeFill="background1" w:themeFillShade="D9"/>
          </w:tcPr>
          <w:p w:rsidR="002B2645" w:rsidRPr="000765DA" w:rsidRDefault="002B2645" w:rsidP="00BF0BC5">
            <w:pPr>
              <w:pStyle w:val="ListParagraph"/>
              <w:spacing w:after="0" w:line="240" w:lineRule="auto"/>
              <w:ind w:left="0"/>
              <w:jc w:val="center"/>
              <w:rPr>
                <w:rFonts w:cs="Times New Roman"/>
                <w:b/>
                <w:sz w:val="20"/>
                <w:szCs w:val="20"/>
              </w:rPr>
            </w:pPr>
            <w:r w:rsidRPr="000765DA">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0765DA" w:rsidRDefault="002B2645" w:rsidP="00BF0BC5">
            <w:pPr>
              <w:pStyle w:val="ListParagraph"/>
              <w:spacing w:after="0" w:line="240" w:lineRule="auto"/>
              <w:ind w:left="0"/>
              <w:jc w:val="center"/>
              <w:rPr>
                <w:rFonts w:cs="Times New Roman"/>
                <w:b/>
                <w:sz w:val="20"/>
                <w:szCs w:val="20"/>
              </w:rPr>
            </w:pPr>
            <w:r w:rsidRPr="000765DA">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0765DA" w:rsidRDefault="002B2645" w:rsidP="00BF0BC5">
            <w:pPr>
              <w:pStyle w:val="ListParagraph"/>
              <w:spacing w:after="0" w:line="240" w:lineRule="auto"/>
              <w:ind w:left="0"/>
              <w:jc w:val="center"/>
              <w:rPr>
                <w:rFonts w:cs="Times New Roman"/>
                <w:b/>
                <w:sz w:val="20"/>
                <w:szCs w:val="20"/>
              </w:rPr>
            </w:pPr>
            <w:r w:rsidRPr="000765DA">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0765DA" w:rsidRDefault="002B2645" w:rsidP="00BF0BC5">
            <w:pPr>
              <w:pStyle w:val="ListParagraph"/>
              <w:spacing w:after="0" w:line="240" w:lineRule="auto"/>
              <w:ind w:left="0"/>
              <w:jc w:val="center"/>
              <w:rPr>
                <w:rFonts w:cs="Times New Roman"/>
                <w:b/>
                <w:sz w:val="20"/>
                <w:szCs w:val="20"/>
              </w:rPr>
            </w:pPr>
            <w:r w:rsidRPr="000765DA">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0765DA" w:rsidRDefault="002B2645" w:rsidP="00BF0BC5">
            <w:pPr>
              <w:pStyle w:val="ListParagraph"/>
              <w:spacing w:after="0" w:line="240" w:lineRule="auto"/>
              <w:ind w:left="0"/>
              <w:jc w:val="center"/>
              <w:rPr>
                <w:rFonts w:cs="Times New Roman"/>
                <w:b/>
                <w:sz w:val="20"/>
                <w:szCs w:val="20"/>
              </w:rPr>
            </w:pPr>
            <w:r w:rsidRPr="000765DA">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0765DA" w:rsidRDefault="002B2645" w:rsidP="00BF0BC5">
            <w:pPr>
              <w:pStyle w:val="ListParagraph"/>
              <w:spacing w:after="0" w:line="240" w:lineRule="auto"/>
              <w:ind w:left="0"/>
              <w:jc w:val="center"/>
              <w:rPr>
                <w:rFonts w:cs="Times New Roman"/>
                <w:b/>
                <w:sz w:val="20"/>
                <w:szCs w:val="20"/>
              </w:rPr>
            </w:pPr>
            <w:r w:rsidRPr="000765DA">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0765DA" w:rsidRDefault="002B2645" w:rsidP="00BF0BC5">
            <w:pPr>
              <w:pStyle w:val="ListParagraph"/>
              <w:spacing w:after="0" w:line="240" w:lineRule="auto"/>
              <w:ind w:left="0"/>
              <w:jc w:val="center"/>
              <w:rPr>
                <w:rFonts w:cs="Times New Roman"/>
                <w:b/>
                <w:sz w:val="20"/>
                <w:szCs w:val="20"/>
              </w:rPr>
            </w:pPr>
            <w:r w:rsidRPr="000765DA">
              <w:rPr>
                <w:rFonts w:cs="Times New Roman"/>
                <w:b/>
                <w:sz w:val="20"/>
                <w:szCs w:val="20"/>
              </w:rPr>
              <w:t>Exam</w:t>
            </w:r>
          </w:p>
        </w:tc>
      </w:tr>
      <w:tr w:rsidR="00D43F3B" w:rsidRPr="000765DA" w:rsidTr="00BF0BC5">
        <w:trPr>
          <w:trHeight w:val="152"/>
        </w:trPr>
        <w:tc>
          <w:tcPr>
            <w:tcW w:w="2520" w:type="dxa"/>
            <w:shd w:val="clear" w:color="auto" w:fill="FFFFFF" w:themeFill="background1"/>
          </w:tcPr>
          <w:p w:rsidR="00D43F3B" w:rsidRPr="000765DA" w:rsidRDefault="00D43F3B" w:rsidP="00BF0BC5">
            <w:pPr>
              <w:pStyle w:val="ListParagraph"/>
              <w:spacing w:after="0" w:line="240" w:lineRule="auto"/>
              <w:ind w:left="0"/>
              <w:rPr>
                <w:rFonts w:cs="Times New Roman"/>
                <w:sz w:val="18"/>
                <w:szCs w:val="18"/>
              </w:rPr>
            </w:pPr>
            <w:r w:rsidRPr="000765DA">
              <w:rPr>
                <w:rFonts w:cs="Times New Roman"/>
                <w:sz w:val="18"/>
                <w:szCs w:val="18"/>
              </w:rPr>
              <w:t>LBP</w:t>
            </w:r>
            <w:r w:rsidR="008913DA" w:rsidRPr="000765DA">
              <w:rPr>
                <w:rFonts w:cs="Times New Roman"/>
                <w:sz w:val="18"/>
                <w:szCs w:val="18"/>
              </w:rPr>
              <w:t xml:space="preserve"> … DDD, spinal </w:t>
            </w:r>
            <w:proofErr w:type="spellStart"/>
            <w:r w:rsidR="008913DA" w:rsidRPr="000765DA">
              <w:rPr>
                <w:rFonts w:cs="Times New Roman"/>
                <w:sz w:val="18"/>
                <w:szCs w:val="18"/>
              </w:rPr>
              <w:t>stenosis</w:t>
            </w:r>
            <w:proofErr w:type="spellEnd"/>
          </w:p>
        </w:tc>
        <w:tc>
          <w:tcPr>
            <w:tcW w:w="720" w:type="dxa"/>
            <w:shd w:val="clear" w:color="auto" w:fill="FFFFFF" w:themeFill="background1"/>
          </w:tcPr>
          <w:p w:rsidR="00D43F3B" w:rsidRPr="000765DA" w:rsidRDefault="00D43F3B" w:rsidP="00BF0BC5">
            <w:pPr>
              <w:pStyle w:val="ListParagraph"/>
              <w:spacing w:after="0" w:line="240" w:lineRule="auto"/>
              <w:ind w:left="0"/>
              <w:jc w:val="center"/>
              <w:rPr>
                <w:rFonts w:cs="Times New Roman"/>
                <w:sz w:val="18"/>
                <w:szCs w:val="18"/>
              </w:rPr>
            </w:pPr>
            <w:r w:rsidRPr="000765DA">
              <w:rPr>
                <w:rFonts w:cs="Times New Roman"/>
                <w:sz w:val="18"/>
                <w:szCs w:val="18"/>
              </w:rPr>
              <w:t>5238</w:t>
            </w:r>
          </w:p>
        </w:tc>
        <w:tc>
          <w:tcPr>
            <w:tcW w:w="810" w:type="dxa"/>
            <w:tcBorders>
              <w:right w:val="thinThickThinSmallGap" w:sz="24" w:space="0" w:color="auto"/>
            </w:tcBorders>
            <w:shd w:val="clear" w:color="auto" w:fill="FFFFFF" w:themeFill="background1"/>
          </w:tcPr>
          <w:p w:rsidR="00D43F3B" w:rsidRPr="000765DA" w:rsidRDefault="00D43F3B" w:rsidP="00BF0BC5">
            <w:pPr>
              <w:pStyle w:val="ListParagraph"/>
              <w:spacing w:after="0" w:line="240" w:lineRule="auto"/>
              <w:ind w:left="0"/>
              <w:jc w:val="center"/>
              <w:rPr>
                <w:rFonts w:cs="Times New Roman"/>
                <w:sz w:val="18"/>
                <w:szCs w:val="18"/>
              </w:rPr>
            </w:pPr>
            <w:r w:rsidRPr="000765DA">
              <w:rPr>
                <w:rFonts w:cs="Times New Roman"/>
                <w:sz w:val="18"/>
                <w:szCs w:val="18"/>
              </w:rPr>
              <w:t>10%</w:t>
            </w:r>
          </w:p>
        </w:tc>
        <w:tc>
          <w:tcPr>
            <w:tcW w:w="2340" w:type="dxa"/>
            <w:tcBorders>
              <w:left w:val="thinThickThinSmallGap" w:sz="24" w:space="0" w:color="auto"/>
            </w:tcBorders>
            <w:shd w:val="clear" w:color="auto" w:fill="FFFFFF" w:themeFill="background1"/>
          </w:tcPr>
          <w:p w:rsidR="00D43F3B" w:rsidRPr="000765DA" w:rsidRDefault="00D43F3B" w:rsidP="00BF0BC5">
            <w:pPr>
              <w:pStyle w:val="ListParagraph"/>
              <w:spacing w:after="0" w:line="240" w:lineRule="auto"/>
              <w:ind w:left="0"/>
              <w:rPr>
                <w:rFonts w:cs="Times New Roman"/>
                <w:sz w:val="18"/>
                <w:szCs w:val="18"/>
              </w:rPr>
            </w:pPr>
            <w:proofErr w:type="spellStart"/>
            <w:r w:rsidRPr="000765DA">
              <w:rPr>
                <w:rFonts w:cs="Times New Roman"/>
                <w:sz w:val="18"/>
                <w:szCs w:val="18"/>
              </w:rPr>
              <w:t>Lumbosacral</w:t>
            </w:r>
            <w:proofErr w:type="spellEnd"/>
            <w:r w:rsidRPr="000765DA">
              <w:rPr>
                <w:rFonts w:cs="Times New Roman"/>
                <w:sz w:val="18"/>
                <w:szCs w:val="18"/>
              </w:rPr>
              <w:t xml:space="preserve"> DDD</w:t>
            </w:r>
            <w:r w:rsidR="004A7257" w:rsidRPr="000765DA">
              <w:rPr>
                <w:rFonts w:cs="Times New Roman"/>
                <w:sz w:val="18"/>
                <w:szCs w:val="18"/>
              </w:rPr>
              <w:t>*</w:t>
            </w:r>
          </w:p>
        </w:tc>
        <w:tc>
          <w:tcPr>
            <w:tcW w:w="1080" w:type="dxa"/>
            <w:gridSpan w:val="2"/>
            <w:shd w:val="clear" w:color="auto" w:fill="FFFFFF" w:themeFill="background1"/>
          </w:tcPr>
          <w:p w:rsidR="00D43F3B" w:rsidRPr="000765DA" w:rsidRDefault="00D43F3B" w:rsidP="00BF0BC5">
            <w:pPr>
              <w:pStyle w:val="ListParagraph"/>
              <w:spacing w:after="0" w:line="240" w:lineRule="auto"/>
              <w:ind w:left="0"/>
              <w:jc w:val="center"/>
              <w:rPr>
                <w:rFonts w:cs="Times New Roman"/>
                <w:sz w:val="18"/>
                <w:szCs w:val="18"/>
              </w:rPr>
            </w:pPr>
            <w:r w:rsidRPr="000765DA">
              <w:rPr>
                <w:rFonts w:cs="Times New Roman"/>
                <w:sz w:val="18"/>
                <w:szCs w:val="18"/>
              </w:rPr>
              <w:t>5010-5237</w:t>
            </w:r>
          </w:p>
        </w:tc>
        <w:tc>
          <w:tcPr>
            <w:tcW w:w="810" w:type="dxa"/>
            <w:shd w:val="clear" w:color="auto" w:fill="FFFFFF" w:themeFill="background1"/>
          </w:tcPr>
          <w:p w:rsidR="00D43F3B" w:rsidRPr="000765DA" w:rsidRDefault="00D43F3B" w:rsidP="00BF0BC5">
            <w:pPr>
              <w:pStyle w:val="ListParagraph"/>
              <w:spacing w:after="0" w:line="240" w:lineRule="auto"/>
              <w:ind w:left="0"/>
              <w:jc w:val="center"/>
              <w:rPr>
                <w:rFonts w:cs="Times New Roman"/>
                <w:sz w:val="18"/>
                <w:szCs w:val="18"/>
              </w:rPr>
            </w:pPr>
            <w:r w:rsidRPr="000765DA">
              <w:rPr>
                <w:rFonts w:cs="Times New Roman"/>
                <w:sz w:val="18"/>
                <w:szCs w:val="18"/>
              </w:rPr>
              <w:t>10%</w:t>
            </w:r>
          </w:p>
        </w:tc>
        <w:tc>
          <w:tcPr>
            <w:tcW w:w="990" w:type="dxa"/>
            <w:shd w:val="clear" w:color="auto" w:fill="FFFFFF" w:themeFill="background1"/>
          </w:tcPr>
          <w:p w:rsidR="00D43F3B" w:rsidRPr="000765DA" w:rsidRDefault="004A7257" w:rsidP="00BF0BC5">
            <w:pPr>
              <w:pStyle w:val="ListParagraph"/>
              <w:spacing w:after="0" w:line="240" w:lineRule="auto"/>
              <w:ind w:left="0"/>
              <w:jc w:val="center"/>
              <w:rPr>
                <w:rFonts w:cs="Times New Roman"/>
                <w:sz w:val="18"/>
                <w:szCs w:val="18"/>
              </w:rPr>
            </w:pPr>
            <w:r w:rsidRPr="000765DA">
              <w:rPr>
                <w:rFonts w:cs="Times New Roman"/>
                <w:sz w:val="18"/>
                <w:szCs w:val="18"/>
              </w:rPr>
              <w:t>20061218</w:t>
            </w:r>
          </w:p>
        </w:tc>
      </w:tr>
      <w:tr w:rsidR="007812B7" w:rsidRPr="000765DA" w:rsidTr="00BF0BC5">
        <w:trPr>
          <w:trHeight w:val="125"/>
        </w:trPr>
        <w:tc>
          <w:tcPr>
            <w:tcW w:w="2520" w:type="dxa"/>
            <w:shd w:val="clear" w:color="auto" w:fill="FFFFFF" w:themeFill="background1"/>
          </w:tcPr>
          <w:p w:rsidR="007812B7" w:rsidRPr="000765DA" w:rsidRDefault="007812B7" w:rsidP="008913DA">
            <w:pPr>
              <w:pStyle w:val="ListParagraph"/>
              <w:spacing w:after="0" w:line="240" w:lineRule="auto"/>
              <w:ind w:left="0"/>
              <w:rPr>
                <w:rFonts w:cs="Times New Roman"/>
                <w:sz w:val="18"/>
                <w:szCs w:val="18"/>
              </w:rPr>
            </w:pPr>
            <w:r w:rsidRPr="000765DA">
              <w:rPr>
                <w:rFonts w:cs="Times New Roman"/>
                <w:sz w:val="18"/>
                <w:szCs w:val="18"/>
              </w:rPr>
              <w:t>Left Knee, Osteoarthritis</w:t>
            </w:r>
          </w:p>
        </w:tc>
        <w:tc>
          <w:tcPr>
            <w:tcW w:w="720" w:type="dxa"/>
            <w:shd w:val="clear" w:color="auto" w:fill="FFFFFF" w:themeFill="background1"/>
          </w:tcPr>
          <w:p w:rsidR="007812B7"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5003</w:t>
            </w:r>
          </w:p>
        </w:tc>
        <w:tc>
          <w:tcPr>
            <w:tcW w:w="810" w:type="dxa"/>
            <w:tcBorders>
              <w:right w:val="thinThickThinSmallGap" w:sz="24" w:space="0" w:color="auto"/>
            </w:tcBorders>
            <w:shd w:val="clear" w:color="auto" w:fill="FFFFFF" w:themeFill="background1"/>
          </w:tcPr>
          <w:p w:rsidR="007812B7"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10%</w:t>
            </w:r>
          </w:p>
        </w:tc>
        <w:tc>
          <w:tcPr>
            <w:tcW w:w="2340" w:type="dxa"/>
            <w:tcBorders>
              <w:left w:val="thinThickThinSmallGap" w:sz="24" w:space="0" w:color="auto"/>
            </w:tcBorders>
            <w:shd w:val="clear" w:color="auto" w:fill="FFFFFF" w:themeFill="background1"/>
          </w:tcPr>
          <w:p w:rsidR="007812B7" w:rsidRPr="000765DA" w:rsidRDefault="007812B7" w:rsidP="00BF0BC5">
            <w:pPr>
              <w:pStyle w:val="ListParagraph"/>
              <w:spacing w:after="0" w:line="240" w:lineRule="auto"/>
              <w:ind w:left="0"/>
              <w:rPr>
                <w:rFonts w:cs="Times New Roman"/>
                <w:sz w:val="18"/>
                <w:szCs w:val="18"/>
              </w:rPr>
            </w:pPr>
            <w:r w:rsidRPr="000765DA">
              <w:rPr>
                <w:rFonts w:cs="Times New Roman"/>
                <w:sz w:val="18"/>
                <w:szCs w:val="18"/>
              </w:rPr>
              <w:t>Left Knee DJD</w:t>
            </w:r>
            <w:r w:rsidR="004A7257" w:rsidRPr="000765DA">
              <w:rPr>
                <w:rFonts w:cs="Times New Roman"/>
                <w:sz w:val="18"/>
                <w:szCs w:val="18"/>
              </w:rPr>
              <w:t>*</w:t>
            </w:r>
          </w:p>
        </w:tc>
        <w:tc>
          <w:tcPr>
            <w:tcW w:w="1080" w:type="dxa"/>
            <w:gridSpan w:val="2"/>
            <w:shd w:val="clear" w:color="auto" w:fill="FFFFFF" w:themeFill="background1"/>
          </w:tcPr>
          <w:p w:rsidR="007812B7"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5010-526</w:t>
            </w:r>
            <w:r w:rsidR="00BF0BC5" w:rsidRPr="000765DA">
              <w:rPr>
                <w:rFonts w:cs="Times New Roman"/>
                <w:sz w:val="18"/>
                <w:szCs w:val="18"/>
              </w:rPr>
              <w:t>0</w:t>
            </w:r>
          </w:p>
        </w:tc>
        <w:tc>
          <w:tcPr>
            <w:tcW w:w="810" w:type="dxa"/>
            <w:shd w:val="clear" w:color="auto" w:fill="FFFFFF" w:themeFill="background1"/>
          </w:tcPr>
          <w:p w:rsidR="007812B7"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10%</w:t>
            </w:r>
          </w:p>
        </w:tc>
        <w:tc>
          <w:tcPr>
            <w:tcW w:w="990" w:type="dxa"/>
            <w:shd w:val="clear" w:color="auto" w:fill="FFFFFF" w:themeFill="background1"/>
          </w:tcPr>
          <w:p w:rsidR="007812B7" w:rsidRPr="000765DA" w:rsidRDefault="004A7257" w:rsidP="00BF0BC5">
            <w:pPr>
              <w:pStyle w:val="ListParagraph"/>
              <w:spacing w:after="0" w:line="240" w:lineRule="auto"/>
              <w:ind w:left="0"/>
              <w:jc w:val="center"/>
              <w:rPr>
                <w:rFonts w:cs="Times New Roman"/>
                <w:sz w:val="18"/>
                <w:szCs w:val="18"/>
              </w:rPr>
            </w:pPr>
            <w:r w:rsidRPr="000765DA">
              <w:rPr>
                <w:rFonts w:cs="Times New Roman"/>
                <w:sz w:val="18"/>
                <w:szCs w:val="18"/>
              </w:rPr>
              <w:t>20061218</w:t>
            </w:r>
          </w:p>
        </w:tc>
      </w:tr>
      <w:tr w:rsidR="007812B7" w:rsidRPr="000765DA" w:rsidTr="00BF0BC5">
        <w:trPr>
          <w:trHeight w:val="188"/>
        </w:trPr>
        <w:tc>
          <w:tcPr>
            <w:tcW w:w="2520" w:type="dxa"/>
            <w:shd w:val="clear" w:color="auto" w:fill="FFFFFF" w:themeFill="background1"/>
          </w:tcPr>
          <w:p w:rsidR="007812B7" w:rsidRPr="000765DA" w:rsidRDefault="007812B7" w:rsidP="00BF0BC5">
            <w:pPr>
              <w:pStyle w:val="ListParagraph"/>
              <w:spacing w:after="0" w:line="240" w:lineRule="auto"/>
              <w:ind w:left="0"/>
              <w:rPr>
                <w:rFonts w:cs="Times New Roman"/>
                <w:sz w:val="18"/>
                <w:szCs w:val="18"/>
              </w:rPr>
            </w:pPr>
            <w:r w:rsidRPr="000765DA">
              <w:rPr>
                <w:rFonts w:cs="Times New Roman"/>
                <w:sz w:val="18"/>
                <w:szCs w:val="18"/>
              </w:rPr>
              <w:t>Left Hip, Bursitis</w:t>
            </w:r>
          </w:p>
        </w:tc>
        <w:tc>
          <w:tcPr>
            <w:tcW w:w="1530" w:type="dxa"/>
            <w:gridSpan w:val="2"/>
            <w:tcBorders>
              <w:right w:val="thinThickThinSmallGap" w:sz="24" w:space="0" w:color="auto"/>
            </w:tcBorders>
            <w:shd w:val="clear" w:color="auto" w:fill="FFFFFF" w:themeFill="background1"/>
          </w:tcPr>
          <w:p w:rsidR="007812B7"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7812B7" w:rsidRPr="000765DA" w:rsidRDefault="007812B7" w:rsidP="007812B7">
            <w:pPr>
              <w:jc w:val="both"/>
              <w:rPr>
                <w:rFonts w:cs="Times New Roman"/>
                <w:color w:val="auto"/>
                <w:sz w:val="18"/>
                <w:szCs w:val="18"/>
              </w:rPr>
            </w:pPr>
            <w:r w:rsidRPr="000765DA">
              <w:rPr>
                <w:rFonts w:cs="Times New Roman"/>
                <w:color w:val="auto"/>
                <w:sz w:val="18"/>
                <w:szCs w:val="18"/>
              </w:rPr>
              <w:t>Left Hip Pain</w:t>
            </w:r>
          </w:p>
        </w:tc>
        <w:tc>
          <w:tcPr>
            <w:tcW w:w="1530" w:type="dxa"/>
            <w:gridSpan w:val="2"/>
            <w:shd w:val="clear" w:color="auto" w:fill="FFFFFF" w:themeFill="background1"/>
          </w:tcPr>
          <w:p w:rsidR="007812B7"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NSC</w:t>
            </w:r>
          </w:p>
        </w:tc>
        <w:tc>
          <w:tcPr>
            <w:tcW w:w="990" w:type="dxa"/>
            <w:shd w:val="clear" w:color="auto" w:fill="FFFFFF" w:themeFill="background1"/>
          </w:tcPr>
          <w:p w:rsidR="007812B7" w:rsidRPr="000765DA" w:rsidRDefault="004A7257" w:rsidP="00BF0BC5">
            <w:pPr>
              <w:pStyle w:val="ListParagraph"/>
              <w:spacing w:after="0" w:line="240" w:lineRule="auto"/>
              <w:ind w:left="0"/>
              <w:jc w:val="center"/>
              <w:rPr>
                <w:rFonts w:cs="Times New Roman"/>
                <w:sz w:val="18"/>
                <w:szCs w:val="18"/>
              </w:rPr>
            </w:pPr>
            <w:r w:rsidRPr="000765DA">
              <w:rPr>
                <w:rFonts w:cs="Times New Roman"/>
                <w:sz w:val="18"/>
                <w:szCs w:val="18"/>
              </w:rPr>
              <w:t>20061218</w:t>
            </w:r>
          </w:p>
        </w:tc>
      </w:tr>
      <w:tr w:rsidR="002B2645" w:rsidRPr="000765DA" w:rsidTr="001008C1">
        <w:trPr>
          <w:trHeight w:val="188"/>
        </w:trPr>
        <w:tc>
          <w:tcPr>
            <w:tcW w:w="2520" w:type="dxa"/>
            <w:shd w:val="clear" w:color="auto" w:fill="FFFFFF" w:themeFill="background1"/>
          </w:tcPr>
          <w:p w:rsidR="002B2645" w:rsidRPr="000765DA" w:rsidRDefault="00DB4434" w:rsidP="00BF0BC5">
            <w:pPr>
              <w:pStyle w:val="ListParagraph"/>
              <w:spacing w:after="0" w:line="240" w:lineRule="auto"/>
              <w:ind w:left="0"/>
              <w:rPr>
                <w:rFonts w:cs="Times New Roman"/>
                <w:sz w:val="18"/>
                <w:szCs w:val="18"/>
              </w:rPr>
            </w:pPr>
            <w:r w:rsidRPr="000765DA">
              <w:rPr>
                <w:rFonts w:cs="Times New Roman"/>
                <w:sz w:val="18"/>
                <w:szCs w:val="18"/>
              </w:rPr>
              <w:t>GERD</w:t>
            </w:r>
          </w:p>
        </w:tc>
        <w:tc>
          <w:tcPr>
            <w:tcW w:w="1530" w:type="dxa"/>
            <w:gridSpan w:val="2"/>
            <w:tcBorders>
              <w:right w:val="thinThickThinSmallGap" w:sz="24" w:space="0" w:color="auto"/>
            </w:tcBorders>
            <w:shd w:val="clear" w:color="auto" w:fill="FFFFFF" w:themeFill="background1"/>
          </w:tcPr>
          <w:p w:rsidR="002B2645" w:rsidRPr="000765DA" w:rsidRDefault="002B2645" w:rsidP="00BF0BC5">
            <w:pPr>
              <w:pStyle w:val="ListParagraph"/>
              <w:spacing w:after="0" w:line="240" w:lineRule="auto"/>
              <w:ind w:left="0"/>
              <w:jc w:val="center"/>
              <w:rPr>
                <w:rFonts w:cs="Times New Roman"/>
                <w:sz w:val="18"/>
                <w:szCs w:val="18"/>
              </w:rPr>
            </w:pPr>
            <w:r w:rsidRPr="000765DA">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2B2645" w:rsidRPr="000765DA" w:rsidRDefault="007812B7" w:rsidP="00BF0BC5">
            <w:pPr>
              <w:pStyle w:val="ListParagraph"/>
              <w:spacing w:after="0" w:line="240" w:lineRule="auto"/>
              <w:ind w:left="0"/>
              <w:rPr>
                <w:rFonts w:cs="Times New Roman"/>
                <w:sz w:val="18"/>
                <w:szCs w:val="18"/>
              </w:rPr>
            </w:pPr>
            <w:r w:rsidRPr="000765DA">
              <w:rPr>
                <w:rFonts w:cs="Times New Roman"/>
                <w:sz w:val="18"/>
                <w:szCs w:val="18"/>
              </w:rPr>
              <w:t>GERD</w:t>
            </w:r>
            <w:r w:rsidR="004A7257" w:rsidRPr="000765DA">
              <w:rPr>
                <w:rFonts w:cs="Times New Roman"/>
                <w:sz w:val="18"/>
                <w:szCs w:val="18"/>
              </w:rPr>
              <w:t>*</w:t>
            </w:r>
            <w:r w:rsidRPr="000765DA">
              <w:rPr>
                <w:rFonts w:cs="Times New Roman"/>
                <w:sz w:val="18"/>
                <w:szCs w:val="18"/>
              </w:rPr>
              <w:t xml:space="preserve"> …</w:t>
            </w:r>
          </w:p>
        </w:tc>
        <w:tc>
          <w:tcPr>
            <w:tcW w:w="720" w:type="dxa"/>
            <w:shd w:val="clear" w:color="auto" w:fill="FFFFFF" w:themeFill="background1"/>
          </w:tcPr>
          <w:p w:rsidR="002B2645"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7346</w:t>
            </w:r>
          </w:p>
        </w:tc>
        <w:tc>
          <w:tcPr>
            <w:tcW w:w="810" w:type="dxa"/>
            <w:shd w:val="clear" w:color="auto" w:fill="FFFFFF" w:themeFill="background1"/>
          </w:tcPr>
          <w:p w:rsidR="002B2645"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10%</w:t>
            </w:r>
          </w:p>
        </w:tc>
        <w:tc>
          <w:tcPr>
            <w:tcW w:w="990" w:type="dxa"/>
            <w:shd w:val="clear" w:color="auto" w:fill="FFFFFF" w:themeFill="background1"/>
          </w:tcPr>
          <w:p w:rsidR="002B2645" w:rsidRPr="000765DA" w:rsidRDefault="004A7257" w:rsidP="00BF0BC5">
            <w:pPr>
              <w:pStyle w:val="ListParagraph"/>
              <w:spacing w:after="0" w:line="240" w:lineRule="auto"/>
              <w:ind w:left="0"/>
              <w:jc w:val="center"/>
              <w:rPr>
                <w:rFonts w:cs="Times New Roman"/>
                <w:sz w:val="18"/>
                <w:szCs w:val="18"/>
              </w:rPr>
            </w:pPr>
            <w:r w:rsidRPr="000765DA">
              <w:rPr>
                <w:rFonts w:cs="Times New Roman"/>
                <w:sz w:val="18"/>
                <w:szCs w:val="18"/>
              </w:rPr>
              <w:t>20061218</w:t>
            </w:r>
          </w:p>
        </w:tc>
      </w:tr>
      <w:tr w:rsidR="00DB4434" w:rsidRPr="000765DA" w:rsidTr="001008C1">
        <w:trPr>
          <w:trHeight w:val="188"/>
        </w:trPr>
        <w:tc>
          <w:tcPr>
            <w:tcW w:w="2520" w:type="dxa"/>
            <w:shd w:val="clear" w:color="auto" w:fill="FFFFFF" w:themeFill="background1"/>
          </w:tcPr>
          <w:p w:rsidR="00DB4434" w:rsidRPr="000765DA" w:rsidRDefault="00DB4434" w:rsidP="00BF0BC5">
            <w:pPr>
              <w:pStyle w:val="ListParagraph"/>
              <w:spacing w:after="0" w:line="240" w:lineRule="auto"/>
              <w:ind w:left="0"/>
              <w:rPr>
                <w:rFonts w:cs="Times New Roman"/>
                <w:sz w:val="18"/>
                <w:szCs w:val="18"/>
              </w:rPr>
            </w:pPr>
            <w:proofErr w:type="spellStart"/>
            <w:r w:rsidRPr="000765DA">
              <w:rPr>
                <w:rFonts w:cs="Times New Roman"/>
                <w:sz w:val="18"/>
                <w:szCs w:val="18"/>
              </w:rPr>
              <w:t>Hyperlipidemia</w:t>
            </w:r>
            <w:proofErr w:type="spellEnd"/>
          </w:p>
        </w:tc>
        <w:tc>
          <w:tcPr>
            <w:tcW w:w="1530" w:type="dxa"/>
            <w:gridSpan w:val="2"/>
            <w:tcBorders>
              <w:right w:val="thinThickThinSmallGap" w:sz="24" w:space="0" w:color="auto"/>
            </w:tcBorders>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r w:rsidRPr="000765DA">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DB4434" w:rsidRPr="000765DA" w:rsidRDefault="00A05109" w:rsidP="00BF0BC5">
            <w:pPr>
              <w:pStyle w:val="ListParagraph"/>
              <w:spacing w:after="0" w:line="240" w:lineRule="auto"/>
              <w:ind w:left="0"/>
              <w:rPr>
                <w:rFonts w:cs="Times New Roman"/>
                <w:sz w:val="18"/>
                <w:szCs w:val="18"/>
              </w:rPr>
            </w:pPr>
            <w:r w:rsidRPr="000765DA">
              <w:rPr>
                <w:rFonts w:cs="Times New Roman"/>
                <w:sz w:val="18"/>
                <w:szCs w:val="18"/>
              </w:rPr>
              <w:t>-</w:t>
            </w:r>
          </w:p>
        </w:tc>
        <w:tc>
          <w:tcPr>
            <w:tcW w:w="720" w:type="dxa"/>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p>
        </w:tc>
        <w:tc>
          <w:tcPr>
            <w:tcW w:w="810" w:type="dxa"/>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p>
        </w:tc>
        <w:tc>
          <w:tcPr>
            <w:tcW w:w="990" w:type="dxa"/>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p>
        </w:tc>
      </w:tr>
      <w:tr w:rsidR="00DB4434" w:rsidRPr="000765DA" w:rsidTr="001008C1">
        <w:trPr>
          <w:trHeight w:val="188"/>
        </w:trPr>
        <w:tc>
          <w:tcPr>
            <w:tcW w:w="2520" w:type="dxa"/>
            <w:shd w:val="clear" w:color="auto" w:fill="FFFFFF" w:themeFill="background1"/>
          </w:tcPr>
          <w:p w:rsidR="00DB4434" w:rsidRPr="000765DA" w:rsidRDefault="00DB4434" w:rsidP="00BF0BC5">
            <w:pPr>
              <w:pStyle w:val="ListParagraph"/>
              <w:spacing w:after="0" w:line="240" w:lineRule="auto"/>
              <w:ind w:left="0"/>
              <w:rPr>
                <w:rFonts w:cs="Times New Roman"/>
                <w:sz w:val="18"/>
                <w:szCs w:val="18"/>
              </w:rPr>
            </w:pPr>
            <w:r w:rsidRPr="000765DA">
              <w:rPr>
                <w:rFonts w:cs="Times New Roman"/>
                <w:sz w:val="18"/>
                <w:szCs w:val="18"/>
              </w:rPr>
              <w:t>Hypertension</w:t>
            </w:r>
          </w:p>
        </w:tc>
        <w:tc>
          <w:tcPr>
            <w:tcW w:w="1530" w:type="dxa"/>
            <w:gridSpan w:val="2"/>
            <w:tcBorders>
              <w:right w:val="thinThickThinSmallGap" w:sz="24" w:space="0" w:color="auto"/>
            </w:tcBorders>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r w:rsidRPr="000765DA">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DB4434" w:rsidRPr="000765DA" w:rsidRDefault="00A05109" w:rsidP="00BF0BC5">
            <w:pPr>
              <w:pStyle w:val="ListParagraph"/>
              <w:spacing w:after="0" w:line="240" w:lineRule="auto"/>
              <w:ind w:left="0"/>
              <w:rPr>
                <w:rFonts w:cs="Times New Roman"/>
                <w:sz w:val="18"/>
                <w:szCs w:val="18"/>
              </w:rPr>
            </w:pPr>
            <w:r w:rsidRPr="000765DA">
              <w:rPr>
                <w:rFonts w:cs="Times New Roman"/>
                <w:sz w:val="18"/>
                <w:szCs w:val="18"/>
              </w:rPr>
              <w:t>-</w:t>
            </w:r>
          </w:p>
        </w:tc>
        <w:tc>
          <w:tcPr>
            <w:tcW w:w="720" w:type="dxa"/>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p>
        </w:tc>
        <w:tc>
          <w:tcPr>
            <w:tcW w:w="810" w:type="dxa"/>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p>
        </w:tc>
        <w:tc>
          <w:tcPr>
            <w:tcW w:w="990" w:type="dxa"/>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p>
        </w:tc>
      </w:tr>
      <w:tr w:rsidR="00DB4434" w:rsidRPr="000765DA" w:rsidTr="001008C1">
        <w:trPr>
          <w:trHeight w:val="188"/>
        </w:trPr>
        <w:tc>
          <w:tcPr>
            <w:tcW w:w="2520" w:type="dxa"/>
            <w:shd w:val="clear" w:color="auto" w:fill="FFFFFF" w:themeFill="background1"/>
          </w:tcPr>
          <w:p w:rsidR="00DB4434" w:rsidRPr="000765DA" w:rsidRDefault="00DB4434" w:rsidP="00BF0BC5">
            <w:pPr>
              <w:pStyle w:val="ListParagraph"/>
              <w:spacing w:after="0" w:line="240" w:lineRule="auto"/>
              <w:ind w:left="0"/>
              <w:rPr>
                <w:rFonts w:cs="Times New Roman"/>
                <w:sz w:val="18"/>
                <w:szCs w:val="18"/>
              </w:rPr>
            </w:pPr>
            <w:r w:rsidRPr="000765DA">
              <w:rPr>
                <w:rFonts w:cs="Times New Roman"/>
                <w:sz w:val="18"/>
                <w:szCs w:val="18"/>
              </w:rPr>
              <w:t>Bunions, Bilateral</w:t>
            </w:r>
          </w:p>
        </w:tc>
        <w:tc>
          <w:tcPr>
            <w:tcW w:w="1530" w:type="dxa"/>
            <w:gridSpan w:val="2"/>
            <w:tcBorders>
              <w:right w:val="thinThickThinSmallGap" w:sz="24" w:space="0" w:color="auto"/>
            </w:tcBorders>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r w:rsidRPr="000765DA">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DB4434" w:rsidRPr="000765DA" w:rsidRDefault="00A05109" w:rsidP="00BF0BC5">
            <w:pPr>
              <w:pStyle w:val="ListParagraph"/>
              <w:spacing w:after="0" w:line="240" w:lineRule="auto"/>
              <w:ind w:left="0"/>
              <w:rPr>
                <w:rFonts w:cs="Times New Roman"/>
                <w:sz w:val="18"/>
                <w:szCs w:val="18"/>
              </w:rPr>
            </w:pPr>
            <w:r w:rsidRPr="000765DA">
              <w:rPr>
                <w:rFonts w:cs="Times New Roman"/>
                <w:sz w:val="18"/>
                <w:szCs w:val="18"/>
              </w:rPr>
              <w:t>-</w:t>
            </w:r>
          </w:p>
        </w:tc>
        <w:tc>
          <w:tcPr>
            <w:tcW w:w="720" w:type="dxa"/>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p>
        </w:tc>
        <w:tc>
          <w:tcPr>
            <w:tcW w:w="810" w:type="dxa"/>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p>
        </w:tc>
        <w:tc>
          <w:tcPr>
            <w:tcW w:w="990" w:type="dxa"/>
            <w:shd w:val="clear" w:color="auto" w:fill="FFFFFF" w:themeFill="background1"/>
          </w:tcPr>
          <w:p w:rsidR="00DB4434" w:rsidRPr="000765DA" w:rsidRDefault="00DB4434" w:rsidP="00BF0BC5">
            <w:pPr>
              <w:pStyle w:val="ListParagraph"/>
              <w:spacing w:after="0" w:line="240" w:lineRule="auto"/>
              <w:ind w:left="0"/>
              <w:jc w:val="center"/>
              <w:rPr>
                <w:rFonts w:cs="Times New Roman"/>
                <w:sz w:val="18"/>
                <w:szCs w:val="18"/>
              </w:rPr>
            </w:pPr>
          </w:p>
        </w:tc>
      </w:tr>
      <w:tr w:rsidR="007812B7" w:rsidRPr="000765DA" w:rsidTr="001008C1">
        <w:trPr>
          <w:trHeight w:val="143"/>
        </w:trPr>
        <w:tc>
          <w:tcPr>
            <w:tcW w:w="4050" w:type="dxa"/>
            <w:gridSpan w:val="3"/>
            <w:vMerge w:val="restart"/>
            <w:tcBorders>
              <w:right w:val="thinThickThinSmallGap" w:sz="24" w:space="0" w:color="auto"/>
            </w:tcBorders>
            <w:shd w:val="clear" w:color="auto" w:fill="FFFFFF" w:themeFill="background1"/>
          </w:tcPr>
          <w:p w:rsidR="007812B7" w:rsidRPr="000765DA" w:rsidRDefault="007812B7" w:rsidP="00BF0BC5">
            <w:pPr>
              <w:pStyle w:val="ListParagraph"/>
              <w:spacing w:after="0" w:line="240" w:lineRule="auto"/>
              <w:ind w:left="0"/>
              <w:jc w:val="center"/>
              <w:rPr>
                <w:rFonts w:cs="Times New Roman"/>
                <w:b/>
                <w:sz w:val="18"/>
                <w:szCs w:val="18"/>
              </w:rPr>
            </w:pPr>
            <w:r w:rsidRPr="000765DA">
              <w:rPr>
                <w:rFonts w:eastAsiaTheme="minorEastAsia"/>
                <w:sz w:val="18"/>
                <w:szCs w:val="18"/>
              </w:rPr>
              <w:t>↓No Additional DA 3947 Entries↓</w:t>
            </w:r>
          </w:p>
        </w:tc>
        <w:tc>
          <w:tcPr>
            <w:tcW w:w="2700" w:type="dxa"/>
            <w:gridSpan w:val="2"/>
            <w:tcBorders>
              <w:left w:val="thinThickThinSmallGap" w:sz="24" w:space="0" w:color="auto"/>
            </w:tcBorders>
            <w:shd w:val="clear" w:color="auto" w:fill="FFFFFF" w:themeFill="background1"/>
          </w:tcPr>
          <w:p w:rsidR="007812B7" w:rsidRPr="000765DA" w:rsidRDefault="007812B7" w:rsidP="00BF0BC5">
            <w:pPr>
              <w:pStyle w:val="ListParagraph"/>
              <w:spacing w:after="0" w:line="240" w:lineRule="auto"/>
              <w:ind w:left="0"/>
              <w:rPr>
                <w:rFonts w:cs="Times New Roman"/>
                <w:sz w:val="18"/>
                <w:szCs w:val="18"/>
              </w:rPr>
            </w:pPr>
            <w:r w:rsidRPr="000765DA">
              <w:rPr>
                <w:rFonts w:cs="Times New Roman"/>
                <w:sz w:val="18"/>
                <w:szCs w:val="18"/>
              </w:rPr>
              <w:t>Diabetes Mellitus</w:t>
            </w:r>
            <w:r w:rsidR="004A7257" w:rsidRPr="000765DA">
              <w:rPr>
                <w:rFonts w:cs="Times New Roman"/>
                <w:sz w:val="18"/>
                <w:szCs w:val="18"/>
              </w:rPr>
              <w:t>*</w:t>
            </w:r>
          </w:p>
        </w:tc>
        <w:tc>
          <w:tcPr>
            <w:tcW w:w="720" w:type="dxa"/>
            <w:shd w:val="clear" w:color="auto" w:fill="FFFFFF" w:themeFill="background1"/>
          </w:tcPr>
          <w:p w:rsidR="007812B7"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7913</w:t>
            </w:r>
          </w:p>
        </w:tc>
        <w:tc>
          <w:tcPr>
            <w:tcW w:w="810" w:type="dxa"/>
            <w:shd w:val="clear" w:color="auto" w:fill="FFFFFF" w:themeFill="background1"/>
          </w:tcPr>
          <w:p w:rsidR="007812B7"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20%</w:t>
            </w:r>
          </w:p>
        </w:tc>
        <w:tc>
          <w:tcPr>
            <w:tcW w:w="990" w:type="dxa"/>
            <w:shd w:val="clear" w:color="auto" w:fill="FFFFFF" w:themeFill="background1"/>
          </w:tcPr>
          <w:p w:rsidR="007812B7" w:rsidRPr="000765DA" w:rsidRDefault="004A7257" w:rsidP="00BF0BC5">
            <w:pPr>
              <w:pStyle w:val="ListParagraph"/>
              <w:spacing w:after="0" w:line="240" w:lineRule="auto"/>
              <w:ind w:left="0"/>
              <w:jc w:val="center"/>
              <w:rPr>
                <w:rFonts w:cs="Times New Roman"/>
                <w:sz w:val="18"/>
                <w:szCs w:val="18"/>
              </w:rPr>
            </w:pPr>
            <w:r w:rsidRPr="000765DA">
              <w:rPr>
                <w:rFonts w:cs="Times New Roman"/>
                <w:sz w:val="18"/>
                <w:szCs w:val="18"/>
              </w:rPr>
              <w:t>20061218</w:t>
            </w:r>
          </w:p>
        </w:tc>
      </w:tr>
      <w:tr w:rsidR="007812B7" w:rsidRPr="000765DA" w:rsidTr="00BF0BC5">
        <w:trPr>
          <w:trHeight w:val="197"/>
        </w:trPr>
        <w:tc>
          <w:tcPr>
            <w:tcW w:w="4050" w:type="dxa"/>
            <w:gridSpan w:val="3"/>
            <w:vMerge/>
            <w:tcBorders>
              <w:right w:val="thinThickThinSmallGap" w:sz="24" w:space="0" w:color="auto"/>
            </w:tcBorders>
            <w:shd w:val="clear" w:color="auto" w:fill="FFFFFF" w:themeFill="background1"/>
          </w:tcPr>
          <w:p w:rsidR="007812B7" w:rsidRPr="000765DA" w:rsidRDefault="007812B7" w:rsidP="00BF0BC5">
            <w:pPr>
              <w:pStyle w:val="ListParagraph"/>
              <w:spacing w:after="0" w:line="240" w:lineRule="auto"/>
              <w:ind w:left="0"/>
              <w:jc w:val="center"/>
              <w:rPr>
                <w:rFonts w:cs="Times New Roman"/>
                <w:b/>
                <w:sz w:val="18"/>
                <w:szCs w:val="18"/>
              </w:rPr>
            </w:pPr>
          </w:p>
        </w:tc>
        <w:tc>
          <w:tcPr>
            <w:tcW w:w="5220" w:type="dxa"/>
            <w:gridSpan w:val="5"/>
            <w:tcBorders>
              <w:left w:val="thinThickThinSmallGap" w:sz="24" w:space="0" w:color="auto"/>
            </w:tcBorders>
            <w:shd w:val="clear" w:color="auto" w:fill="FFFFFF" w:themeFill="background1"/>
          </w:tcPr>
          <w:p w:rsidR="007812B7" w:rsidRPr="000765DA" w:rsidRDefault="007812B7" w:rsidP="00BF0BC5">
            <w:pPr>
              <w:pStyle w:val="ListParagraph"/>
              <w:spacing w:after="0" w:line="240" w:lineRule="auto"/>
              <w:ind w:left="0"/>
              <w:jc w:val="center"/>
              <w:rPr>
                <w:rFonts w:cs="Times New Roman"/>
                <w:sz w:val="18"/>
                <w:szCs w:val="18"/>
              </w:rPr>
            </w:pPr>
            <w:r w:rsidRPr="000765DA">
              <w:rPr>
                <w:rFonts w:cs="Times New Roman"/>
                <w:sz w:val="18"/>
                <w:szCs w:val="18"/>
              </w:rPr>
              <w:t>Non-PEB x2</w:t>
            </w:r>
          </w:p>
        </w:tc>
      </w:tr>
      <w:tr w:rsidR="00684E2B" w:rsidRPr="000765DA" w:rsidTr="00092219">
        <w:trPr>
          <w:trHeight w:val="242"/>
        </w:trPr>
        <w:tc>
          <w:tcPr>
            <w:tcW w:w="4050" w:type="dxa"/>
            <w:gridSpan w:val="3"/>
            <w:tcBorders>
              <w:right w:val="thinThickThinSmallGap" w:sz="24" w:space="0" w:color="auto"/>
            </w:tcBorders>
            <w:shd w:val="clear" w:color="auto" w:fill="D9D9D9" w:themeFill="background1" w:themeFillShade="D9"/>
          </w:tcPr>
          <w:p w:rsidR="00684E2B" w:rsidRPr="000765DA" w:rsidRDefault="004A7257" w:rsidP="00D43F3B">
            <w:pPr>
              <w:pStyle w:val="ListParagraph"/>
              <w:spacing w:after="0" w:line="240" w:lineRule="auto"/>
              <w:ind w:left="0"/>
              <w:jc w:val="center"/>
              <w:rPr>
                <w:rFonts w:cs="Times New Roman"/>
                <w:b/>
                <w:sz w:val="20"/>
                <w:szCs w:val="20"/>
              </w:rPr>
            </w:pPr>
            <w:r w:rsidRPr="000765DA">
              <w:rPr>
                <w:rFonts w:cs="Times New Roman"/>
                <w:b/>
                <w:sz w:val="20"/>
                <w:szCs w:val="20"/>
              </w:rPr>
              <w:t>TOTAL Combined:</w:t>
            </w:r>
            <w:r w:rsidR="00684E2B" w:rsidRPr="000765DA">
              <w:rPr>
                <w:rFonts w:cs="Times New Roman"/>
                <w:b/>
                <w:sz w:val="20"/>
                <w:szCs w:val="20"/>
              </w:rPr>
              <w:t xml:space="preserve"> </w:t>
            </w:r>
            <w:r w:rsidR="00D43F3B" w:rsidRPr="000765DA">
              <w:rPr>
                <w:rFonts w:cs="Times New Roman"/>
                <w:b/>
                <w:sz w:val="20"/>
                <w:szCs w:val="20"/>
              </w:rPr>
              <w:t>2</w:t>
            </w:r>
            <w:r w:rsidR="00684E2B" w:rsidRPr="000765DA">
              <w:rPr>
                <w:rFonts w:cs="Times New Roman"/>
                <w:b/>
                <w:sz w:val="20"/>
                <w:szCs w:val="20"/>
              </w:rPr>
              <w:t>0%</w:t>
            </w:r>
          </w:p>
        </w:tc>
        <w:tc>
          <w:tcPr>
            <w:tcW w:w="5220" w:type="dxa"/>
            <w:gridSpan w:val="5"/>
            <w:tcBorders>
              <w:left w:val="thinThickThinSmallGap" w:sz="24" w:space="0" w:color="auto"/>
            </w:tcBorders>
            <w:shd w:val="clear" w:color="auto" w:fill="D9D9D9" w:themeFill="background1" w:themeFillShade="D9"/>
          </w:tcPr>
          <w:p w:rsidR="00684E2B" w:rsidRPr="000765DA" w:rsidRDefault="00684E2B" w:rsidP="00D43F3B">
            <w:pPr>
              <w:pStyle w:val="ListParagraph"/>
              <w:spacing w:after="0" w:line="240" w:lineRule="auto"/>
              <w:ind w:left="0"/>
              <w:jc w:val="center"/>
              <w:rPr>
                <w:rFonts w:cs="Times New Roman"/>
                <w:b/>
                <w:sz w:val="20"/>
                <w:szCs w:val="20"/>
              </w:rPr>
            </w:pPr>
            <w:r w:rsidRPr="000765DA">
              <w:rPr>
                <w:rFonts w:cs="Times New Roman"/>
                <w:b/>
                <w:sz w:val="20"/>
                <w:szCs w:val="20"/>
              </w:rPr>
              <w:t>TOTAL Combined (</w:t>
            </w:r>
            <w:r w:rsidRPr="000765DA">
              <w:rPr>
                <w:rFonts w:cs="Times New Roman"/>
                <w:b/>
                <w:i/>
                <w:sz w:val="20"/>
                <w:szCs w:val="20"/>
              </w:rPr>
              <w:t>Includes Non-PEB Conditions</w:t>
            </w:r>
            <w:r w:rsidR="006F5A4E" w:rsidRPr="000765DA">
              <w:rPr>
                <w:rFonts w:cs="Times New Roman"/>
                <w:b/>
                <w:sz w:val="20"/>
                <w:szCs w:val="20"/>
              </w:rPr>
              <w:t xml:space="preserve">): </w:t>
            </w:r>
            <w:r w:rsidR="00D43F3B" w:rsidRPr="000765DA">
              <w:rPr>
                <w:rFonts w:cs="Times New Roman"/>
                <w:b/>
                <w:sz w:val="20"/>
                <w:szCs w:val="20"/>
              </w:rPr>
              <w:t>4</w:t>
            </w:r>
            <w:r w:rsidRPr="000765DA">
              <w:rPr>
                <w:rFonts w:cs="Times New Roman"/>
                <w:b/>
                <w:sz w:val="20"/>
                <w:szCs w:val="20"/>
              </w:rPr>
              <w:t xml:space="preserve">0%                                                                         </w:t>
            </w:r>
            <w:r w:rsidRPr="000765DA">
              <w:rPr>
                <w:rFonts w:cs="Times New Roman"/>
                <w:sz w:val="20"/>
                <w:szCs w:val="20"/>
              </w:rPr>
              <w:t xml:space="preserve"> </w:t>
            </w:r>
          </w:p>
        </w:tc>
      </w:tr>
    </w:tbl>
    <w:p w:rsidR="00156BA9" w:rsidRPr="000765DA" w:rsidRDefault="004A7257" w:rsidP="004A7257">
      <w:pPr>
        <w:tabs>
          <w:tab w:val="left" w:pos="288"/>
          <w:tab w:val="left" w:pos="4752"/>
        </w:tabs>
        <w:spacing w:line="240" w:lineRule="exact"/>
        <w:rPr>
          <w:rFonts w:asciiTheme="minorHAnsi" w:hAnsiTheme="minorHAnsi"/>
          <w:color w:val="auto"/>
        </w:rPr>
      </w:pPr>
      <w:r w:rsidRPr="000765DA">
        <w:rPr>
          <w:rFonts w:asciiTheme="minorHAnsi" w:hAnsiTheme="minorHAnsi"/>
          <w:color w:val="auto"/>
        </w:rPr>
        <w:t>* Ratings increased in 2008, plus nerve conditions added for 60% from 20080604.  Multiple VA rating changes thereafter.</w:t>
      </w:r>
    </w:p>
    <w:p w:rsidR="000765DA" w:rsidRPr="000765DA" w:rsidRDefault="000765DA" w:rsidP="000765DA">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u w:val="single"/>
        </w:rPr>
        <w:t>______________________________________________________________________________</w:t>
      </w:r>
    </w:p>
    <w:p w:rsidR="00A90D55" w:rsidRPr="000765DA" w:rsidRDefault="00A90D55" w:rsidP="00875F2D">
      <w:pPr>
        <w:tabs>
          <w:tab w:val="left" w:pos="288"/>
          <w:tab w:val="left" w:pos="4752"/>
        </w:tabs>
        <w:spacing w:line="240" w:lineRule="exact"/>
        <w:jc w:val="both"/>
        <w:rPr>
          <w:rFonts w:asciiTheme="minorHAnsi" w:hAnsiTheme="minorHAnsi"/>
          <w:color w:val="000080"/>
        </w:rPr>
      </w:pPr>
    </w:p>
    <w:p w:rsidR="002C6E5B" w:rsidRPr="000765DA" w:rsidRDefault="002C6E5B" w:rsidP="00A34E0A">
      <w:pPr>
        <w:tabs>
          <w:tab w:val="left" w:pos="288"/>
          <w:tab w:val="left" w:pos="4752"/>
        </w:tabs>
        <w:spacing w:line="240" w:lineRule="exact"/>
        <w:jc w:val="both"/>
        <w:rPr>
          <w:rFonts w:asciiTheme="minorHAnsi" w:hAnsiTheme="minorHAnsi"/>
          <w:color w:val="auto"/>
          <w:szCs w:val="24"/>
        </w:rPr>
      </w:pPr>
      <w:r w:rsidRPr="000765DA">
        <w:rPr>
          <w:rFonts w:asciiTheme="minorHAnsi" w:hAnsiTheme="minorHAnsi"/>
          <w:color w:val="auto"/>
          <w:szCs w:val="24"/>
          <w:u w:val="single"/>
        </w:rPr>
        <w:t>ANALYSIS SUMMARY</w:t>
      </w:r>
      <w:r w:rsidRPr="000765DA">
        <w:rPr>
          <w:rFonts w:asciiTheme="minorHAnsi" w:hAnsiTheme="minorHAnsi"/>
          <w:color w:val="auto"/>
          <w:szCs w:val="24"/>
        </w:rPr>
        <w:t>:</w:t>
      </w:r>
      <w:r w:rsidR="00A05109" w:rsidRPr="000765DA">
        <w:rPr>
          <w:rFonts w:asciiTheme="minorHAnsi" w:hAnsiTheme="minorHAnsi"/>
          <w:color w:val="auto"/>
          <w:szCs w:val="24"/>
        </w:rPr>
        <w:t xml:space="preserve"> </w:t>
      </w:r>
      <w:r w:rsidR="00653C87" w:rsidRPr="000765DA">
        <w:rPr>
          <w:rFonts w:asciiTheme="minorHAnsi" w:hAnsiTheme="minorHAnsi"/>
          <w:color w:val="auto"/>
          <w:szCs w:val="24"/>
        </w:rPr>
        <w:t xml:space="preserve">It is noted for the record that the Board has neither the jurisdiction nor authority to scrutinize or render opinions in reference to the CI’s statements in the application regarding suspected </w:t>
      </w:r>
      <w:r w:rsidR="00F42732">
        <w:rPr>
          <w:rFonts w:asciiTheme="minorHAnsi" w:hAnsiTheme="minorHAnsi"/>
          <w:color w:val="auto"/>
          <w:szCs w:val="24"/>
        </w:rPr>
        <w:t>Disability Evaluation System (</w:t>
      </w:r>
      <w:r w:rsidR="00653C87" w:rsidRPr="000765DA">
        <w:rPr>
          <w:rFonts w:asciiTheme="minorHAnsi" w:hAnsiTheme="minorHAnsi"/>
          <w:color w:val="auto"/>
          <w:szCs w:val="24"/>
        </w:rPr>
        <w:t>DES</w:t>
      </w:r>
      <w:r w:rsidR="00F42732">
        <w:rPr>
          <w:rFonts w:asciiTheme="minorHAnsi" w:hAnsiTheme="minorHAnsi"/>
          <w:color w:val="auto"/>
          <w:szCs w:val="24"/>
        </w:rPr>
        <w:t>)</w:t>
      </w:r>
      <w:r w:rsidR="00653C87" w:rsidRPr="000765DA">
        <w:rPr>
          <w:rFonts w:asciiTheme="minorHAnsi" w:hAnsiTheme="minorHAnsi"/>
          <w:color w:val="auto"/>
          <w:szCs w:val="24"/>
        </w:rPr>
        <w:t xml:space="preserve"> improprieties in the processing of his case.  The Board’s role is confined to the review of medical records and all evidence at hand to assess the fairness of PEB rating determinations compared to VASRD standards, as well as the fairness of PEB fitness adjudications.  </w:t>
      </w:r>
    </w:p>
    <w:p w:rsidR="002C6E5B" w:rsidRPr="000765DA" w:rsidRDefault="002C6E5B" w:rsidP="00A34E0A">
      <w:pPr>
        <w:tabs>
          <w:tab w:val="left" w:pos="288"/>
          <w:tab w:val="left" w:pos="4752"/>
        </w:tabs>
        <w:spacing w:line="240" w:lineRule="exact"/>
        <w:jc w:val="both"/>
        <w:rPr>
          <w:rFonts w:asciiTheme="minorHAnsi" w:hAnsiTheme="minorHAnsi"/>
          <w:color w:val="auto"/>
          <w:szCs w:val="24"/>
        </w:rPr>
      </w:pPr>
    </w:p>
    <w:p w:rsidR="009C22C8" w:rsidRPr="000765DA" w:rsidRDefault="00926FCB" w:rsidP="00A34E0A">
      <w:pPr>
        <w:tabs>
          <w:tab w:val="left" w:pos="288"/>
          <w:tab w:val="left" w:pos="4752"/>
        </w:tabs>
        <w:spacing w:line="240" w:lineRule="exact"/>
        <w:jc w:val="both"/>
        <w:rPr>
          <w:rFonts w:asciiTheme="minorHAnsi" w:hAnsiTheme="minorHAnsi"/>
          <w:color w:val="auto"/>
          <w:szCs w:val="24"/>
        </w:rPr>
      </w:pPr>
      <w:r w:rsidRPr="000765DA">
        <w:rPr>
          <w:rFonts w:asciiTheme="minorHAnsi" w:hAnsiTheme="minorHAnsi"/>
          <w:color w:val="auto"/>
          <w:szCs w:val="24"/>
          <w:u w:val="single"/>
        </w:rPr>
        <w:t>Back</w:t>
      </w:r>
      <w:r w:rsidR="002C6E5B" w:rsidRPr="000765DA">
        <w:rPr>
          <w:rFonts w:asciiTheme="minorHAnsi" w:hAnsiTheme="minorHAnsi"/>
          <w:color w:val="auto"/>
          <w:szCs w:val="24"/>
          <w:u w:val="single"/>
        </w:rPr>
        <w:t xml:space="preserve"> Condition</w:t>
      </w:r>
      <w:r w:rsidR="002C6E5B" w:rsidRPr="000765DA">
        <w:rPr>
          <w:rFonts w:asciiTheme="minorHAnsi" w:hAnsiTheme="minorHAnsi"/>
          <w:color w:val="auto"/>
          <w:szCs w:val="24"/>
        </w:rPr>
        <w:t xml:space="preserve">.  </w:t>
      </w:r>
      <w:r w:rsidR="007D4702" w:rsidRPr="000765DA">
        <w:rPr>
          <w:rFonts w:asciiTheme="minorHAnsi" w:hAnsiTheme="minorHAnsi"/>
          <w:color w:val="auto"/>
          <w:szCs w:val="24"/>
        </w:rPr>
        <w:t xml:space="preserve">The CI had a history of primary left hip pain that the PEB and VA examiners linked as primarily due to LBP.  </w:t>
      </w:r>
      <w:r w:rsidR="00A26572" w:rsidRPr="00303C74">
        <w:rPr>
          <w:rFonts w:asciiTheme="minorHAnsi" w:hAnsiTheme="minorHAnsi"/>
          <w:color w:val="auto"/>
          <w:szCs w:val="24"/>
        </w:rPr>
        <w:t>Imaging demonstrated lumbar disc bulges at L3-4, L4-5, and L5-S1 with protrusion to the S1 nerve root</w:t>
      </w:r>
      <w:r w:rsidR="00A26572" w:rsidRPr="000765DA">
        <w:rPr>
          <w:rFonts w:asciiTheme="minorHAnsi" w:hAnsiTheme="minorHAnsi"/>
          <w:color w:val="auto"/>
          <w:szCs w:val="24"/>
        </w:rPr>
        <w:t xml:space="preserve">.  </w:t>
      </w:r>
      <w:r w:rsidR="007D4702" w:rsidRPr="000765DA">
        <w:rPr>
          <w:rFonts w:asciiTheme="minorHAnsi" w:hAnsiTheme="minorHAnsi"/>
          <w:color w:val="auto"/>
          <w:szCs w:val="24"/>
        </w:rPr>
        <w:t xml:space="preserve">The CI </w:t>
      </w:r>
      <w:r w:rsidR="00A26572" w:rsidRPr="000765DA">
        <w:rPr>
          <w:rFonts w:asciiTheme="minorHAnsi" w:hAnsiTheme="minorHAnsi"/>
          <w:color w:val="auto"/>
          <w:szCs w:val="24"/>
        </w:rPr>
        <w:t xml:space="preserve">was evaluated and treated by a specialty pain </w:t>
      </w:r>
      <w:proofErr w:type="gramStart"/>
      <w:r w:rsidR="00A26572" w:rsidRPr="000765DA">
        <w:rPr>
          <w:rFonts w:asciiTheme="minorHAnsi" w:hAnsiTheme="minorHAnsi"/>
          <w:color w:val="auto"/>
          <w:szCs w:val="24"/>
        </w:rPr>
        <w:t>clinic</w:t>
      </w:r>
      <w:proofErr w:type="gramEnd"/>
      <w:r w:rsidR="00A26572" w:rsidRPr="000765DA">
        <w:rPr>
          <w:rFonts w:asciiTheme="minorHAnsi" w:hAnsiTheme="minorHAnsi"/>
          <w:color w:val="auto"/>
          <w:szCs w:val="24"/>
        </w:rPr>
        <w:t xml:space="preserve"> and </w:t>
      </w:r>
      <w:r w:rsidR="007D4702" w:rsidRPr="000765DA">
        <w:rPr>
          <w:rFonts w:asciiTheme="minorHAnsi" w:hAnsiTheme="minorHAnsi"/>
          <w:color w:val="auto"/>
          <w:szCs w:val="24"/>
        </w:rPr>
        <w:t xml:space="preserve">had </w:t>
      </w:r>
      <w:r w:rsidR="00A26572" w:rsidRPr="000765DA">
        <w:rPr>
          <w:rFonts w:asciiTheme="minorHAnsi" w:hAnsiTheme="minorHAnsi"/>
          <w:color w:val="auto"/>
          <w:szCs w:val="24"/>
        </w:rPr>
        <w:t xml:space="preserve">only </w:t>
      </w:r>
      <w:r w:rsidR="007D4702" w:rsidRPr="000765DA">
        <w:rPr>
          <w:rFonts w:asciiTheme="minorHAnsi" w:hAnsiTheme="minorHAnsi"/>
          <w:color w:val="auto"/>
          <w:szCs w:val="24"/>
        </w:rPr>
        <w:t xml:space="preserve">temporary symptom relief following three epidural injections.  The CI </w:t>
      </w:r>
      <w:r w:rsidR="00230275" w:rsidRPr="000765DA">
        <w:rPr>
          <w:rFonts w:asciiTheme="minorHAnsi" w:hAnsiTheme="minorHAnsi"/>
          <w:color w:val="auto"/>
          <w:szCs w:val="24"/>
        </w:rPr>
        <w:t>was a potential surgical candidate, without indications of inappropriate declination in the record</w:t>
      </w:r>
      <w:r w:rsidR="0062107B" w:rsidRPr="000765DA">
        <w:rPr>
          <w:rFonts w:asciiTheme="minorHAnsi" w:hAnsiTheme="minorHAnsi"/>
          <w:color w:val="auto"/>
          <w:szCs w:val="24"/>
        </w:rPr>
        <w:t xml:space="preserve"> (‘He will only consent to surgery if there are not other alternatives’)</w:t>
      </w:r>
      <w:r w:rsidR="00230275" w:rsidRPr="000765DA">
        <w:rPr>
          <w:rFonts w:asciiTheme="minorHAnsi" w:hAnsiTheme="minorHAnsi"/>
          <w:color w:val="auto"/>
          <w:szCs w:val="24"/>
        </w:rPr>
        <w:t xml:space="preserve">.  </w:t>
      </w:r>
      <w:r w:rsidR="00752BD2" w:rsidRPr="000765DA">
        <w:rPr>
          <w:rFonts w:asciiTheme="minorHAnsi" w:hAnsiTheme="minorHAnsi"/>
          <w:color w:val="auto"/>
          <w:szCs w:val="24"/>
        </w:rPr>
        <w:t xml:space="preserve">There was </w:t>
      </w:r>
      <w:r w:rsidR="003F4EA3" w:rsidRPr="000765DA">
        <w:rPr>
          <w:rFonts w:asciiTheme="minorHAnsi" w:hAnsiTheme="minorHAnsi"/>
          <w:color w:val="auto"/>
          <w:szCs w:val="24"/>
        </w:rPr>
        <w:t xml:space="preserve">insufficient </w:t>
      </w:r>
      <w:r w:rsidR="00752BD2" w:rsidRPr="000765DA">
        <w:rPr>
          <w:rFonts w:asciiTheme="minorHAnsi" w:hAnsiTheme="minorHAnsi"/>
          <w:color w:val="auto"/>
          <w:szCs w:val="24"/>
        </w:rPr>
        <w:t>evidence of ratable peripheral nerve impairment in this case</w:t>
      </w:r>
      <w:r w:rsidR="003F4EA3" w:rsidRPr="000765DA">
        <w:rPr>
          <w:rFonts w:asciiTheme="minorHAnsi" w:hAnsiTheme="minorHAnsi"/>
          <w:color w:val="auto"/>
          <w:szCs w:val="24"/>
        </w:rPr>
        <w:t xml:space="preserve"> since pain symptoms, whether or not it radiates, is considered under the General Rating Formulae for the spine IAW §4.71a.  </w:t>
      </w:r>
      <w:r w:rsidR="007C6046" w:rsidRPr="000765DA">
        <w:rPr>
          <w:rFonts w:asciiTheme="minorHAnsi" w:hAnsiTheme="minorHAnsi"/>
          <w:color w:val="auto"/>
          <w:szCs w:val="24"/>
        </w:rPr>
        <w:t xml:space="preserve">There were </w:t>
      </w:r>
      <w:r w:rsidR="00A05109" w:rsidRPr="000765DA">
        <w:rPr>
          <w:rFonts w:asciiTheme="minorHAnsi" w:hAnsiTheme="minorHAnsi"/>
          <w:color w:val="auto"/>
          <w:szCs w:val="24"/>
        </w:rPr>
        <w:t>two</w:t>
      </w:r>
      <w:r w:rsidR="007C6046" w:rsidRPr="000765DA">
        <w:rPr>
          <w:rFonts w:asciiTheme="minorHAnsi" w:hAnsiTheme="minorHAnsi"/>
          <w:color w:val="auto"/>
          <w:szCs w:val="24"/>
        </w:rPr>
        <w:t xml:space="preserve"> goniometric range-of-motion (ROM) evaluations in evidence which the Board </w:t>
      </w:r>
      <w:r w:rsidR="00743E36" w:rsidRPr="000765DA">
        <w:rPr>
          <w:rFonts w:asciiTheme="minorHAnsi" w:hAnsiTheme="minorHAnsi"/>
          <w:color w:val="auto"/>
          <w:szCs w:val="24"/>
        </w:rPr>
        <w:t>weighed in arriving at its rating recommendation</w:t>
      </w:r>
      <w:r w:rsidR="007C6046" w:rsidRPr="000765DA">
        <w:rPr>
          <w:rFonts w:asciiTheme="minorHAnsi" w:hAnsiTheme="minorHAnsi"/>
          <w:color w:val="auto"/>
          <w:szCs w:val="24"/>
        </w:rPr>
        <w:t>.</w:t>
      </w:r>
      <w:r w:rsidR="00743E36" w:rsidRPr="000765DA">
        <w:rPr>
          <w:rFonts w:asciiTheme="minorHAnsi" w:hAnsiTheme="minorHAnsi"/>
          <w:color w:val="auto"/>
          <w:szCs w:val="24"/>
        </w:rPr>
        <w:t xml:space="preserve"> </w:t>
      </w:r>
      <w:r w:rsidR="009C22C8" w:rsidRPr="000765DA">
        <w:rPr>
          <w:rFonts w:asciiTheme="minorHAnsi" w:hAnsiTheme="minorHAnsi"/>
          <w:color w:val="auto"/>
          <w:szCs w:val="24"/>
        </w:rPr>
        <w:t>Both of these exams are summarized in the chart below.</w:t>
      </w:r>
      <w:r w:rsidR="00B8163D" w:rsidRPr="000765DA">
        <w:rPr>
          <w:rFonts w:asciiTheme="minorHAnsi" w:hAnsiTheme="minorHAnsi"/>
          <w:color w:val="auto"/>
          <w:szCs w:val="24"/>
        </w:rPr>
        <w:t xml:space="preserve">  The M</w:t>
      </w:r>
      <w:r w:rsidR="0048098C">
        <w:rPr>
          <w:rFonts w:asciiTheme="minorHAnsi" w:hAnsiTheme="minorHAnsi"/>
          <w:color w:val="auto"/>
          <w:szCs w:val="24"/>
        </w:rPr>
        <w:t>edical Evaluation Board (M</w:t>
      </w:r>
      <w:r w:rsidR="00B8163D" w:rsidRPr="000765DA">
        <w:rPr>
          <w:rFonts w:asciiTheme="minorHAnsi" w:hAnsiTheme="minorHAnsi"/>
          <w:color w:val="auto"/>
          <w:szCs w:val="24"/>
        </w:rPr>
        <w:t>EB</w:t>
      </w:r>
      <w:r w:rsidR="0048098C">
        <w:rPr>
          <w:rFonts w:asciiTheme="minorHAnsi" w:hAnsiTheme="minorHAnsi"/>
          <w:color w:val="auto"/>
          <w:szCs w:val="24"/>
        </w:rPr>
        <w:t>)</w:t>
      </w:r>
      <w:r w:rsidR="00B8163D" w:rsidRPr="000765DA">
        <w:rPr>
          <w:rFonts w:asciiTheme="minorHAnsi" w:hAnsiTheme="minorHAnsi"/>
          <w:color w:val="auto"/>
          <w:szCs w:val="24"/>
        </w:rPr>
        <w:t xml:space="preserve"> ROMs were </w:t>
      </w:r>
      <w:r w:rsidR="007D4702" w:rsidRPr="000765DA">
        <w:rPr>
          <w:rFonts w:asciiTheme="minorHAnsi" w:hAnsiTheme="minorHAnsi"/>
          <w:color w:val="auto"/>
          <w:szCs w:val="24"/>
        </w:rPr>
        <w:t>opined to be linked, as referenced</w:t>
      </w:r>
      <w:r w:rsidR="00230275" w:rsidRPr="000765DA">
        <w:rPr>
          <w:rFonts w:asciiTheme="minorHAnsi" w:hAnsiTheme="minorHAnsi"/>
          <w:color w:val="auto"/>
          <w:szCs w:val="24"/>
        </w:rPr>
        <w:t xml:space="preserve"> in the summary</w:t>
      </w:r>
      <w:r w:rsidR="007D4702" w:rsidRPr="000765DA">
        <w:rPr>
          <w:rFonts w:asciiTheme="minorHAnsi" w:hAnsiTheme="minorHAnsi"/>
          <w:color w:val="auto"/>
          <w:szCs w:val="24"/>
        </w:rPr>
        <w:t xml:space="preserve">, to the MEB </w:t>
      </w:r>
      <w:r w:rsidR="0048098C">
        <w:rPr>
          <w:rFonts w:asciiTheme="minorHAnsi" w:hAnsiTheme="minorHAnsi"/>
          <w:color w:val="auto"/>
          <w:szCs w:val="24"/>
        </w:rPr>
        <w:t>Narrative Summary (</w:t>
      </w:r>
      <w:r w:rsidR="007D4702" w:rsidRPr="000765DA">
        <w:rPr>
          <w:rFonts w:asciiTheme="minorHAnsi" w:hAnsiTheme="minorHAnsi"/>
          <w:color w:val="auto"/>
          <w:szCs w:val="24"/>
        </w:rPr>
        <w:t>NARSUM</w:t>
      </w:r>
      <w:r w:rsidR="0048098C">
        <w:rPr>
          <w:rFonts w:asciiTheme="minorHAnsi" w:hAnsiTheme="minorHAnsi"/>
          <w:color w:val="auto"/>
          <w:szCs w:val="24"/>
        </w:rPr>
        <w:t>)</w:t>
      </w:r>
      <w:r w:rsidR="007D4702" w:rsidRPr="000765DA">
        <w:rPr>
          <w:rFonts w:asciiTheme="minorHAnsi" w:hAnsiTheme="minorHAnsi"/>
          <w:color w:val="auto"/>
          <w:szCs w:val="24"/>
        </w:rPr>
        <w:t xml:space="preserve"> Addendum’s focused exam dated 20060426.</w:t>
      </w:r>
      <w:r w:rsidR="0062107B" w:rsidRPr="000765DA">
        <w:rPr>
          <w:rFonts w:asciiTheme="minorHAnsi" w:hAnsiTheme="minorHAnsi"/>
          <w:color w:val="auto"/>
          <w:szCs w:val="24"/>
        </w:rPr>
        <w:t xml:space="preserve"> </w:t>
      </w:r>
    </w:p>
    <w:p w:rsidR="00560D57" w:rsidRPr="000765DA" w:rsidRDefault="00560D57" w:rsidP="002C6E5B">
      <w:pPr>
        <w:tabs>
          <w:tab w:val="left" w:pos="288"/>
          <w:tab w:val="left" w:pos="4752"/>
        </w:tabs>
        <w:spacing w:line="240" w:lineRule="exact"/>
        <w:rPr>
          <w:rFonts w:asciiTheme="minorHAnsi" w:hAnsiTheme="minorHAnsi"/>
          <w:color w:val="auto"/>
          <w:szCs w:val="24"/>
        </w:rPr>
      </w:pPr>
    </w:p>
    <w:tbl>
      <w:tblPr>
        <w:tblW w:w="621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890"/>
        <w:gridCol w:w="2160"/>
      </w:tblGrid>
      <w:tr w:rsidR="00A05109" w:rsidRPr="000765DA" w:rsidTr="00092219">
        <w:tc>
          <w:tcPr>
            <w:tcW w:w="2160" w:type="dxa"/>
            <w:shd w:val="clear" w:color="auto" w:fill="D9D9D9" w:themeFill="background1" w:themeFillShade="D9"/>
          </w:tcPr>
          <w:p w:rsidR="00A05109" w:rsidRPr="000765DA" w:rsidRDefault="00A05109" w:rsidP="00BF0BC5">
            <w:pPr>
              <w:pStyle w:val="ListParagraph"/>
              <w:spacing w:after="0" w:line="240" w:lineRule="exact"/>
              <w:ind w:left="0"/>
              <w:jc w:val="center"/>
              <w:rPr>
                <w:rFonts w:eastAsia="Calibri" w:cs="Times New Roman"/>
              </w:rPr>
            </w:pPr>
            <w:proofErr w:type="spellStart"/>
            <w:r w:rsidRPr="000765DA">
              <w:rPr>
                <w:rFonts w:eastAsia="Calibri" w:cs="Times New Roman"/>
              </w:rPr>
              <w:t>Thoracolumbar</w:t>
            </w:r>
            <w:proofErr w:type="spellEnd"/>
            <w:r w:rsidRPr="000765DA">
              <w:rPr>
                <w:rFonts w:eastAsia="Calibri" w:cs="Times New Roman"/>
              </w:rPr>
              <w:t xml:space="preserve"> ROM</w:t>
            </w:r>
          </w:p>
        </w:tc>
        <w:tc>
          <w:tcPr>
            <w:tcW w:w="1890" w:type="dxa"/>
            <w:shd w:val="clear" w:color="auto" w:fill="D9D9D9" w:themeFill="background1" w:themeFillShade="D9"/>
          </w:tcPr>
          <w:p w:rsidR="00A05109" w:rsidRPr="000765DA" w:rsidRDefault="00A05109" w:rsidP="00B8163D">
            <w:pPr>
              <w:pStyle w:val="ListParagraph"/>
              <w:spacing w:after="0" w:line="240" w:lineRule="exact"/>
              <w:ind w:left="0"/>
              <w:jc w:val="center"/>
              <w:rPr>
                <w:rFonts w:eastAsia="Calibri" w:cs="Times New Roman"/>
              </w:rPr>
            </w:pPr>
            <w:r w:rsidRPr="000765DA">
              <w:rPr>
                <w:rFonts w:eastAsia="Calibri" w:cs="Times New Roman"/>
              </w:rPr>
              <w:t xml:space="preserve">MEB </w:t>
            </w:r>
            <w:r w:rsidR="00B8163D" w:rsidRPr="000765DA">
              <w:rPr>
                <w:rFonts w:eastAsia="Calibri" w:cs="Times New Roman"/>
              </w:rPr>
              <w:t>–</w:t>
            </w:r>
            <w:r w:rsidRPr="000765DA">
              <w:rPr>
                <w:rFonts w:eastAsia="Calibri" w:cs="Times New Roman"/>
              </w:rPr>
              <w:t xml:space="preserve"> </w:t>
            </w:r>
            <w:r w:rsidR="00B8163D" w:rsidRPr="000765DA">
              <w:rPr>
                <w:rFonts w:eastAsia="Calibri" w:cs="Times New Roman"/>
              </w:rPr>
              <w:t>20060426</w:t>
            </w:r>
          </w:p>
        </w:tc>
        <w:tc>
          <w:tcPr>
            <w:tcW w:w="2160" w:type="dxa"/>
            <w:shd w:val="clear" w:color="auto" w:fill="D9D9D9" w:themeFill="background1" w:themeFillShade="D9"/>
          </w:tcPr>
          <w:p w:rsidR="00A05109" w:rsidRPr="000765DA" w:rsidRDefault="00A05109" w:rsidP="00B8163D">
            <w:pPr>
              <w:pStyle w:val="ListParagraph"/>
              <w:spacing w:after="0" w:line="240" w:lineRule="exact"/>
              <w:ind w:left="0"/>
              <w:jc w:val="center"/>
            </w:pPr>
            <w:r w:rsidRPr="000765DA">
              <w:rPr>
                <w:rFonts w:eastAsia="Calibri" w:cs="Times New Roman"/>
              </w:rPr>
              <w:t>VA</w:t>
            </w:r>
            <w:r w:rsidRPr="000765DA">
              <w:t xml:space="preserve"> C&amp;P - </w:t>
            </w:r>
            <w:r w:rsidR="00B8163D" w:rsidRPr="000765DA">
              <w:rPr>
                <w:rFonts w:eastAsia="Calibri" w:cs="Times New Roman"/>
              </w:rPr>
              <w:t>20061228</w:t>
            </w:r>
          </w:p>
        </w:tc>
      </w:tr>
      <w:tr w:rsidR="00A05109" w:rsidRPr="000765DA" w:rsidTr="007D4702">
        <w:tc>
          <w:tcPr>
            <w:tcW w:w="2160" w:type="dxa"/>
          </w:tcPr>
          <w:p w:rsidR="00A05109" w:rsidRPr="000765DA" w:rsidRDefault="00A05109" w:rsidP="00BF0BC5">
            <w:pPr>
              <w:pStyle w:val="ListParagraph"/>
              <w:spacing w:after="0" w:line="240" w:lineRule="exact"/>
              <w:ind w:left="0"/>
              <w:rPr>
                <w:rFonts w:eastAsia="Calibri" w:cs="Times New Roman"/>
              </w:rPr>
            </w:pPr>
            <w:r w:rsidRPr="000765DA">
              <w:rPr>
                <w:rFonts w:eastAsia="Calibri" w:cs="Times New Roman"/>
              </w:rPr>
              <w:t>Flexion</w:t>
            </w:r>
          </w:p>
        </w:tc>
        <w:tc>
          <w:tcPr>
            <w:tcW w:w="1890" w:type="dxa"/>
          </w:tcPr>
          <w:p w:rsidR="00A05109" w:rsidRPr="00A813A6" w:rsidRDefault="00A05109" w:rsidP="00BF0BC5">
            <w:pPr>
              <w:pStyle w:val="ListParagraph"/>
              <w:spacing w:after="0" w:line="240" w:lineRule="exact"/>
              <w:ind w:left="0"/>
              <w:jc w:val="center"/>
              <w:rPr>
                <w:rFonts w:eastAsia="Calibri" w:cs="Times New Roman"/>
              </w:rPr>
            </w:pPr>
            <w:r w:rsidRPr="00A813A6">
              <w:rPr>
                <w:rFonts w:eastAsia="Calibri" w:cs="Times New Roman"/>
              </w:rPr>
              <w:t>40⁰</w:t>
            </w:r>
            <w:r w:rsidR="003F4EA3" w:rsidRPr="00A813A6">
              <w:rPr>
                <w:rFonts w:eastAsia="Calibri" w:cs="Times New Roman"/>
              </w:rPr>
              <w:t xml:space="preserve"> (40, 45, 49)</w:t>
            </w:r>
          </w:p>
        </w:tc>
        <w:tc>
          <w:tcPr>
            <w:tcW w:w="2160" w:type="dxa"/>
          </w:tcPr>
          <w:p w:rsidR="00A05109" w:rsidRPr="000765DA" w:rsidRDefault="00B8163D" w:rsidP="00BF0BC5">
            <w:pPr>
              <w:pStyle w:val="ListParagraph"/>
              <w:spacing w:after="0" w:line="240" w:lineRule="exact"/>
              <w:ind w:left="0"/>
              <w:jc w:val="center"/>
              <w:rPr>
                <w:rFonts w:eastAsia="Calibri" w:cs="Times New Roman"/>
              </w:rPr>
            </w:pPr>
            <w:r w:rsidRPr="000765DA">
              <w:rPr>
                <w:rFonts w:eastAsia="Calibri" w:cs="Times New Roman"/>
              </w:rPr>
              <w:t>7</w:t>
            </w:r>
            <w:r w:rsidR="00A05109" w:rsidRPr="000765DA">
              <w:rPr>
                <w:rFonts w:eastAsia="Calibri" w:cs="Times New Roman"/>
              </w:rPr>
              <w:t>0⁰</w:t>
            </w:r>
          </w:p>
        </w:tc>
      </w:tr>
      <w:tr w:rsidR="00A05109" w:rsidRPr="000765DA" w:rsidTr="007D4702">
        <w:tc>
          <w:tcPr>
            <w:tcW w:w="2160" w:type="dxa"/>
          </w:tcPr>
          <w:p w:rsidR="00A05109" w:rsidRPr="000765DA" w:rsidRDefault="00A05109" w:rsidP="00BF0BC5">
            <w:pPr>
              <w:pStyle w:val="ListParagraph"/>
              <w:spacing w:after="0" w:line="240" w:lineRule="exact"/>
              <w:ind w:left="0"/>
              <w:rPr>
                <w:rFonts w:eastAsia="Calibri" w:cs="Times New Roman"/>
              </w:rPr>
            </w:pPr>
            <w:r w:rsidRPr="000765DA">
              <w:rPr>
                <w:rFonts w:eastAsia="Calibri" w:cs="Times New Roman"/>
              </w:rPr>
              <w:t>Combined</w:t>
            </w:r>
          </w:p>
        </w:tc>
        <w:tc>
          <w:tcPr>
            <w:tcW w:w="1890" w:type="dxa"/>
          </w:tcPr>
          <w:p w:rsidR="00A05109" w:rsidRPr="00A813A6" w:rsidRDefault="00B8163D" w:rsidP="00560D57">
            <w:pPr>
              <w:pStyle w:val="ListParagraph"/>
              <w:spacing w:after="0" w:line="240" w:lineRule="exact"/>
              <w:ind w:left="0"/>
              <w:jc w:val="center"/>
              <w:rPr>
                <w:rFonts w:eastAsia="Calibri" w:cs="Times New Roman"/>
              </w:rPr>
            </w:pPr>
            <w:r w:rsidRPr="00A813A6">
              <w:rPr>
                <w:rFonts w:eastAsia="Calibri" w:cs="Times New Roman"/>
              </w:rPr>
              <w:t>125</w:t>
            </w:r>
            <w:r w:rsidR="00A05109" w:rsidRPr="00A813A6">
              <w:rPr>
                <w:rFonts w:eastAsia="Calibri" w:cs="Times New Roman"/>
              </w:rPr>
              <w:t xml:space="preserve">⁰ </w:t>
            </w:r>
          </w:p>
        </w:tc>
        <w:tc>
          <w:tcPr>
            <w:tcW w:w="2160" w:type="dxa"/>
          </w:tcPr>
          <w:p w:rsidR="00A05109" w:rsidRPr="000765DA" w:rsidRDefault="00B8163D" w:rsidP="00BF0BC5">
            <w:pPr>
              <w:pStyle w:val="ListParagraph"/>
              <w:spacing w:after="0" w:line="240" w:lineRule="exact"/>
              <w:ind w:left="0"/>
              <w:jc w:val="center"/>
              <w:rPr>
                <w:rFonts w:eastAsia="Calibri" w:cs="Times New Roman"/>
              </w:rPr>
            </w:pPr>
            <w:r w:rsidRPr="000765DA">
              <w:rPr>
                <w:rFonts w:eastAsia="Calibri" w:cs="Times New Roman"/>
              </w:rPr>
              <w:t>220</w:t>
            </w:r>
            <w:r w:rsidR="00A05109" w:rsidRPr="000765DA">
              <w:rPr>
                <w:rFonts w:eastAsia="Calibri" w:cs="Times New Roman"/>
              </w:rPr>
              <w:t>⁰</w:t>
            </w:r>
          </w:p>
        </w:tc>
      </w:tr>
      <w:tr w:rsidR="00A05109" w:rsidRPr="000765DA" w:rsidTr="007D4702">
        <w:tc>
          <w:tcPr>
            <w:tcW w:w="2160" w:type="dxa"/>
          </w:tcPr>
          <w:p w:rsidR="00A05109" w:rsidRPr="000765DA" w:rsidRDefault="00A05109" w:rsidP="004E0248">
            <w:pPr>
              <w:tabs>
                <w:tab w:val="left" w:pos="288"/>
                <w:tab w:val="left" w:pos="4752"/>
              </w:tabs>
              <w:spacing w:line="240" w:lineRule="exact"/>
              <w:rPr>
                <w:rFonts w:asciiTheme="minorHAnsi" w:eastAsiaTheme="minorHAnsi" w:hAnsiTheme="minorHAnsi"/>
                <w:color w:val="auto"/>
                <w:sz w:val="22"/>
                <w:szCs w:val="22"/>
              </w:rPr>
            </w:pPr>
            <w:r w:rsidRPr="000765DA">
              <w:rPr>
                <w:rFonts w:asciiTheme="minorHAnsi" w:eastAsiaTheme="minorHAnsi" w:hAnsiTheme="minorHAnsi"/>
                <w:color w:val="auto"/>
                <w:sz w:val="22"/>
                <w:szCs w:val="22"/>
              </w:rPr>
              <w:t>§4.71a Rating</w:t>
            </w:r>
          </w:p>
        </w:tc>
        <w:tc>
          <w:tcPr>
            <w:tcW w:w="1890" w:type="dxa"/>
          </w:tcPr>
          <w:p w:rsidR="00A05109" w:rsidRPr="000765DA" w:rsidRDefault="00B8163D" w:rsidP="004E0248">
            <w:pPr>
              <w:tabs>
                <w:tab w:val="left" w:pos="288"/>
                <w:tab w:val="left" w:pos="4752"/>
              </w:tabs>
              <w:spacing w:line="240" w:lineRule="exact"/>
              <w:jc w:val="center"/>
              <w:rPr>
                <w:rFonts w:asciiTheme="minorHAnsi" w:eastAsiaTheme="minorHAnsi" w:hAnsiTheme="minorHAnsi"/>
                <w:color w:val="auto"/>
                <w:sz w:val="22"/>
                <w:szCs w:val="22"/>
              </w:rPr>
            </w:pPr>
            <w:r w:rsidRPr="000765DA">
              <w:rPr>
                <w:rFonts w:asciiTheme="minorHAnsi" w:eastAsiaTheme="minorHAnsi" w:hAnsiTheme="minorHAnsi"/>
                <w:color w:val="auto"/>
                <w:sz w:val="22"/>
                <w:szCs w:val="22"/>
              </w:rPr>
              <w:t>2</w:t>
            </w:r>
            <w:r w:rsidR="00A05109" w:rsidRPr="000765DA">
              <w:rPr>
                <w:rFonts w:asciiTheme="minorHAnsi" w:eastAsiaTheme="minorHAnsi" w:hAnsiTheme="minorHAnsi"/>
                <w:color w:val="auto"/>
                <w:sz w:val="22"/>
                <w:szCs w:val="22"/>
              </w:rPr>
              <w:t>0%</w:t>
            </w:r>
          </w:p>
        </w:tc>
        <w:tc>
          <w:tcPr>
            <w:tcW w:w="2160" w:type="dxa"/>
          </w:tcPr>
          <w:p w:rsidR="00A05109" w:rsidRPr="000765DA" w:rsidRDefault="00B8163D" w:rsidP="004E0248">
            <w:pPr>
              <w:tabs>
                <w:tab w:val="left" w:pos="288"/>
                <w:tab w:val="left" w:pos="4752"/>
              </w:tabs>
              <w:spacing w:line="240" w:lineRule="exact"/>
              <w:jc w:val="center"/>
              <w:rPr>
                <w:rFonts w:asciiTheme="minorHAnsi" w:eastAsiaTheme="minorHAnsi" w:hAnsiTheme="minorHAnsi"/>
                <w:color w:val="auto"/>
                <w:sz w:val="22"/>
                <w:szCs w:val="22"/>
              </w:rPr>
            </w:pPr>
            <w:r w:rsidRPr="000765DA">
              <w:rPr>
                <w:rFonts w:asciiTheme="minorHAnsi" w:eastAsiaTheme="minorHAnsi" w:hAnsiTheme="minorHAnsi"/>
                <w:color w:val="auto"/>
                <w:sz w:val="22"/>
                <w:szCs w:val="22"/>
              </w:rPr>
              <w:t>1</w:t>
            </w:r>
            <w:r w:rsidR="00A05109" w:rsidRPr="000765DA">
              <w:rPr>
                <w:rFonts w:asciiTheme="minorHAnsi" w:eastAsiaTheme="minorHAnsi" w:hAnsiTheme="minorHAnsi"/>
                <w:color w:val="auto"/>
                <w:sz w:val="22"/>
                <w:szCs w:val="22"/>
              </w:rPr>
              <w:t>0%</w:t>
            </w:r>
          </w:p>
        </w:tc>
      </w:tr>
    </w:tbl>
    <w:p w:rsidR="00560D57" w:rsidRPr="000765DA" w:rsidRDefault="00560D57" w:rsidP="002C6E5B">
      <w:pPr>
        <w:tabs>
          <w:tab w:val="left" w:pos="288"/>
          <w:tab w:val="left" w:pos="4752"/>
        </w:tabs>
        <w:spacing w:line="240" w:lineRule="exact"/>
        <w:rPr>
          <w:rFonts w:asciiTheme="minorHAnsi" w:eastAsiaTheme="minorHAnsi" w:hAnsiTheme="minorHAnsi"/>
          <w:color w:val="auto"/>
          <w:szCs w:val="24"/>
        </w:rPr>
      </w:pPr>
    </w:p>
    <w:p w:rsidR="00B8163D" w:rsidRPr="000765DA" w:rsidRDefault="00230275" w:rsidP="00A34E0A">
      <w:pPr>
        <w:tabs>
          <w:tab w:val="left" w:pos="288"/>
          <w:tab w:val="left" w:pos="4752"/>
        </w:tabs>
        <w:spacing w:line="240" w:lineRule="exact"/>
        <w:jc w:val="both"/>
        <w:rPr>
          <w:rFonts w:asciiTheme="minorHAnsi" w:hAnsiTheme="minorHAnsi"/>
          <w:color w:val="auto"/>
          <w:szCs w:val="24"/>
        </w:rPr>
      </w:pPr>
      <w:r w:rsidRPr="000765DA">
        <w:rPr>
          <w:rFonts w:asciiTheme="minorHAnsi" w:hAnsiTheme="minorHAnsi"/>
          <w:color w:val="auto"/>
          <w:szCs w:val="24"/>
        </w:rPr>
        <w:t xml:space="preserve">Both exams demonstrated painful motion without significant radiating non-pain nerve disability.  </w:t>
      </w:r>
      <w:r w:rsidR="0062107B" w:rsidRPr="000765DA">
        <w:rPr>
          <w:rFonts w:asciiTheme="minorHAnsi" w:hAnsiTheme="minorHAnsi"/>
          <w:color w:val="auto"/>
          <w:szCs w:val="24"/>
        </w:rPr>
        <w:t xml:space="preserve">The military exam of 20060215 noted a ‘moderate left </w:t>
      </w:r>
      <w:proofErr w:type="spellStart"/>
      <w:r w:rsidR="0062107B" w:rsidRPr="000765DA">
        <w:rPr>
          <w:rFonts w:asciiTheme="minorHAnsi" w:hAnsiTheme="minorHAnsi"/>
          <w:color w:val="auto"/>
          <w:szCs w:val="24"/>
        </w:rPr>
        <w:t>antalgic</w:t>
      </w:r>
      <w:proofErr w:type="spellEnd"/>
      <w:r w:rsidR="0062107B" w:rsidRPr="000765DA">
        <w:rPr>
          <w:rFonts w:asciiTheme="minorHAnsi" w:hAnsiTheme="minorHAnsi"/>
          <w:color w:val="auto"/>
          <w:szCs w:val="24"/>
        </w:rPr>
        <w:t xml:space="preserve"> gait’ under the musculoskeletal exam focused on the left knee.  The NARSUM addendum </w:t>
      </w:r>
      <w:r w:rsidR="003F4EA3" w:rsidRPr="000765DA">
        <w:rPr>
          <w:rFonts w:asciiTheme="minorHAnsi" w:hAnsiTheme="minorHAnsi"/>
          <w:color w:val="auto"/>
          <w:szCs w:val="24"/>
        </w:rPr>
        <w:t xml:space="preserve">(20060426 exam) </w:t>
      </w:r>
      <w:r w:rsidR="0062107B" w:rsidRPr="000765DA">
        <w:rPr>
          <w:rFonts w:asciiTheme="minorHAnsi" w:hAnsiTheme="minorHAnsi"/>
          <w:color w:val="auto"/>
          <w:szCs w:val="24"/>
        </w:rPr>
        <w:t>noted ‘tenderness of the left lumbar facets and low back,’ ‘gait: able</w:t>
      </w:r>
      <w:r w:rsidR="00752BD2" w:rsidRPr="000765DA">
        <w:rPr>
          <w:rFonts w:asciiTheme="minorHAnsi" w:hAnsiTheme="minorHAnsi"/>
          <w:color w:val="auto"/>
          <w:szCs w:val="24"/>
        </w:rPr>
        <w:t xml:space="preserve"> to ambulate without difficulty,</w:t>
      </w:r>
      <w:r w:rsidR="0062107B" w:rsidRPr="000765DA">
        <w:rPr>
          <w:rFonts w:asciiTheme="minorHAnsi" w:hAnsiTheme="minorHAnsi"/>
          <w:color w:val="auto"/>
          <w:szCs w:val="24"/>
        </w:rPr>
        <w:t>’</w:t>
      </w:r>
      <w:r w:rsidR="00752BD2" w:rsidRPr="000765DA">
        <w:rPr>
          <w:rFonts w:asciiTheme="minorHAnsi" w:hAnsiTheme="minorHAnsi"/>
          <w:color w:val="auto"/>
          <w:szCs w:val="24"/>
        </w:rPr>
        <w:t xml:space="preserve"> and the ROMs depicted three measurements for each axis of </w:t>
      </w:r>
      <w:proofErr w:type="spellStart"/>
      <w:r w:rsidR="00752BD2" w:rsidRPr="000765DA">
        <w:rPr>
          <w:rFonts w:asciiTheme="minorHAnsi" w:hAnsiTheme="minorHAnsi"/>
          <w:color w:val="auto"/>
          <w:szCs w:val="24"/>
        </w:rPr>
        <w:t>lumbosacral</w:t>
      </w:r>
      <w:proofErr w:type="spellEnd"/>
      <w:r w:rsidR="00752BD2" w:rsidRPr="000765DA">
        <w:rPr>
          <w:rFonts w:asciiTheme="minorHAnsi" w:hAnsiTheme="minorHAnsi"/>
          <w:color w:val="auto"/>
          <w:szCs w:val="24"/>
        </w:rPr>
        <w:t xml:space="preserve"> motion and detailing of pain.   </w:t>
      </w:r>
      <w:r w:rsidRPr="000765DA">
        <w:rPr>
          <w:rFonts w:asciiTheme="minorHAnsi" w:hAnsiTheme="minorHAnsi"/>
          <w:color w:val="auto"/>
          <w:szCs w:val="24"/>
        </w:rPr>
        <w:t xml:space="preserve">The VA exam noted the CI was wearing a back brace and had a </w:t>
      </w:r>
      <w:r w:rsidR="0062107B" w:rsidRPr="000765DA">
        <w:rPr>
          <w:rFonts w:asciiTheme="minorHAnsi" w:hAnsiTheme="minorHAnsi"/>
          <w:color w:val="auto"/>
          <w:szCs w:val="24"/>
        </w:rPr>
        <w:t>‘</w:t>
      </w:r>
      <w:r w:rsidRPr="000765DA">
        <w:rPr>
          <w:rFonts w:asciiTheme="minorHAnsi" w:hAnsiTheme="minorHAnsi"/>
          <w:color w:val="auto"/>
          <w:szCs w:val="24"/>
        </w:rPr>
        <w:t xml:space="preserve">mild </w:t>
      </w:r>
      <w:r w:rsidR="0062107B" w:rsidRPr="000765DA">
        <w:rPr>
          <w:rFonts w:asciiTheme="minorHAnsi" w:hAnsiTheme="minorHAnsi"/>
          <w:color w:val="auto"/>
          <w:szCs w:val="24"/>
        </w:rPr>
        <w:t xml:space="preserve">limp,’ but did not attribute the gait abnormality specifically to either the lower back or left knee condition.  Both </w:t>
      </w:r>
      <w:r w:rsidR="003F4EA3" w:rsidRPr="000765DA">
        <w:rPr>
          <w:rFonts w:asciiTheme="minorHAnsi" w:hAnsiTheme="minorHAnsi"/>
          <w:color w:val="auto"/>
          <w:szCs w:val="24"/>
        </w:rPr>
        <w:t xml:space="preserve">ROM </w:t>
      </w:r>
      <w:r w:rsidR="0062107B" w:rsidRPr="000765DA">
        <w:rPr>
          <w:rFonts w:asciiTheme="minorHAnsi" w:hAnsiTheme="minorHAnsi"/>
          <w:color w:val="auto"/>
          <w:szCs w:val="24"/>
        </w:rPr>
        <w:t xml:space="preserve">exams were </w:t>
      </w:r>
      <w:r w:rsidR="00AD7E3B" w:rsidRPr="000765DA">
        <w:rPr>
          <w:rFonts w:asciiTheme="minorHAnsi" w:hAnsiTheme="minorHAnsi"/>
          <w:color w:val="auto"/>
          <w:szCs w:val="24"/>
        </w:rPr>
        <w:t>four months</w:t>
      </w:r>
      <w:r w:rsidR="0062107B" w:rsidRPr="000765DA">
        <w:rPr>
          <w:rFonts w:asciiTheme="minorHAnsi" w:hAnsiTheme="minorHAnsi"/>
          <w:color w:val="auto"/>
          <w:szCs w:val="24"/>
        </w:rPr>
        <w:t xml:space="preserve"> from the date of separation.  </w:t>
      </w:r>
      <w:r w:rsidR="003F4EA3" w:rsidRPr="000765DA">
        <w:rPr>
          <w:rFonts w:asciiTheme="minorHAnsi" w:hAnsiTheme="minorHAnsi"/>
          <w:color w:val="auto"/>
          <w:szCs w:val="24"/>
        </w:rPr>
        <w:t xml:space="preserve">There were </w:t>
      </w:r>
      <w:proofErr w:type="gramStart"/>
      <w:r w:rsidR="003F4EA3" w:rsidRPr="000765DA">
        <w:rPr>
          <w:rFonts w:asciiTheme="minorHAnsi" w:hAnsiTheme="minorHAnsi"/>
          <w:color w:val="auto"/>
          <w:szCs w:val="24"/>
        </w:rPr>
        <w:t>multiple</w:t>
      </w:r>
      <w:proofErr w:type="gramEnd"/>
      <w:r w:rsidR="003F4EA3" w:rsidRPr="000765DA">
        <w:rPr>
          <w:rFonts w:asciiTheme="minorHAnsi" w:hAnsiTheme="minorHAnsi"/>
          <w:color w:val="auto"/>
          <w:szCs w:val="24"/>
        </w:rPr>
        <w:t xml:space="preserve"> notes and exams that demonstrated low back tenderness and an abnormal gait.  </w:t>
      </w:r>
      <w:r w:rsidR="00752BD2" w:rsidRPr="000765DA">
        <w:rPr>
          <w:rFonts w:asciiTheme="minorHAnsi" w:hAnsiTheme="minorHAnsi"/>
          <w:color w:val="auto"/>
          <w:szCs w:val="24"/>
        </w:rPr>
        <w:t xml:space="preserve">The </w:t>
      </w:r>
      <w:r w:rsidR="00752BD2" w:rsidRPr="000765DA">
        <w:rPr>
          <w:rFonts w:asciiTheme="minorHAnsi" w:hAnsiTheme="minorHAnsi"/>
          <w:color w:val="auto"/>
          <w:szCs w:val="24"/>
        </w:rPr>
        <w:lastRenderedPageBreak/>
        <w:t xml:space="preserve">Board determined that the military exam had </w:t>
      </w:r>
      <w:r w:rsidR="00A34E0A">
        <w:rPr>
          <w:rFonts w:asciiTheme="minorHAnsi" w:hAnsiTheme="minorHAnsi"/>
          <w:color w:val="auto"/>
          <w:szCs w:val="24"/>
        </w:rPr>
        <w:t>at least as great a</w:t>
      </w:r>
      <w:r w:rsidR="00752BD2" w:rsidRPr="000765DA">
        <w:rPr>
          <w:rFonts w:asciiTheme="minorHAnsi" w:hAnsiTheme="minorHAnsi"/>
          <w:color w:val="auto"/>
          <w:szCs w:val="24"/>
        </w:rPr>
        <w:t xml:space="preserve"> probative value for rating at separation</w:t>
      </w:r>
      <w:r w:rsidR="00A34E0A">
        <w:rPr>
          <w:rFonts w:asciiTheme="minorHAnsi" w:hAnsiTheme="minorHAnsi"/>
          <w:color w:val="auto"/>
          <w:szCs w:val="24"/>
        </w:rPr>
        <w:t xml:space="preserve"> as the VA exam.  The Board also attributed abnormal gait as more likely due to the back condition</w:t>
      </w:r>
      <w:r w:rsidR="00653C87">
        <w:rPr>
          <w:rFonts w:asciiTheme="minorHAnsi" w:hAnsiTheme="minorHAnsi"/>
          <w:color w:val="auto"/>
          <w:szCs w:val="24"/>
        </w:rPr>
        <w:t xml:space="preserve"> than attributing it to the knee condition</w:t>
      </w:r>
      <w:r w:rsidR="00752BD2" w:rsidRPr="000765DA">
        <w:rPr>
          <w:rFonts w:asciiTheme="minorHAnsi" w:hAnsiTheme="minorHAnsi"/>
          <w:color w:val="auto"/>
          <w:szCs w:val="24"/>
        </w:rPr>
        <w:t xml:space="preserve">.  </w:t>
      </w:r>
      <w:r w:rsidR="00AD7E3B" w:rsidRPr="000765DA">
        <w:rPr>
          <w:rFonts w:asciiTheme="minorHAnsi" w:hAnsiTheme="minorHAnsi"/>
          <w:color w:val="auto"/>
          <w:szCs w:val="24"/>
        </w:rPr>
        <w:t xml:space="preserve">The PEB’s DA </w:t>
      </w:r>
      <w:r w:rsidR="007A1643">
        <w:rPr>
          <w:rFonts w:asciiTheme="minorHAnsi" w:hAnsiTheme="minorHAnsi"/>
          <w:color w:val="auto"/>
          <w:szCs w:val="24"/>
        </w:rPr>
        <w:t xml:space="preserve">Form </w:t>
      </w:r>
      <w:r w:rsidR="00AD7E3B" w:rsidRPr="000765DA">
        <w:rPr>
          <w:rFonts w:asciiTheme="minorHAnsi" w:hAnsiTheme="minorHAnsi"/>
          <w:color w:val="auto"/>
          <w:szCs w:val="24"/>
        </w:rPr>
        <w:t xml:space="preserve">199 reflected </w:t>
      </w:r>
      <w:r w:rsidR="00752BD2" w:rsidRPr="000765DA">
        <w:rPr>
          <w:rFonts w:asciiTheme="minorHAnsi" w:hAnsiTheme="minorHAnsi"/>
          <w:color w:val="auto"/>
          <w:szCs w:val="24"/>
        </w:rPr>
        <w:t xml:space="preserve">likely </w:t>
      </w:r>
      <w:r w:rsidR="00AD7E3B" w:rsidRPr="000765DA">
        <w:rPr>
          <w:rFonts w:asciiTheme="minorHAnsi" w:hAnsiTheme="minorHAnsi"/>
          <w:color w:val="auto"/>
          <w:szCs w:val="24"/>
        </w:rPr>
        <w:t xml:space="preserve">application of the USAPDA pain policy for rating, </w:t>
      </w:r>
      <w:r w:rsidR="00752BD2" w:rsidRPr="000765DA">
        <w:rPr>
          <w:rFonts w:asciiTheme="minorHAnsi" w:hAnsiTheme="minorHAnsi"/>
          <w:color w:val="auto"/>
          <w:szCs w:val="24"/>
        </w:rPr>
        <w:t xml:space="preserve">and </w:t>
      </w:r>
      <w:r w:rsidR="00AD7E3B" w:rsidRPr="000765DA">
        <w:rPr>
          <w:rFonts w:asciiTheme="minorHAnsi" w:hAnsiTheme="minorHAnsi"/>
          <w:color w:val="auto"/>
          <w:szCs w:val="24"/>
        </w:rPr>
        <w:t xml:space="preserve">its 10% determination was </w:t>
      </w:r>
      <w:r w:rsidR="00752BD2" w:rsidRPr="000765DA">
        <w:rPr>
          <w:rFonts w:asciiTheme="minorHAnsi" w:hAnsiTheme="minorHAnsi"/>
          <w:color w:val="auto"/>
          <w:szCs w:val="24"/>
        </w:rPr>
        <w:t xml:space="preserve">not </w:t>
      </w:r>
      <w:r w:rsidR="00AD7E3B" w:rsidRPr="000765DA">
        <w:rPr>
          <w:rFonts w:asciiTheme="minorHAnsi" w:hAnsiTheme="minorHAnsi"/>
          <w:color w:val="auto"/>
          <w:szCs w:val="24"/>
        </w:rPr>
        <w:t>consistent with §4.71a standards</w:t>
      </w:r>
      <w:r w:rsidR="00752BD2" w:rsidRPr="000765DA">
        <w:rPr>
          <w:rFonts w:asciiTheme="minorHAnsi" w:hAnsiTheme="minorHAnsi"/>
          <w:color w:val="auto"/>
          <w:szCs w:val="24"/>
        </w:rPr>
        <w:t xml:space="preserve"> for rating the exam of record</w:t>
      </w:r>
      <w:r w:rsidR="00AD7E3B" w:rsidRPr="000765DA">
        <w:rPr>
          <w:rFonts w:asciiTheme="minorHAnsi" w:hAnsiTheme="minorHAnsi"/>
          <w:color w:val="auto"/>
          <w:szCs w:val="24"/>
        </w:rPr>
        <w:t>.</w:t>
      </w:r>
      <w:r w:rsidR="00752BD2" w:rsidRPr="000765DA">
        <w:rPr>
          <w:rFonts w:asciiTheme="minorHAnsi" w:hAnsiTheme="minorHAnsi"/>
          <w:color w:val="auto"/>
          <w:szCs w:val="24"/>
        </w:rPr>
        <w:t xml:space="preserve">  </w:t>
      </w:r>
      <w:r w:rsidR="004A10CD" w:rsidRPr="000765DA">
        <w:rPr>
          <w:rFonts w:asciiTheme="minorHAnsi" w:hAnsiTheme="minorHAnsi"/>
          <w:color w:val="auto"/>
          <w:szCs w:val="24"/>
        </w:rPr>
        <w:t>All evidence considered and IAW VASRD §4.3, reasonable doubt is resolved in favor of the CI in recommending a separation rating of 20% for the lower back condition</w:t>
      </w:r>
      <w:r w:rsidR="00A26572" w:rsidRPr="000765DA">
        <w:rPr>
          <w:rFonts w:asciiTheme="minorHAnsi" w:hAnsiTheme="minorHAnsi"/>
          <w:color w:val="auto"/>
          <w:szCs w:val="24"/>
        </w:rPr>
        <w:t xml:space="preserve"> for ‘f</w:t>
      </w:r>
      <w:r w:rsidR="00B8163D" w:rsidRPr="000765DA">
        <w:rPr>
          <w:rFonts w:asciiTheme="minorHAnsi" w:hAnsiTheme="minorHAnsi"/>
          <w:color w:val="auto"/>
          <w:szCs w:val="24"/>
        </w:rPr>
        <w:t xml:space="preserve">orward flexion of the </w:t>
      </w:r>
      <w:proofErr w:type="spellStart"/>
      <w:r w:rsidR="00B8163D" w:rsidRPr="000765DA">
        <w:rPr>
          <w:rFonts w:asciiTheme="minorHAnsi" w:hAnsiTheme="minorHAnsi"/>
          <w:color w:val="auto"/>
          <w:szCs w:val="24"/>
        </w:rPr>
        <w:t>thoracolumbar</w:t>
      </w:r>
      <w:proofErr w:type="spellEnd"/>
      <w:r w:rsidR="00B8163D" w:rsidRPr="000765DA">
        <w:rPr>
          <w:rFonts w:asciiTheme="minorHAnsi" w:hAnsiTheme="minorHAnsi"/>
          <w:color w:val="auto"/>
          <w:szCs w:val="24"/>
        </w:rPr>
        <w:t xml:space="preserve"> spine greater than 30 degrees but not greater than 60 degrees</w:t>
      </w:r>
      <w:r w:rsidR="00A26572" w:rsidRPr="000765DA">
        <w:rPr>
          <w:rFonts w:asciiTheme="minorHAnsi" w:hAnsiTheme="minorHAnsi"/>
          <w:color w:val="auto"/>
          <w:szCs w:val="24"/>
        </w:rPr>
        <w:t xml:space="preserve">’ under coding of 5238 Spinal </w:t>
      </w:r>
      <w:proofErr w:type="spellStart"/>
      <w:r w:rsidR="00A26572" w:rsidRPr="000765DA">
        <w:rPr>
          <w:rFonts w:asciiTheme="minorHAnsi" w:hAnsiTheme="minorHAnsi"/>
          <w:color w:val="auto"/>
          <w:szCs w:val="24"/>
        </w:rPr>
        <w:t>stenosis</w:t>
      </w:r>
      <w:proofErr w:type="spellEnd"/>
      <w:r w:rsidR="004A10CD" w:rsidRPr="000765DA">
        <w:rPr>
          <w:rFonts w:asciiTheme="minorHAnsi" w:hAnsiTheme="minorHAnsi"/>
          <w:color w:val="auto"/>
          <w:szCs w:val="24"/>
        </w:rPr>
        <w:t>.</w:t>
      </w:r>
      <w:r w:rsidR="00A26572" w:rsidRPr="000765DA">
        <w:rPr>
          <w:rFonts w:asciiTheme="minorHAnsi" w:hAnsiTheme="minorHAnsi"/>
          <w:color w:val="auto"/>
          <w:szCs w:val="24"/>
        </w:rPr>
        <w:t xml:space="preserve">  </w:t>
      </w:r>
    </w:p>
    <w:p w:rsidR="00D43F3B" w:rsidRPr="000765DA" w:rsidRDefault="00D43F3B" w:rsidP="00A34E0A">
      <w:pPr>
        <w:tabs>
          <w:tab w:val="left" w:pos="288"/>
          <w:tab w:val="left" w:pos="4752"/>
        </w:tabs>
        <w:spacing w:line="240" w:lineRule="exact"/>
        <w:jc w:val="both"/>
        <w:rPr>
          <w:rFonts w:asciiTheme="minorHAnsi" w:hAnsiTheme="minorHAnsi"/>
          <w:color w:val="auto"/>
          <w:szCs w:val="24"/>
        </w:rPr>
      </w:pPr>
    </w:p>
    <w:p w:rsidR="008913DA" w:rsidRPr="000765DA" w:rsidRDefault="008913DA" w:rsidP="00A34E0A">
      <w:pPr>
        <w:tabs>
          <w:tab w:val="left" w:pos="288"/>
          <w:tab w:val="left" w:pos="4752"/>
        </w:tabs>
        <w:spacing w:line="240" w:lineRule="exact"/>
        <w:jc w:val="both"/>
        <w:rPr>
          <w:rFonts w:asciiTheme="minorHAnsi" w:hAnsiTheme="minorHAnsi"/>
          <w:color w:val="auto"/>
          <w:szCs w:val="24"/>
        </w:rPr>
      </w:pPr>
      <w:proofErr w:type="gramStart"/>
      <w:r w:rsidRPr="000765DA">
        <w:rPr>
          <w:rFonts w:asciiTheme="minorHAnsi" w:hAnsiTheme="minorHAnsi"/>
          <w:color w:val="auto"/>
          <w:szCs w:val="24"/>
          <w:u w:val="single"/>
        </w:rPr>
        <w:t>Left Knee Condition</w:t>
      </w:r>
      <w:r w:rsidRPr="000765DA">
        <w:rPr>
          <w:rFonts w:asciiTheme="minorHAnsi" w:hAnsiTheme="minorHAnsi"/>
          <w:color w:val="auto"/>
          <w:szCs w:val="24"/>
        </w:rPr>
        <w:t>.</w:t>
      </w:r>
      <w:proofErr w:type="gramEnd"/>
      <w:r w:rsidRPr="000765DA">
        <w:rPr>
          <w:rFonts w:asciiTheme="minorHAnsi" w:hAnsiTheme="minorHAnsi"/>
          <w:color w:val="auto"/>
          <w:szCs w:val="24"/>
        </w:rPr>
        <w:t xml:space="preserve">  </w:t>
      </w:r>
      <w:r w:rsidR="00A34E0A">
        <w:rPr>
          <w:rFonts w:asciiTheme="minorHAnsi" w:hAnsiTheme="minorHAnsi"/>
          <w:color w:val="auto"/>
          <w:szCs w:val="24"/>
        </w:rPr>
        <w:t>The CI had documented trauma to his left knee and t</w:t>
      </w:r>
      <w:r w:rsidR="00BF0BC5" w:rsidRPr="000765DA">
        <w:rPr>
          <w:rFonts w:asciiTheme="minorHAnsi" w:hAnsiTheme="minorHAnsi"/>
          <w:color w:val="auto"/>
          <w:szCs w:val="24"/>
        </w:rPr>
        <w:t xml:space="preserve">here were multiple left knee exams in the record.  All exams demonstrated painful motion to flexion.  </w:t>
      </w:r>
      <w:proofErr w:type="gramStart"/>
      <w:r w:rsidR="00BF0BC5" w:rsidRPr="000765DA">
        <w:rPr>
          <w:rFonts w:asciiTheme="minorHAnsi" w:hAnsiTheme="minorHAnsi"/>
          <w:color w:val="auto"/>
          <w:szCs w:val="24"/>
        </w:rPr>
        <w:t>Exams proximate to separation</w:t>
      </w:r>
      <w:r w:rsidR="007841F4" w:rsidRPr="000765DA">
        <w:rPr>
          <w:rFonts w:asciiTheme="minorHAnsi" w:hAnsiTheme="minorHAnsi"/>
          <w:color w:val="auto"/>
          <w:szCs w:val="24"/>
        </w:rPr>
        <w:t>,</w:t>
      </w:r>
      <w:r w:rsidR="00BF0BC5" w:rsidRPr="000765DA">
        <w:rPr>
          <w:rFonts w:asciiTheme="minorHAnsi" w:hAnsiTheme="minorHAnsi"/>
          <w:color w:val="auto"/>
          <w:szCs w:val="24"/>
        </w:rPr>
        <w:t xml:space="preserve"> demonstrated limited flexion from 0-108° due to pain.</w:t>
      </w:r>
      <w:proofErr w:type="gramEnd"/>
      <w:r w:rsidR="00BF0BC5" w:rsidRPr="000765DA">
        <w:rPr>
          <w:rFonts w:asciiTheme="minorHAnsi" w:hAnsiTheme="minorHAnsi"/>
          <w:color w:val="auto"/>
          <w:szCs w:val="24"/>
        </w:rPr>
        <w:t xml:space="preserve">  </w:t>
      </w:r>
      <w:r w:rsidR="007841F4" w:rsidRPr="000765DA">
        <w:rPr>
          <w:rFonts w:asciiTheme="minorHAnsi" w:hAnsiTheme="minorHAnsi"/>
          <w:color w:val="auto"/>
          <w:szCs w:val="24"/>
        </w:rPr>
        <w:t xml:space="preserve">There were objective episodes of knee effusion without locking or give-away.  </w:t>
      </w:r>
      <w:r w:rsidR="00BF0BC5" w:rsidRPr="000765DA">
        <w:rPr>
          <w:rFonts w:asciiTheme="minorHAnsi" w:hAnsiTheme="minorHAnsi"/>
          <w:color w:val="auto"/>
          <w:szCs w:val="24"/>
        </w:rPr>
        <w:t xml:space="preserve">The PEB rating stated ‘objective limitation of motion to 120 degrees of flexion, with </w:t>
      </w:r>
      <w:proofErr w:type="spellStart"/>
      <w:r w:rsidR="00BF0BC5" w:rsidRPr="000765DA">
        <w:rPr>
          <w:rFonts w:asciiTheme="minorHAnsi" w:hAnsiTheme="minorHAnsi"/>
          <w:color w:val="auto"/>
          <w:szCs w:val="24"/>
        </w:rPr>
        <w:t>crepitus</w:t>
      </w:r>
      <w:proofErr w:type="spellEnd"/>
      <w:r w:rsidR="00BF0BC5" w:rsidRPr="000765DA">
        <w:rPr>
          <w:rFonts w:asciiTheme="minorHAnsi" w:hAnsiTheme="minorHAnsi"/>
          <w:color w:val="auto"/>
          <w:szCs w:val="24"/>
        </w:rPr>
        <w:t xml:space="preserve">.”  </w:t>
      </w:r>
      <w:r w:rsidR="005A0366" w:rsidRPr="000765DA">
        <w:rPr>
          <w:rFonts w:asciiTheme="minorHAnsi" w:hAnsiTheme="minorHAnsi"/>
          <w:color w:val="auto"/>
          <w:szCs w:val="24"/>
        </w:rPr>
        <w:t xml:space="preserve">The NARSUM referenced focused exam of 20060215 noted ‘Quadriceps tone was poor.’  </w:t>
      </w:r>
      <w:r w:rsidR="006E2B60" w:rsidRPr="000765DA">
        <w:rPr>
          <w:rFonts w:asciiTheme="minorHAnsi" w:hAnsiTheme="minorHAnsi"/>
          <w:color w:val="auto"/>
          <w:szCs w:val="24"/>
        </w:rPr>
        <w:t xml:space="preserve">The VA exam 4 months post separation noted painful flexion to 130° without any instability.  Either exam meets the §4.59, painful motion criteria for a 10% rating without meeting the VASRD 5260 criteria for a higher rating due to limited motion.  The Board considered alternate knee coding under 5259, Cartilage, </w:t>
      </w:r>
      <w:proofErr w:type="spellStart"/>
      <w:r w:rsidR="006E2B60" w:rsidRPr="000765DA">
        <w:rPr>
          <w:rFonts w:asciiTheme="minorHAnsi" w:hAnsiTheme="minorHAnsi"/>
          <w:color w:val="auto"/>
          <w:szCs w:val="24"/>
        </w:rPr>
        <w:t>semilunar</w:t>
      </w:r>
      <w:proofErr w:type="spellEnd"/>
      <w:r w:rsidR="006E2B60" w:rsidRPr="000765DA">
        <w:rPr>
          <w:rFonts w:asciiTheme="minorHAnsi" w:hAnsiTheme="minorHAnsi"/>
          <w:color w:val="auto"/>
          <w:szCs w:val="24"/>
        </w:rPr>
        <w:t>, removal of, symptomatic at 10%, but this coding was not predominat</w:t>
      </w:r>
      <w:r w:rsidR="005A0366" w:rsidRPr="000765DA">
        <w:rPr>
          <w:rFonts w:asciiTheme="minorHAnsi" w:hAnsiTheme="minorHAnsi"/>
          <w:color w:val="auto"/>
          <w:szCs w:val="24"/>
        </w:rPr>
        <w:t>e to the painful motion coding</w:t>
      </w:r>
      <w:r w:rsidR="00A34E0A">
        <w:rPr>
          <w:rFonts w:asciiTheme="minorHAnsi" w:hAnsiTheme="minorHAnsi"/>
          <w:color w:val="auto"/>
          <w:szCs w:val="24"/>
        </w:rPr>
        <w:t xml:space="preserve"> and consideration of non-pain symptoms to the lower back condition</w:t>
      </w:r>
      <w:r w:rsidR="005A0366" w:rsidRPr="000765DA">
        <w:rPr>
          <w:rFonts w:asciiTheme="minorHAnsi" w:hAnsiTheme="minorHAnsi"/>
          <w:color w:val="auto"/>
          <w:szCs w:val="24"/>
        </w:rPr>
        <w:t>.</w:t>
      </w:r>
      <w:r w:rsidR="006E2B60" w:rsidRPr="000765DA">
        <w:rPr>
          <w:rFonts w:asciiTheme="minorHAnsi" w:hAnsiTheme="minorHAnsi"/>
          <w:color w:val="auto"/>
          <w:szCs w:val="24"/>
        </w:rPr>
        <w:t xml:space="preserve"> </w:t>
      </w:r>
      <w:r w:rsidR="007841F4" w:rsidRPr="000765DA">
        <w:rPr>
          <w:rFonts w:asciiTheme="minorHAnsi" w:hAnsiTheme="minorHAnsi"/>
          <w:color w:val="auto"/>
          <w:szCs w:val="24"/>
        </w:rPr>
        <w:t xml:space="preserve"> </w:t>
      </w:r>
      <w:r w:rsidR="006E2B60" w:rsidRPr="000765DA">
        <w:rPr>
          <w:rFonts w:asciiTheme="minorHAnsi" w:hAnsiTheme="minorHAnsi"/>
          <w:color w:val="auto"/>
          <w:szCs w:val="24"/>
        </w:rPr>
        <w:t xml:space="preserve">It could </w:t>
      </w:r>
      <w:r w:rsidR="00A34E0A">
        <w:rPr>
          <w:rFonts w:asciiTheme="minorHAnsi" w:hAnsiTheme="minorHAnsi"/>
          <w:color w:val="auto"/>
          <w:szCs w:val="24"/>
        </w:rPr>
        <w:t xml:space="preserve">therefore </w:t>
      </w:r>
      <w:r w:rsidR="006E2B60" w:rsidRPr="000765DA">
        <w:rPr>
          <w:rFonts w:asciiTheme="minorHAnsi" w:hAnsiTheme="minorHAnsi"/>
          <w:color w:val="auto"/>
          <w:szCs w:val="24"/>
        </w:rPr>
        <w:t xml:space="preserve">not be added as an additional </w:t>
      </w:r>
      <w:r w:rsidR="00A34E0A">
        <w:rPr>
          <w:rFonts w:asciiTheme="minorHAnsi" w:hAnsiTheme="minorHAnsi"/>
          <w:color w:val="auto"/>
          <w:szCs w:val="24"/>
        </w:rPr>
        <w:t xml:space="preserve">knee coding as the CI’s symptoms were </w:t>
      </w:r>
      <w:r w:rsidR="006E2B60" w:rsidRPr="000765DA">
        <w:rPr>
          <w:rFonts w:asciiTheme="minorHAnsi" w:hAnsiTheme="minorHAnsi"/>
          <w:color w:val="auto"/>
          <w:szCs w:val="24"/>
        </w:rPr>
        <w:t xml:space="preserve">already considered under the painful motion rating and </w:t>
      </w:r>
      <w:r w:rsidR="00A34E0A">
        <w:rPr>
          <w:rFonts w:asciiTheme="minorHAnsi" w:hAnsiTheme="minorHAnsi"/>
          <w:color w:val="auto"/>
          <w:szCs w:val="24"/>
        </w:rPr>
        <w:t xml:space="preserve">the lower back rating and </w:t>
      </w:r>
      <w:r w:rsidR="006E2B60" w:rsidRPr="000765DA">
        <w:rPr>
          <w:rFonts w:asciiTheme="minorHAnsi" w:hAnsiTheme="minorHAnsi"/>
          <w:color w:val="auto"/>
          <w:szCs w:val="24"/>
        </w:rPr>
        <w:t xml:space="preserve">it was determined that a second knee rating would be pyramiding.  </w:t>
      </w:r>
      <w:r w:rsidR="007841F4" w:rsidRPr="000765DA">
        <w:rPr>
          <w:rFonts w:asciiTheme="minorHAnsi" w:hAnsiTheme="minorHAnsi"/>
          <w:color w:val="auto"/>
          <w:szCs w:val="24"/>
        </w:rPr>
        <w:t xml:space="preserve">Coding of 5258 (20%) was rejected as there were not documented episodes of locking or </w:t>
      </w:r>
      <w:proofErr w:type="spellStart"/>
      <w:r w:rsidR="007841F4" w:rsidRPr="000765DA">
        <w:rPr>
          <w:rFonts w:asciiTheme="minorHAnsi" w:hAnsiTheme="minorHAnsi"/>
          <w:color w:val="auto"/>
          <w:szCs w:val="24"/>
        </w:rPr>
        <w:t>meniscal</w:t>
      </w:r>
      <w:proofErr w:type="spellEnd"/>
      <w:r w:rsidR="007841F4" w:rsidRPr="000765DA">
        <w:rPr>
          <w:rFonts w:asciiTheme="minorHAnsi" w:hAnsiTheme="minorHAnsi"/>
          <w:color w:val="auto"/>
          <w:szCs w:val="24"/>
        </w:rPr>
        <w:t xml:space="preserve"> signs on exam.  </w:t>
      </w:r>
      <w:r w:rsidR="00A04CD7" w:rsidRPr="000765DA">
        <w:rPr>
          <w:rFonts w:asciiTheme="minorHAnsi" w:hAnsiTheme="minorHAnsi"/>
          <w:color w:val="auto"/>
          <w:szCs w:val="24"/>
        </w:rPr>
        <w:t>Subsequent surgery to the left knee in Dec 2008</w:t>
      </w:r>
      <w:r w:rsidR="00A34E0A">
        <w:rPr>
          <w:rFonts w:asciiTheme="minorHAnsi" w:hAnsiTheme="minorHAnsi"/>
          <w:color w:val="auto"/>
          <w:szCs w:val="24"/>
        </w:rPr>
        <w:t>,</w:t>
      </w:r>
      <w:r w:rsidR="00A04CD7" w:rsidRPr="000765DA">
        <w:rPr>
          <w:rFonts w:asciiTheme="minorHAnsi" w:hAnsiTheme="minorHAnsi"/>
          <w:color w:val="auto"/>
          <w:szCs w:val="24"/>
        </w:rPr>
        <w:t xml:space="preserve"> noted in the VA file</w:t>
      </w:r>
      <w:r w:rsidR="00A34E0A">
        <w:rPr>
          <w:rFonts w:asciiTheme="minorHAnsi" w:hAnsiTheme="minorHAnsi"/>
          <w:color w:val="auto"/>
          <w:szCs w:val="24"/>
        </w:rPr>
        <w:t>,</w:t>
      </w:r>
      <w:r w:rsidR="00A04CD7" w:rsidRPr="000765DA">
        <w:rPr>
          <w:rFonts w:asciiTheme="minorHAnsi" w:hAnsiTheme="minorHAnsi"/>
          <w:color w:val="auto"/>
          <w:szCs w:val="24"/>
        </w:rPr>
        <w:t xml:space="preserve"> was outside of the window for consideration for rating at separation.  </w:t>
      </w:r>
      <w:r w:rsidR="006E2B60" w:rsidRPr="000765DA">
        <w:rPr>
          <w:rFonts w:asciiTheme="minorHAnsi" w:hAnsiTheme="minorHAnsi"/>
          <w:color w:val="auto"/>
          <w:szCs w:val="24"/>
        </w:rPr>
        <w:t>All evidence considered, the Board determined that 5010-5260, Left knee degenerative joint disease due to trauma was the predominate coding at 10%</w:t>
      </w:r>
      <w:r w:rsidR="00B73395" w:rsidRPr="000765DA">
        <w:rPr>
          <w:rFonts w:asciiTheme="minorHAnsi" w:hAnsiTheme="minorHAnsi"/>
          <w:color w:val="auto"/>
          <w:szCs w:val="24"/>
        </w:rPr>
        <w:t xml:space="preserve">.  </w:t>
      </w:r>
    </w:p>
    <w:p w:rsidR="008913DA" w:rsidRPr="000765DA" w:rsidRDefault="008913DA" w:rsidP="00A34E0A">
      <w:pPr>
        <w:tabs>
          <w:tab w:val="left" w:pos="288"/>
          <w:tab w:val="left" w:pos="4752"/>
        </w:tabs>
        <w:spacing w:line="240" w:lineRule="exact"/>
        <w:jc w:val="both"/>
        <w:rPr>
          <w:rFonts w:asciiTheme="minorHAnsi" w:hAnsiTheme="minorHAnsi"/>
          <w:color w:val="auto"/>
          <w:szCs w:val="24"/>
        </w:rPr>
      </w:pPr>
    </w:p>
    <w:p w:rsidR="0073254D" w:rsidRPr="000765DA" w:rsidRDefault="0073254D" w:rsidP="00A34E0A">
      <w:pPr>
        <w:tabs>
          <w:tab w:val="left" w:pos="288"/>
          <w:tab w:val="left" w:pos="4752"/>
        </w:tabs>
        <w:spacing w:line="240" w:lineRule="exact"/>
        <w:jc w:val="both"/>
        <w:rPr>
          <w:rFonts w:asciiTheme="minorHAnsi" w:hAnsiTheme="minorHAnsi"/>
          <w:color w:val="auto"/>
          <w:szCs w:val="24"/>
        </w:rPr>
      </w:pPr>
      <w:proofErr w:type="gramStart"/>
      <w:r w:rsidRPr="000765DA">
        <w:rPr>
          <w:rFonts w:asciiTheme="minorHAnsi" w:hAnsiTheme="minorHAnsi"/>
          <w:color w:val="auto"/>
          <w:szCs w:val="24"/>
          <w:u w:val="single"/>
        </w:rPr>
        <w:t>Other DA 3947 Conditions</w:t>
      </w:r>
      <w:r w:rsidR="00653C87">
        <w:rPr>
          <w:rFonts w:asciiTheme="minorHAnsi" w:hAnsiTheme="minorHAnsi"/>
          <w:color w:val="auto"/>
          <w:szCs w:val="24"/>
        </w:rPr>
        <w:t>.</w:t>
      </w:r>
      <w:proofErr w:type="gramEnd"/>
      <w:r w:rsidR="00B73395" w:rsidRPr="000765DA">
        <w:rPr>
          <w:rFonts w:asciiTheme="minorHAnsi" w:hAnsiTheme="minorHAnsi"/>
          <w:color w:val="auto"/>
          <w:szCs w:val="24"/>
        </w:rPr>
        <w:t xml:space="preserve"> </w:t>
      </w:r>
      <w:r w:rsidRPr="000765DA">
        <w:rPr>
          <w:rFonts w:asciiTheme="minorHAnsi" w:hAnsiTheme="minorHAnsi"/>
          <w:color w:val="auto"/>
          <w:szCs w:val="24"/>
        </w:rPr>
        <w:t xml:space="preserve"> </w:t>
      </w:r>
      <w:r w:rsidR="00B73395" w:rsidRPr="000765DA">
        <w:rPr>
          <w:rFonts w:asciiTheme="minorHAnsi" w:hAnsiTheme="minorHAnsi"/>
          <w:color w:val="auto"/>
          <w:szCs w:val="24"/>
        </w:rPr>
        <w:t xml:space="preserve">Left hip, abdominal (GERD), </w:t>
      </w:r>
      <w:proofErr w:type="spellStart"/>
      <w:r w:rsidR="00B73395" w:rsidRPr="000765DA">
        <w:rPr>
          <w:rFonts w:asciiTheme="minorHAnsi" w:hAnsiTheme="minorHAnsi"/>
          <w:color w:val="auto"/>
          <w:szCs w:val="24"/>
        </w:rPr>
        <w:t>hyperlipidemia</w:t>
      </w:r>
      <w:proofErr w:type="spellEnd"/>
      <w:r w:rsidR="00B73395" w:rsidRPr="000765DA">
        <w:rPr>
          <w:rFonts w:asciiTheme="minorHAnsi" w:hAnsiTheme="minorHAnsi"/>
          <w:color w:val="auto"/>
          <w:szCs w:val="24"/>
        </w:rPr>
        <w:t>, hypertension and bilateral foot (bunions) conditions were determined to be medically acceptable conditions IAW AR 40-501</w:t>
      </w:r>
      <w:r w:rsidRPr="000765DA">
        <w:rPr>
          <w:rFonts w:asciiTheme="minorHAnsi" w:hAnsiTheme="minorHAnsi"/>
          <w:color w:val="auto"/>
          <w:szCs w:val="24"/>
          <w:u w:val="single"/>
        </w:rPr>
        <w:t>)</w:t>
      </w:r>
      <w:r w:rsidRPr="000765DA">
        <w:rPr>
          <w:rFonts w:asciiTheme="minorHAnsi" w:hAnsiTheme="minorHAnsi"/>
          <w:color w:val="auto"/>
          <w:szCs w:val="24"/>
        </w:rPr>
        <w:t xml:space="preserve">.  </w:t>
      </w:r>
      <w:r w:rsidR="00B73395" w:rsidRPr="000765DA">
        <w:rPr>
          <w:rFonts w:asciiTheme="minorHAnsi" w:hAnsiTheme="minorHAnsi"/>
          <w:color w:val="auto"/>
          <w:szCs w:val="24"/>
        </w:rPr>
        <w:t xml:space="preserve">The left hip condition of hip bursitis was not in evidence at the time of MEB/PEB or separation.  The condition was either resolved, or more likely the symptoms were more correctly attributed to </w:t>
      </w:r>
      <w:proofErr w:type="spellStart"/>
      <w:r w:rsidR="00B73395" w:rsidRPr="000765DA">
        <w:rPr>
          <w:rFonts w:asciiTheme="minorHAnsi" w:hAnsiTheme="minorHAnsi"/>
          <w:color w:val="auto"/>
          <w:szCs w:val="24"/>
        </w:rPr>
        <w:t>radicular</w:t>
      </w:r>
      <w:proofErr w:type="spellEnd"/>
      <w:r w:rsidR="00B73395" w:rsidRPr="000765DA">
        <w:rPr>
          <w:rFonts w:asciiTheme="minorHAnsi" w:hAnsiTheme="minorHAnsi"/>
          <w:color w:val="auto"/>
          <w:szCs w:val="24"/>
        </w:rPr>
        <w:t xml:space="preserve"> pain due to the CI’s lower back condition.  The abdominal condition was under therapy and there was no indication that it interfered with duty.  </w:t>
      </w:r>
      <w:proofErr w:type="spellStart"/>
      <w:r w:rsidR="00B73395" w:rsidRPr="000765DA">
        <w:rPr>
          <w:rFonts w:asciiTheme="minorHAnsi" w:hAnsiTheme="minorHAnsi"/>
          <w:color w:val="auto"/>
          <w:szCs w:val="24"/>
        </w:rPr>
        <w:t>Hyperlipidemia</w:t>
      </w:r>
      <w:proofErr w:type="spellEnd"/>
      <w:r w:rsidR="00B73395" w:rsidRPr="000765DA">
        <w:rPr>
          <w:rFonts w:asciiTheme="minorHAnsi" w:hAnsiTheme="minorHAnsi"/>
          <w:color w:val="auto"/>
          <w:szCs w:val="24"/>
        </w:rPr>
        <w:t xml:space="preserve"> is an abnormal laboratory test and is not a physical disability.  There is no indication that either hypertension or bilateral foot conditions (bunions) led to any duty limitations.  None of the above conditions </w:t>
      </w:r>
      <w:r w:rsidRPr="000765DA">
        <w:rPr>
          <w:rFonts w:asciiTheme="minorHAnsi" w:hAnsiTheme="minorHAnsi"/>
          <w:color w:val="auto"/>
          <w:szCs w:val="24"/>
        </w:rPr>
        <w:t>w</w:t>
      </w:r>
      <w:r w:rsidR="00B73395" w:rsidRPr="000765DA">
        <w:rPr>
          <w:rFonts w:asciiTheme="minorHAnsi" w:hAnsiTheme="minorHAnsi"/>
          <w:color w:val="auto"/>
          <w:szCs w:val="24"/>
        </w:rPr>
        <w:t>ere</w:t>
      </w:r>
      <w:r w:rsidRPr="000765DA">
        <w:rPr>
          <w:rFonts w:asciiTheme="minorHAnsi" w:hAnsiTheme="minorHAnsi"/>
          <w:color w:val="auto"/>
          <w:szCs w:val="24"/>
        </w:rPr>
        <w:t xml:space="preserve"> profiled </w:t>
      </w:r>
      <w:r w:rsidR="00B73395" w:rsidRPr="000765DA">
        <w:rPr>
          <w:rFonts w:asciiTheme="minorHAnsi" w:hAnsiTheme="minorHAnsi"/>
          <w:color w:val="auto"/>
          <w:szCs w:val="24"/>
        </w:rPr>
        <w:t>or</w:t>
      </w:r>
      <w:r w:rsidRPr="000765DA">
        <w:rPr>
          <w:rFonts w:asciiTheme="minorHAnsi" w:hAnsiTheme="minorHAnsi"/>
          <w:color w:val="auto"/>
          <w:szCs w:val="24"/>
        </w:rPr>
        <w:t xml:space="preserve"> identified as impairment</w:t>
      </w:r>
      <w:r w:rsidR="00B73395" w:rsidRPr="000765DA">
        <w:rPr>
          <w:rFonts w:asciiTheme="minorHAnsi" w:hAnsiTheme="minorHAnsi"/>
          <w:color w:val="auto"/>
          <w:szCs w:val="24"/>
        </w:rPr>
        <w:t>s</w:t>
      </w:r>
      <w:r w:rsidRPr="000765DA">
        <w:rPr>
          <w:rFonts w:asciiTheme="minorHAnsi" w:hAnsiTheme="minorHAnsi"/>
          <w:color w:val="auto"/>
          <w:szCs w:val="24"/>
        </w:rPr>
        <w:t xml:space="preserve"> in the Commander’s statemen</w:t>
      </w:r>
      <w:r w:rsidR="00B73395" w:rsidRPr="000765DA">
        <w:rPr>
          <w:rFonts w:asciiTheme="minorHAnsi" w:hAnsiTheme="minorHAnsi"/>
          <w:color w:val="auto"/>
          <w:szCs w:val="24"/>
        </w:rPr>
        <w:t>t or narrative summaries</w:t>
      </w:r>
      <w:r w:rsidRPr="000765DA">
        <w:rPr>
          <w:rFonts w:asciiTheme="minorHAnsi" w:hAnsiTheme="minorHAnsi"/>
          <w:color w:val="auto"/>
          <w:szCs w:val="24"/>
        </w:rPr>
        <w:t>.  All evidence considered</w:t>
      </w:r>
      <w:proofErr w:type="gramStart"/>
      <w:r w:rsidRPr="000765DA">
        <w:rPr>
          <w:rFonts w:asciiTheme="minorHAnsi" w:hAnsiTheme="minorHAnsi"/>
          <w:color w:val="auto"/>
          <w:szCs w:val="24"/>
        </w:rPr>
        <w:t>,</w:t>
      </w:r>
      <w:proofErr w:type="gramEnd"/>
      <w:r w:rsidRPr="000765DA">
        <w:rPr>
          <w:rFonts w:asciiTheme="minorHAnsi" w:hAnsiTheme="minorHAnsi"/>
          <w:color w:val="auto"/>
          <w:szCs w:val="24"/>
        </w:rPr>
        <w:t xml:space="preserve"> there is not reasonable doubt in the CI’s favor supporting </w:t>
      </w:r>
      <w:proofErr w:type="spellStart"/>
      <w:r w:rsidRPr="000765DA">
        <w:rPr>
          <w:rFonts w:asciiTheme="minorHAnsi" w:hAnsiTheme="minorHAnsi"/>
          <w:color w:val="auto"/>
          <w:szCs w:val="24"/>
        </w:rPr>
        <w:t>recharacterization</w:t>
      </w:r>
      <w:proofErr w:type="spellEnd"/>
      <w:r w:rsidRPr="000765DA">
        <w:rPr>
          <w:rFonts w:asciiTheme="minorHAnsi" w:hAnsiTheme="minorHAnsi"/>
          <w:color w:val="auto"/>
          <w:szCs w:val="24"/>
        </w:rPr>
        <w:t xml:space="preserve"> of the PEB fitness adjudication for the </w:t>
      </w:r>
      <w:r w:rsidR="00B73395" w:rsidRPr="000765DA">
        <w:rPr>
          <w:rFonts w:asciiTheme="minorHAnsi" w:hAnsiTheme="minorHAnsi"/>
          <w:color w:val="auto"/>
          <w:szCs w:val="24"/>
        </w:rPr>
        <w:t xml:space="preserve">Left hip, abdominal (GERD), </w:t>
      </w:r>
      <w:proofErr w:type="spellStart"/>
      <w:r w:rsidR="00B73395" w:rsidRPr="000765DA">
        <w:rPr>
          <w:rFonts w:asciiTheme="minorHAnsi" w:hAnsiTheme="minorHAnsi"/>
          <w:color w:val="auto"/>
          <w:szCs w:val="24"/>
        </w:rPr>
        <w:t>hyperlipidemia</w:t>
      </w:r>
      <w:proofErr w:type="spellEnd"/>
      <w:r w:rsidR="00B73395" w:rsidRPr="000765DA">
        <w:rPr>
          <w:rFonts w:asciiTheme="minorHAnsi" w:hAnsiTheme="minorHAnsi"/>
          <w:color w:val="auto"/>
          <w:szCs w:val="24"/>
        </w:rPr>
        <w:t>, hypertension, or bilateral foot (bunions) conditions</w:t>
      </w:r>
      <w:r w:rsidRPr="000765DA">
        <w:rPr>
          <w:rFonts w:asciiTheme="minorHAnsi" w:hAnsiTheme="minorHAnsi"/>
          <w:color w:val="auto"/>
          <w:szCs w:val="24"/>
        </w:rPr>
        <w:t>.</w:t>
      </w:r>
    </w:p>
    <w:p w:rsidR="0073254D" w:rsidRPr="000765DA" w:rsidRDefault="0073254D" w:rsidP="00A34E0A">
      <w:pPr>
        <w:tabs>
          <w:tab w:val="left" w:pos="288"/>
          <w:tab w:val="left" w:pos="4752"/>
        </w:tabs>
        <w:spacing w:line="240" w:lineRule="exact"/>
        <w:jc w:val="both"/>
        <w:rPr>
          <w:rFonts w:asciiTheme="minorHAnsi" w:hAnsiTheme="minorHAnsi"/>
          <w:color w:val="000080"/>
          <w:szCs w:val="24"/>
          <w:u w:val="single"/>
        </w:rPr>
      </w:pPr>
    </w:p>
    <w:p w:rsidR="008E2D99" w:rsidRPr="000765DA" w:rsidRDefault="00B73395" w:rsidP="00A34E0A">
      <w:pPr>
        <w:tabs>
          <w:tab w:val="left" w:pos="288"/>
          <w:tab w:val="left" w:pos="4752"/>
        </w:tabs>
        <w:spacing w:line="240" w:lineRule="exact"/>
        <w:jc w:val="both"/>
        <w:rPr>
          <w:rFonts w:asciiTheme="minorHAnsi" w:eastAsiaTheme="minorHAnsi" w:hAnsiTheme="minorHAnsi"/>
          <w:color w:val="auto"/>
          <w:szCs w:val="24"/>
        </w:rPr>
      </w:pPr>
      <w:proofErr w:type="gramStart"/>
      <w:r w:rsidRPr="000765DA">
        <w:rPr>
          <w:rFonts w:asciiTheme="minorHAnsi" w:hAnsiTheme="minorHAnsi"/>
          <w:color w:val="auto"/>
          <w:szCs w:val="24"/>
          <w:u w:val="single"/>
        </w:rPr>
        <w:t>Other Condition – Diabetes Mellitus</w:t>
      </w:r>
      <w:r w:rsidR="002C6E5B" w:rsidRPr="000765DA">
        <w:rPr>
          <w:rFonts w:asciiTheme="minorHAnsi" w:hAnsiTheme="minorHAnsi"/>
          <w:color w:val="auto"/>
          <w:szCs w:val="24"/>
        </w:rPr>
        <w:t>.</w:t>
      </w:r>
      <w:proofErr w:type="gramEnd"/>
      <w:r w:rsidR="002C6E5B" w:rsidRPr="000765DA">
        <w:rPr>
          <w:rFonts w:asciiTheme="minorHAnsi" w:hAnsiTheme="minorHAnsi"/>
          <w:color w:val="auto"/>
          <w:szCs w:val="24"/>
        </w:rPr>
        <w:t xml:space="preserve">  </w:t>
      </w:r>
      <w:r w:rsidR="00183F77" w:rsidRPr="000765DA">
        <w:rPr>
          <w:rFonts w:asciiTheme="minorHAnsi" w:hAnsiTheme="minorHAnsi"/>
          <w:color w:val="auto"/>
          <w:szCs w:val="24"/>
        </w:rPr>
        <w:t xml:space="preserve">The </w:t>
      </w:r>
      <w:r w:rsidRPr="000765DA">
        <w:rPr>
          <w:rFonts w:asciiTheme="minorHAnsi" w:hAnsiTheme="minorHAnsi"/>
          <w:color w:val="auto"/>
          <w:szCs w:val="24"/>
        </w:rPr>
        <w:t>CI contends for addition of Diabetes Mellitus as a new unfitting condition at time of separation with subsequent rating.  There was no mention of Diabetes Mellitus</w:t>
      </w:r>
      <w:r w:rsidR="004A10CD" w:rsidRPr="000765DA">
        <w:rPr>
          <w:rFonts w:asciiTheme="minorHAnsi" w:hAnsiTheme="minorHAnsi"/>
          <w:color w:val="auto"/>
          <w:szCs w:val="24"/>
        </w:rPr>
        <w:t>, or any precursor that could be attributed to Diabetes Mellitus</w:t>
      </w:r>
      <w:r w:rsidRPr="000765DA">
        <w:rPr>
          <w:rFonts w:asciiTheme="minorHAnsi" w:hAnsiTheme="minorHAnsi"/>
          <w:color w:val="auto"/>
          <w:szCs w:val="24"/>
        </w:rPr>
        <w:t xml:space="preserve"> in the</w:t>
      </w:r>
      <w:r w:rsidR="004A10CD" w:rsidRPr="000765DA">
        <w:rPr>
          <w:rFonts w:asciiTheme="minorHAnsi" w:hAnsiTheme="minorHAnsi"/>
          <w:color w:val="auto"/>
          <w:szCs w:val="24"/>
        </w:rPr>
        <w:t xml:space="preserve"> DES file.  The CI’s application indicated that Diabetes Mellitus was diagnosed 2-3 days prior to his separation from the service</w:t>
      </w:r>
      <w:r w:rsidR="00653C87">
        <w:rPr>
          <w:rFonts w:asciiTheme="minorHAnsi" w:hAnsiTheme="minorHAnsi"/>
          <w:color w:val="auto"/>
          <w:szCs w:val="24"/>
        </w:rPr>
        <w:t xml:space="preserve"> and it was noted in his treatment record</w:t>
      </w:r>
      <w:r w:rsidR="004A10CD" w:rsidRPr="000765DA">
        <w:rPr>
          <w:rFonts w:asciiTheme="minorHAnsi" w:hAnsiTheme="minorHAnsi"/>
          <w:color w:val="auto"/>
          <w:szCs w:val="24"/>
        </w:rPr>
        <w:t xml:space="preserve">.  </w:t>
      </w:r>
      <w:r w:rsidR="00960357" w:rsidRPr="000765DA">
        <w:rPr>
          <w:rFonts w:asciiTheme="minorHAnsi" w:eastAsiaTheme="minorHAnsi" w:hAnsiTheme="minorHAnsi"/>
          <w:color w:val="auto"/>
          <w:szCs w:val="24"/>
        </w:rPr>
        <w:t>T</w:t>
      </w:r>
      <w:r w:rsidR="00F3197A" w:rsidRPr="000765DA">
        <w:rPr>
          <w:rFonts w:asciiTheme="minorHAnsi" w:hAnsiTheme="minorHAnsi"/>
          <w:color w:val="auto"/>
          <w:szCs w:val="24"/>
        </w:rPr>
        <w:t xml:space="preserve">he Board does not have the authority under </w:t>
      </w:r>
      <w:proofErr w:type="spellStart"/>
      <w:r w:rsidR="00F3197A" w:rsidRPr="000765DA">
        <w:rPr>
          <w:rFonts w:asciiTheme="minorHAnsi" w:hAnsiTheme="minorHAnsi"/>
          <w:color w:val="auto"/>
          <w:szCs w:val="24"/>
        </w:rPr>
        <w:t>DoDI</w:t>
      </w:r>
      <w:proofErr w:type="spellEnd"/>
      <w:r w:rsidR="00F3197A" w:rsidRPr="000765DA">
        <w:rPr>
          <w:rFonts w:asciiTheme="minorHAnsi" w:hAnsiTheme="minorHAnsi"/>
          <w:color w:val="auto"/>
          <w:szCs w:val="24"/>
        </w:rPr>
        <w:t xml:space="preserve"> </w:t>
      </w:r>
      <w:r w:rsidR="00F3197A" w:rsidRPr="000765DA">
        <w:rPr>
          <w:rFonts w:asciiTheme="minorHAnsi" w:eastAsiaTheme="minorHAnsi" w:hAnsiTheme="minorHAnsi"/>
          <w:color w:val="auto"/>
          <w:szCs w:val="24"/>
        </w:rPr>
        <w:t xml:space="preserve">6040.44 to render fitness or rating recommendations for any conditions not considered by the DES.  </w:t>
      </w:r>
      <w:r w:rsidR="00EB3823" w:rsidRPr="000765DA">
        <w:rPr>
          <w:rFonts w:asciiTheme="minorHAnsi" w:eastAsiaTheme="minorHAnsi" w:hAnsiTheme="minorHAnsi"/>
          <w:color w:val="auto"/>
          <w:szCs w:val="24"/>
        </w:rPr>
        <w:t xml:space="preserve">The </w:t>
      </w:r>
      <w:r w:rsidRPr="000765DA">
        <w:rPr>
          <w:rFonts w:asciiTheme="minorHAnsi" w:hAnsiTheme="minorHAnsi"/>
          <w:color w:val="auto"/>
          <w:szCs w:val="24"/>
        </w:rPr>
        <w:t>Diabetes Mellitus</w:t>
      </w:r>
      <w:r w:rsidR="00EB3823" w:rsidRPr="000765DA">
        <w:rPr>
          <w:rFonts w:asciiTheme="minorHAnsi" w:eastAsiaTheme="minorHAnsi" w:hAnsiTheme="minorHAnsi"/>
          <w:color w:val="auto"/>
          <w:szCs w:val="24"/>
        </w:rPr>
        <w:t xml:space="preserve"> and</w:t>
      </w:r>
      <w:r w:rsidR="00DE6952" w:rsidRPr="000765DA">
        <w:rPr>
          <w:rFonts w:asciiTheme="minorHAnsi" w:eastAsiaTheme="minorHAnsi" w:hAnsiTheme="minorHAnsi"/>
          <w:color w:val="auto"/>
          <w:szCs w:val="24"/>
        </w:rPr>
        <w:t xml:space="preserve"> any contend</w:t>
      </w:r>
      <w:r w:rsidR="00EB3823" w:rsidRPr="000765DA">
        <w:rPr>
          <w:rFonts w:asciiTheme="minorHAnsi" w:eastAsiaTheme="minorHAnsi" w:hAnsiTheme="minorHAnsi"/>
          <w:color w:val="auto"/>
          <w:szCs w:val="24"/>
        </w:rPr>
        <w:t xml:space="preserve">ed conditions not </w:t>
      </w:r>
      <w:proofErr w:type="gramStart"/>
      <w:r w:rsidR="00EB3823" w:rsidRPr="000765DA">
        <w:rPr>
          <w:rFonts w:asciiTheme="minorHAnsi" w:eastAsiaTheme="minorHAnsi" w:hAnsiTheme="minorHAnsi"/>
          <w:color w:val="auto"/>
          <w:szCs w:val="24"/>
        </w:rPr>
        <w:t>covered</w:t>
      </w:r>
      <w:proofErr w:type="gramEnd"/>
      <w:r w:rsidR="00EB3823" w:rsidRPr="000765DA">
        <w:rPr>
          <w:rFonts w:asciiTheme="minorHAnsi" w:eastAsiaTheme="minorHAnsi" w:hAnsiTheme="minorHAnsi"/>
          <w:color w:val="auto"/>
          <w:szCs w:val="24"/>
        </w:rPr>
        <w:t xml:space="preserve"> above</w:t>
      </w:r>
      <w:r w:rsidR="00DE6952" w:rsidRPr="000765DA">
        <w:rPr>
          <w:rFonts w:asciiTheme="minorHAnsi" w:eastAsiaTheme="minorHAnsi" w:hAnsiTheme="minorHAnsi"/>
          <w:color w:val="auto"/>
          <w:szCs w:val="24"/>
        </w:rPr>
        <w:t xml:space="preserve"> re</w:t>
      </w:r>
      <w:r w:rsidR="00EB3823" w:rsidRPr="000765DA">
        <w:rPr>
          <w:rFonts w:asciiTheme="minorHAnsi" w:eastAsiaTheme="minorHAnsi" w:hAnsiTheme="minorHAnsi"/>
          <w:color w:val="auto"/>
          <w:szCs w:val="24"/>
        </w:rPr>
        <w:t>main</w:t>
      </w:r>
      <w:r w:rsidR="00DE6952" w:rsidRPr="000765DA">
        <w:rPr>
          <w:rFonts w:asciiTheme="minorHAnsi" w:eastAsiaTheme="minorHAnsi" w:hAnsiTheme="minorHAnsi"/>
          <w:color w:val="auto"/>
          <w:szCs w:val="24"/>
        </w:rPr>
        <w:t xml:space="preserve"> eligible for </w:t>
      </w:r>
      <w:r w:rsidR="00E3632B">
        <w:rPr>
          <w:rFonts w:asciiTheme="minorHAnsi" w:eastAsiaTheme="minorHAnsi" w:hAnsiTheme="minorHAnsi"/>
          <w:color w:val="auto"/>
          <w:szCs w:val="24"/>
        </w:rPr>
        <w:t xml:space="preserve">Army Board </w:t>
      </w:r>
      <w:r w:rsidR="00990D9F">
        <w:rPr>
          <w:rFonts w:asciiTheme="minorHAnsi" w:eastAsiaTheme="minorHAnsi" w:hAnsiTheme="minorHAnsi"/>
          <w:color w:val="auto"/>
          <w:szCs w:val="24"/>
        </w:rPr>
        <w:t>for</w:t>
      </w:r>
      <w:r w:rsidR="00E3632B">
        <w:rPr>
          <w:rFonts w:asciiTheme="minorHAnsi" w:eastAsiaTheme="minorHAnsi" w:hAnsiTheme="minorHAnsi"/>
          <w:color w:val="auto"/>
          <w:szCs w:val="24"/>
        </w:rPr>
        <w:t xml:space="preserve"> Correction </w:t>
      </w:r>
      <w:r w:rsidR="00990D9F">
        <w:rPr>
          <w:rFonts w:asciiTheme="minorHAnsi" w:eastAsiaTheme="minorHAnsi" w:hAnsiTheme="minorHAnsi"/>
          <w:color w:val="auto"/>
          <w:szCs w:val="24"/>
        </w:rPr>
        <w:t>of</w:t>
      </w:r>
      <w:r w:rsidR="00E3632B">
        <w:rPr>
          <w:rFonts w:asciiTheme="minorHAnsi" w:eastAsiaTheme="minorHAnsi" w:hAnsiTheme="minorHAnsi"/>
          <w:color w:val="auto"/>
          <w:szCs w:val="24"/>
        </w:rPr>
        <w:t xml:space="preserve"> Military Records (</w:t>
      </w:r>
      <w:r w:rsidR="00DE6952" w:rsidRPr="000765DA">
        <w:rPr>
          <w:rFonts w:asciiTheme="minorHAnsi" w:eastAsiaTheme="minorHAnsi" w:hAnsiTheme="minorHAnsi"/>
          <w:color w:val="auto"/>
          <w:szCs w:val="24"/>
        </w:rPr>
        <w:t>ABC</w:t>
      </w:r>
      <w:r w:rsidR="00653C87">
        <w:rPr>
          <w:rFonts w:asciiTheme="minorHAnsi" w:eastAsiaTheme="minorHAnsi" w:hAnsiTheme="minorHAnsi"/>
          <w:color w:val="auto"/>
          <w:szCs w:val="24"/>
        </w:rPr>
        <w:t>M</w:t>
      </w:r>
      <w:r w:rsidR="00DE6952" w:rsidRPr="000765DA">
        <w:rPr>
          <w:rFonts w:asciiTheme="minorHAnsi" w:eastAsiaTheme="minorHAnsi" w:hAnsiTheme="minorHAnsi"/>
          <w:color w:val="auto"/>
          <w:szCs w:val="24"/>
        </w:rPr>
        <w:t>R</w:t>
      </w:r>
      <w:r w:rsidR="00E3632B">
        <w:rPr>
          <w:rFonts w:asciiTheme="minorHAnsi" w:eastAsiaTheme="minorHAnsi" w:hAnsiTheme="minorHAnsi"/>
          <w:color w:val="auto"/>
          <w:szCs w:val="24"/>
        </w:rPr>
        <w:t>)</w:t>
      </w:r>
      <w:r w:rsidR="00DE6952" w:rsidRPr="000765DA">
        <w:rPr>
          <w:rFonts w:asciiTheme="minorHAnsi" w:eastAsiaTheme="minorHAnsi" w:hAnsiTheme="minorHAnsi"/>
          <w:color w:val="auto"/>
          <w:szCs w:val="24"/>
        </w:rPr>
        <w:t xml:space="preserve"> consideration.  </w:t>
      </w:r>
      <w:r w:rsidR="0024174E" w:rsidRPr="000765DA">
        <w:rPr>
          <w:rFonts w:asciiTheme="minorHAnsi" w:eastAsiaTheme="minorHAnsi" w:hAnsiTheme="minorHAnsi"/>
          <w:color w:val="auto"/>
          <w:szCs w:val="24"/>
        </w:rPr>
        <w:t>No other condition</w:t>
      </w:r>
      <w:r w:rsidRPr="000765DA">
        <w:rPr>
          <w:rFonts w:asciiTheme="minorHAnsi" w:eastAsiaTheme="minorHAnsi" w:hAnsiTheme="minorHAnsi"/>
          <w:color w:val="auto"/>
          <w:szCs w:val="24"/>
        </w:rPr>
        <w:t>s were service connected with a</w:t>
      </w:r>
      <w:r w:rsidR="0024174E" w:rsidRPr="000765DA">
        <w:rPr>
          <w:rFonts w:asciiTheme="minorHAnsi" w:eastAsiaTheme="minorHAnsi" w:hAnsiTheme="minorHAnsi"/>
          <w:color w:val="auto"/>
          <w:szCs w:val="24"/>
        </w:rPr>
        <w:t xml:space="preserve"> compensable rating by the VA within twelve months of separation. </w:t>
      </w:r>
      <w:r w:rsidR="00092219" w:rsidRPr="000765DA">
        <w:rPr>
          <w:rFonts w:asciiTheme="minorHAnsi" w:eastAsiaTheme="minorHAnsi" w:hAnsiTheme="minorHAnsi"/>
          <w:color w:val="auto"/>
          <w:szCs w:val="24"/>
        </w:rPr>
        <w:t xml:space="preserve"> </w:t>
      </w:r>
      <w:r w:rsidR="006B07D5" w:rsidRPr="000765DA">
        <w:rPr>
          <w:rFonts w:asciiTheme="minorHAnsi" w:hAnsiTheme="minorHAnsi"/>
          <w:color w:val="auto"/>
          <w:szCs w:val="24"/>
        </w:rPr>
        <w:t>The Board, therefore, has no reasonable basis for recommending any additional unfitting conditions for separation rating.</w:t>
      </w:r>
      <w:r w:rsidR="005A0366" w:rsidRPr="000765DA">
        <w:rPr>
          <w:rFonts w:asciiTheme="minorHAnsi" w:hAnsiTheme="minorHAnsi"/>
          <w:color w:val="auto"/>
          <w:szCs w:val="24"/>
        </w:rPr>
        <w:t xml:space="preserve">  </w:t>
      </w:r>
    </w:p>
    <w:p w:rsidR="005A0366" w:rsidRPr="000765DA" w:rsidRDefault="00C56FC8" w:rsidP="00A34E0A">
      <w:pPr>
        <w:spacing w:line="240" w:lineRule="exact"/>
        <w:jc w:val="both"/>
        <w:rPr>
          <w:rFonts w:asciiTheme="minorHAnsi" w:hAnsiTheme="minorHAnsi"/>
          <w:color w:val="auto"/>
          <w:szCs w:val="24"/>
        </w:rPr>
      </w:pPr>
      <w:r w:rsidRPr="000765DA">
        <w:rPr>
          <w:rFonts w:asciiTheme="minorHAnsi" w:hAnsiTheme="minorHAnsi"/>
          <w:color w:val="auto"/>
          <w:szCs w:val="24"/>
          <w:u w:val="single"/>
        </w:rPr>
        <w:lastRenderedPageBreak/>
        <w:t>BOARD FINDINGS</w:t>
      </w:r>
      <w:r w:rsidRPr="000765DA">
        <w:rPr>
          <w:rFonts w:asciiTheme="minorHAnsi" w:hAnsiTheme="minorHAnsi"/>
          <w:color w:val="auto"/>
          <w:szCs w:val="24"/>
        </w:rPr>
        <w:t>:</w:t>
      </w:r>
      <w:r w:rsidRPr="000765DA">
        <w:rPr>
          <w:rFonts w:asciiTheme="minorHAnsi" w:eastAsiaTheme="minorHAnsi" w:hAnsiTheme="minorHAnsi"/>
          <w:color w:val="auto"/>
          <w:szCs w:val="24"/>
        </w:rPr>
        <w:t xml:space="preserve">  IAW </w:t>
      </w:r>
      <w:proofErr w:type="spellStart"/>
      <w:r w:rsidRPr="000765DA">
        <w:rPr>
          <w:rFonts w:asciiTheme="minorHAnsi" w:eastAsiaTheme="minorHAnsi" w:hAnsiTheme="minorHAnsi"/>
          <w:color w:val="auto"/>
          <w:szCs w:val="24"/>
        </w:rPr>
        <w:t>DoDI</w:t>
      </w:r>
      <w:proofErr w:type="spellEnd"/>
      <w:r w:rsidRPr="000765DA">
        <w:rPr>
          <w:rFonts w:asciiTheme="minorHAnsi" w:eastAsiaTheme="minorHAnsi" w:hAnsiTheme="minorHAnsi"/>
          <w:color w:val="auto"/>
          <w:szCs w:val="24"/>
        </w:rPr>
        <w:t xml:space="preserve"> 6040.44, provisions of </w:t>
      </w:r>
      <w:proofErr w:type="spellStart"/>
      <w:r w:rsidRPr="000765DA">
        <w:rPr>
          <w:rFonts w:asciiTheme="minorHAnsi" w:eastAsiaTheme="minorHAnsi" w:hAnsiTheme="minorHAnsi"/>
          <w:color w:val="auto"/>
          <w:szCs w:val="24"/>
        </w:rPr>
        <w:t>DoD</w:t>
      </w:r>
      <w:proofErr w:type="spellEnd"/>
      <w:r w:rsidRPr="000765DA">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0765DA">
        <w:rPr>
          <w:rFonts w:asciiTheme="minorHAnsi" w:eastAsiaTheme="minorHAnsi" w:hAnsiTheme="minorHAnsi"/>
          <w:color w:val="auto"/>
          <w:szCs w:val="24"/>
        </w:rPr>
        <w:t xml:space="preserve"> </w:t>
      </w:r>
      <w:r w:rsidRPr="000765DA">
        <w:rPr>
          <w:rFonts w:asciiTheme="minorHAnsi" w:eastAsiaTheme="minorHAnsi" w:hAnsiTheme="minorHAnsi"/>
          <w:color w:val="auto"/>
          <w:szCs w:val="24"/>
        </w:rPr>
        <w:t xml:space="preserve">As discussed above, PEB reliance on the USAPDA pain policy for rating </w:t>
      </w:r>
      <w:r w:rsidR="00A05109" w:rsidRPr="000765DA">
        <w:rPr>
          <w:rFonts w:asciiTheme="minorHAnsi" w:eastAsiaTheme="minorHAnsi" w:hAnsiTheme="minorHAnsi"/>
          <w:color w:val="auto"/>
          <w:szCs w:val="24"/>
        </w:rPr>
        <w:t>the lower back condition</w:t>
      </w:r>
      <w:r w:rsidRPr="000765DA">
        <w:rPr>
          <w:rFonts w:asciiTheme="minorHAnsi" w:eastAsiaTheme="minorHAnsi" w:hAnsiTheme="minorHAnsi"/>
          <w:color w:val="auto"/>
          <w:szCs w:val="24"/>
        </w:rPr>
        <w:t xml:space="preserve"> was operant in this case </w:t>
      </w:r>
      <w:proofErr w:type="gramStart"/>
      <w:r w:rsidRPr="000765DA">
        <w:rPr>
          <w:rFonts w:asciiTheme="minorHAnsi" w:eastAsiaTheme="minorHAnsi" w:hAnsiTheme="minorHAnsi"/>
          <w:color w:val="auto"/>
          <w:szCs w:val="24"/>
        </w:rPr>
        <w:t>and</w:t>
      </w:r>
      <w:proofErr w:type="gramEnd"/>
      <w:r w:rsidRPr="000765DA">
        <w:rPr>
          <w:rFonts w:asciiTheme="minorHAnsi" w:eastAsiaTheme="minorHAnsi" w:hAnsiTheme="minorHAnsi"/>
          <w:color w:val="auto"/>
          <w:szCs w:val="24"/>
        </w:rPr>
        <w:t xml:space="preserve"> the condition was adjudicated independently of that policy by the Board. </w:t>
      </w:r>
      <w:r w:rsidR="007841F4" w:rsidRPr="000765DA">
        <w:rPr>
          <w:rFonts w:asciiTheme="minorHAnsi" w:eastAsiaTheme="minorHAnsi" w:hAnsiTheme="minorHAnsi"/>
          <w:color w:val="auto"/>
          <w:szCs w:val="24"/>
        </w:rPr>
        <w:t xml:space="preserve"> </w:t>
      </w:r>
      <w:r w:rsidR="00092219" w:rsidRPr="000765DA">
        <w:rPr>
          <w:rFonts w:asciiTheme="minorHAnsi" w:hAnsiTheme="minorHAnsi"/>
          <w:color w:val="auto"/>
          <w:szCs w:val="24"/>
        </w:rPr>
        <w:t xml:space="preserve">In the matter of the lower back condition, the Board unanimously recommends a rating of 20% coded 5238 IAW VASRD §4.71a.  In the matter of the </w:t>
      </w:r>
      <w:r w:rsidR="007841F4" w:rsidRPr="000765DA">
        <w:rPr>
          <w:rFonts w:asciiTheme="minorHAnsi" w:hAnsiTheme="minorHAnsi"/>
          <w:color w:val="auto"/>
          <w:szCs w:val="24"/>
        </w:rPr>
        <w:t>left knee</w:t>
      </w:r>
      <w:r w:rsidR="00092219" w:rsidRPr="000765DA">
        <w:rPr>
          <w:rFonts w:asciiTheme="minorHAnsi" w:hAnsiTheme="minorHAnsi"/>
          <w:color w:val="auto"/>
          <w:szCs w:val="24"/>
        </w:rPr>
        <w:t xml:space="preserve"> condition, the Board unanimously recommends a rating of </w:t>
      </w:r>
      <w:r w:rsidR="007841F4" w:rsidRPr="000765DA">
        <w:rPr>
          <w:rFonts w:asciiTheme="minorHAnsi" w:hAnsiTheme="minorHAnsi"/>
          <w:color w:val="auto"/>
          <w:szCs w:val="24"/>
        </w:rPr>
        <w:t>1</w:t>
      </w:r>
      <w:r w:rsidR="00092219" w:rsidRPr="000765DA">
        <w:rPr>
          <w:rFonts w:asciiTheme="minorHAnsi" w:hAnsiTheme="minorHAnsi"/>
          <w:color w:val="auto"/>
          <w:szCs w:val="24"/>
        </w:rPr>
        <w:t xml:space="preserve">0% coded </w:t>
      </w:r>
      <w:r w:rsidR="007841F4" w:rsidRPr="000765DA">
        <w:rPr>
          <w:rFonts w:asciiTheme="minorHAnsi" w:hAnsiTheme="minorHAnsi"/>
          <w:color w:val="auto"/>
          <w:szCs w:val="24"/>
        </w:rPr>
        <w:t>5010-5260</w:t>
      </w:r>
      <w:r w:rsidR="00092219" w:rsidRPr="000765DA">
        <w:rPr>
          <w:rFonts w:asciiTheme="minorHAnsi" w:hAnsiTheme="minorHAnsi"/>
          <w:color w:val="auto"/>
          <w:szCs w:val="24"/>
        </w:rPr>
        <w:t xml:space="preserve"> IAW VASRD §</w:t>
      </w:r>
      <w:r w:rsidR="007841F4" w:rsidRPr="000765DA">
        <w:rPr>
          <w:rFonts w:asciiTheme="minorHAnsi" w:hAnsiTheme="minorHAnsi"/>
          <w:color w:val="auto"/>
          <w:szCs w:val="24"/>
        </w:rPr>
        <w:t>4.71a</w:t>
      </w:r>
      <w:r w:rsidR="00092219" w:rsidRPr="000765DA">
        <w:rPr>
          <w:rFonts w:asciiTheme="minorHAnsi" w:hAnsiTheme="minorHAnsi"/>
          <w:color w:val="auto"/>
          <w:szCs w:val="24"/>
        </w:rPr>
        <w:t xml:space="preserve">.  </w:t>
      </w:r>
      <w:r w:rsidRPr="000765DA">
        <w:rPr>
          <w:rFonts w:asciiTheme="minorHAnsi" w:eastAsiaTheme="minorHAnsi" w:hAnsiTheme="minorHAnsi"/>
          <w:color w:val="auto"/>
          <w:szCs w:val="24"/>
        </w:rPr>
        <w:t xml:space="preserve">In the matter of the </w:t>
      </w:r>
      <w:r w:rsidR="00092219" w:rsidRPr="000765DA">
        <w:rPr>
          <w:rFonts w:asciiTheme="minorHAnsi" w:hAnsiTheme="minorHAnsi"/>
          <w:color w:val="auto"/>
          <w:szCs w:val="24"/>
        </w:rPr>
        <w:t xml:space="preserve">Left hip, abdominal (GERD), </w:t>
      </w:r>
      <w:proofErr w:type="spellStart"/>
      <w:r w:rsidR="00092219" w:rsidRPr="000765DA">
        <w:rPr>
          <w:rFonts w:asciiTheme="minorHAnsi" w:hAnsiTheme="minorHAnsi"/>
          <w:color w:val="auto"/>
          <w:szCs w:val="24"/>
        </w:rPr>
        <w:t>hyperlipidemia</w:t>
      </w:r>
      <w:proofErr w:type="spellEnd"/>
      <w:r w:rsidR="00092219" w:rsidRPr="000765DA">
        <w:rPr>
          <w:rFonts w:asciiTheme="minorHAnsi" w:hAnsiTheme="minorHAnsi"/>
          <w:color w:val="auto"/>
          <w:szCs w:val="24"/>
        </w:rPr>
        <w:t>, hypertension and bilateral foot (bunions) conditions</w:t>
      </w:r>
      <w:r w:rsidRPr="000765DA">
        <w:rPr>
          <w:rFonts w:asciiTheme="minorHAnsi" w:eastAsiaTheme="minorHAnsi" w:hAnsiTheme="minorHAnsi"/>
          <w:color w:val="auto"/>
          <w:szCs w:val="24"/>
        </w:rPr>
        <w:t xml:space="preserve">, the Board unanimously recommends no </w:t>
      </w:r>
      <w:proofErr w:type="spellStart"/>
      <w:r w:rsidRPr="000765DA">
        <w:rPr>
          <w:rFonts w:asciiTheme="minorHAnsi" w:eastAsiaTheme="minorHAnsi" w:hAnsiTheme="minorHAnsi"/>
          <w:color w:val="auto"/>
          <w:szCs w:val="24"/>
        </w:rPr>
        <w:t>recharacterization</w:t>
      </w:r>
      <w:proofErr w:type="spellEnd"/>
      <w:r w:rsidRPr="000765DA">
        <w:rPr>
          <w:rFonts w:asciiTheme="minorHAnsi" w:eastAsiaTheme="minorHAnsi" w:hAnsiTheme="minorHAnsi"/>
          <w:color w:val="auto"/>
          <w:szCs w:val="24"/>
        </w:rPr>
        <w:t xml:space="preserve"> of the PEB adjudication as not unfitting.</w:t>
      </w:r>
      <w:r w:rsidR="007841F4" w:rsidRPr="000765DA">
        <w:rPr>
          <w:rFonts w:asciiTheme="minorHAnsi" w:eastAsiaTheme="minorHAnsi" w:hAnsiTheme="minorHAnsi"/>
          <w:color w:val="auto"/>
          <w:szCs w:val="24"/>
        </w:rPr>
        <w:t xml:space="preserve">  </w:t>
      </w:r>
      <w:r w:rsidR="00D523E4" w:rsidRPr="000765DA">
        <w:rPr>
          <w:rFonts w:asciiTheme="minorHAnsi" w:hAnsiTheme="minorHAnsi"/>
          <w:color w:val="auto"/>
          <w:szCs w:val="24"/>
        </w:rPr>
        <w:t>The Board unanimously agrees that there were no other conditions eligible for Board consideration which could be recommended as additionally unfitting for rating at separation.</w:t>
      </w:r>
      <w:r w:rsidR="007841F4" w:rsidRPr="000765DA">
        <w:rPr>
          <w:rFonts w:asciiTheme="minorHAnsi" w:hAnsiTheme="minorHAnsi"/>
          <w:color w:val="auto"/>
          <w:szCs w:val="24"/>
        </w:rPr>
        <w:t xml:space="preserve"> </w:t>
      </w:r>
      <w:r w:rsidR="005A0366" w:rsidRPr="000765DA">
        <w:rPr>
          <w:rFonts w:asciiTheme="minorHAnsi" w:hAnsiTheme="minorHAnsi"/>
          <w:color w:val="auto"/>
          <w:szCs w:val="24"/>
        </w:rPr>
        <w:t xml:space="preserve"> </w:t>
      </w:r>
    </w:p>
    <w:p w:rsidR="000765DA" w:rsidRPr="000765DA" w:rsidRDefault="000765DA" w:rsidP="00A34E0A">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u w:val="single"/>
        </w:rPr>
        <w:t>______________________________________________________________________________</w:t>
      </w:r>
    </w:p>
    <w:p w:rsidR="00FB593A" w:rsidRPr="000765DA" w:rsidRDefault="00FB593A" w:rsidP="00A34E0A">
      <w:pPr>
        <w:tabs>
          <w:tab w:val="left" w:pos="288"/>
          <w:tab w:val="left" w:pos="4752"/>
        </w:tabs>
        <w:spacing w:line="240" w:lineRule="exact"/>
        <w:jc w:val="both"/>
        <w:rPr>
          <w:rFonts w:asciiTheme="minorHAnsi" w:hAnsiTheme="minorHAnsi"/>
          <w:color w:val="auto"/>
        </w:rPr>
      </w:pPr>
    </w:p>
    <w:p w:rsidR="00FB593A" w:rsidRPr="000765DA" w:rsidRDefault="00C56FC8" w:rsidP="00A34E0A">
      <w:pPr>
        <w:tabs>
          <w:tab w:val="left" w:pos="288"/>
          <w:tab w:val="left" w:pos="4752"/>
        </w:tabs>
        <w:spacing w:line="240" w:lineRule="exact"/>
        <w:jc w:val="both"/>
        <w:rPr>
          <w:rFonts w:asciiTheme="minorHAnsi" w:hAnsiTheme="minorHAnsi"/>
          <w:color w:val="000080"/>
        </w:rPr>
      </w:pPr>
      <w:r w:rsidRPr="000765DA">
        <w:rPr>
          <w:rFonts w:asciiTheme="minorHAnsi" w:hAnsiTheme="minorHAnsi"/>
          <w:color w:val="auto"/>
          <w:szCs w:val="24"/>
          <w:u w:val="single"/>
        </w:rPr>
        <w:t>RECOMMENDATION</w:t>
      </w:r>
      <w:r w:rsidRPr="000765DA">
        <w:rPr>
          <w:rFonts w:asciiTheme="minorHAnsi" w:hAnsiTheme="minorHAnsi"/>
          <w:color w:val="auto"/>
          <w:szCs w:val="24"/>
        </w:rPr>
        <w:t xml:space="preserve">: The Board recommends that the CI’s prior determination be modified as follows and that the </w:t>
      </w:r>
      <w:r w:rsidR="007A1643">
        <w:rPr>
          <w:rFonts w:asciiTheme="minorHAnsi" w:hAnsiTheme="minorHAnsi"/>
          <w:color w:val="auto"/>
          <w:szCs w:val="24"/>
        </w:rPr>
        <w:t>separation</w:t>
      </w:r>
      <w:r w:rsidRPr="000765DA">
        <w:rPr>
          <w:rFonts w:asciiTheme="minorHAnsi" w:hAnsiTheme="minorHAnsi"/>
          <w:color w:val="auto"/>
          <w:szCs w:val="24"/>
        </w:rPr>
        <w:t xml:space="preserve"> be </w:t>
      </w:r>
      <w:proofErr w:type="spellStart"/>
      <w:r w:rsidRPr="000765DA">
        <w:rPr>
          <w:rFonts w:asciiTheme="minorHAnsi" w:hAnsiTheme="minorHAnsi"/>
          <w:color w:val="auto"/>
          <w:szCs w:val="24"/>
        </w:rPr>
        <w:t>recharacterized</w:t>
      </w:r>
      <w:proofErr w:type="spellEnd"/>
      <w:r w:rsidRPr="000765DA">
        <w:rPr>
          <w:rFonts w:asciiTheme="minorHAnsi" w:hAnsiTheme="minorHAnsi"/>
          <w:color w:val="auto"/>
          <w:szCs w:val="24"/>
        </w:rPr>
        <w:t xml:space="preserve"> to reflect permanent disability retirement, effective as of the date of his prior separation.</w:t>
      </w:r>
      <w:r w:rsidR="00653C87">
        <w:rPr>
          <w:rFonts w:asciiTheme="minorHAnsi" w:hAnsiTheme="minorHAnsi"/>
          <w:color w:val="auto"/>
          <w:szCs w:val="24"/>
        </w:rPr>
        <w:t xml:space="preserve"> </w:t>
      </w:r>
    </w:p>
    <w:p w:rsidR="004101B2" w:rsidRPr="000765DA" w:rsidRDefault="004101B2" w:rsidP="004101B2">
      <w:pPr>
        <w:tabs>
          <w:tab w:val="left" w:pos="288"/>
          <w:tab w:val="left" w:pos="4752"/>
        </w:tabs>
        <w:spacing w:line="240" w:lineRule="exact"/>
        <w:jc w:val="both"/>
        <w:rPr>
          <w:rFonts w:asciiTheme="minorHAnsi" w:hAnsiTheme="minorHAnsi"/>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0765DA" w:rsidTr="00092219">
        <w:trPr>
          <w:trHeight w:val="287"/>
        </w:trPr>
        <w:tc>
          <w:tcPr>
            <w:tcW w:w="6480" w:type="dxa"/>
            <w:shd w:val="clear" w:color="auto" w:fill="D9D9D9" w:themeFill="background1" w:themeFillShade="D9"/>
          </w:tcPr>
          <w:p w:rsidR="00A95BBA" w:rsidRPr="000765DA" w:rsidRDefault="00A95BBA" w:rsidP="00BF0BC5">
            <w:pPr>
              <w:tabs>
                <w:tab w:val="left" w:pos="288"/>
                <w:tab w:val="left" w:pos="4752"/>
              </w:tabs>
              <w:spacing w:before="40" w:line="240" w:lineRule="exact"/>
              <w:jc w:val="center"/>
              <w:rPr>
                <w:rFonts w:asciiTheme="minorHAnsi" w:hAnsiTheme="minorHAnsi"/>
                <w:b/>
                <w:color w:val="auto"/>
                <w:szCs w:val="24"/>
              </w:rPr>
            </w:pPr>
            <w:r w:rsidRPr="000765DA">
              <w:rPr>
                <w:rFonts w:asciiTheme="minorHAnsi" w:hAnsiTheme="minorHAnsi"/>
                <w:b/>
                <w:color w:val="auto"/>
                <w:szCs w:val="24"/>
              </w:rPr>
              <w:t>UNFITTING CONDITION</w:t>
            </w:r>
          </w:p>
        </w:tc>
        <w:tc>
          <w:tcPr>
            <w:tcW w:w="1710" w:type="dxa"/>
            <w:shd w:val="clear" w:color="auto" w:fill="D9D9D9" w:themeFill="background1" w:themeFillShade="D9"/>
          </w:tcPr>
          <w:p w:rsidR="00A95BBA" w:rsidRPr="000765DA" w:rsidRDefault="00A95BBA" w:rsidP="00BF0BC5">
            <w:pPr>
              <w:tabs>
                <w:tab w:val="left" w:pos="288"/>
                <w:tab w:val="left" w:pos="4752"/>
              </w:tabs>
              <w:spacing w:before="40" w:line="240" w:lineRule="exact"/>
              <w:jc w:val="center"/>
              <w:rPr>
                <w:rFonts w:asciiTheme="minorHAnsi" w:hAnsiTheme="minorHAnsi"/>
                <w:b/>
                <w:color w:val="auto"/>
                <w:szCs w:val="24"/>
              </w:rPr>
            </w:pPr>
            <w:r w:rsidRPr="000765DA">
              <w:rPr>
                <w:rFonts w:asciiTheme="minorHAnsi" w:hAnsiTheme="minorHAnsi"/>
                <w:b/>
                <w:color w:val="auto"/>
                <w:szCs w:val="24"/>
              </w:rPr>
              <w:t>VASRD CODE</w:t>
            </w:r>
          </w:p>
        </w:tc>
        <w:tc>
          <w:tcPr>
            <w:tcW w:w="1170" w:type="dxa"/>
            <w:shd w:val="clear" w:color="auto" w:fill="D9D9D9" w:themeFill="background1" w:themeFillShade="D9"/>
          </w:tcPr>
          <w:p w:rsidR="00A95BBA" w:rsidRPr="000765DA" w:rsidRDefault="00A95BBA" w:rsidP="00BF0BC5">
            <w:pPr>
              <w:tabs>
                <w:tab w:val="left" w:pos="288"/>
                <w:tab w:val="left" w:pos="4752"/>
              </w:tabs>
              <w:spacing w:before="40" w:line="240" w:lineRule="exact"/>
              <w:jc w:val="center"/>
              <w:rPr>
                <w:rFonts w:asciiTheme="minorHAnsi" w:hAnsiTheme="minorHAnsi"/>
                <w:b/>
                <w:color w:val="auto"/>
                <w:szCs w:val="24"/>
              </w:rPr>
            </w:pPr>
            <w:r w:rsidRPr="000765DA">
              <w:rPr>
                <w:rFonts w:asciiTheme="minorHAnsi" w:hAnsiTheme="minorHAnsi"/>
                <w:b/>
                <w:color w:val="auto"/>
                <w:szCs w:val="24"/>
              </w:rPr>
              <w:t>RATING</w:t>
            </w:r>
          </w:p>
        </w:tc>
      </w:tr>
      <w:tr w:rsidR="00A05109" w:rsidRPr="000765DA" w:rsidTr="00BF0BC5">
        <w:tc>
          <w:tcPr>
            <w:tcW w:w="6480" w:type="dxa"/>
          </w:tcPr>
          <w:p w:rsidR="00A05109" w:rsidRPr="000765DA" w:rsidRDefault="00A05109" w:rsidP="00A05109">
            <w:pPr>
              <w:pStyle w:val="ListParagraph"/>
              <w:spacing w:after="0" w:line="240" w:lineRule="auto"/>
              <w:ind w:left="0"/>
              <w:rPr>
                <w:rFonts w:cs="Times New Roman"/>
                <w:sz w:val="24"/>
                <w:szCs w:val="24"/>
              </w:rPr>
            </w:pPr>
            <w:r w:rsidRPr="000765DA">
              <w:rPr>
                <w:rFonts w:cs="Times New Roman"/>
                <w:sz w:val="24"/>
                <w:szCs w:val="24"/>
              </w:rPr>
              <w:t>Chronic Low Back Pain</w:t>
            </w:r>
            <w:r w:rsidR="00092219" w:rsidRPr="000765DA">
              <w:rPr>
                <w:rFonts w:cs="Times New Roman"/>
                <w:sz w:val="24"/>
                <w:szCs w:val="24"/>
              </w:rPr>
              <w:t xml:space="preserve"> with </w:t>
            </w:r>
            <w:proofErr w:type="spellStart"/>
            <w:r w:rsidR="00092219" w:rsidRPr="000765DA">
              <w:rPr>
                <w:rFonts w:cs="Times New Roman"/>
                <w:sz w:val="24"/>
                <w:szCs w:val="24"/>
              </w:rPr>
              <w:t>Stenosis</w:t>
            </w:r>
            <w:proofErr w:type="spellEnd"/>
          </w:p>
        </w:tc>
        <w:tc>
          <w:tcPr>
            <w:tcW w:w="1710" w:type="dxa"/>
          </w:tcPr>
          <w:p w:rsidR="00A05109" w:rsidRPr="000765DA" w:rsidRDefault="00A05109" w:rsidP="00BF0BC5">
            <w:pPr>
              <w:pStyle w:val="ListParagraph"/>
              <w:spacing w:after="0" w:line="240" w:lineRule="auto"/>
              <w:ind w:left="0"/>
              <w:jc w:val="center"/>
              <w:rPr>
                <w:rFonts w:cs="Times New Roman"/>
                <w:sz w:val="24"/>
                <w:szCs w:val="24"/>
              </w:rPr>
            </w:pPr>
            <w:r w:rsidRPr="000765DA">
              <w:rPr>
                <w:rFonts w:cs="Times New Roman"/>
                <w:sz w:val="24"/>
                <w:szCs w:val="24"/>
              </w:rPr>
              <w:t>5238</w:t>
            </w:r>
          </w:p>
        </w:tc>
        <w:tc>
          <w:tcPr>
            <w:tcW w:w="1170" w:type="dxa"/>
          </w:tcPr>
          <w:p w:rsidR="00A05109" w:rsidRPr="000765DA" w:rsidRDefault="00092219" w:rsidP="00BF0BC5">
            <w:pPr>
              <w:pStyle w:val="ListParagraph"/>
              <w:spacing w:after="0" w:line="240" w:lineRule="auto"/>
              <w:ind w:left="0"/>
              <w:jc w:val="center"/>
              <w:rPr>
                <w:rFonts w:cs="Times New Roman"/>
                <w:sz w:val="24"/>
                <w:szCs w:val="24"/>
              </w:rPr>
            </w:pPr>
            <w:r w:rsidRPr="000765DA">
              <w:rPr>
                <w:rFonts w:cs="Times New Roman"/>
                <w:sz w:val="24"/>
                <w:szCs w:val="24"/>
              </w:rPr>
              <w:t>2</w:t>
            </w:r>
            <w:r w:rsidR="00A05109" w:rsidRPr="000765DA">
              <w:rPr>
                <w:rFonts w:cs="Times New Roman"/>
                <w:sz w:val="24"/>
                <w:szCs w:val="24"/>
              </w:rPr>
              <w:t>0%</w:t>
            </w:r>
          </w:p>
        </w:tc>
      </w:tr>
      <w:tr w:rsidR="00A05109" w:rsidRPr="000765DA" w:rsidTr="00BF0BC5">
        <w:tc>
          <w:tcPr>
            <w:tcW w:w="6480" w:type="dxa"/>
          </w:tcPr>
          <w:p w:rsidR="00A05109" w:rsidRPr="000765DA" w:rsidRDefault="00A05109" w:rsidP="00092219">
            <w:pPr>
              <w:pStyle w:val="ListParagraph"/>
              <w:spacing w:after="0" w:line="240" w:lineRule="auto"/>
              <w:ind w:left="0"/>
              <w:rPr>
                <w:rFonts w:cs="Times New Roman"/>
                <w:sz w:val="24"/>
                <w:szCs w:val="24"/>
              </w:rPr>
            </w:pPr>
            <w:r w:rsidRPr="000765DA">
              <w:rPr>
                <w:rFonts w:cs="Times New Roman"/>
                <w:sz w:val="24"/>
                <w:szCs w:val="24"/>
              </w:rPr>
              <w:t xml:space="preserve">Left Knee, </w:t>
            </w:r>
            <w:r w:rsidR="00092219" w:rsidRPr="000765DA">
              <w:rPr>
                <w:rFonts w:cs="Times New Roman"/>
                <w:sz w:val="24"/>
                <w:szCs w:val="24"/>
              </w:rPr>
              <w:t>Degenerative Joint Disease</w:t>
            </w:r>
          </w:p>
        </w:tc>
        <w:tc>
          <w:tcPr>
            <w:tcW w:w="1710" w:type="dxa"/>
          </w:tcPr>
          <w:p w:rsidR="00A05109" w:rsidRPr="000765DA" w:rsidRDefault="00A05109" w:rsidP="00092219">
            <w:pPr>
              <w:pStyle w:val="ListParagraph"/>
              <w:spacing w:after="0" w:line="240" w:lineRule="auto"/>
              <w:ind w:left="0"/>
              <w:jc w:val="center"/>
              <w:rPr>
                <w:rFonts w:cs="Times New Roman"/>
                <w:sz w:val="24"/>
                <w:szCs w:val="24"/>
              </w:rPr>
            </w:pPr>
            <w:r w:rsidRPr="000765DA">
              <w:rPr>
                <w:rFonts w:cs="Times New Roman"/>
                <w:sz w:val="24"/>
                <w:szCs w:val="24"/>
              </w:rPr>
              <w:t>5</w:t>
            </w:r>
            <w:r w:rsidR="00092219" w:rsidRPr="000765DA">
              <w:rPr>
                <w:rFonts w:cs="Times New Roman"/>
                <w:sz w:val="24"/>
                <w:szCs w:val="24"/>
              </w:rPr>
              <w:t>010-5260</w:t>
            </w:r>
          </w:p>
        </w:tc>
        <w:tc>
          <w:tcPr>
            <w:tcW w:w="1170" w:type="dxa"/>
          </w:tcPr>
          <w:p w:rsidR="00A05109" w:rsidRPr="000765DA" w:rsidRDefault="00A05109" w:rsidP="00BF0BC5">
            <w:pPr>
              <w:pStyle w:val="ListParagraph"/>
              <w:spacing w:after="0" w:line="240" w:lineRule="auto"/>
              <w:ind w:left="0"/>
              <w:jc w:val="center"/>
              <w:rPr>
                <w:rFonts w:cs="Times New Roman"/>
                <w:sz w:val="24"/>
                <w:szCs w:val="24"/>
              </w:rPr>
            </w:pPr>
            <w:r w:rsidRPr="000765DA">
              <w:rPr>
                <w:rFonts w:cs="Times New Roman"/>
                <w:sz w:val="24"/>
                <w:szCs w:val="24"/>
              </w:rPr>
              <w:t>10%</w:t>
            </w:r>
          </w:p>
        </w:tc>
      </w:tr>
      <w:tr w:rsidR="00A95BBA" w:rsidRPr="000765DA" w:rsidTr="00BF0BC5">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0765DA" w:rsidRDefault="00A95BBA" w:rsidP="00BF0BC5">
            <w:pPr>
              <w:tabs>
                <w:tab w:val="left" w:pos="288"/>
                <w:tab w:val="left" w:pos="4752"/>
              </w:tabs>
              <w:spacing w:before="40" w:line="240" w:lineRule="exact"/>
              <w:jc w:val="center"/>
              <w:rPr>
                <w:rFonts w:asciiTheme="minorHAnsi" w:hAnsiTheme="minorHAnsi"/>
                <w:b/>
                <w:color w:val="auto"/>
                <w:szCs w:val="24"/>
              </w:rPr>
            </w:pPr>
            <w:r w:rsidRPr="000765DA">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0765DA" w:rsidRDefault="00092219" w:rsidP="00BF0BC5">
            <w:pPr>
              <w:tabs>
                <w:tab w:val="left" w:pos="288"/>
                <w:tab w:val="left" w:pos="4752"/>
              </w:tabs>
              <w:spacing w:before="40" w:line="240" w:lineRule="exact"/>
              <w:jc w:val="center"/>
              <w:rPr>
                <w:rFonts w:asciiTheme="minorHAnsi" w:hAnsiTheme="minorHAnsi"/>
                <w:b/>
                <w:color w:val="auto"/>
                <w:szCs w:val="24"/>
              </w:rPr>
            </w:pPr>
            <w:r w:rsidRPr="000765DA">
              <w:rPr>
                <w:rFonts w:asciiTheme="minorHAnsi" w:hAnsiTheme="minorHAnsi"/>
                <w:b/>
                <w:color w:val="auto"/>
                <w:szCs w:val="24"/>
              </w:rPr>
              <w:t>3</w:t>
            </w:r>
            <w:r w:rsidR="00A95BBA" w:rsidRPr="000765DA">
              <w:rPr>
                <w:rFonts w:asciiTheme="minorHAnsi" w:hAnsiTheme="minorHAnsi"/>
                <w:b/>
                <w:color w:val="auto"/>
                <w:szCs w:val="24"/>
              </w:rPr>
              <w:t>0%</w:t>
            </w:r>
          </w:p>
        </w:tc>
      </w:tr>
    </w:tbl>
    <w:p w:rsidR="000765DA" w:rsidRPr="000765DA" w:rsidRDefault="000765DA" w:rsidP="000765DA">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u w:val="single"/>
        </w:rPr>
        <w:t>______________________________________________________________________________</w:t>
      </w:r>
    </w:p>
    <w:p w:rsidR="00D91DA6" w:rsidRPr="000765DA" w:rsidRDefault="00D91DA6" w:rsidP="00875F2D">
      <w:pPr>
        <w:tabs>
          <w:tab w:val="left" w:pos="288"/>
          <w:tab w:val="left" w:pos="4752"/>
        </w:tabs>
        <w:spacing w:line="240" w:lineRule="exact"/>
        <w:jc w:val="both"/>
        <w:rPr>
          <w:rFonts w:asciiTheme="minorHAnsi" w:hAnsiTheme="minorHAnsi"/>
          <w:color w:val="auto"/>
        </w:rPr>
      </w:pPr>
    </w:p>
    <w:p w:rsidR="00D91DA6" w:rsidRPr="000765DA" w:rsidRDefault="00114F20" w:rsidP="00875F2D">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rPr>
        <w:t>The following documentary evidence was considered:</w:t>
      </w:r>
    </w:p>
    <w:p w:rsidR="00114F20" w:rsidRPr="000765DA" w:rsidRDefault="00114F20" w:rsidP="00875F2D">
      <w:pPr>
        <w:tabs>
          <w:tab w:val="left" w:pos="288"/>
          <w:tab w:val="left" w:pos="4752"/>
        </w:tabs>
        <w:spacing w:line="240" w:lineRule="exact"/>
        <w:jc w:val="both"/>
        <w:rPr>
          <w:rFonts w:asciiTheme="minorHAnsi" w:hAnsiTheme="minorHAnsi"/>
          <w:color w:val="auto"/>
        </w:rPr>
      </w:pPr>
    </w:p>
    <w:p w:rsidR="00114F20" w:rsidRPr="000765DA" w:rsidRDefault="0051146C" w:rsidP="00875F2D">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rPr>
        <w:t xml:space="preserve">Exhibit A.  DD Form </w:t>
      </w:r>
      <w:proofErr w:type="gramStart"/>
      <w:r w:rsidRPr="000765DA">
        <w:rPr>
          <w:rFonts w:asciiTheme="minorHAnsi" w:hAnsiTheme="minorHAnsi"/>
          <w:color w:val="auto"/>
        </w:rPr>
        <w:t>294,</w:t>
      </w:r>
      <w:proofErr w:type="gramEnd"/>
      <w:r w:rsidRPr="000765DA">
        <w:rPr>
          <w:rFonts w:asciiTheme="minorHAnsi" w:hAnsiTheme="minorHAnsi"/>
          <w:color w:val="auto"/>
        </w:rPr>
        <w:t xml:space="preserve"> dated </w:t>
      </w:r>
      <w:r w:rsidR="009573EF" w:rsidRPr="000765DA">
        <w:rPr>
          <w:rFonts w:asciiTheme="minorHAnsi" w:hAnsiTheme="minorHAnsi"/>
          <w:color w:val="auto"/>
        </w:rPr>
        <w:t>20090309</w:t>
      </w:r>
      <w:r w:rsidR="00114F20" w:rsidRPr="000765DA">
        <w:rPr>
          <w:rFonts w:asciiTheme="minorHAnsi" w:hAnsiTheme="minorHAnsi"/>
          <w:color w:val="auto"/>
        </w:rPr>
        <w:t>, w/</w:t>
      </w:r>
      <w:proofErr w:type="spellStart"/>
      <w:r w:rsidR="00114F20" w:rsidRPr="000765DA">
        <w:rPr>
          <w:rFonts w:asciiTheme="minorHAnsi" w:hAnsiTheme="minorHAnsi"/>
          <w:color w:val="auto"/>
        </w:rPr>
        <w:t>atchs</w:t>
      </w:r>
      <w:proofErr w:type="spellEnd"/>
      <w:r w:rsidR="00114F20" w:rsidRPr="000765DA">
        <w:rPr>
          <w:rFonts w:asciiTheme="minorHAnsi" w:hAnsiTheme="minorHAnsi"/>
          <w:color w:val="auto"/>
        </w:rPr>
        <w:t>.</w:t>
      </w:r>
    </w:p>
    <w:p w:rsidR="00114F20" w:rsidRPr="000765DA" w:rsidRDefault="00114F20" w:rsidP="00875F2D">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rPr>
        <w:t xml:space="preserve">Exhibit B.  </w:t>
      </w:r>
      <w:proofErr w:type="gramStart"/>
      <w:r w:rsidRPr="000765DA">
        <w:rPr>
          <w:rFonts w:asciiTheme="minorHAnsi" w:hAnsiTheme="minorHAnsi"/>
          <w:color w:val="auto"/>
        </w:rPr>
        <w:t>Service Treatment Record.</w:t>
      </w:r>
      <w:proofErr w:type="gramEnd"/>
    </w:p>
    <w:p w:rsidR="00114F20" w:rsidRPr="000765DA" w:rsidRDefault="00114F20" w:rsidP="00875F2D">
      <w:pPr>
        <w:tabs>
          <w:tab w:val="left" w:pos="288"/>
          <w:tab w:val="left" w:pos="4752"/>
        </w:tabs>
        <w:spacing w:line="240" w:lineRule="exact"/>
        <w:jc w:val="both"/>
        <w:rPr>
          <w:rFonts w:asciiTheme="minorHAnsi" w:hAnsiTheme="minorHAnsi"/>
          <w:color w:val="auto"/>
        </w:rPr>
      </w:pPr>
      <w:r w:rsidRPr="000765DA">
        <w:rPr>
          <w:rFonts w:asciiTheme="minorHAnsi" w:hAnsiTheme="minorHAnsi"/>
          <w:color w:val="auto"/>
        </w:rPr>
        <w:t xml:space="preserve">Exhibit C.  </w:t>
      </w:r>
      <w:proofErr w:type="gramStart"/>
      <w:r w:rsidRPr="000765DA">
        <w:rPr>
          <w:rFonts w:asciiTheme="minorHAnsi" w:hAnsiTheme="minorHAnsi"/>
          <w:color w:val="auto"/>
        </w:rPr>
        <w:t>Department of Veterans</w:t>
      </w:r>
      <w:r w:rsidR="00385D6F" w:rsidRPr="000765DA">
        <w:rPr>
          <w:rFonts w:asciiTheme="minorHAnsi" w:hAnsiTheme="minorHAnsi"/>
          <w:color w:val="auto"/>
        </w:rPr>
        <w:t>'</w:t>
      </w:r>
      <w:r w:rsidRPr="000765DA">
        <w:rPr>
          <w:rFonts w:asciiTheme="minorHAnsi" w:hAnsiTheme="minorHAnsi"/>
          <w:color w:val="auto"/>
        </w:rPr>
        <w:t xml:space="preserve"> Affairs Treatment Record.</w:t>
      </w:r>
      <w:proofErr w:type="gramEnd"/>
    </w:p>
    <w:p w:rsidR="00D91DA6" w:rsidRPr="000765DA" w:rsidRDefault="00D91DA6" w:rsidP="00875F2D">
      <w:pPr>
        <w:tabs>
          <w:tab w:val="left" w:pos="288"/>
          <w:tab w:val="left" w:pos="4752"/>
        </w:tabs>
        <w:spacing w:line="240" w:lineRule="exact"/>
        <w:jc w:val="both"/>
        <w:rPr>
          <w:rFonts w:asciiTheme="minorHAnsi" w:hAnsiTheme="minorHAnsi"/>
          <w:color w:val="auto"/>
        </w:rPr>
      </w:pPr>
    </w:p>
    <w:p w:rsidR="00114F20" w:rsidRPr="000765DA" w:rsidRDefault="00114F20" w:rsidP="00875F2D">
      <w:pPr>
        <w:tabs>
          <w:tab w:val="left" w:pos="288"/>
          <w:tab w:val="left" w:pos="4752"/>
        </w:tabs>
        <w:spacing w:line="240" w:lineRule="exact"/>
        <w:jc w:val="both"/>
        <w:rPr>
          <w:rFonts w:asciiTheme="minorHAnsi" w:hAnsiTheme="minorHAnsi"/>
          <w:color w:val="auto"/>
        </w:rPr>
      </w:pPr>
    </w:p>
    <w:p w:rsidR="00365653" w:rsidRDefault="00365653">
      <w:pPr>
        <w:rPr>
          <w:rFonts w:asciiTheme="minorHAnsi" w:hAnsiTheme="minorHAnsi"/>
          <w:color w:val="auto"/>
        </w:rPr>
      </w:pPr>
      <w:r>
        <w:rPr>
          <w:rFonts w:asciiTheme="minorHAnsi" w:hAnsiTheme="minorHAnsi"/>
          <w:color w:val="auto"/>
        </w:rPr>
        <w:br w:type="page"/>
      </w:r>
    </w:p>
    <w:p w:rsidR="00365653" w:rsidRDefault="00365653" w:rsidP="00365653">
      <w:pPr>
        <w:pStyle w:val="Default"/>
        <w:framePr w:w="13080" w:wrap="auto" w:vAnchor="page" w:hAnchor="page" w:x="1" w:y="1"/>
      </w:pPr>
      <w:r>
        <w:rPr>
          <w:noProof/>
        </w:rPr>
        <w:lastRenderedPageBreak/>
        <w:drawing>
          <wp:inline distT="0" distB="0" distL="0" distR="0">
            <wp:extent cx="7801610" cy="100330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1610" cy="10033000"/>
                    </a:xfrm>
                    <a:prstGeom prst="rect">
                      <a:avLst/>
                    </a:prstGeom>
                    <a:noFill/>
                    <a:ln w="9525">
                      <a:noFill/>
                      <a:miter lim="800000"/>
                      <a:headEnd/>
                      <a:tailEnd/>
                    </a:ln>
                  </pic:spPr>
                </pic:pic>
              </a:graphicData>
            </a:graphic>
          </wp:inline>
        </w:drawing>
      </w:r>
    </w:p>
    <w:p w:rsidR="00114F20" w:rsidRPr="000765DA" w:rsidRDefault="00114F20" w:rsidP="00875F2D">
      <w:pPr>
        <w:tabs>
          <w:tab w:val="left" w:pos="288"/>
          <w:tab w:val="left" w:pos="4752"/>
        </w:tabs>
        <w:spacing w:line="240" w:lineRule="exact"/>
        <w:jc w:val="both"/>
        <w:rPr>
          <w:rFonts w:asciiTheme="minorHAnsi" w:hAnsiTheme="minorHAnsi"/>
          <w:color w:val="auto"/>
        </w:rPr>
      </w:pPr>
    </w:p>
    <w:sectPr w:rsidR="00114F20" w:rsidRPr="000765DA"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E8" w:rsidRDefault="00204DE8">
      <w:r>
        <w:separator/>
      </w:r>
    </w:p>
  </w:endnote>
  <w:endnote w:type="continuationSeparator" w:id="0">
    <w:p w:rsidR="00204DE8" w:rsidRDefault="00204DE8">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C5" w:rsidRDefault="00BF519E">
    <w:pPr>
      <w:pStyle w:val="Footer"/>
      <w:framePr w:wrap="around" w:vAnchor="text" w:hAnchor="margin" w:xAlign="center" w:y="1"/>
      <w:rPr>
        <w:rStyle w:val="PageNumber"/>
      </w:rPr>
    </w:pPr>
    <w:r>
      <w:rPr>
        <w:rStyle w:val="PageNumber"/>
      </w:rPr>
      <w:fldChar w:fldCharType="begin"/>
    </w:r>
    <w:r w:rsidR="00BF0BC5">
      <w:rPr>
        <w:rStyle w:val="PageNumber"/>
      </w:rPr>
      <w:instrText xml:space="preserve">PAGE  </w:instrText>
    </w:r>
    <w:r>
      <w:rPr>
        <w:rStyle w:val="PageNumber"/>
      </w:rPr>
      <w:fldChar w:fldCharType="separate"/>
    </w:r>
    <w:r w:rsidR="00BF0BC5">
      <w:rPr>
        <w:rStyle w:val="PageNumber"/>
        <w:noProof/>
      </w:rPr>
      <w:t>2</w:t>
    </w:r>
    <w:r>
      <w:rPr>
        <w:rStyle w:val="PageNumber"/>
      </w:rPr>
      <w:fldChar w:fldCharType="end"/>
    </w:r>
  </w:p>
  <w:p w:rsidR="00BF0BC5" w:rsidRDefault="00BF0BC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C5" w:rsidRDefault="00BF519E">
    <w:pPr>
      <w:pStyle w:val="Footer"/>
      <w:framePr w:wrap="around" w:vAnchor="text" w:hAnchor="margin" w:xAlign="center" w:y="1"/>
      <w:rPr>
        <w:rStyle w:val="PageNumber"/>
      </w:rPr>
    </w:pPr>
    <w:r>
      <w:rPr>
        <w:rStyle w:val="PageNumber"/>
      </w:rPr>
      <w:fldChar w:fldCharType="begin"/>
    </w:r>
    <w:r w:rsidR="00BF0BC5">
      <w:rPr>
        <w:rStyle w:val="PageNumber"/>
      </w:rPr>
      <w:instrText xml:space="preserve">PAGE  </w:instrText>
    </w:r>
    <w:r>
      <w:rPr>
        <w:rStyle w:val="PageNumber"/>
      </w:rPr>
      <w:fldChar w:fldCharType="separate"/>
    </w:r>
    <w:r w:rsidR="00365653">
      <w:rPr>
        <w:rStyle w:val="PageNumber"/>
        <w:noProof/>
      </w:rPr>
      <w:t>6</w:t>
    </w:r>
    <w:r>
      <w:rPr>
        <w:rStyle w:val="PageNumber"/>
      </w:rPr>
      <w:fldChar w:fldCharType="end"/>
    </w:r>
  </w:p>
  <w:p w:rsidR="00BF0BC5" w:rsidRDefault="00BF0BC5" w:rsidP="002B0749">
    <w:pPr>
      <w:pStyle w:val="Footer"/>
      <w:jc w:val="right"/>
    </w:pPr>
    <w:r>
      <w:tab/>
    </w:r>
    <w:r>
      <w:tab/>
    </w:r>
    <w:r w:rsidRPr="001D3186">
      <w:rPr>
        <w:caps/>
        <w:color w:val="000080"/>
      </w:rPr>
      <w:t>PD09</w:t>
    </w:r>
    <w:r>
      <w:rPr>
        <w:caps/>
        <w:color w:val="000080"/>
      </w:rPr>
      <w:t>00244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E8" w:rsidRDefault="00204DE8">
      <w:r>
        <w:separator/>
      </w:r>
    </w:p>
  </w:footnote>
  <w:footnote w:type="continuationSeparator" w:id="0">
    <w:p w:rsidR="00204DE8" w:rsidRDefault="00204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90497"/>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234"/>
    <w:rsid w:val="00053D7C"/>
    <w:rsid w:val="000577C9"/>
    <w:rsid w:val="000611E1"/>
    <w:rsid w:val="0006431E"/>
    <w:rsid w:val="00072433"/>
    <w:rsid w:val="00075702"/>
    <w:rsid w:val="000765DA"/>
    <w:rsid w:val="000775C2"/>
    <w:rsid w:val="000806AD"/>
    <w:rsid w:val="00082482"/>
    <w:rsid w:val="0008708B"/>
    <w:rsid w:val="00092219"/>
    <w:rsid w:val="00094E4F"/>
    <w:rsid w:val="000A2BCE"/>
    <w:rsid w:val="000A41E3"/>
    <w:rsid w:val="000A4BBA"/>
    <w:rsid w:val="000A5071"/>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103CD"/>
    <w:rsid w:val="00114F20"/>
    <w:rsid w:val="001219DF"/>
    <w:rsid w:val="001231DC"/>
    <w:rsid w:val="001272AE"/>
    <w:rsid w:val="001315DD"/>
    <w:rsid w:val="00135385"/>
    <w:rsid w:val="001364D1"/>
    <w:rsid w:val="00142EBA"/>
    <w:rsid w:val="00150DCB"/>
    <w:rsid w:val="00152096"/>
    <w:rsid w:val="00153740"/>
    <w:rsid w:val="001541C5"/>
    <w:rsid w:val="0015623F"/>
    <w:rsid w:val="00156BA9"/>
    <w:rsid w:val="00166182"/>
    <w:rsid w:val="00177659"/>
    <w:rsid w:val="001779E5"/>
    <w:rsid w:val="00182A4C"/>
    <w:rsid w:val="00183F77"/>
    <w:rsid w:val="00185DA8"/>
    <w:rsid w:val="00185ECB"/>
    <w:rsid w:val="001870F0"/>
    <w:rsid w:val="0019273F"/>
    <w:rsid w:val="00193AD5"/>
    <w:rsid w:val="00194930"/>
    <w:rsid w:val="001A08CD"/>
    <w:rsid w:val="001A5320"/>
    <w:rsid w:val="001A5E62"/>
    <w:rsid w:val="001A7538"/>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200AA0"/>
    <w:rsid w:val="00202736"/>
    <w:rsid w:val="00203652"/>
    <w:rsid w:val="00204DE8"/>
    <w:rsid w:val="002060B6"/>
    <w:rsid w:val="00206878"/>
    <w:rsid w:val="00216049"/>
    <w:rsid w:val="00217C09"/>
    <w:rsid w:val="00220F5C"/>
    <w:rsid w:val="00225196"/>
    <w:rsid w:val="00225CB4"/>
    <w:rsid w:val="00230275"/>
    <w:rsid w:val="0023049F"/>
    <w:rsid w:val="00232C9B"/>
    <w:rsid w:val="00232F09"/>
    <w:rsid w:val="002335D5"/>
    <w:rsid w:val="002338CA"/>
    <w:rsid w:val="00233FE5"/>
    <w:rsid w:val="0023418C"/>
    <w:rsid w:val="0024174E"/>
    <w:rsid w:val="0024227D"/>
    <w:rsid w:val="00246860"/>
    <w:rsid w:val="00246DFF"/>
    <w:rsid w:val="00246E89"/>
    <w:rsid w:val="0025183C"/>
    <w:rsid w:val="002528EC"/>
    <w:rsid w:val="00255049"/>
    <w:rsid w:val="00257DE5"/>
    <w:rsid w:val="00260531"/>
    <w:rsid w:val="0026318D"/>
    <w:rsid w:val="00265FBD"/>
    <w:rsid w:val="00270864"/>
    <w:rsid w:val="002712F7"/>
    <w:rsid w:val="0027159C"/>
    <w:rsid w:val="00274549"/>
    <w:rsid w:val="00274E46"/>
    <w:rsid w:val="00276B33"/>
    <w:rsid w:val="00276C86"/>
    <w:rsid w:val="002810A4"/>
    <w:rsid w:val="00284A26"/>
    <w:rsid w:val="00294122"/>
    <w:rsid w:val="002A3237"/>
    <w:rsid w:val="002A685E"/>
    <w:rsid w:val="002A72C7"/>
    <w:rsid w:val="002B03B2"/>
    <w:rsid w:val="002B0749"/>
    <w:rsid w:val="002B2645"/>
    <w:rsid w:val="002B6484"/>
    <w:rsid w:val="002C5F10"/>
    <w:rsid w:val="002C6D51"/>
    <w:rsid w:val="002C6E5B"/>
    <w:rsid w:val="002D18B4"/>
    <w:rsid w:val="002D231A"/>
    <w:rsid w:val="002E0C71"/>
    <w:rsid w:val="002E1877"/>
    <w:rsid w:val="002E1C31"/>
    <w:rsid w:val="002E333A"/>
    <w:rsid w:val="002E3474"/>
    <w:rsid w:val="002E400C"/>
    <w:rsid w:val="002E49C3"/>
    <w:rsid w:val="002E7570"/>
    <w:rsid w:val="002E764B"/>
    <w:rsid w:val="002F0E28"/>
    <w:rsid w:val="002F287E"/>
    <w:rsid w:val="002F2D63"/>
    <w:rsid w:val="002F7F81"/>
    <w:rsid w:val="00300A36"/>
    <w:rsid w:val="00303C74"/>
    <w:rsid w:val="0030678B"/>
    <w:rsid w:val="00310CD7"/>
    <w:rsid w:val="0032136A"/>
    <w:rsid w:val="00323E70"/>
    <w:rsid w:val="00325BA2"/>
    <w:rsid w:val="00326F7F"/>
    <w:rsid w:val="003320E8"/>
    <w:rsid w:val="0033555E"/>
    <w:rsid w:val="00336805"/>
    <w:rsid w:val="00337351"/>
    <w:rsid w:val="00341A54"/>
    <w:rsid w:val="0034669F"/>
    <w:rsid w:val="00351498"/>
    <w:rsid w:val="00352B22"/>
    <w:rsid w:val="003567DE"/>
    <w:rsid w:val="0036319E"/>
    <w:rsid w:val="003632A4"/>
    <w:rsid w:val="00363362"/>
    <w:rsid w:val="00365653"/>
    <w:rsid w:val="00370EF5"/>
    <w:rsid w:val="00372251"/>
    <w:rsid w:val="0037520D"/>
    <w:rsid w:val="0037628C"/>
    <w:rsid w:val="00376B81"/>
    <w:rsid w:val="00377BD2"/>
    <w:rsid w:val="003821E1"/>
    <w:rsid w:val="00384866"/>
    <w:rsid w:val="003857D4"/>
    <w:rsid w:val="00385D6F"/>
    <w:rsid w:val="00387095"/>
    <w:rsid w:val="00390092"/>
    <w:rsid w:val="00393651"/>
    <w:rsid w:val="003A41BA"/>
    <w:rsid w:val="003A6A99"/>
    <w:rsid w:val="003A7FF8"/>
    <w:rsid w:val="003B227A"/>
    <w:rsid w:val="003B5854"/>
    <w:rsid w:val="003B6764"/>
    <w:rsid w:val="003D2BA3"/>
    <w:rsid w:val="003D3C22"/>
    <w:rsid w:val="003D7089"/>
    <w:rsid w:val="003D7DDB"/>
    <w:rsid w:val="003E02C7"/>
    <w:rsid w:val="003E0543"/>
    <w:rsid w:val="003E0B5A"/>
    <w:rsid w:val="003E31E3"/>
    <w:rsid w:val="003E46D1"/>
    <w:rsid w:val="003F4EA3"/>
    <w:rsid w:val="003F58B0"/>
    <w:rsid w:val="004007E9"/>
    <w:rsid w:val="00401825"/>
    <w:rsid w:val="00401BBC"/>
    <w:rsid w:val="0040337B"/>
    <w:rsid w:val="00403BFB"/>
    <w:rsid w:val="00404B45"/>
    <w:rsid w:val="00406CC5"/>
    <w:rsid w:val="004074A4"/>
    <w:rsid w:val="004101B2"/>
    <w:rsid w:val="004123D7"/>
    <w:rsid w:val="004172DB"/>
    <w:rsid w:val="00421485"/>
    <w:rsid w:val="00422B75"/>
    <w:rsid w:val="00433F36"/>
    <w:rsid w:val="0043503A"/>
    <w:rsid w:val="00437F35"/>
    <w:rsid w:val="0044384F"/>
    <w:rsid w:val="00446018"/>
    <w:rsid w:val="004543BC"/>
    <w:rsid w:val="0045645D"/>
    <w:rsid w:val="004574C6"/>
    <w:rsid w:val="00457BCF"/>
    <w:rsid w:val="00457DCE"/>
    <w:rsid w:val="00460E3F"/>
    <w:rsid w:val="00467592"/>
    <w:rsid w:val="004718E7"/>
    <w:rsid w:val="004761CC"/>
    <w:rsid w:val="0048098C"/>
    <w:rsid w:val="00480D4A"/>
    <w:rsid w:val="00481DA1"/>
    <w:rsid w:val="0049445D"/>
    <w:rsid w:val="00495350"/>
    <w:rsid w:val="00497156"/>
    <w:rsid w:val="004A10CD"/>
    <w:rsid w:val="004A24D2"/>
    <w:rsid w:val="004A4136"/>
    <w:rsid w:val="004A417B"/>
    <w:rsid w:val="004A7257"/>
    <w:rsid w:val="004B03F3"/>
    <w:rsid w:val="004B2536"/>
    <w:rsid w:val="004B6AF3"/>
    <w:rsid w:val="004B715E"/>
    <w:rsid w:val="004B7169"/>
    <w:rsid w:val="004B79C9"/>
    <w:rsid w:val="004C5E33"/>
    <w:rsid w:val="004C6CDA"/>
    <w:rsid w:val="004D10D4"/>
    <w:rsid w:val="004D16BD"/>
    <w:rsid w:val="004D6F2B"/>
    <w:rsid w:val="004E0248"/>
    <w:rsid w:val="004E21A3"/>
    <w:rsid w:val="004E32EA"/>
    <w:rsid w:val="004F3222"/>
    <w:rsid w:val="004F3BFA"/>
    <w:rsid w:val="00510588"/>
    <w:rsid w:val="0051146C"/>
    <w:rsid w:val="005222E7"/>
    <w:rsid w:val="00523E04"/>
    <w:rsid w:val="0052590B"/>
    <w:rsid w:val="00526591"/>
    <w:rsid w:val="00527178"/>
    <w:rsid w:val="005350A5"/>
    <w:rsid w:val="00536379"/>
    <w:rsid w:val="005400C5"/>
    <w:rsid w:val="00540BEF"/>
    <w:rsid w:val="00542C9A"/>
    <w:rsid w:val="005436C2"/>
    <w:rsid w:val="0054586A"/>
    <w:rsid w:val="0055288D"/>
    <w:rsid w:val="00555259"/>
    <w:rsid w:val="00560D57"/>
    <w:rsid w:val="00562A94"/>
    <w:rsid w:val="005710A9"/>
    <w:rsid w:val="00593043"/>
    <w:rsid w:val="00595BF0"/>
    <w:rsid w:val="005A0366"/>
    <w:rsid w:val="005A258C"/>
    <w:rsid w:val="005A3560"/>
    <w:rsid w:val="005A6C99"/>
    <w:rsid w:val="005B011A"/>
    <w:rsid w:val="005B1D8F"/>
    <w:rsid w:val="005B1E94"/>
    <w:rsid w:val="005B5B3D"/>
    <w:rsid w:val="005C3758"/>
    <w:rsid w:val="005C465A"/>
    <w:rsid w:val="005C52E2"/>
    <w:rsid w:val="005E3064"/>
    <w:rsid w:val="005F1115"/>
    <w:rsid w:val="005F27F2"/>
    <w:rsid w:val="005F424D"/>
    <w:rsid w:val="00605AAB"/>
    <w:rsid w:val="00606BEB"/>
    <w:rsid w:val="0061014A"/>
    <w:rsid w:val="00613E26"/>
    <w:rsid w:val="00615641"/>
    <w:rsid w:val="0062107B"/>
    <w:rsid w:val="006211D0"/>
    <w:rsid w:val="00624D0C"/>
    <w:rsid w:val="006307BA"/>
    <w:rsid w:val="006315BA"/>
    <w:rsid w:val="00634C4A"/>
    <w:rsid w:val="0063532E"/>
    <w:rsid w:val="00637BDC"/>
    <w:rsid w:val="006418C9"/>
    <w:rsid w:val="00642BD6"/>
    <w:rsid w:val="00645046"/>
    <w:rsid w:val="00645EA2"/>
    <w:rsid w:val="00653C87"/>
    <w:rsid w:val="006573F2"/>
    <w:rsid w:val="006579FD"/>
    <w:rsid w:val="00662F08"/>
    <w:rsid w:val="00663589"/>
    <w:rsid w:val="00670DDC"/>
    <w:rsid w:val="00671EB4"/>
    <w:rsid w:val="0067443B"/>
    <w:rsid w:val="00684E2B"/>
    <w:rsid w:val="00690FDA"/>
    <w:rsid w:val="00694EEA"/>
    <w:rsid w:val="006955B4"/>
    <w:rsid w:val="00696476"/>
    <w:rsid w:val="006A10FA"/>
    <w:rsid w:val="006A40E6"/>
    <w:rsid w:val="006A5C07"/>
    <w:rsid w:val="006A67DD"/>
    <w:rsid w:val="006A75FA"/>
    <w:rsid w:val="006B07D5"/>
    <w:rsid w:val="006B1309"/>
    <w:rsid w:val="006B5923"/>
    <w:rsid w:val="006B67D9"/>
    <w:rsid w:val="006B6C14"/>
    <w:rsid w:val="006C1D6E"/>
    <w:rsid w:val="006C38DC"/>
    <w:rsid w:val="006C3A68"/>
    <w:rsid w:val="006C6AB1"/>
    <w:rsid w:val="006D2D39"/>
    <w:rsid w:val="006E06D1"/>
    <w:rsid w:val="006E1313"/>
    <w:rsid w:val="006E2B60"/>
    <w:rsid w:val="006E2DC8"/>
    <w:rsid w:val="006E7356"/>
    <w:rsid w:val="006E77C8"/>
    <w:rsid w:val="006F149D"/>
    <w:rsid w:val="006F1A46"/>
    <w:rsid w:val="006F5A4E"/>
    <w:rsid w:val="007029E8"/>
    <w:rsid w:val="00703B6C"/>
    <w:rsid w:val="00706482"/>
    <w:rsid w:val="00706BEF"/>
    <w:rsid w:val="007116BC"/>
    <w:rsid w:val="007165CE"/>
    <w:rsid w:val="00720968"/>
    <w:rsid w:val="00721D12"/>
    <w:rsid w:val="00721F8B"/>
    <w:rsid w:val="0073254D"/>
    <w:rsid w:val="00736A49"/>
    <w:rsid w:val="00743B71"/>
    <w:rsid w:val="00743C2D"/>
    <w:rsid w:val="00743E36"/>
    <w:rsid w:val="007446F7"/>
    <w:rsid w:val="00744EBB"/>
    <w:rsid w:val="00745B0A"/>
    <w:rsid w:val="007468AC"/>
    <w:rsid w:val="00746AE2"/>
    <w:rsid w:val="00750C82"/>
    <w:rsid w:val="00752BD2"/>
    <w:rsid w:val="00754751"/>
    <w:rsid w:val="0076100C"/>
    <w:rsid w:val="007651ED"/>
    <w:rsid w:val="00766C87"/>
    <w:rsid w:val="007812B7"/>
    <w:rsid w:val="00781BD4"/>
    <w:rsid w:val="007841F4"/>
    <w:rsid w:val="00784832"/>
    <w:rsid w:val="00785D77"/>
    <w:rsid w:val="00786111"/>
    <w:rsid w:val="00791F1E"/>
    <w:rsid w:val="00794F3D"/>
    <w:rsid w:val="007968AC"/>
    <w:rsid w:val="007969AB"/>
    <w:rsid w:val="007A0B39"/>
    <w:rsid w:val="007A14A4"/>
    <w:rsid w:val="007A1643"/>
    <w:rsid w:val="007A168F"/>
    <w:rsid w:val="007A28E4"/>
    <w:rsid w:val="007A3BB3"/>
    <w:rsid w:val="007A5AD1"/>
    <w:rsid w:val="007A5B7B"/>
    <w:rsid w:val="007B0A06"/>
    <w:rsid w:val="007B5C5C"/>
    <w:rsid w:val="007B7B37"/>
    <w:rsid w:val="007B7C41"/>
    <w:rsid w:val="007C433E"/>
    <w:rsid w:val="007C4DB1"/>
    <w:rsid w:val="007C6046"/>
    <w:rsid w:val="007D0292"/>
    <w:rsid w:val="007D21AC"/>
    <w:rsid w:val="007D4702"/>
    <w:rsid w:val="007D568A"/>
    <w:rsid w:val="007D574E"/>
    <w:rsid w:val="007D6161"/>
    <w:rsid w:val="007E2046"/>
    <w:rsid w:val="007E2063"/>
    <w:rsid w:val="007E4FBB"/>
    <w:rsid w:val="007E55BF"/>
    <w:rsid w:val="007E71B1"/>
    <w:rsid w:val="007E7B4E"/>
    <w:rsid w:val="007F0CE2"/>
    <w:rsid w:val="007F0EFF"/>
    <w:rsid w:val="007F1375"/>
    <w:rsid w:val="007F6C28"/>
    <w:rsid w:val="00803850"/>
    <w:rsid w:val="00805AFD"/>
    <w:rsid w:val="00811D5B"/>
    <w:rsid w:val="00817713"/>
    <w:rsid w:val="008220F1"/>
    <w:rsid w:val="00827DB6"/>
    <w:rsid w:val="00830999"/>
    <w:rsid w:val="00830D5E"/>
    <w:rsid w:val="00830F69"/>
    <w:rsid w:val="00834458"/>
    <w:rsid w:val="00835841"/>
    <w:rsid w:val="00837465"/>
    <w:rsid w:val="00841243"/>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2CC2"/>
    <w:rsid w:val="00883930"/>
    <w:rsid w:val="008913DA"/>
    <w:rsid w:val="00896535"/>
    <w:rsid w:val="00896683"/>
    <w:rsid w:val="008A63A9"/>
    <w:rsid w:val="008B04DB"/>
    <w:rsid w:val="008B27FD"/>
    <w:rsid w:val="008B3AF2"/>
    <w:rsid w:val="008B515D"/>
    <w:rsid w:val="008B5D31"/>
    <w:rsid w:val="008B6705"/>
    <w:rsid w:val="008D795D"/>
    <w:rsid w:val="008D7B07"/>
    <w:rsid w:val="008E2D99"/>
    <w:rsid w:val="008E4A60"/>
    <w:rsid w:val="009014E3"/>
    <w:rsid w:val="009026E8"/>
    <w:rsid w:val="00906EB7"/>
    <w:rsid w:val="009102BF"/>
    <w:rsid w:val="009115F2"/>
    <w:rsid w:val="00914ADB"/>
    <w:rsid w:val="00923B25"/>
    <w:rsid w:val="0092402E"/>
    <w:rsid w:val="00926FCB"/>
    <w:rsid w:val="00942645"/>
    <w:rsid w:val="00950A3A"/>
    <w:rsid w:val="0095340A"/>
    <w:rsid w:val="00954581"/>
    <w:rsid w:val="0095466C"/>
    <w:rsid w:val="00954E5B"/>
    <w:rsid w:val="009573EF"/>
    <w:rsid w:val="009576BC"/>
    <w:rsid w:val="00960357"/>
    <w:rsid w:val="0096168C"/>
    <w:rsid w:val="00961840"/>
    <w:rsid w:val="00962F2D"/>
    <w:rsid w:val="009672CD"/>
    <w:rsid w:val="00972996"/>
    <w:rsid w:val="009732B8"/>
    <w:rsid w:val="00975C72"/>
    <w:rsid w:val="00976869"/>
    <w:rsid w:val="00977740"/>
    <w:rsid w:val="00977CB4"/>
    <w:rsid w:val="009809B8"/>
    <w:rsid w:val="00985099"/>
    <w:rsid w:val="00990D9F"/>
    <w:rsid w:val="0099421F"/>
    <w:rsid w:val="009A0DE3"/>
    <w:rsid w:val="009A1643"/>
    <w:rsid w:val="009A215A"/>
    <w:rsid w:val="009A4F1B"/>
    <w:rsid w:val="009A66C5"/>
    <w:rsid w:val="009A79BA"/>
    <w:rsid w:val="009B0D52"/>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F2BB5"/>
    <w:rsid w:val="009F7809"/>
    <w:rsid w:val="009F7AF5"/>
    <w:rsid w:val="00A00D14"/>
    <w:rsid w:val="00A01408"/>
    <w:rsid w:val="00A02457"/>
    <w:rsid w:val="00A0404B"/>
    <w:rsid w:val="00A04CD7"/>
    <w:rsid w:val="00A05109"/>
    <w:rsid w:val="00A07BDD"/>
    <w:rsid w:val="00A1105B"/>
    <w:rsid w:val="00A15B6B"/>
    <w:rsid w:val="00A15EB4"/>
    <w:rsid w:val="00A16876"/>
    <w:rsid w:val="00A200AA"/>
    <w:rsid w:val="00A2186F"/>
    <w:rsid w:val="00A2270B"/>
    <w:rsid w:val="00A23B89"/>
    <w:rsid w:val="00A2496E"/>
    <w:rsid w:val="00A258B7"/>
    <w:rsid w:val="00A26572"/>
    <w:rsid w:val="00A32743"/>
    <w:rsid w:val="00A34E0A"/>
    <w:rsid w:val="00A414A9"/>
    <w:rsid w:val="00A44D75"/>
    <w:rsid w:val="00A47CF1"/>
    <w:rsid w:val="00A50418"/>
    <w:rsid w:val="00A56D26"/>
    <w:rsid w:val="00A608FB"/>
    <w:rsid w:val="00A60D83"/>
    <w:rsid w:val="00A60F68"/>
    <w:rsid w:val="00A65C78"/>
    <w:rsid w:val="00A67CA6"/>
    <w:rsid w:val="00A70E7B"/>
    <w:rsid w:val="00A73B84"/>
    <w:rsid w:val="00A7411D"/>
    <w:rsid w:val="00A76094"/>
    <w:rsid w:val="00A768E2"/>
    <w:rsid w:val="00A813A6"/>
    <w:rsid w:val="00A82C52"/>
    <w:rsid w:val="00A86CB6"/>
    <w:rsid w:val="00A90D55"/>
    <w:rsid w:val="00A959E7"/>
    <w:rsid w:val="00A95BBA"/>
    <w:rsid w:val="00A961EE"/>
    <w:rsid w:val="00AA04B3"/>
    <w:rsid w:val="00AA493E"/>
    <w:rsid w:val="00AA73AF"/>
    <w:rsid w:val="00AB1754"/>
    <w:rsid w:val="00AB27DD"/>
    <w:rsid w:val="00AC439D"/>
    <w:rsid w:val="00AC7C9C"/>
    <w:rsid w:val="00AD067E"/>
    <w:rsid w:val="00AD68C5"/>
    <w:rsid w:val="00AD7E3B"/>
    <w:rsid w:val="00AE1273"/>
    <w:rsid w:val="00AE2D29"/>
    <w:rsid w:val="00AE4624"/>
    <w:rsid w:val="00AE5E14"/>
    <w:rsid w:val="00AF4FA5"/>
    <w:rsid w:val="00B146E1"/>
    <w:rsid w:val="00B14FAA"/>
    <w:rsid w:val="00B15D30"/>
    <w:rsid w:val="00B23436"/>
    <w:rsid w:val="00B32179"/>
    <w:rsid w:val="00B331A9"/>
    <w:rsid w:val="00B40A3E"/>
    <w:rsid w:val="00B50227"/>
    <w:rsid w:val="00B522CD"/>
    <w:rsid w:val="00B55917"/>
    <w:rsid w:val="00B64DD6"/>
    <w:rsid w:val="00B72303"/>
    <w:rsid w:val="00B73395"/>
    <w:rsid w:val="00B8163D"/>
    <w:rsid w:val="00B82277"/>
    <w:rsid w:val="00B91676"/>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0BC5"/>
    <w:rsid w:val="00BF4720"/>
    <w:rsid w:val="00BF519E"/>
    <w:rsid w:val="00C038EC"/>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678EF"/>
    <w:rsid w:val="00C71BEC"/>
    <w:rsid w:val="00C74D3A"/>
    <w:rsid w:val="00C80511"/>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5865"/>
    <w:rsid w:val="00CD5D1B"/>
    <w:rsid w:val="00CD5E6D"/>
    <w:rsid w:val="00CD63C8"/>
    <w:rsid w:val="00CF158D"/>
    <w:rsid w:val="00CF4394"/>
    <w:rsid w:val="00D10577"/>
    <w:rsid w:val="00D1323B"/>
    <w:rsid w:val="00D14BAE"/>
    <w:rsid w:val="00D1648B"/>
    <w:rsid w:val="00D16819"/>
    <w:rsid w:val="00D20AC0"/>
    <w:rsid w:val="00D26873"/>
    <w:rsid w:val="00D336C8"/>
    <w:rsid w:val="00D339E8"/>
    <w:rsid w:val="00D40B1F"/>
    <w:rsid w:val="00D40D75"/>
    <w:rsid w:val="00D43F3B"/>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0123"/>
    <w:rsid w:val="00D910C2"/>
    <w:rsid w:val="00D9168C"/>
    <w:rsid w:val="00D9189B"/>
    <w:rsid w:val="00D91DA6"/>
    <w:rsid w:val="00D9706F"/>
    <w:rsid w:val="00D972D4"/>
    <w:rsid w:val="00DA195B"/>
    <w:rsid w:val="00DB0015"/>
    <w:rsid w:val="00DB2AAD"/>
    <w:rsid w:val="00DB4434"/>
    <w:rsid w:val="00DB626D"/>
    <w:rsid w:val="00DB6365"/>
    <w:rsid w:val="00DC0BF1"/>
    <w:rsid w:val="00DC41C3"/>
    <w:rsid w:val="00DD3593"/>
    <w:rsid w:val="00DE0C67"/>
    <w:rsid w:val="00DE6952"/>
    <w:rsid w:val="00DE7E74"/>
    <w:rsid w:val="00DF6B3A"/>
    <w:rsid w:val="00E00A69"/>
    <w:rsid w:val="00E017F0"/>
    <w:rsid w:val="00E01A0E"/>
    <w:rsid w:val="00E041E4"/>
    <w:rsid w:val="00E103C8"/>
    <w:rsid w:val="00E1085B"/>
    <w:rsid w:val="00E14581"/>
    <w:rsid w:val="00E15539"/>
    <w:rsid w:val="00E16541"/>
    <w:rsid w:val="00E2536E"/>
    <w:rsid w:val="00E2632B"/>
    <w:rsid w:val="00E322F7"/>
    <w:rsid w:val="00E3369B"/>
    <w:rsid w:val="00E3632B"/>
    <w:rsid w:val="00E36D76"/>
    <w:rsid w:val="00E405EA"/>
    <w:rsid w:val="00E408B7"/>
    <w:rsid w:val="00E42789"/>
    <w:rsid w:val="00E43F59"/>
    <w:rsid w:val="00E464F0"/>
    <w:rsid w:val="00E46C64"/>
    <w:rsid w:val="00E50BEB"/>
    <w:rsid w:val="00E6092F"/>
    <w:rsid w:val="00E629DA"/>
    <w:rsid w:val="00E67FAC"/>
    <w:rsid w:val="00E7200B"/>
    <w:rsid w:val="00E738CB"/>
    <w:rsid w:val="00E73C88"/>
    <w:rsid w:val="00E74437"/>
    <w:rsid w:val="00E81C3E"/>
    <w:rsid w:val="00E82B6D"/>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50C9"/>
    <w:rsid w:val="00EC5BB2"/>
    <w:rsid w:val="00ED664B"/>
    <w:rsid w:val="00EE0B44"/>
    <w:rsid w:val="00EE6FE0"/>
    <w:rsid w:val="00EE704A"/>
    <w:rsid w:val="00EF4C74"/>
    <w:rsid w:val="00EF5268"/>
    <w:rsid w:val="00EF608E"/>
    <w:rsid w:val="00F0044B"/>
    <w:rsid w:val="00F05807"/>
    <w:rsid w:val="00F07052"/>
    <w:rsid w:val="00F0706C"/>
    <w:rsid w:val="00F11EBE"/>
    <w:rsid w:val="00F130D0"/>
    <w:rsid w:val="00F14933"/>
    <w:rsid w:val="00F1516A"/>
    <w:rsid w:val="00F1701A"/>
    <w:rsid w:val="00F22A26"/>
    <w:rsid w:val="00F24072"/>
    <w:rsid w:val="00F26432"/>
    <w:rsid w:val="00F3197A"/>
    <w:rsid w:val="00F32139"/>
    <w:rsid w:val="00F33D56"/>
    <w:rsid w:val="00F34E08"/>
    <w:rsid w:val="00F41D91"/>
    <w:rsid w:val="00F42363"/>
    <w:rsid w:val="00F42732"/>
    <w:rsid w:val="00F46964"/>
    <w:rsid w:val="00F46F9A"/>
    <w:rsid w:val="00F5126A"/>
    <w:rsid w:val="00F6636A"/>
    <w:rsid w:val="00F67E31"/>
    <w:rsid w:val="00F718A8"/>
    <w:rsid w:val="00F72183"/>
    <w:rsid w:val="00F739DE"/>
    <w:rsid w:val="00F76D01"/>
    <w:rsid w:val="00F81C35"/>
    <w:rsid w:val="00F82981"/>
    <w:rsid w:val="00F8311F"/>
    <w:rsid w:val="00F83248"/>
    <w:rsid w:val="00F83376"/>
    <w:rsid w:val="00F853AE"/>
    <w:rsid w:val="00F93DCC"/>
    <w:rsid w:val="00F9435D"/>
    <w:rsid w:val="00FB4E4A"/>
    <w:rsid w:val="00FB593A"/>
    <w:rsid w:val="00FB6410"/>
    <w:rsid w:val="00FB6E82"/>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0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36565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4A2F-F2B0-4452-8AFB-DA3964F1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2047</Words>
  <Characters>11500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18</cp:revision>
  <cp:lastPrinted>2010-08-23T16:34:00Z</cp:lastPrinted>
  <dcterms:created xsi:type="dcterms:W3CDTF">2010-08-13T18:41:00Z</dcterms:created>
  <dcterms:modified xsi:type="dcterms:W3CDTF">2012-02-02T20:47:00Z</dcterms:modified>
</cp:coreProperties>
</file>