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EF" w:rsidRPr="00D91DA6" w:rsidRDefault="00540BEF" w:rsidP="007C3161">
      <w:pPr>
        <w:tabs>
          <w:tab w:val="left" w:pos="288"/>
          <w:tab w:val="left" w:pos="4752"/>
        </w:tabs>
        <w:spacing w:line="240" w:lineRule="exact"/>
        <w:jc w:val="center"/>
        <w:rPr>
          <w:color w:val="000080"/>
        </w:rPr>
      </w:pPr>
      <w:r w:rsidRPr="00D91DA6">
        <w:rPr>
          <w:color w:val="000080"/>
        </w:rPr>
        <w:t>RECORD OF PROCEEDINGS</w:t>
      </w:r>
    </w:p>
    <w:p w:rsidR="00540BEF" w:rsidRPr="00D91DA6" w:rsidRDefault="00540BEF" w:rsidP="007C3161">
      <w:pPr>
        <w:tabs>
          <w:tab w:val="left" w:pos="288"/>
          <w:tab w:val="left" w:pos="4752"/>
        </w:tabs>
        <w:spacing w:line="240" w:lineRule="exact"/>
        <w:jc w:val="center"/>
        <w:rPr>
          <w:color w:val="000080"/>
        </w:rPr>
      </w:pPr>
      <w:r w:rsidRPr="00D91DA6">
        <w:rPr>
          <w:color w:val="000080"/>
        </w:rPr>
        <w:t xml:space="preserve">PHYSICAL DISABILITY </w:t>
      </w:r>
      <w:r>
        <w:rPr>
          <w:color w:val="000080"/>
        </w:rPr>
        <w:t>BOARD OF REVIEW</w:t>
      </w:r>
    </w:p>
    <w:p w:rsidR="00540BEF" w:rsidRPr="00D91DA6" w:rsidRDefault="00540BEF" w:rsidP="007C3161">
      <w:pPr>
        <w:tabs>
          <w:tab w:val="left" w:pos="288"/>
          <w:tab w:val="left" w:pos="4752"/>
        </w:tabs>
        <w:spacing w:line="240" w:lineRule="exact"/>
        <w:jc w:val="both"/>
        <w:rPr>
          <w:color w:val="000080"/>
        </w:rPr>
      </w:pPr>
    </w:p>
    <w:p w:rsidR="00540BEF" w:rsidRPr="00D91DA6" w:rsidRDefault="00540BEF" w:rsidP="007C3161">
      <w:pPr>
        <w:tabs>
          <w:tab w:val="left" w:pos="288"/>
          <w:tab w:val="left" w:pos="4752"/>
        </w:tabs>
        <w:spacing w:line="240" w:lineRule="exact"/>
        <w:jc w:val="both"/>
        <w:rPr>
          <w:color w:val="000080"/>
        </w:rPr>
      </w:pPr>
      <w:r w:rsidRPr="00D91DA6">
        <w:rPr>
          <w:color w:val="000080"/>
        </w:rPr>
        <w:t>NAME:</w:t>
      </w:r>
      <w:r w:rsidRPr="00D91DA6">
        <w:rPr>
          <w:color w:val="000080"/>
        </w:rPr>
        <w:tab/>
      </w:r>
      <w:r w:rsidRPr="00D91DA6">
        <w:rPr>
          <w:color w:val="000080"/>
        </w:rPr>
        <w:tab/>
      </w:r>
      <w:r>
        <w:rPr>
          <w:color w:val="000080"/>
        </w:rPr>
        <w:t>BRANCH OF SERVICE</w:t>
      </w:r>
      <w:r w:rsidRPr="00D91DA6">
        <w:rPr>
          <w:color w:val="000080"/>
        </w:rPr>
        <w:t xml:space="preserve">: </w:t>
      </w:r>
      <w:r w:rsidR="00CA17F9">
        <w:rPr>
          <w:color w:val="000080"/>
        </w:rPr>
        <w:t>ARMY</w:t>
      </w:r>
    </w:p>
    <w:p w:rsidR="00512954" w:rsidRDefault="00540BEF" w:rsidP="007C3161">
      <w:pPr>
        <w:tabs>
          <w:tab w:val="left" w:pos="288"/>
          <w:tab w:val="left" w:pos="4752"/>
        </w:tabs>
        <w:spacing w:line="240" w:lineRule="exact"/>
        <w:jc w:val="both"/>
        <w:rPr>
          <w:color w:val="000080"/>
        </w:rPr>
      </w:pPr>
      <w:r>
        <w:rPr>
          <w:color w:val="000080"/>
        </w:rPr>
        <w:t>CASE</w:t>
      </w:r>
      <w:r w:rsidRPr="00D91DA6">
        <w:rPr>
          <w:color w:val="000080"/>
        </w:rPr>
        <w:t xml:space="preserve"> NUMBER:  </w:t>
      </w:r>
      <w:r w:rsidR="00CA17F9">
        <w:rPr>
          <w:color w:val="000080"/>
        </w:rPr>
        <w:t>PD0900241</w:t>
      </w:r>
      <w:r w:rsidRPr="00D91DA6">
        <w:rPr>
          <w:color w:val="000080"/>
        </w:rPr>
        <w:tab/>
      </w:r>
      <w:r w:rsidRPr="00D91DA6">
        <w:rPr>
          <w:color w:val="000080"/>
        </w:rPr>
        <w:tab/>
        <w:t xml:space="preserve">BOARD DATE: </w:t>
      </w:r>
      <w:r w:rsidR="00276C86">
        <w:rPr>
          <w:color w:val="000080"/>
        </w:rPr>
        <w:t>20</w:t>
      </w:r>
      <w:r w:rsidR="002620C5">
        <w:rPr>
          <w:color w:val="000080"/>
        </w:rPr>
        <w:t>10</w:t>
      </w:r>
      <w:r w:rsidR="00CA17F9">
        <w:rPr>
          <w:color w:val="000080"/>
        </w:rPr>
        <w:t>0107</w:t>
      </w:r>
    </w:p>
    <w:p w:rsidR="00540BEF" w:rsidRDefault="00540BEF" w:rsidP="007C3161">
      <w:pPr>
        <w:tabs>
          <w:tab w:val="left" w:pos="288"/>
          <w:tab w:val="left" w:pos="4752"/>
        </w:tabs>
        <w:spacing w:line="240" w:lineRule="exact"/>
        <w:jc w:val="both"/>
        <w:rPr>
          <w:color w:val="000080"/>
        </w:rPr>
      </w:pPr>
      <w:r w:rsidRPr="00D91DA6">
        <w:rPr>
          <w:color w:val="000080"/>
        </w:rPr>
        <w:t xml:space="preserve">SEPARATION DATE: </w:t>
      </w:r>
      <w:r w:rsidR="00CA17F9">
        <w:rPr>
          <w:color w:val="000080"/>
        </w:rPr>
        <w:t>20070719</w:t>
      </w:r>
    </w:p>
    <w:p w:rsidR="00540BEF" w:rsidRPr="00D91DA6" w:rsidRDefault="00540BEF" w:rsidP="007C3161">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B522CD" w:rsidRPr="00D91DA6" w:rsidRDefault="00B522CD" w:rsidP="007C3161">
      <w:pPr>
        <w:tabs>
          <w:tab w:val="left" w:pos="288"/>
          <w:tab w:val="left" w:pos="4752"/>
        </w:tabs>
        <w:spacing w:line="240" w:lineRule="exact"/>
        <w:jc w:val="both"/>
        <w:rPr>
          <w:color w:val="000080"/>
        </w:rPr>
      </w:pPr>
    </w:p>
    <w:p w:rsidR="002C6E5B" w:rsidRPr="00651D60" w:rsidRDefault="002C6E5B" w:rsidP="007C3161">
      <w:pPr>
        <w:tabs>
          <w:tab w:val="left" w:pos="288"/>
          <w:tab w:val="left" w:pos="4752"/>
        </w:tabs>
        <w:spacing w:line="240" w:lineRule="exact"/>
        <w:jc w:val="both"/>
        <w:rPr>
          <w:color w:val="000080"/>
        </w:rPr>
      </w:pPr>
      <w:r w:rsidRPr="00651D60">
        <w:rPr>
          <w:color w:val="000080"/>
          <w:u w:val="single"/>
        </w:rPr>
        <w:t>SUMMARY OF CASE</w:t>
      </w:r>
      <w:r w:rsidRPr="00651D60">
        <w:rPr>
          <w:color w:val="000080"/>
        </w:rPr>
        <w:t xml:space="preserve">:  This covered individual (CI) was </w:t>
      </w:r>
      <w:r w:rsidR="00EB3D06" w:rsidRPr="00651D60">
        <w:rPr>
          <w:color w:val="000080"/>
        </w:rPr>
        <w:t>an active duty NCO (</w:t>
      </w:r>
      <w:r w:rsidR="00651D60">
        <w:rPr>
          <w:color w:val="000080"/>
        </w:rPr>
        <w:t>communications</w:t>
      </w:r>
      <w:r w:rsidR="00EB3D06" w:rsidRPr="00651D60">
        <w:rPr>
          <w:color w:val="000080"/>
        </w:rPr>
        <w:t>)</w:t>
      </w:r>
      <w:r w:rsidRPr="00651D60">
        <w:rPr>
          <w:color w:val="000080"/>
        </w:rPr>
        <w:t xml:space="preserve"> medically separated from the Army</w:t>
      </w:r>
      <w:r w:rsidR="00EB3D06" w:rsidRPr="00651D60">
        <w:rPr>
          <w:color w:val="000080"/>
        </w:rPr>
        <w:t xml:space="preserve"> in 2007</w:t>
      </w:r>
      <w:r w:rsidRPr="00651D60">
        <w:rPr>
          <w:color w:val="000080"/>
        </w:rPr>
        <w:t xml:space="preserve"> after </w:t>
      </w:r>
      <w:r w:rsidR="00EB3D06" w:rsidRPr="00651D60">
        <w:rPr>
          <w:color w:val="000080"/>
        </w:rPr>
        <w:t>nearly 4</w:t>
      </w:r>
      <w:r w:rsidRPr="00651D60">
        <w:rPr>
          <w:color w:val="000080"/>
        </w:rPr>
        <w:t xml:space="preserve"> years of service.  The medical basis for the separation was </w:t>
      </w:r>
      <w:r w:rsidR="00EB3D06" w:rsidRPr="00651D60">
        <w:rPr>
          <w:color w:val="000080"/>
        </w:rPr>
        <w:t>a back condition.  He suffered a non-traumatic onset of back pain in 2004.  This worsened over time with inadequate response to physical therapy (P</w:t>
      </w:r>
      <w:r w:rsidR="00A62C3E" w:rsidRPr="00651D60">
        <w:rPr>
          <w:color w:val="000080"/>
        </w:rPr>
        <w:t>.</w:t>
      </w:r>
      <w:r w:rsidR="00EB3D06" w:rsidRPr="00651D60">
        <w:rPr>
          <w:color w:val="000080"/>
        </w:rPr>
        <w:t>T</w:t>
      </w:r>
      <w:r w:rsidR="00A62C3E" w:rsidRPr="00651D60">
        <w:rPr>
          <w:color w:val="000080"/>
        </w:rPr>
        <w:t>.</w:t>
      </w:r>
      <w:r w:rsidR="00EB3D06" w:rsidRPr="00651D60">
        <w:rPr>
          <w:color w:val="000080"/>
        </w:rPr>
        <w:t xml:space="preserve">), medications and conservative </w:t>
      </w:r>
      <w:r w:rsidR="00651D60">
        <w:rPr>
          <w:color w:val="000080"/>
        </w:rPr>
        <w:t>management</w:t>
      </w:r>
      <w:r w:rsidR="00EB3D06" w:rsidRPr="00651D60">
        <w:rPr>
          <w:color w:val="000080"/>
        </w:rPr>
        <w:t xml:space="preserve">.  An MRI in 2006 revealed mild to moderate degenerative changes with </w:t>
      </w:r>
      <w:proofErr w:type="spellStart"/>
      <w:r w:rsidR="00EB3D06" w:rsidRPr="00651D60">
        <w:rPr>
          <w:color w:val="000080"/>
        </w:rPr>
        <w:t>spondylosis</w:t>
      </w:r>
      <w:proofErr w:type="spellEnd"/>
      <w:r w:rsidR="00EB3D06" w:rsidRPr="00651D60">
        <w:rPr>
          <w:color w:val="000080"/>
        </w:rPr>
        <w:t xml:space="preserve"> and bilateral </w:t>
      </w:r>
      <w:proofErr w:type="spellStart"/>
      <w:r w:rsidR="00EB3D06" w:rsidRPr="00651D60">
        <w:rPr>
          <w:color w:val="000080"/>
        </w:rPr>
        <w:t>foraminal</w:t>
      </w:r>
      <w:proofErr w:type="spellEnd"/>
      <w:r w:rsidR="00EB3D06" w:rsidRPr="00651D60">
        <w:rPr>
          <w:color w:val="000080"/>
        </w:rPr>
        <w:t xml:space="preserve"> narrowing at L4/5 and L5/S1.  Other than </w:t>
      </w:r>
      <w:r w:rsidR="00D4644C" w:rsidRPr="00651D60">
        <w:rPr>
          <w:color w:val="000080"/>
        </w:rPr>
        <w:t xml:space="preserve">intermittent numbness in his feet, there were no significant </w:t>
      </w:r>
      <w:proofErr w:type="spellStart"/>
      <w:r w:rsidR="00D4644C" w:rsidRPr="00651D60">
        <w:rPr>
          <w:color w:val="000080"/>
        </w:rPr>
        <w:t>radicular</w:t>
      </w:r>
      <w:proofErr w:type="spellEnd"/>
      <w:r w:rsidR="00D4644C" w:rsidRPr="00651D60">
        <w:rPr>
          <w:color w:val="000080"/>
        </w:rPr>
        <w:t xml:space="preserve"> symptoms and he was not a surgical candidate.  He was issued a permanent L3 profile and could not resume full MOS duties.  He underwent a</w:t>
      </w:r>
      <w:r w:rsidR="00512954">
        <w:rPr>
          <w:color w:val="000080"/>
        </w:rPr>
        <w:t>n</w:t>
      </w:r>
      <w:r w:rsidR="00D4644C" w:rsidRPr="00651D60">
        <w:rPr>
          <w:color w:val="000080"/>
        </w:rPr>
        <w:t xml:space="preserve"> MEB which referred the back condition to the PEB as medically unacceptable.  There were no other active medical conditions of significance at that time, and no additional entries on </w:t>
      </w:r>
      <w:r w:rsidR="00866305" w:rsidRPr="00651D60">
        <w:rPr>
          <w:color w:val="000080"/>
        </w:rPr>
        <w:t xml:space="preserve">the MEB’s </w:t>
      </w:r>
      <w:r w:rsidR="00D4644C" w:rsidRPr="00651D60">
        <w:rPr>
          <w:color w:val="000080"/>
        </w:rPr>
        <w:t xml:space="preserve">DA 3947.  </w:t>
      </w:r>
      <w:r w:rsidR="009400CE" w:rsidRPr="00651D60">
        <w:rPr>
          <w:color w:val="000080"/>
        </w:rPr>
        <w:t>The PEB found t</w:t>
      </w:r>
      <w:r w:rsidR="00D4644C" w:rsidRPr="00651D60">
        <w:rPr>
          <w:color w:val="000080"/>
        </w:rPr>
        <w:t xml:space="preserve">he CI unfit for the back condition and </w:t>
      </w:r>
      <w:r w:rsidR="009400CE" w:rsidRPr="00651D60">
        <w:rPr>
          <w:color w:val="000080"/>
        </w:rPr>
        <w:t xml:space="preserve">he was </w:t>
      </w:r>
      <w:r w:rsidR="00D4644C" w:rsidRPr="00651D60">
        <w:rPr>
          <w:color w:val="000080"/>
        </w:rPr>
        <w:t>separated with a 10% rating.</w:t>
      </w:r>
    </w:p>
    <w:p w:rsidR="00923B25" w:rsidRPr="00D91DA6" w:rsidRDefault="008B5D31" w:rsidP="007C3161">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923B25" w:rsidRPr="00D91DA6" w:rsidRDefault="00923B25" w:rsidP="007C3161">
      <w:pPr>
        <w:tabs>
          <w:tab w:val="left" w:pos="288"/>
          <w:tab w:val="left" w:pos="4752"/>
        </w:tabs>
        <w:spacing w:line="240" w:lineRule="exact"/>
        <w:jc w:val="both"/>
        <w:rPr>
          <w:color w:val="000080"/>
        </w:rPr>
      </w:pPr>
    </w:p>
    <w:p w:rsidR="00A90D55" w:rsidRPr="00651D60" w:rsidRDefault="002C6E5B" w:rsidP="007C3161">
      <w:pPr>
        <w:tabs>
          <w:tab w:val="left" w:pos="288"/>
          <w:tab w:val="left" w:pos="4752"/>
        </w:tabs>
        <w:spacing w:line="240" w:lineRule="exact"/>
        <w:jc w:val="both"/>
        <w:rPr>
          <w:color w:val="000080"/>
        </w:rPr>
      </w:pPr>
      <w:r w:rsidRPr="00651D60">
        <w:rPr>
          <w:color w:val="000080"/>
          <w:u w:val="single"/>
        </w:rPr>
        <w:t>CI CONTENTION</w:t>
      </w:r>
      <w:r w:rsidRPr="00651D60">
        <w:rPr>
          <w:color w:val="000080"/>
        </w:rPr>
        <w:t xml:space="preserve">:  The CI </w:t>
      </w:r>
      <w:r w:rsidR="00EB3D06" w:rsidRPr="00651D60">
        <w:rPr>
          <w:color w:val="000080"/>
        </w:rPr>
        <w:t>(</w:t>
      </w:r>
      <w:r w:rsidR="00866305" w:rsidRPr="00651D60">
        <w:rPr>
          <w:color w:val="000080"/>
        </w:rPr>
        <w:t xml:space="preserve">via his </w:t>
      </w:r>
      <w:r w:rsidR="00EB3D06" w:rsidRPr="00651D60">
        <w:rPr>
          <w:color w:val="000080"/>
        </w:rPr>
        <w:t>VSO</w:t>
      </w:r>
      <w:r w:rsidR="00866305" w:rsidRPr="00651D60">
        <w:rPr>
          <w:color w:val="000080"/>
        </w:rPr>
        <w:t xml:space="preserve"> representative</w:t>
      </w:r>
      <w:r w:rsidR="00EB3D06" w:rsidRPr="00651D60">
        <w:rPr>
          <w:color w:val="000080"/>
        </w:rPr>
        <w:t xml:space="preserve">) </w:t>
      </w:r>
      <w:r w:rsidRPr="00651D60">
        <w:rPr>
          <w:color w:val="000080"/>
        </w:rPr>
        <w:t>states:</w:t>
      </w:r>
      <w:r w:rsidR="007003BC" w:rsidRPr="00651D60">
        <w:rPr>
          <w:color w:val="000080"/>
        </w:rPr>
        <w:t xml:space="preserve"> ‘Rating should be higher or equivalent to VA's rating decision.  Army rated service member at 10%.  VA rated service member at 20% for the same condition found unfit.</w:t>
      </w:r>
      <w:r w:rsidR="00EB3D06" w:rsidRPr="00651D60">
        <w:rPr>
          <w:color w:val="000080"/>
        </w:rPr>
        <w:t xml:space="preserve"> </w:t>
      </w:r>
      <w:r w:rsidR="007003BC" w:rsidRPr="00651D60">
        <w:rPr>
          <w:color w:val="000080"/>
        </w:rPr>
        <w:t xml:space="preserve"> </w:t>
      </w:r>
      <w:r w:rsidR="00EB3D06" w:rsidRPr="00651D60">
        <w:rPr>
          <w:color w:val="000080"/>
        </w:rPr>
        <w:t>Service member</w:t>
      </w:r>
      <w:r w:rsidR="007003BC" w:rsidRPr="00651D60">
        <w:rPr>
          <w:color w:val="000080"/>
        </w:rPr>
        <w:t xml:space="preserve"> has been awarded other se</w:t>
      </w:r>
      <w:r w:rsidR="00EB3D06" w:rsidRPr="00651D60">
        <w:rPr>
          <w:color w:val="000080"/>
        </w:rPr>
        <w:t>rvice connected conditions by VA</w:t>
      </w:r>
      <w:r w:rsidR="007003BC" w:rsidRPr="00651D60">
        <w:rPr>
          <w:color w:val="000080"/>
        </w:rPr>
        <w:t>.</w:t>
      </w:r>
      <w:r w:rsidR="00866305" w:rsidRPr="00651D60">
        <w:rPr>
          <w:color w:val="000080"/>
        </w:rPr>
        <w:t>’</w:t>
      </w:r>
    </w:p>
    <w:p w:rsidR="00A90D55" w:rsidRPr="00D91DA6" w:rsidRDefault="008B5D31" w:rsidP="007C3161">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1C181A" w:rsidRDefault="001C181A" w:rsidP="007C3161">
      <w:pPr>
        <w:tabs>
          <w:tab w:val="left" w:pos="288"/>
          <w:tab w:val="left" w:pos="4752"/>
        </w:tabs>
        <w:spacing w:line="240" w:lineRule="exact"/>
        <w:jc w:val="both"/>
        <w:rPr>
          <w:color w:val="000080"/>
        </w:rPr>
      </w:pPr>
    </w:p>
    <w:p w:rsidR="002338CA" w:rsidRDefault="002C6E5B" w:rsidP="007C3161">
      <w:pPr>
        <w:tabs>
          <w:tab w:val="left" w:pos="288"/>
          <w:tab w:val="left" w:pos="4752"/>
        </w:tabs>
        <w:spacing w:line="240" w:lineRule="exact"/>
        <w:jc w:val="both"/>
        <w:rPr>
          <w:rFonts w:ascii="Calibri" w:hAnsi="Calibri"/>
          <w:color w:val="000080"/>
        </w:rPr>
      </w:pPr>
      <w:r w:rsidRPr="00651D60">
        <w:rPr>
          <w:color w:val="000080"/>
          <w:u w:val="single"/>
        </w:rPr>
        <w:t>RATING COMPARISON</w:t>
      </w:r>
      <w:r w:rsidRPr="00651D60">
        <w:rPr>
          <w:color w:val="000080"/>
        </w:rPr>
        <w:t>:</w:t>
      </w:r>
    </w:p>
    <w:p w:rsidR="00CA1CBA" w:rsidRDefault="00CA1CBA" w:rsidP="007C3161">
      <w:pPr>
        <w:tabs>
          <w:tab w:val="left" w:pos="288"/>
          <w:tab w:val="left" w:pos="4752"/>
        </w:tabs>
        <w:spacing w:line="240" w:lineRule="exact"/>
        <w:jc w:val="both"/>
        <w:rPr>
          <w:color w:val="000080"/>
        </w:rPr>
      </w:pPr>
    </w:p>
    <w:tbl>
      <w:tblPr>
        <w:tblStyle w:val="TableGrid"/>
        <w:tblW w:w="9450" w:type="dxa"/>
        <w:tblLayout w:type="fixed"/>
        <w:tblLook w:val="04A0"/>
      </w:tblPr>
      <w:tblGrid>
        <w:gridCol w:w="1800"/>
        <w:gridCol w:w="720"/>
        <w:gridCol w:w="810"/>
        <w:gridCol w:w="990"/>
        <w:gridCol w:w="1620"/>
        <w:gridCol w:w="720"/>
        <w:gridCol w:w="810"/>
        <w:gridCol w:w="990"/>
        <w:gridCol w:w="990"/>
      </w:tblGrid>
      <w:tr w:rsidR="00CA1CBA" w:rsidTr="00CA1CBA">
        <w:trPr>
          <w:trHeight w:val="233"/>
        </w:trPr>
        <w:tc>
          <w:tcPr>
            <w:tcW w:w="4320" w:type="dxa"/>
            <w:gridSpan w:val="4"/>
            <w:tcBorders>
              <w:right w:val="thinThickThinSmallGap" w:sz="24" w:space="0" w:color="auto"/>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rPr>
            </w:pPr>
            <w:r w:rsidRPr="00AE3316">
              <w:rPr>
                <w:rFonts w:cs="Times New Roman"/>
                <w:b/>
              </w:rPr>
              <w:t>Service PEB</w:t>
            </w:r>
          </w:p>
        </w:tc>
        <w:tc>
          <w:tcPr>
            <w:tcW w:w="5130" w:type="dxa"/>
            <w:gridSpan w:val="5"/>
            <w:tcBorders>
              <w:left w:val="thinThickThinSmallGap" w:sz="24" w:space="0" w:color="auto"/>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rPr>
            </w:pPr>
            <w:r w:rsidRPr="00AE3316">
              <w:rPr>
                <w:rFonts w:cs="Times New Roman"/>
                <w:b/>
              </w:rPr>
              <w:t>VA (</w:t>
            </w:r>
            <w:r w:rsidR="00DC2556">
              <w:rPr>
                <w:rFonts w:cs="Times New Roman"/>
                <w:b/>
              </w:rPr>
              <w:t>Pre-</w:t>
            </w:r>
            <w:r w:rsidRPr="00AE3316">
              <w:rPr>
                <w:rFonts w:cs="Times New Roman"/>
                <w:b/>
              </w:rPr>
              <w:t>Separation)</w:t>
            </w:r>
          </w:p>
        </w:tc>
      </w:tr>
      <w:tr w:rsidR="00CA1CBA" w:rsidTr="00CA1CBA">
        <w:trPr>
          <w:trHeight w:val="233"/>
        </w:trPr>
        <w:tc>
          <w:tcPr>
            <w:tcW w:w="1800" w:type="dxa"/>
            <w:tcBorders>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Condition</w:t>
            </w:r>
          </w:p>
        </w:tc>
        <w:tc>
          <w:tcPr>
            <w:tcW w:w="720" w:type="dxa"/>
            <w:tcBorders>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Code</w:t>
            </w:r>
          </w:p>
        </w:tc>
        <w:tc>
          <w:tcPr>
            <w:tcW w:w="810" w:type="dxa"/>
            <w:tcBorders>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Rating</w:t>
            </w:r>
          </w:p>
        </w:tc>
        <w:tc>
          <w:tcPr>
            <w:tcW w:w="990" w:type="dxa"/>
            <w:tcBorders>
              <w:bottom w:val="single" w:sz="4" w:space="0" w:color="000000" w:themeColor="text1"/>
              <w:right w:val="thinThickThinSmallGap" w:sz="24" w:space="0" w:color="auto"/>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Date</w:t>
            </w:r>
          </w:p>
        </w:tc>
        <w:tc>
          <w:tcPr>
            <w:tcW w:w="1620" w:type="dxa"/>
            <w:tcBorders>
              <w:left w:val="thinThickThinSmallGap" w:sz="24" w:space="0" w:color="auto"/>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Condition</w:t>
            </w:r>
          </w:p>
        </w:tc>
        <w:tc>
          <w:tcPr>
            <w:tcW w:w="720" w:type="dxa"/>
            <w:tcBorders>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Code</w:t>
            </w:r>
          </w:p>
        </w:tc>
        <w:tc>
          <w:tcPr>
            <w:tcW w:w="810" w:type="dxa"/>
            <w:tcBorders>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Rating</w:t>
            </w:r>
          </w:p>
        </w:tc>
        <w:tc>
          <w:tcPr>
            <w:tcW w:w="990" w:type="dxa"/>
            <w:tcBorders>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Exam</w:t>
            </w:r>
          </w:p>
        </w:tc>
        <w:tc>
          <w:tcPr>
            <w:tcW w:w="990" w:type="dxa"/>
            <w:tcBorders>
              <w:bottom w:val="single" w:sz="4" w:space="0" w:color="000000" w:themeColor="text1"/>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sz w:val="20"/>
                <w:szCs w:val="20"/>
              </w:rPr>
            </w:pPr>
            <w:r w:rsidRPr="00AE3316">
              <w:rPr>
                <w:rFonts w:cs="Times New Roman"/>
                <w:b/>
                <w:sz w:val="20"/>
                <w:szCs w:val="20"/>
              </w:rPr>
              <w:t>Effective</w:t>
            </w:r>
          </w:p>
        </w:tc>
      </w:tr>
      <w:tr w:rsidR="00CA1CBA" w:rsidTr="00CA1CBA">
        <w:trPr>
          <w:trHeight w:val="197"/>
        </w:trPr>
        <w:tc>
          <w:tcPr>
            <w:tcW w:w="1800" w:type="dxa"/>
            <w:shd w:val="clear" w:color="auto" w:fill="FFFFFF" w:themeFill="background1"/>
          </w:tcPr>
          <w:p w:rsidR="00CA1CBA" w:rsidRPr="00AE3316" w:rsidRDefault="00CA1CBA" w:rsidP="007C3161">
            <w:pPr>
              <w:pStyle w:val="ListParagraph"/>
              <w:spacing w:after="0" w:line="240" w:lineRule="exact"/>
              <w:ind w:left="0"/>
              <w:rPr>
                <w:rFonts w:cs="Times New Roman"/>
                <w:sz w:val="18"/>
                <w:szCs w:val="18"/>
              </w:rPr>
            </w:pPr>
            <w:r>
              <w:rPr>
                <w:rFonts w:cs="Times New Roman"/>
                <w:sz w:val="18"/>
                <w:szCs w:val="18"/>
              </w:rPr>
              <w:t>Lumbar Degenerative Disc Disease</w:t>
            </w:r>
          </w:p>
        </w:tc>
        <w:tc>
          <w:tcPr>
            <w:tcW w:w="72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Pr>
                <w:rFonts w:cs="Times New Roman"/>
                <w:sz w:val="18"/>
                <w:szCs w:val="18"/>
              </w:rPr>
              <w:t>5299- 5242</w:t>
            </w:r>
          </w:p>
        </w:tc>
        <w:tc>
          <w:tcPr>
            <w:tcW w:w="81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Pr>
                <w:rFonts w:cs="Times New Roman"/>
                <w:sz w:val="18"/>
                <w:szCs w:val="18"/>
              </w:rPr>
              <w:t>10%</w:t>
            </w:r>
          </w:p>
        </w:tc>
        <w:tc>
          <w:tcPr>
            <w:tcW w:w="990" w:type="dxa"/>
            <w:tcBorders>
              <w:right w:val="thinThickThinSmallGap" w:sz="24" w:space="0" w:color="auto"/>
            </w:tcBorders>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Pr>
                <w:rFonts w:cs="Times New Roman"/>
                <w:sz w:val="18"/>
                <w:szCs w:val="18"/>
              </w:rPr>
              <w:t>20070611</w:t>
            </w:r>
          </w:p>
        </w:tc>
        <w:tc>
          <w:tcPr>
            <w:tcW w:w="1620" w:type="dxa"/>
            <w:tcBorders>
              <w:left w:val="thinThickThinSmallGap" w:sz="24" w:space="0" w:color="auto"/>
            </w:tcBorders>
            <w:shd w:val="clear" w:color="auto" w:fill="FFFFFF" w:themeFill="background1"/>
          </w:tcPr>
          <w:p w:rsidR="00CA1CBA" w:rsidRPr="00AE3316" w:rsidRDefault="00CA1CBA" w:rsidP="007C3161">
            <w:pPr>
              <w:pStyle w:val="ListParagraph"/>
              <w:spacing w:after="0" w:line="240" w:lineRule="exact"/>
              <w:ind w:left="0"/>
              <w:rPr>
                <w:rFonts w:cs="Times New Roman"/>
                <w:sz w:val="18"/>
                <w:szCs w:val="18"/>
              </w:rPr>
            </w:pPr>
            <w:r>
              <w:rPr>
                <w:rFonts w:cs="Times New Roman"/>
                <w:sz w:val="18"/>
                <w:szCs w:val="18"/>
              </w:rPr>
              <w:t>Degenerative Disc Disease, Lumbar</w:t>
            </w:r>
          </w:p>
        </w:tc>
        <w:tc>
          <w:tcPr>
            <w:tcW w:w="72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Pr>
                <w:rFonts w:cs="Times New Roman"/>
                <w:sz w:val="18"/>
                <w:szCs w:val="18"/>
              </w:rPr>
              <w:t>5243</w:t>
            </w:r>
          </w:p>
        </w:tc>
        <w:tc>
          <w:tcPr>
            <w:tcW w:w="81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Pr>
                <w:rFonts w:cs="Times New Roman"/>
                <w:sz w:val="18"/>
                <w:szCs w:val="18"/>
              </w:rPr>
              <w:t>20%</w:t>
            </w:r>
          </w:p>
        </w:tc>
        <w:tc>
          <w:tcPr>
            <w:tcW w:w="99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Pr>
                <w:rFonts w:cs="Times New Roman"/>
                <w:sz w:val="18"/>
                <w:szCs w:val="18"/>
              </w:rPr>
              <w:t>20070615</w:t>
            </w:r>
          </w:p>
        </w:tc>
        <w:tc>
          <w:tcPr>
            <w:tcW w:w="99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Pr>
                <w:rFonts w:cs="Times New Roman"/>
                <w:sz w:val="18"/>
                <w:szCs w:val="18"/>
              </w:rPr>
              <w:t>20070720</w:t>
            </w:r>
          </w:p>
        </w:tc>
      </w:tr>
      <w:tr w:rsidR="00CA1CBA" w:rsidTr="00CA1CBA">
        <w:trPr>
          <w:trHeight w:val="197"/>
        </w:trPr>
        <w:tc>
          <w:tcPr>
            <w:tcW w:w="4320" w:type="dxa"/>
            <w:gridSpan w:val="4"/>
            <w:tcBorders>
              <w:right w:val="thinThickThinSmallGap" w:sz="24" w:space="0" w:color="auto"/>
            </w:tcBorders>
            <w:shd w:val="clear" w:color="auto" w:fill="FFFFFF" w:themeFill="background1"/>
          </w:tcPr>
          <w:p w:rsidR="00CA1CBA" w:rsidRPr="00AE3316" w:rsidRDefault="00CA1CBA" w:rsidP="007C3161">
            <w:pPr>
              <w:pStyle w:val="ListParagraph"/>
              <w:spacing w:after="0" w:line="240" w:lineRule="exact"/>
              <w:ind w:left="0"/>
              <w:jc w:val="center"/>
              <w:rPr>
                <w:rFonts w:cs="Times New Roman"/>
                <w:b/>
                <w:sz w:val="18"/>
                <w:szCs w:val="18"/>
              </w:rPr>
            </w:pPr>
            <w:r>
              <w:rPr>
                <w:rFonts w:eastAsiaTheme="minorEastAsia"/>
                <w:sz w:val="18"/>
                <w:szCs w:val="18"/>
              </w:rPr>
              <w:t>No Additional DA</w:t>
            </w:r>
            <w:r w:rsidRPr="00AE3316">
              <w:rPr>
                <w:rFonts w:eastAsiaTheme="minorEastAsia"/>
                <w:sz w:val="18"/>
                <w:szCs w:val="18"/>
              </w:rPr>
              <w:t xml:space="preserve"> 3947 Entries.</w:t>
            </w:r>
          </w:p>
        </w:tc>
        <w:tc>
          <w:tcPr>
            <w:tcW w:w="3150" w:type="dxa"/>
            <w:gridSpan w:val="3"/>
            <w:tcBorders>
              <w:left w:val="thinThickThinSmallGap" w:sz="24" w:space="0" w:color="auto"/>
            </w:tcBorders>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r w:rsidRPr="00AE3316">
              <w:rPr>
                <w:rFonts w:cs="Times New Roman"/>
                <w:sz w:val="18"/>
                <w:szCs w:val="18"/>
              </w:rPr>
              <w:t xml:space="preserve">Non-PEB  X  </w:t>
            </w:r>
            <w:r>
              <w:rPr>
                <w:rFonts w:cs="Times New Roman"/>
                <w:sz w:val="18"/>
                <w:szCs w:val="18"/>
              </w:rPr>
              <w:t>1</w:t>
            </w:r>
            <w:r w:rsidRPr="00AE3316">
              <w:rPr>
                <w:rFonts w:cs="Times New Roman"/>
                <w:sz w:val="18"/>
                <w:szCs w:val="18"/>
              </w:rPr>
              <w:t xml:space="preserve"> / NSC </w:t>
            </w:r>
            <w:r>
              <w:rPr>
                <w:rFonts w:cs="Times New Roman"/>
                <w:sz w:val="18"/>
                <w:szCs w:val="18"/>
              </w:rPr>
              <w:t>X 1</w:t>
            </w:r>
          </w:p>
        </w:tc>
        <w:tc>
          <w:tcPr>
            <w:tcW w:w="99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p>
        </w:tc>
        <w:tc>
          <w:tcPr>
            <w:tcW w:w="990" w:type="dxa"/>
            <w:shd w:val="clear" w:color="auto" w:fill="FFFFFF" w:themeFill="background1"/>
          </w:tcPr>
          <w:p w:rsidR="00CA1CBA" w:rsidRPr="00AE3316" w:rsidRDefault="00CA1CBA" w:rsidP="007C3161">
            <w:pPr>
              <w:pStyle w:val="ListParagraph"/>
              <w:spacing w:after="0" w:line="240" w:lineRule="exact"/>
              <w:ind w:left="0"/>
              <w:jc w:val="center"/>
              <w:rPr>
                <w:rFonts w:cs="Times New Roman"/>
                <w:sz w:val="18"/>
                <w:szCs w:val="18"/>
              </w:rPr>
            </w:pPr>
          </w:p>
        </w:tc>
      </w:tr>
      <w:tr w:rsidR="00CA1CBA" w:rsidTr="009400CE">
        <w:trPr>
          <w:trHeight w:val="278"/>
        </w:trPr>
        <w:tc>
          <w:tcPr>
            <w:tcW w:w="4320" w:type="dxa"/>
            <w:gridSpan w:val="4"/>
            <w:tcBorders>
              <w:right w:val="thinThickThinSmallGap" w:sz="24" w:space="0" w:color="auto"/>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rPr>
            </w:pPr>
            <w:r w:rsidRPr="00AE3316">
              <w:rPr>
                <w:rFonts w:cs="Times New Roman"/>
                <w:b/>
              </w:rPr>
              <w:t xml:space="preserve">TOTAL Combined:  </w:t>
            </w:r>
            <w:r>
              <w:rPr>
                <w:rFonts w:cs="Times New Roman"/>
                <w:b/>
              </w:rPr>
              <w:t>1</w:t>
            </w:r>
            <w:r w:rsidRPr="00AE3316">
              <w:rPr>
                <w:rFonts w:cs="Times New Roman"/>
                <w:b/>
              </w:rPr>
              <w:t>0%</w:t>
            </w:r>
          </w:p>
        </w:tc>
        <w:tc>
          <w:tcPr>
            <w:tcW w:w="5130" w:type="dxa"/>
            <w:gridSpan w:val="5"/>
            <w:tcBorders>
              <w:left w:val="thinThickThinSmallGap" w:sz="24" w:space="0" w:color="auto"/>
            </w:tcBorders>
            <w:shd w:val="clear" w:color="auto" w:fill="EEECE1" w:themeFill="background2"/>
          </w:tcPr>
          <w:p w:rsidR="00CA1CBA" w:rsidRPr="00AE3316" w:rsidRDefault="00CA1CBA" w:rsidP="007C3161">
            <w:pPr>
              <w:pStyle w:val="ListParagraph"/>
              <w:spacing w:after="0" w:line="240" w:lineRule="exact"/>
              <w:ind w:left="0"/>
              <w:jc w:val="center"/>
              <w:rPr>
                <w:rFonts w:cs="Times New Roman"/>
                <w:b/>
              </w:rPr>
            </w:pPr>
            <w:r w:rsidRPr="00AE3316">
              <w:rPr>
                <w:rFonts w:cs="Times New Roman"/>
                <w:b/>
              </w:rPr>
              <w:t>TOTAL Combined (</w:t>
            </w:r>
            <w:r w:rsidRPr="00AE3316">
              <w:rPr>
                <w:rFonts w:cs="Times New Roman"/>
                <w:b/>
                <w:i/>
                <w:sz w:val="20"/>
                <w:szCs w:val="20"/>
              </w:rPr>
              <w:t>Includes Non-PEB Conditions</w:t>
            </w:r>
            <w:r w:rsidRPr="00AE3316">
              <w:rPr>
                <w:rFonts w:cs="Times New Roman"/>
                <w:b/>
              </w:rPr>
              <w:t xml:space="preserve">):    </w:t>
            </w:r>
            <w:r>
              <w:rPr>
                <w:rFonts w:cs="Times New Roman"/>
                <w:b/>
              </w:rPr>
              <w:t>2</w:t>
            </w:r>
            <w:r w:rsidRPr="00AE3316">
              <w:rPr>
                <w:rFonts w:cs="Times New Roman"/>
                <w:b/>
              </w:rPr>
              <w:t xml:space="preserve">0%                                                                         </w:t>
            </w:r>
            <w:r w:rsidRPr="00AE3316">
              <w:rPr>
                <w:rFonts w:cs="Times New Roman"/>
                <w:color w:val="000000"/>
                <w:sz w:val="21"/>
                <w:szCs w:val="24"/>
              </w:rPr>
              <w:t xml:space="preserve"> </w:t>
            </w:r>
          </w:p>
        </w:tc>
      </w:tr>
    </w:tbl>
    <w:p w:rsidR="00A90D55" w:rsidRPr="00D91DA6" w:rsidRDefault="008B5D31" w:rsidP="007C3161">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sidR="00A90D55">
        <w:rPr>
          <w:color w:val="000080"/>
        </w:rPr>
        <w:t>_</w:t>
      </w:r>
    </w:p>
    <w:p w:rsidR="00A90D55" w:rsidRDefault="00A90D55" w:rsidP="007C3161">
      <w:pPr>
        <w:tabs>
          <w:tab w:val="left" w:pos="288"/>
          <w:tab w:val="left" w:pos="4752"/>
        </w:tabs>
        <w:spacing w:line="240" w:lineRule="exact"/>
        <w:jc w:val="both"/>
        <w:rPr>
          <w:color w:val="000080"/>
        </w:rPr>
      </w:pPr>
    </w:p>
    <w:p w:rsidR="002C6E5B" w:rsidRPr="00651D60" w:rsidRDefault="002C6E5B" w:rsidP="007C3161">
      <w:pPr>
        <w:tabs>
          <w:tab w:val="left" w:pos="288"/>
          <w:tab w:val="left" w:pos="4752"/>
        </w:tabs>
        <w:spacing w:line="240" w:lineRule="exact"/>
        <w:jc w:val="both"/>
        <w:rPr>
          <w:color w:val="000080"/>
        </w:rPr>
      </w:pPr>
      <w:r w:rsidRPr="00651D60">
        <w:rPr>
          <w:color w:val="000080"/>
          <w:u w:val="single"/>
        </w:rPr>
        <w:t>ANALYSIS SUMMARY</w:t>
      </w:r>
      <w:r w:rsidRPr="00651D60">
        <w:rPr>
          <w:color w:val="000080"/>
        </w:rPr>
        <w:t>:</w:t>
      </w:r>
    </w:p>
    <w:p w:rsidR="002C6E5B" w:rsidRPr="00651D60" w:rsidRDefault="002C6E5B" w:rsidP="007C3161">
      <w:pPr>
        <w:tabs>
          <w:tab w:val="left" w:pos="288"/>
          <w:tab w:val="left" w:pos="4752"/>
        </w:tabs>
        <w:spacing w:line="240" w:lineRule="exact"/>
        <w:jc w:val="both"/>
        <w:rPr>
          <w:color w:val="000080"/>
        </w:rPr>
      </w:pPr>
    </w:p>
    <w:p w:rsidR="009400CE" w:rsidRPr="00651D60" w:rsidRDefault="009400CE" w:rsidP="007C3161">
      <w:pPr>
        <w:tabs>
          <w:tab w:val="left" w:pos="288"/>
          <w:tab w:val="left" w:pos="4752"/>
        </w:tabs>
        <w:spacing w:line="240" w:lineRule="exact"/>
        <w:jc w:val="both"/>
        <w:rPr>
          <w:color w:val="000080"/>
        </w:rPr>
      </w:pPr>
      <w:r w:rsidRPr="00651D60">
        <w:rPr>
          <w:color w:val="000080"/>
          <w:u w:val="single"/>
        </w:rPr>
        <w:t>Back</w:t>
      </w:r>
      <w:r w:rsidR="002C6E5B" w:rsidRPr="00651D60">
        <w:rPr>
          <w:color w:val="000080"/>
          <w:u w:val="single"/>
        </w:rPr>
        <w:t xml:space="preserve"> Condition</w:t>
      </w:r>
      <w:r w:rsidR="002C6E5B" w:rsidRPr="00651D60">
        <w:rPr>
          <w:color w:val="000080"/>
        </w:rPr>
        <w:t>.  The</w:t>
      </w:r>
      <w:r w:rsidR="002B7342" w:rsidRPr="00651D60">
        <w:rPr>
          <w:color w:val="000080"/>
        </w:rPr>
        <w:t xml:space="preserve"> </w:t>
      </w:r>
      <w:r w:rsidR="006844C2" w:rsidRPr="00651D60">
        <w:rPr>
          <w:color w:val="000080"/>
        </w:rPr>
        <w:t xml:space="preserve">language of the DA 199 reflects </w:t>
      </w:r>
      <w:r w:rsidR="006254FF" w:rsidRPr="00651D60">
        <w:rPr>
          <w:color w:val="000080"/>
        </w:rPr>
        <w:t>application of the USAPDA pain policy, but there is no evidence that this affected the 10% rating determined by the PEB.  There are complete goniometric and spinal exams in evidence from the MEB and the VA.  Both reflected pain as the end-point of measurement.  The MEB exam noted spasm and tenderness; the VA exam did not.  Neither noted a</w:t>
      </w:r>
      <w:r w:rsidR="00A62C3E" w:rsidRPr="00651D60">
        <w:rPr>
          <w:color w:val="000080"/>
        </w:rPr>
        <w:t>n abnormal gait, abnormal</w:t>
      </w:r>
      <w:r w:rsidR="006254FF" w:rsidRPr="00651D60">
        <w:rPr>
          <w:color w:val="000080"/>
        </w:rPr>
        <w:t xml:space="preserve"> contour</w:t>
      </w:r>
      <w:r w:rsidR="00A62C3E" w:rsidRPr="00651D60">
        <w:rPr>
          <w:color w:val="000080"/>
        </w:rPr>
        <w:t xml:space="preserve"> </w:t>
      </w:r>
      <w:r w:rsidR="00A62C3E" w:rsidRPr="00651D60">
        <w:rPr>
          <w:color w:val="000080"/>
        </w:rPr>
        <w:lastRenderedPageBreak/>
        <w:t>or</w:t>
      </w:r>
      <w:r w:rsidR="006254FF" w:rsidRPr="00651D60">
        <w:rPr>
          <w:color w:val="000080"/>
        </w:rPr>
        <w:t xml:space="preserve"> neurologic deficits.  </w:t>
      </w:r>
      <w:r w:rsidR="00A62C3E" w:rsidRPr="00651D60">
        <w:rPr>
          <w:color w:val="000080"/>
        </w:rPr>
        <w:t xml:space="preserve">There were also P.T. notes and referral notes from a civilian physiatrist in evidence as a source of additional information reflecting </w:t>
      </w:r>
      <w:r w:rsidR="00CE031F" w:rsidRPr="00651D60">
        <w:rPr>
          <w:color w:val="000080"/>
        </w:rPr>
        <w:t xml:space="preserve">on </w:t>
      </w:r>
      <w:r w:rsidR="00A62C3E" w:rsidRPr="00651D60">
        <w:rPr>
          <w:color w:val="000080"/>
        </w:rPr>
        <w:t>degree of impairment.  Relevant</w:t>
      </w:r>
      <w:r w:rsidRPr="00651D60">
        <w:rPr>
          <w:color w:val="000080"/>
        </w:rPr>
        <w:t xml:space="preserve"> determinants of the Board rating recommendation are summarized in the table below.</w:t>
      </w:r>
    </w:p>
    <w:p w:rsidR="002B7342" w:rsidRDefault="002B7342" w:rsidP="007C3161">
      <w:pPr>
        <w:tabs>
          <w:tab w:val="left" w:pos="288"/>
          <w:tab w:val="left" w:pos="4752"/>
        </w:tabs>
        <w:spacing w:line="240" w:lineRule="exact"/>
        <w:rPr>
          <w:rFonts w:asciiTheme="minorHAnsi" w:hAnsiTheme="minorHAnsi"/>
          <w:color w:val="auto"/>
          <w:szCs w:val="24"/>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990"/>
        <w:gridCol w:w="1530"/>
        <w:gridCol w:w="2340"/>
        <w:gridCol w:w="2700"/>
      </w:tblGrid>
      <w:tr w:rsidR="007003BC" w:rsidRPr="007862B0" w:rsidTr="00651D60">
        <w:tc>
          <w:tcPr>
            <w:tcW w:w="1710" w:type="dxa"/>
            <w:shd w:val="clear" w:color="auto" w:fill="DAEEF3" w:themeFill="accent5" w:themeFillTint="33"/>
          </w:tcPr>
          <w:p w:rsidR="002B7342" w:rsidRDefault="00CA1CBA" w:rsidP="007C3161">
            <w:pPr>
              <w:pStyle w:val="ListParagraph"/>
              <w:spacing w:after="0" w:line="240" w:lineRule="exact"/>
              <w:ind w:left="0"/>
              <w:jc w:val="center"/>
              <w:rPr>
                <w:rFonts w:ascii="Calibri" w:eastAsia="Calibri" w:hAnsi="Calibri" w:cs="Times New Roman"/>
              </w:rPr>
            </w:pPr>
            <w:proofErr w:type="spellStart"/>
            <w:r>
              <w:rPr>
                <w:rFonts w:ascii="Calibri" w:eastAsia="Calibri" w:hAnsi="Calibri" w:cs="Times New Roman"/>
              </w:rPr>
              <w:t>Thoracolumbar</w:t>
            </w:r>
            <w:proofErr w:type="spellEnd"/>
          </w:p>
          <w:p w:rsidR="002B7342" w:rsidRPr="00E04A6C" w:rsidRDefault="002B7342" w:rsidP="007C3161">
            <w:pPr>
              <w:pStyle w:val="ListParagraph"/>
              <w:spacing w:after="0" w:line="240" w:lineRule="exact"/>
              <w:ind w:left="0"/>
              <w:jc w:val="center"/>
              <w:rPr>
                <w:rFonts w:ascii="Calibri" w:eastAsia="Calibri" w:hAnsi="Calibri" w:cs="Times New Roman"/>
              </w:rPr>
            </w:pPr>
            <w:r w:rsidRPr="00E04A6C">
              <w:rPr>
                <w:rFonts w:ascii="Calibri" w:eastAsia="Calibri" w:hAnsi="Calibri" w:cs="Times New Roman"/>
              </w:rPr>
              <w:t>ROM</w:t>
            </w:r>
          </w:p>
        </w:tc>
        <w:tc>
          <w:tcPr>
            <w:tcW w:w="990" w:type="dxa"/>
            <w:shd w:val="clear" w:color="auto" w:fill="DAEEF3" w:themeFill="accent5" w:themeFillTint="33"/>
          </w:tcPr>
          <w:p w:rsidR="002B7342" w:rsidRPr="007862B0" w:rsidRDefault="002B7342"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MEB</w:t>
            </w:r>
          </w:p>
          <w:p w:rsidR="002B7342" w:rsidRPr="007862B0" w:rsidRDefault="00B77C16"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5/22</w:t>
            </w:r>
            <w:r w:rsidR="002B7342">
              <w:rPr>
                <w:rFonts w:ascii="Calibri" w:eastAsia="Calibri" w:hAnsi="Calibri" w:cs="Times New Roman"/>
              </w:rPr>
              <w:t>/0</w:t>
            </w:r>
            <w:r>
              <w:rPr>
                <w:rFonts w:ascii="Calibri" w:eastAsia="Calibri" w:hAnsi="Calibri" w:cs="Times New Roman"/>
              </w:rPr>
              <w:t>7</w:t>
            </w:r>
          </w:p>
        </w:tc>
        <w:tc>
          <w:tcPr>
            <w:tcW w:w="1530" w:type="dxa"/>
            <w:shd w:val="clear" w:color="auto" w:fill="DAEEF3" w:themeFill="accent5" w:themeFillTint="33"/>
          </w:tcPr>
          <w:p w:rsidR="002B7342" w:rsidRDefault="002B7342" w:rsidP="007C3161">
            <w:pPr>
              <w:pStyle w:val="ListParagraph"/>
              <w:spacing w:after="0" w:line="240" w:lineRule="exact"/>
              <w:ind w:left="0"/>
              <w:jc w:val="center"/>
              <w:rPr>
                <w:rFonts w:ascii="Calibri" w:hAnsi="Calibri"/>
              </w:rPr>
            </w:pPr>
            <w:r>
              <w:rPr>
                <w:rFonts w:ascii="Calibri" w:eastAsia="Calibri" w:hAnsi="Calibri" w:cs="Times New Roman"/>
              </w:rPr>
              <w:t>VA</w:t>
            </w:r>
            <w:r w:rsidRPr="006F5E30">
              <w:rPr>
                <w:rFonts w:ascii="Calibri" w:hAnsi="Calibri"/>
              </w:rPr>
              <w:t xml:space="preserve"> C&amp;P Exam</w:t>
            </w:r>
          </w:p>
          <w:p w:rsidR="002B7342" w:rsidRPr="006F5E30" w:rsidRDefault="00B77C16" w:rsidP="007C3161">
            <w:pPr>
              <w:pStyle w:val="ListParagraph"/>
              <w:spacing w:after="0" w:line="240" w:lineRule="exact"/>
              <w:ind w:left="0"/>
              <w:jc w:val="center"/>
              <w:rPr>
                <w:rFonts w:ascii="Calibri" w:eastAsia="Calibri" w:hAnsi="Calibri" w:cs="Times New Roman"/>
              </w:rPr>
            </w:pPr>
            <w:r>
              <w:rPr>
                <w:rFonts w:ascii="Calibri" w:hAnsi="Calibri"/>
              </w:rPr>
              <w:t>6/15</w:t>
            </w:r>
            <w:r w:rsidR="002B7342">
              <w:rPr>
                <w:rFonts w:ascii="Calibri" w:hAnsi="Calibri"/>
              </w:rPr>
              <w:t>/0</w:t>
            </w:r>
            <w:r>
              <w:rPr>
                <w:rFonts w:ascii="Calibri" w:hAnsi="Calibri"/>
              </w:rPr>
              <w:t>7</w:t>
            </w:r>
          </w:p>
        </w:tc>
        <w:tc>
          <w:tcPr>
            <w:tcW w:w="2340" w:type="dxa"/>
            <w:shd w:val="clear" w:color="auto" w:fill="DAEEF3" w:themeFill="accent5" w:themeFillTint="33"/>
          </w:tcPr>
          <w:p w:rsidR="002B7342" w:rsidRDefault="002B7342"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P.T. Comments</w:t>
            </w:r>
          </w:p>
          <w:p w:rsidR="002B7342" w:rsidRDefault="007003BC"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4/9</w:t>
            </w:r>
            <w:r w:rsidR="002B7342">
              <w:rPr>
                <w:rFonts w:ascii="Calibri" w:eastAsia="Calibri" w:hAnsi="Calibri" w:cs="Times New Roman"/>
              </w:rPr>
              <w:t>/0</w:t>
            </w:r>
            <w:r>
              <w:rPr>
                <w:rFonts w:ascii="Calibri" w:eastAsia="Calibri" w:hAnsi="Calibri" w:cs="Times New Roman"/>
              </w:rPr>
              <w:t>7</w:t>
            </w:r>
          </w:p>
        </w:tc>
        <w:tc>
          <w:tcPr>
            <w:tcW w:w="2700" w:type="dxa"/>
            <w:shd w:val="clear" w:color="auto" w:fill="DAEEF3" w:themeFill="accent5" w:themeFillTint="33"/>
          </w:tcPr>
          <w:p w:rsidR="002B7342" w:rsidRDefault="007003BC"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Physiatrist Note</w:t>
            </w:r>
          </w:p>
          <w:p w:rsidR="002B7342" w:rsidRDefault="007003BC"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8/16</w:t>
            </w:r>
            <w:r w:rsidR="002B7342">
              <w:rPr>
                <w:rFonts w:ascii="Calibri" w:eastAsia="Calibri" w:hAnsi="Calibri" w:cs="Times New Roman"/>
              </w:rPr>
              <w:t>/06</w:t>
            </w:r>
          </w:p>
        </w:tc>
      </w:tr>
      <w:tr w:rsidR="007003BC" w:rsidRPr="00140096" w:rsidTr="00651D60">
        <w:tc>
          <w:tcPr>
            <w:tcW w:w="1710" w:type="dxa"/>
          </w:tcPr>
          <w:p w:rsidR="002B7342" w:rsidRPr="00140096" w:rsidRDefault="002B7342" w:rsidP="007C3161">
            <w:pPr>
              <w:pStyle w:val="ListParagraph"/>
              <w:spacing w:after="0" w:line="240" w:lineRule="exact"/>
              <w:ind w:left="0"/>
              <w:rPr>
                <w:rFonts w:ascii="Calibri" w:eastAsia="Calibri" w:hAnsi="Calibri" w:cs="Times New Roman"/>
              </w:rPr>
            </w:pPr>
            <w:r w:rsidRPr="00140096">
              <w:rPr>
                <w:rFonts w:ascii="Calibri" w:eastAsia="Calibri" w:hAnsi="Calibri" w:cs="Times New Roman"/>
              </w:rPr>
              <w:t>Flex</w:t>
            </w:r>
          </w:p>
        </w:tc>
        <w:tc>
          <w:tcPr>
            <w:tcW w:w="990" w:type="dxa"/>
          </w:tcPr>
          <w:p w:rsidR="002B7342" w:rsidRPr="00140096" w:rsidRDefault="00B77C16"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64</w:t>
            </w:r>
            <w:r w:rsidR="002B7342">
              <w:rPr>
                <w:rFonts w:ascii="Calibri" w:eastAsia="Calibri" w:hAnsi="Calibri" w:cs="Times New Roman"/>
              </w:rPr>
              <w:t>⁰</w:t>
            </w:r>
          </w:p>
        </w:tc>
        <w:tc>
          <w:tcPr>
            <w:tcW w:w="1530" w:type="dxa"/>
          </w:tcPr>
          <w:p w:rsidR="002B7342" w:rsidRPr="00140096" w:rsidRDefault="00B77C16"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60</w:t>
            </w:r>
            <w:r w:rsidR="002B7342">
              <w:rPr>
                <w:rFonts w:ascii="Calibri" w:eastAsia="Calibri" w:hAnsi="Calibri" w:cs="Times New Roman"/>
              </w:rPr>
              <w:t>⁰</w:t>
            </w:r>
          </w:p>
        </w:tc>
        <w:tc>
          <w:tcPr>
            <w:tcW w:w="2340" w:type="dxa"/>
            <w:vMerge w:val="restart"/>
          </w:tcPr>
          <w:p w:rsidR="002B7342" w:rsidRPr="00D24AFC" w:rsidRDefault="007003BC" w:rsidP="007C3161">
            <w:pPr>
              <w:autoSpaceDE w:val="0"/>
              <w:autoSpaceDN w:val="0"/>
              <w:adjustRightInd w:val="0"/>
              <w:spacing w:line="240" w:lineRule="exact"/>
              <w:rPr>
                <w:rFonts w:ascii="Calibri" w:hAnsi="Calibri"/>
                <w:color w:val="auto"/>
                <w:sz w:val="20"/>
              </w:rPr>
            </w:pPr>
            <w:r>
              <w:rPr>
                <w:rFonts w:ascii="Calibri" w:hAnsi="Calibri"/>
                <w:color w:val="auto"/>
                <w:sz w:val="20"/>
              </w:rPr>
              <w:t>‘Active flexion of the LS spine 45⁰ limited by pain.’</w:t>
            </w:r>
          </w:p>
        </w:tc>
        <w:tc>
          <w:tcPr>
            <w:tcW w:w="2700" w:type="dxa"/>
            <w:vMerge w:val="restart"/>
          </w:tcPr>
          <w:p w:rsidR="002B7342" w:rsidRPr="00D24AFC" w:rsidRDefault="007003BC" w:rsidP="007C3161">
            <w:pPr>
              <w:pStyle w:val="ListParagraph"/>
              <w:spacing w:after="0" w:line="240" w:lineRule="exact"/>
              <w:ind w:left="0"/>
              <w:rPr>
                <w:rFonts w:ascii="Calibri" w:eastAsia="Calibri" w:hAnsi="Calibri" w:cs="Times New Roman"/>
                <w:sz w:val="20"/>
                <w:szCs w:val="20"/>
              </w:rPr>
            </w:pPr>
            <w:r>
              <w:rPr>
                <w:rFonts w:ascii="Calibri" w:hAnsi="Calibri" w:cs="Times New Roman"/>
                <w:sz w:val="20"/>
                <w:szCs w:val="20"/>
              </w:rPr>
              <w:t>‘The patient was able to bend to nearly 90</w:t>
            </w:r>
            <w:r>
              <w:rPr>
                <w:rFonts w:cs="Times New Roman"/>
                <w:sz w:val="20"/>
                <w:szCs w:val="20"/>
              </w:rPr>
              <w:t>⁰</w:t>
            </w:r>
            <w:r>
              <w:rPr>
                <w:rFonts w:ascii="Calibri" w:hAnsi="Calibri" w:cs="Times New Roman"/>
                <w:sz w:val="20"/>
                <w:szCs w:val="20"/>
              </w:rPr>
              <w:t xml:space="preserve"> without pain.’</w:t>
            </w:r>
          </w:p>
        </w:tc>
      </w:tr>
      <w:tr w:rsidR="007003BC" w:rsidRPr="00D340CE" w:rsidTr="00651D60">
        <w:tc>
          <w:tcPr>
            <w:tcW w:w="1710" w:type="dxa"/>
          </w:tcPr>
          <w:p w:rsidR="002B7342" w:rsidRPr="00140096" w:rsidRDefault="002B7342" w:rsidP="007C3161">
            <w:pPr>
              <w:pStyle w:val="ListParagraph"/>
              <w:spacing w:after="0" w:line="240" w:lineRule="exact"/>
              <w:ind w:left="0"/>
              <w:rPr>
                <w:rFonts w:ascii="Calibri" w:eastAsia="Calibri" w:hAnsi="Calibri" w:cs="Times New Roman"/>
              </w:rPr>
            </w:pPr>
            <w:r>
              <w:rPr>
                <w:rFonts w:ascii="Calibri" w:eastAsia="Calibri" w:hAnsi="Calibri" w:cs="Times New Roman"/>
              </w:rPr>
              <w:t>Combined</w:t>
            </w:r>
          </w:p>
        </w:tc>
        <w:tc>
          <w:tcPr>
            <w:tcW w:w="990" w:type="dxa"/>
          </w:tcPr>
          <w:p w:rsidR="002B7342" w:rsidRPr="00D340CE" w:rsidRDefault="0030677A"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145</w:t>
            </w:r>
            <w:r w:rsidR="002B7342">
              <w:rPr>
                <w:rFonts w:ascii="Calibri" w:eastAsia="Calibri" w:hAnsi="Calibri" w:cs="Times New Roman"/>
              </w:rPr>
              <w:t>⁰</w:t>
            </w:r>
          </w:p>
        </w:tc>
        <w:tc>
          <w:tcPr>
            <w:tcW w:w="1530" w:type="dxa"/>
          </w:tcPr>
          <w:p w:rsidR="002B7342" w:rsidRPr="00D340CE" w:rsidRDefault="00B77C16" w:rsidP="007C3161">
            <w:pPr>
              <w:pStyle w:val="ListParagraph"/>
              <w:spacing w:after="0" w:line="240" w:lineRule="exact"/>
              <w:ind w:left="0"/>
              <w:jc w:val="center"/>
              <w:rPr>
                <w:rFonts w:ascii="Calibri" w:eastAsia="Calibri" w:hAnsi="Calibri" w:cs="Times New Roman"/>
              </w:rPr>
            </w:pPr>
            <w:r>
              <w:rPr>
                <w:rFonts w:ascii="Calibri" w:eastAsia="Calibri" w:hAnsi="Calibri" w:cs="Times New Roman"/>
              </w:rPr>
              <w:t>20</w:t>
            </w:r>
            <w:r w:rsidR="002B7342">
              <w:rPr>
                <w:rFonts w:ascii="Calibri" w:eastAsia="Calibri" w:hAnsi="Calibri" w:cs="Times New Roman"/>
              </w:rPr>
              <w:t>0⁰</w:t>
            </w:r>
          </w:p>
        </w:tc>
        <w:tc>
          <w:tcPr>
            <w:tcW w:w="2340" w:type="dxa"/>
            <w:vMerge/>
          </w:tcPr>
          <w:p w:rsidR="002B7342" w:rsidRDefault="002B7342" w:rsidP="007C3161">
            <w:pPr>
              <w:pStyle w:val="ListParagraph"/>
              <w:spacing w:after="0" w:line="240" w:lineRule="exact"/>
              <w:ind w:left="0"/>
              <w:jc w:val="center"/>
              <w:rPr>
                <w:rFonts w:ascii="Calibri" w:eastAsia="Calibri" w:hAnsi="Calibri" w:cs="Times New Roman"/>
              </w:rPr>
            </w:pPr>
          </w:p>
        </w:tc>
        <w:tc>
          <w:tcPr>
            <w:tcW w:w="2700" w:type="dxa"/>
            <w:vMerge/>
          </w:tcPr>
          <w:p w:rsidR="002B7342" w:rsidRDefault="002B7342" w:rsidP="007C3161">
            <w:pPr>
              <w:pStyle w:val="ListParagraph"/>
              <w:spacing w:after="0" w:line="240" w:lineRule="exact"/>
              <w:ind w:left="0"/>
              <w:jc w:val="center"/>
              <w:rPr>
                <w:rFonts w:ascii="Calibri" w:eastAsia="Calibri" w:hAnsi="Calibri" w:cs="Times New Roman"/>
              </w:rPr>
            </w:pPr>
          </w:p>
        </w:tc>
      </w:tr>
    </w:tbl>
    <w:p w:rsidR="002B7342" w:rsidRDefault="002B7342" w:rsidP="007C3161">
      <w:pPr>
        <w:tabs>
          <w:tab w:val="left" w:pos="288"/>
          <w:tab w:val="left" w:pos="4752"/>
        </w:tabs>
        <w:spacing w:line="240" w:lineRule="exact"/>
        <w:rPr>
          <w:rFonts w:asciiTheme="minorHAnsi" w:hAnsiTheme="minorHAnsi"/>
          <w:color w:val="000080"/>
          <w:szCs w:val="24"/>
          <w:u w:val="single"/>
        </w:rPr>
      </w:pPr>
    </w:p>
    <w:p w:rsidR="002C6E5B" w:rsidRPr="00651D60" w:rsidRDefault="0030677A" w:rsidP="007C3161">
      <w:pPr>
        <w:tabs>
          <w:tab w:val="left" w:pos="288"/>
          <w:tab w:val="left" w:pos="4752"/>
        </w:tabs>
        <w:spacing w:line="240" w:lineRule="exact"/>
        <w:jc w:val="both"/>
        <w:rPr>
          <w:color w:val="000080"/>
        </w:rPr>
      </w:pPr>
      <w:r w:rsidRPr="00651D60">
        <w:rPr>
          <w:color w:val="000080"/>
        </w:rPr>
        <w:t xml:space="preserve">The MEB exam supports a 10% rating IAW VASRD §4.71a.  The VA examination </w:t>
      </w:r>
      <w:r w:rsidR="00DC2556" w:rsidRPr="00651D60">
        <w:rPr>
          <w:color w:val="000080"/>
        </w:rPr>
        <w:t xml:space="preserve">supports the 20% VA decision, based </w:t>
      </w:r>
      <w:proofErr w:type="gramStart"/>
      <w:r w:rsidR="00DC2556" w:rsidRPr="00651D60">
        <w:rPr>
          <w:color w:val="000080"/>
        </w:rPr>
        <w:t>on 60</w:t>
      </w:r>
      <w:r w:rsidR="00651D60">
        <w:rPr>
          <w:rFonts w:ascii="Calibri" w:hAnsi="Calibri"/>
          <w:color w:val="000080"/>
        </w:rPr>
        <w:t>⁰</w:t>
      </w:r>
      <w:r w:rsidR="00DC2556" w:rsidRPr="00651D60">
        <w:rPr>
          <w:color w:val="000080"/>
        </w:rPr>
        <w:t xml:space="preserve"> flexion</w:t>
      </w:r>
      <w:proofErr w:type="gramEnd"/>
      <w:r w:rsidR="00DC2556" w:rsidRPr="00651D60">
        <w:rPr>
          <w:color w:val="000080"/>
        </w:rPr>
        <w:t xml:space="preserve">.  The exams are almost contemporaneous, although the VA exam is closest to separation.  The flexion measurements are on the cusp between </w:t>
      </w:r>
      <w:r w:rsidR="006844C2" w:rsidRPr="00651D60">
        <w:rPr>
          <w:color w:val="000080"/>
        </w:rPr>
        <w:t xml:space="preserve">the </w:t>
      </w:r>
      <w:r w:rsidR="00DC2556" w:rsidRPr="00651D60">
        <w:rPr>
          <w:color w:val="000080"/>
        </w:rPr>
        <w:t xml:space="preserve">10% and 20% criteria in the general spine formula.  The two non-goniometric exams referenced above probably reflect the ‘good day, bad day’ spectrum.  The P.T. data is </w:t>
      </w:r>
      <w:r w:rsidR="00DB78DD" w:rsidRPr="00651D60">
        <w:rPr>
          <w:color w:val="000080"/>
        </w:rPr>
        <w:t xml:space="preserve">in the separation period, whereas the physiatrist note is nearly a year before.  With deference to VASRD §4.3 (reasonable doubt), the Board recommends that the CI be given the benefit of the 20% rating.  The PEB’s 5242 degenerative spine code is a better clinical fit than the VA’s 5243 disc code, although the analogous prefix is unnecessary.  There </w:t>
      </w:r>
      <w:proofErr w:type="gramStart"/>
      <w:r w:rsidR="00DB78DD" w:rsidRPr="00651D60">
        <w:rPr>
          <w:color w:val="000080"/>
        </w:rPr>
        <w:t>are</w:t>
      </w:r>
      <w:proofErr w:type="gramEnd"/>
      <w:r w:rsidR="00DB78DD" w:rsidRPr="00651D60">
        <w:rPr>
          <w:color w:val="000080"/>
        </w:rPr>
        <w:t xml:space="preserve"> no ratable peripheral nerve impairments </w:t>
      </w:r>
      <w:r w:rsidR="006844C2" w:rsidRPr="00651D60">
        <w:rPr>
          <w:color w:val="000080"/>
        </w:rPr>
        <w:t>associated with the</w:t>
      </w:r>
      <w:r w:rsidR="00DB78DD" w:rsidRPr="00651D60">
        <w:rPr>
          <w:color w:val="000080"/>
        </w:rPr>
        <w:t xml:space="preserve"> case.</w:t>
      </w:r>
    </w:p>
    <w:p w:rsidR="00A62C3E" w:rsidRPr="00651D60" w:rsidRDefault="00A62C3E" w:rsidP="007C3161">
      <w:pPr>
        <w:tabs>
          <w:tab w:val="left" w:pos="288"/>
          <w:tab w:val="left" w:pos="4752"/>
        </w:tabs>
        <w:spacing w:line="240" w:lineRule="exact"/>
        <w:jc w:val="both"/>
        <w:rPr>
          <w:color w:val="000080"/>
        </w:rPr>
      </w:pPr>
    </w:p>
    <w:p w:rsidR="00823AC5" w:rsidRPr="00651D60" w:rsidRDefault="002C6E5B" w:rsidP="007C3161">
      <w:pPr>
        <w:tabs>
          <w:tab w:val="left" w:pos="288"/>
          <w:tab w:val="left" w:pos="4752"/>
        </w:tabs>
        <w:spacing w:line="240" w:lineRule="exact"/>
        <w:jc w:val="both"/>
        <w:rPr>
          <w:color w:val="000080"/>
        </w:rPr>
      </w:pPr>
      <w:proofErr w:type="gramStart"/>
      <w:r w:rsidRPr="00651D60">
        <w:rPr>
          <w:color w:val="000080"/>
          <w:u w:val="single"/>
        </w:rPr>
        <w:t>Other Conditions</w:t>
      </w:r>
      <w:r w:rsidRPr="00651D60">
        <w:rPr>
          <w:color w:val="000080"/>
        </w:rPr>
        <w:t>.</w:t>
      </w:r>
      <w:proofErr w:type="gramEnd"/>
      <w:r w:rsidRPr="00651D60">
        <w:rPr>
          <w:color w:val="000080"/>
        </w:rPr>
        <w:t xml:space="preserve">  The </w:t>
      </w:r>
      <w:r w:rsidR="006844C2" w:rsidRPr="00651D60">
        <w:rPr>
          <w:color w:val="000080"/>
        </w:rPr>
        <w:t xml:space="preserve">only additional conditions </w:t>
      </w:r>
      <w:r w:rsidR="00CE031F" w:rsidRPr="00651D60">
        <w:rPr>
          <w:color w:val="000080"/>
        </w:rPr>
        <w:t>documented</w:t>
      </w:r>
      <w:r w:rsidR="006844C2" w:rsidRPr="00651D60">
        <w:rPr>
          <w:color w:val="000080"/>
        </w:rPr>
        <w:t xml:space="preserve"> in the DES packet (</w:t>
      </w:r>
      <w:r w:rsidR="00CE031F" w:rsidRPr="00651D60">
        <w:rPr>
          <w:color w:val="000080"/>
        </w:rPr>
        <w:t xml:space="preserve">entered on the </w:t>
      </w:r>
      <w:r w:rsidR="006844C2" w:rsidRPr="00651D60">
        <w:rPr>
          <w:color w:val="000080"/>
        </w:rPr>
        <w:t xml:space="preserve">MEB physical) were stable hypertension, a history of gastric reflux and </w:t>
      </w:r>
      <w:r w:rsidR="00773BBA" w:rsidRPr="00651D60">
        <w:rPr>
          <w:color w:val="000080"/>
        </w:rPr>
        <w:t xml:space="preserve">a history of right knee swelling.  There is no evidence of any acuity associated with these issues at the time of separation.  His physical profile and Commander’s statement noted only the back condition as </w:t>
      </w:r>
      <w:proofErr w:type="gramStart"/>
      <w:r w:rsidR="00CE031F" w:rsidRPr="00651D60">
        <w:rPr>
          <w:color w:val="000080"/>
        </w:rPr>
        <w:t xml:space="preserve">an </w:t>
      </w:r>
      <w:r w:rsidR="00773BBA" w:rsidRPr="00651D60">
        <w:rPr>
          <w:color w:val="000080"/>
        </w:rPr>
        <w:t>impairment</w:t>
      </w:r>
      <w:proofErr w:type="gramEnd"/>
      <w:r w:rsidR="00773BBA" w:rsidRPr="00651D60">
        <w:rPr>
          <w:color w:val="000080"/>
        </w:rPr>
        <w:t xml:space="preserve"> to performance.  The CI was subsequently rated by the VA for PTSD symptoms related to a 2005 OIF deployment.  The CI denied psychiatric symptoms on the post-deployment health assessment and MEB physical.  The VA rating decision for PTSD stated ‘</w:t>
      </w:r>
      <w:r w:rsidR="001C0DE2" w:rsidRPr="00651D60">
        <w:rPr>
          <w:color w:val="000080"/>
        </w:rPr>
        <w:t xml:space="preserve">Your service treatment records do not note a diagnosis or any treatment for post traumatic stress disorder.’  The CI was also subsequently rated by the VA for </w:t>
      </w:r>
      <w:proofErr w:type="spellStart"/>
      <w:r w:rsidR="001C0DE2" w:rsidRPr="00651D60">
        <w:rPr>
          <w:color w:val="000080"/>
        </w:rPr>
        <w:t>patellofemoral</w:t>
      </w:r>
      <w:proofErr w:type="spellEnd"/>
      <w:r w:rsidR="001C0DE2" w:rsidRPr="00651D60">
        <w:rPr>
          <w:color w:val="000080"/>
        </w:rPr>
        <w:t xml:space="preserve"> pain syndrome of both knees.  No extremity complaints or exam abnormalities were noted on the VA pre-separation rating examination, and there were no physical findings associated with the </w:t>
      </w:r>
      <w:r w:rsidR="0067623C" w:rsidRPr="00651D60">
        <w:rPr>
          <w:color w:val="000080"/>
        </w:rPr>
        <w:t>knee complaint on the MEB physical.  Other than the back condition, only hypertension and reflux disease were coded by the VA from the pre-separation exam.  Neither of the latter achieved a compensable rating.  The Board, therefore, has no reasonable basis for recommending any additional unfitting conditions for separation rating.</w:t>
      </w:r>
    </w:p>
    <w:p w:rsidR="00A90D55" w:rsidRPr="00D91DA6" w:rsidRDefault="008B5D31" w:rsidP="007C3161">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A90D55" w:rsidRPr="00A90D55" w:rsidRDefault="00A90D55" w:rsidP="007C3161">
      <w:pPr>
        <w:tabs>
          <w:tab w:val="left" w:pos="288"/>
          <w:tab w:val="left" w:pos="4752"/>
        </w:tabs>
        <w:spacing w:line="240" w:lineRule="exact"/>
        <w:jc w:val="both"/>
        <w:rPr>
          <w:color w:val="000080"/>
        </w:rPr>
      </w:pPr>
    </w:p>
    <w:p w:rsidR="00AC3649" w:rsidRPr="00651D60" w:rsidRDefault="00C56FC8" w:rsidP="007C3161">
      <w:pPr>
        <w:tabs>
          <w:tab w:val="left" w:pos="288"/>
          <w:tab w:val="left" w:pos="4752"/>
        </w:tabs>
        <w:spacing w:line="240" w:lineRule="exact"/>
        <w:jc w:val="both"/>
        <w:rPr>
          <w:color w:val="000080"/>
        </w:rPr>
      </w:pPr>
      <w:r w:rsidRPr="00651D60">
        <w:rPr>
          <w:color w:val="000080"/>
          <w:u w:val="single"/>
        </w:rPr>
        <w:t>BOARD FINDINGS</w:t>
      </w:r>
      <w:r w:rsidRPr="00651D60">
        <w:rPr>
          <w:color w:val="000080"/>
        </w:rPr>
        <w:t xml:space="preserve">:  IAW </w:t>
      </w:r>
      <w:proofErr w:type="spellStart"/>
      <w:r w:rsidRPr="00651D60">
        <w:rPr>
          <w:color w:val="000080"/>
        </w:rPr>
        <w:t>DoDI</w:t>
      </w:r>
      <w:proofErr w:type="spellEnd"/>
      <w:r w:rsidRPr="00651D60">
        <w:rPr>
          <w:color w:val="000080"/>
        </w:rPr>
        <w:t xml:space="preserve"> 6040.44, provisions of </w:t>
      </w:r>
      <w:proofErr w:type="spellStart"/>
      <w:r w:rsidRPr="00651D60">
        <w:rPr>
          <w:color w:val="000080"/>
        </w:rPr>
        <w:t>DoD</w:t>
      </w:r>
      <w:proofErr w:type="spellEnd"/>
      <w:r w:rsidRPr="00651D60">
        <w:rPr>
          <w:color w:val="000080"/>
        </w:rPr>
        <w:t xml:space="preserve"> or Military Department regulations or guidelines relied upon by the PEB will not be considered by the Board to the extent they were </w:t>
      </w:r>
      <w:r w:rsidRPr="00651D60">
        <w:rPr>
          <w:color w:val="000080"/>
        </w:rPr>
        <w:lastRenderedPageBreak/>
        <w:t xml:space="preserve">inconsistent with the VASRD in effect at the time of the adjudication. </w:t>
      </w:r>
      <w:r w:rsidR="001D68CF" w:rsidRPr="00651D60">
        <w:rPr>
          <w:color w:val="000080"/>
        </w:rPr>
        <w:t xml:space="preserve"> </w:t>
      </w:r>
      <w:r w:rsidR="0067623C" w:rsidRPr="00651D60">
        <w:rPr>
          <w:color w:val="000080"/>
        </w:rPr>
        <w:t>As discussed above, PEB application of the USAPDA pain policy to the back condition was operant in this case and adjudicated independently of that policy by the Board.</w:t>
      </w:r>
      <w:r w:rsidR="00AC3649" w:rsidRPr="00651D60">
        <w:rPr>
          <w:color w:val="000080"/>
        </w:rPr>
        <w:t xml:space="preserve">  In the matter of the lumbar spine condition, the Board unanimously recommends a rating of 20% coded 5242 IAW VASRD §4.71a.  In the matter of the </w:t>
      </w:r>
      <w:r w:rsidR="005038CF" w:rsidRPr="00651D60">
        <w:rPr>
          <w:color w:val="000080"/>
        </w:rPr>
        <w:t>hypertension, reflux disease, PTSD, knee conditions</w:t>
      </w:r>
      <w:r w:rsidR="00AC3649" w:rsidRPr="00651D60">
        <w:rPr>
          <w:color w:val="000080"/>
        </w:rPr>
        <w:t xml:space="preserve"> and all of the CI’s other medical conditions; the Board unanimously agrees that it cannot recommend any findings of unfit for additional rating at separation.</w:t>
      </w:r>
    </w:p>
    <w:p w:rsidR="00FB593A" w:rsidRPr="00D91DA6" w:rsidRDefault="008B5D31" w:rsidP="007C3161">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FB593A" w:rsidRPr="00D91DA6" w:rsidRDefault="00FB593A" w:rsidP="007C3161">
      <w:pPr>
        <w:tabs>
          <w:tab w:val="left" w:pos="288"/>
          <w:tab w:val="left" w:pos="4752"/>
        </w:tabs>
        <w:spacing w:line="240" w:lineRule="exact"/>
        <w:jc w:val="both"/>
        <w:rPr>
          <w:color w:val="000080"/>
        </w:rPr>
      </w:pPr>
    </w:p>
    <w:p w:rsidR="00C56FC8" w:rsidRPr="00651D60" w:rsidRDefault="00C56FC8" w:rsidP="007C3161">
      <w:pPr>
        <w:tabs>
          <w:tab w:val="left" w:pos="288"/>
          <w:tab w:val="left" w:pos="4752"/>
        </w:tabs>
        <w:spacing w:line="240" w:lineRule="exact"/>
        <w:jc w:val="both"/>
        <w:rPr>
          <w:color w:val="000080"/>
        </w:rPr>
      </w:pPr>
      <w:r w:rsidRPr="00651D60">
        <w:rPr>
          <w:color w:val="000080"/>
          <w:u w:val="single"/>
        </w:rPr>
        <w:t>RECOMMENDATION</w:t>
      </w:r>
      <w:r w:rsidRPr="00651D60">
        <w:rPr>
          <w:color w:val="000080"/>
        </w:rPr>
        <w:t xml:space="preserve">: </w:t>
      </w:r>
      <w:r w:rsidR="005038CF" w:rsidRPr="00651D60">
        <w:rPr>
          <w:color w:val="000080"/>
        </w:rPr>
        <w:t xml:space="preserve"> </w:t>
      </w:r>
      <w:r w:rsidRPr="00651D60">
        <w:rPr>
          <w:color w:val="000080"/>
        </w:rPr>
        <w:t>The Board recommends that the CI’s prior determination be modified as follows, effective as of the date of his prior medical separation.</w:t>
      </w:r>
    </w:p>
    <w:p w:rsidR="004101B2" w:rsidRPr="005038CF" w:rsidRDefault="004101B2" w:rsidP="007C3161">
      <w:pPr>
        <w:spacing w:line="240" w:lineRule="exact"/>
        <w:jc w:val="both"/>
        <w:rPr>
          <w:rFonts w:asciiTheme="minorHAnsi" w:hAnsiTheme="minorHAnsi"/>
          <w:color w:val="FF0000"/>
          <w:szCs w:val="24"/>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1706"/>
        <w:gridCol w:w="1084"/>
      </w:tblGrid>
      <w:tr w:rsidR="004101B2" w:rsidRPr="00533FB5" w:rsidTr="005038CF">
        <w:trPr>
          <w:trHeight w:val="287"/>
        </w:trPr>
        <w:tc>
          <w:tcPr>
            <w:tcW w:w="4860" w:type="dxa"/>
            <w:shd w:val="clear" w:color="auto" w:fill="D9D9D9"/>
          </w:tcPr>
          <w:p w:rsidR="004101B2" w:rsidRPr="00A867F0" w:rsidRDefault="004101B2" w:rsidP="007C3161">
            <w:pPr>
              <w:tabs>
                <w:tab w:val="left" w:pos="288"/>
                <w:tab w:val="left" w:pos="4752"/>
              </w:tabs>
              <w:spacing w:line="240" w:lineRule="exact"/>
              <w:jc w:val="center"/>
              <w:rPr>
                <w:b/>
                <w:color w:val="000080"/>
                <w:szCs w:val="24"/>
              </w:rPr>
            </w:pPr>
            <w:r>
              <w:rPr>
                <w:b/>
                <w:color w:val="000080"/>
                <w:szCs w:val="24"/>
              </w:rPr>
              <w:t>UNFITTING CONDITION</w:t>
            </w:r>
          </w:p>
        </w:tc>
        <w:tc>
          <w:tcPr>
            <w:tcW w:w="1706" w:type="dxa"/>
            <w:shd w:val="clear" w:color="auto" w:fill="D9D9D9"/>
          </w:tcPr>
          <w:p w:rsidR="004101B2" w:rsidRPr="00A867F0" w:rsidRDefault="004101B2" w:rsidP="007C3161">
            <w:pPr>
              <w:tabs>
                <w:tab w:val="left" w:pos="288"/>
                <w:tab w:val="left" w:pos="4752"/>
              </w:tabs>
              <w:spacing w:line="240" w:lineRule="exact"/>
              <w:jc w:val="center"/>
              <w:rPr>
                <w:b/>
                <w:color w:val="000080"/>
                <w:szCs w:val="24"/>
              </w:rPr>
            </w:pPr>
            <w:r w:rsidRPr="00A867F0">
              <w:rPr>
                <w:b/>
                <w:color w:val="000080"/>
                <w:szCs w:val="24"/>
              </w:rPr>
              <w:t>VASRD C</w:t>
            </w:r>
            <w:r>
              <w:rPr>
                <w:b/>
                <w:color w:val="000080"/>
                <w:szCs w:val="24"/>
              </w:rPr>
              <w:t>ODE</w:t>
            </w:r>
          </w:p>
        </w:tc>
        <w:tc>
          <w:tcPr>
            <w:tcW w:w="1084" w:type="dxa"/>
            <w:shd w:val="clear" w:color="auto" w:fill="D9D9D9"/>
          </w:tcPr>
          <w:p w:rsidR="004101B2" w:rsidRPr="00A867F0" w:rsidRDefault="004101B2" w:rsidP="007C3161">
            <w:pPr>
              <w:tabs>
                <w:tab w:val="left" w:pos="288"/>
                <w:tab w:val="left" w:pos="4752"/>
              </w:tabs>
              <w:spacing w:line="240" w:lineRule="exact"/>
              <w:jc w:val="center"/>
              <w:rPr>
                <w:b/>
                <w:color w:val="000080"/>
                <w:szCs w:val="24"/>
              </w:rPr>
            </w:pPr>
            <w:r w:rsidRPr="00A867F0">
              <w:rPr>
                <w:b/>
                <w:color w:val="000080"/>
                <w:szCs w:val="24"/>
              </w:rPr>
              <w:t>R</w:t>
            </w:r>
            <w:r>
              <w:rPr>
                <w:b/>
                <w:color w:val="000080"/>
                <w:szCs w:val="24"/>
              </w:rPr>
              <w:t>ATING</w:t>
            </w:r>
          </w:p>
        </w:tc>
      </w:tr>
      <w:tr w:rsidR="004101B2" w:rsidRPr="00533FB5" w:rsidTr="005038CF">
        <w:tc>
          <w:tcPr>
            <w:tcW w:w="4860" w:type="dxa"/>
          </w:tcPr>
          <w:p w:rsidR="004101B2" w:rsidRPr="00A867F0" w:rsidRDefault="005038CF" w:rsidP="007C3161">
            <w:pPr>
              <w:tabs>
                <w:tab w:val="left" w:pos="288"/>
                <w:tab w:val="left" w:pos="4752"/>
              </w:tabs>
              <w:spacing w:line="240" w:lineRule="exact"/>
              <w:rPr>
                <w:color w:val="000080"/>
                <w:szCs w:val="24"/>
              </w:rPr>
            </w:pPr>
            <w:r>
              <w:rPr>
                <w:color w:val="000080"/>
                <w:szCs w:val="24"/>
              </w:rPr>
              <w:t>Lumbar Degenerative Disc Disease</w:t>
            </w:r>
          </w:p>
        </w:tc>
        <w:tc>
          <w:tcPr>
            <w:tcW w:w="1706" w:type="dxa"/>
          </w:tcPr>
          <w:p w:rsidR="004101B2" w:rsidRPr="00A867F0" w:rsidRDefault="005038CF" w:rsidP="007C3161">
            <w:pPr>
              <w:tabs>
                <w:tab w:val="left" w:pos="288"/>
                <w:tab w:val="left" w:pos="4752"/>
              </w:tabs>
              <w:spacing w:line="240" w:lineRule="exact"/>
              <w:jc w:val="center"/>
              <w:rPr>
                <w:color w:val="000080"/>
                <w:szCs w:val="24"/>
              </w:rPr>
            </w:pPr>
            <w:r>
              <w:rPr>
                <w:color w:val="000080"/>
                <w:szCs w:val="24"/>
              </w:rPr>
              <w:t>5242</w:t>
            </w:r>
          </w:p>
        </w:tc>
        <w:tc>
          <w:tcPr>
            <w:tcW w:w="1084" w:type="dxa"/>
          </w:tcPr>
          <w:p w:rsidR="004101B2" w:rsidRPr="00A867F0" w:rsidRDefault="005038CF" w:rsidP="007C3161">
            <w:pPr>
              <w:tabs>
                <w:tab w:val="left" w:pos="288"/>
                <w:tab w:val="left" w:pos="4752"/>
              </w:tabs>
              <w:spacing w:line="240" w:lineRule="exact"/>
              <w:jc w:val="center"/>
              <w:rPr>
                <w:color w:val="000080"/>
                <w:szCs w:val="24"/>
              </w:rPr>
            </w:pPr>
            <w:r>
              <w:rPr>
                <w:color w:val="000080"/>
                <w:szCs w:val="24"/>
              </w:rPr>
              <w:t>20%</w:t>
            </w:r>
          </w:p>
        </w:tc>
      </w:tr>
      <w:tr w:rsidR="004101B2" w:rsidRPr="00533FB5" w:rsidTr="005038CF">
        <w:tblPrEx>
          <w:tblLook w:val="0000"/>
        </w:tblPrEx>
        <w:trPr>
          <w:gridBefore w:val="1"/>
          <w:wBefore w:w="4860" w:type="dxa"/>
          <w:trHeight w:val="287"/>
        </w:trPr>
        <w:tc>
          <w:tcPr>
            <w:tcW w:w="1706" w:type="dxa"/>
            <w:tcBorders>
              <w:left w:val="single" w:sz="4" w:space="0" w:color="auto"/>
              <w:bottom w:val="single" w:sz="4" w:space="0" w:color="000000"/>
            </w:tcBorders>
            <w:shd w:val="clear" w:color="auto" w:fill="D9D9D9" w:themeFill="background1" w:themeFillShade="D9"/>
          </w:tcPr>
          <w:p w:rsidR="004101B2" w:rsidRPr="00A867F0" w:rsidRDefault="004101B2" w:rsidP="007C3161">
            <w:pPr>
              <w:tabs>
                <w:tab w:val="left" w:pos="288"/>
                <w:tab w:val="left" w:pos="4752"/>
              </w:tabs>
              <w:spacing w:line="240" w:lineRule="exact"/>
              <w:jc w:val="center"/>
              <w:rPr>
                <w:b/>
                <w:color w:val="000080"/>
                <w:szCs w:val="24"/>
              </w:rPr>
            </w:pPr>
            <w:r w:rsidRPr="00A867F0">
              <w:rPr>
                <w:b/>
                <w:color w:val="000080"/>
                <w:szCs w:val="24"/>
              </w:rPr>
              <w:t>C</w:t>
            </w:r>
            <w:r>
              <w:rPr>
                <w:b/>
                <w:color w:val="000080"/>
                <w:szCs w:val="24"/>
              </w:rPr>
              <w:t>OMBINED</w:t>
            </w:r>
          </w:p>
        </w:tc>
        <w:tc>
          <w:tcPr>
            <w:tcW w:w="1084" w:type="dxa"/>
            <w:tcBorders>
              <w:bottom w:val="single" w:sz="4" w:space="0" w:color="000000"/>
            </w:tcBorders>
            <w:shd w:val="clear" w:color="auto" w:fill="D9D9D9" w:themeFill="background1" w:themeFillShade="D9"/>
          </w:tcPr>
          <w:p w:rsidR="004101B2" w:rsidRPr="005A258C" w:rsidRDefault="005038CF" w:rsidP="007C3161">
            <w:pPr>
              <w:tabs>
                <w:tab w:val="left" w:pos="288"/>
                <w:tab w:val="left" w:pos="4752"/>
              </w:tabs>
              <w:spacing w:line="240" w:lineRule="exact"/>
              <w:jc w:val="center"/>
              <w:rPr>
                <w:b/>
                <w:color w:val="000080"/>
                <w:szCs w:val="24"/>
              </w:rPr>
            </w:pPr>
            <w:r>
              <w:rPr>
                <w:b/>
                <w:color w:val="000080"/>
                <w:szCs w:val="24"/>
              </w:rPr>
              <w:t>20</w:t>
            </w:r>
            <w:r w:rsidR="004101B2" w:rsidRPr="005A258C">
              <w:rPr>
                <w:b/>
                <w:color w:val="000080"/>
                <w:szCs w:val="24"/>
              </w:rPr>
              <w:t>%</w:t>
            </w:r>
          </w:p>
        </w:tc>
      </w:tr>
    </w:tbl>
    <w:p w:rsidR="00B522CD" w:rsidRDefault="008B5D31" w:rsidP="007C3161">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D91DA6" w:rsidRDefault="00D91DA6" w:rsidP="007C3161">
      <w:pPr>
        <w:tabs>
          <w:tab w:val="left" w:pos="288"/>
          <w:tab w:val="left" w:pos="4752"/>
        </w:tabs>
        <w:spacing w:line="240" w:lineRule="exact"/>
        <w:jc w:val="both"/>
        <w:rPr>
          <w:color w:val="000080"/>
        </w:rPr>
      </w:pPr>
    </w:p>
    <w:p w:rsidR="00D91DA6" w:rsidRDefault="00114F20" w:rsidP="007C3161">
      <w:pPr>
        <w:tabs>
          <w:tab w:val="left" w:pos="288"/>
          <w:tab w:val="left" w:pos="4752"/>
        </w:tabs>
        <w:spacing w:line="240" w:lineRule="exact"/>
        <w:jc w:val="both"/>
        <w:rPr>
          <w:color w:val="000080"/>
        </w:rPr>
      </w:pPr>
      <w:r>
        <w:rPr>
          <w:color w:val="000080"/>
        </w:rPr>
        <w:t>The following documentary evidence was considered:</w:t>
      </w:r>
    </w:p>
    <w:p w:rsidR="00114F20" w:rsidRDefault="00114F20" w:rsidP="007C3161">
      <w:pPr>
        <w:tabs>
          <w:tab w:val="left" w:pos="288"/>
          <w:tab w:val="left" w:pos="4752"/>
        </w:tabs>
        <w:spacing w:line="240" w:lineRule="exact"/>
        <w:jc w:val="both"/>
        <w:rPr>
          <w:color w:val="000080"/>
        </w:rPr>
      </w:pPr>
    </w:p>
    <w:p w:rsidR="00114F20" w:rsidRDefault="0051146C" w:rsidP="007C3161">
      <w:pPr>
        <w:tabs>
          <w:tab w:val="left" w:pos="288"/>
          <w:tab w:val="left" w:pos="4752"/>
        </w:tabs>
        <w:spacing w:line="240" w:lineRule="exact"/>
        <w:jc w:val="both"/>
        <w:rPr>
          <w:color w:val="000080"/>
        </w:rPr>
      </w:pPr>
      <w:r>
        <w:rPr>
          <w:color w:val="000080"/>
        </w:rPr>
        <w:t xml:space="preserve">Exhibit A.  DD Form </w:t>
      </w:r>
      <w:proofErr w:type="gramStart"/>
      <w:r>
        <w:rPr>
          <w:color w:val="000080"/>
        </w:rPr>
        <w:t>294,</w:t>
      </w:r>
      <w:proofErr w:type="gramEnd"/>
      <w:r>
        <w:rPr>
          <w:color w:val="000080"/>
        </w:rPr>
        <w:t xml:space="preserve"> dated </w:t>
      </w:r>
      <w:r w:rsidR="0019273F">
        <w:rPr>
          <w:color w:val="000080"/>
        </w:rPr>
        <w:t>2009</w:t>
      </w:r>
      <w:r w:rsidR="00CA17F9">
        <w:rPr>
          <w:color w:val="000080"/>
        </w:rPr>
        <w:t>0315</w:t>
      </w:r>
      <w:r w:rsidR="00114F20">
        <w:rPr>
          <w:color w:val="000080"/>
        </w:rPr>
        <w:t>, w/</w:t>
      </w:r>
      <w:proofErr w:type="spellStart"/>
      <w:r w:rsidR="00114F20">
        <w:rPr>
          <w:color w:val="000080"/>
        </w:rPr>
        <w:t>atchs</w:t>
      </w:r>
      <w:proofErr w:type="spellEnd"/>
      <w:r w:rsidR="00114F20">
        <w:rPr>
          <w:color w:val="000080"/>
        </w:rPr>
        <w:t>.</w:t>
      </w:r>
    </w:p>
    <w:p w:rsidR="00114F20" w:rsidRDefault="00114F20" w:rsidP="007C3161">
      <w:pPr>
        <w:tabs>
          <w:tab w:val="left" w:pos="288"/>
          <w:tab w:val="left" w:pos="4752"/>
        </w:tabs>
        <w:spacing w:line="240" w:lineRule="exact"/>
        <w:jc w:val="both"/>
        <w:rPr>
          <w:color w:val="000080"/>
        </w:rPr>
      </w:pPr>
      <w:r>
        <w:rPr>
          <w:color w:val="000080"/>
        </w:rPr>
        <w:t xml:space="preserve">Exhibit B.  </w:t>
      </w:r>
      <w:proofErr w:type="gramStart"/>
      <w:r>
        <w:rPr>
          <w:color w:val="000080"/>
        </w:rPr>
        <w:t>Service Treatment Record.</w:t>
      </w:r>
      <w:proofErr w:type="gramEnd"/>
    </w:p>
    <w:p w:rsidR="00114F20" w:rsidRDefault="00114F20" w:rsidP="007C3161">
      <w:pPr>
        <w:tabs>
          <w:tab w:val="left" w:pos="288"/>
          <w:tab w:val="left" w:pos="4752"/>
        </w:tabs>
        <w:spacing w:line="240" w:lineRule="exact"/>
        <w:jc w:val="both"/>
        <w:rPr>
          <w:color w:val="000080"/>
        </w:rPr>
      </w:pPr>
      <w:r>
        <w:rPr>
          <w:color w:val="000080"/>
        </w:rPr>
        <w:t xml:space="preserve">Exhibit C.  </w:t>
      </w:r>
      <w:proofErr w:type="gramStart"/>
      <w:r>
        <w:rPr>
          <w:color w:val="000080"/>
        </w:rPr>
        <w:t>Department of Veterans</w:t>
      </w:r>
      <w:r w:rsidR="00385D6F">
        <w:rPr>
          <w:color w:val="000080"/>
        </w:rPr>
        <w:t>'</w:t>
      </w:r>
      <w:r>
        <w:rPr>
          <w:color w:val="000080"/>
        </w:rPr>
        <w:t xml:space="preserve"> Affairs Treatment Record.</w:t>
      </w:r>
      <w:proofErr w:type="gramEnd"/>
    </w:p>
    <w:p w:rsidR="00D91DA6" w:rsidRDefault="00D91DA6" w:rsidP="007C3161">
      <w:pPr>
        <w:tabs>
          <w:tab w:val="left" w:pos="288"/>
          <w:tab w:val="left" w:pos="4752"/>
        </w:tabs>
        <w:spacing w:line="240" w:lineRule="exact"/>
        <w:jc w:val="both"/>
        <w:rPr>
          <w:color w:val="000080"/>
        </w:rPr>
      </w:pPr>
    </w:p>
    <w:p w:rsidR="00114F20" w:rsidRDefault="00114F20" w:rsidP="007C3161">
      <w:pPr>
        <w:tabs>
          <w:tab w:val="left" w:pos="288"/>
          <w:tab w:val="left" w:pos="4752"/>
        </w:tabs>
        <w:spacing w:line="240" w:lineRule="exact"/>
        <w:jc w:val="both"/>
        <w:rPr>
          <w:color w:val="000080"/>
        </w:rPr>
      </w:pPr>
    </w:p>
    <w:p w:rsidR="00114F20" w:rsidRDefault="00114F20" w:rsidP="007C3161">
      <w:pPr>
        <w:tabs>
          <w:tab w:val="left" w:pos="288"/>
          <w:tab w:val="left" w:pos="4752"/>
        </w:tabs>
        <w:spacing w:line="240" w:lineRule="exact"/>
        <w:jc w:val="both"/>
        <w:rPr>
          <w:color w:val="000080"/>
        </w:rPr>
      </w:pPr>
    </w:p>
    <w:p w:rsidR="00DC3D62" w:rsidRDefault="00DC3D62">
      <w:pPr>
        <w:rPr>
          <w:color w:val="000080"/>
        </w:rPr>
      </w:pPr>
      <w:r>
        <w:rPr>
          <w:color w:val="000080"/>
        </w:rPr>
        <w:br w:type="page"/>
      </w:r>
    </w:p>
    <w:p w:rsidR="00DC3D62" w:rsidRDefault="00DC3D62" w:rsidP="00DC3D62">
      <w:pPr>
        <w:pStyle w:val="Default"/>
        <w:framePr w:w="16759" w:wrap="auto" w:vAnchor="page" w:hAnchor="page" w:x="1" w:y="1"/>
      </w:pPr>
      <w:r>
        <w:rPr>
          <w:noProof/>
        </w:rPr>
        <w:lastRenderedPageBreak/>
        <w:drawing>
          <wp:inline distT="0" distB="0" distL="0" distR="0">
            <wp:extent cx="7800975" cy="10029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800975" cy="10029825"/>
                    </a:xfrm>
                    <a:prstGeom prst="rect">
                      <a:avLst/>
                    </a:prstGeom>
                    <a:noFill/>
                    <a:ln w="9525">
                      <a:noFill/>
                      <a:miter lim="800000"/>
                      <a:headEnd/>
                      <a:tailEnd/>
                    </a:ln>
                  </pic:spPr>
                </pic:pic>
              </a:graphicData>
            </a:graphic>
          </wp:inline>
        </w:drawing>
      </w:r>
    </w:p>
    <w:p w:rsidR="00114F20" w:rsidRPr="00D91DA6" w:rsidRDefault="00114F20" w:rsidP="007C3161">
      <w:pPr>
        <w:tabs>
          <w:tab w:val="left" w:pos="288"/>
          <w:tab w:val="left" w:pos="4752"/>
        </w:tabs>
        <w:spacing w:line="240" w:lineRule="exact"/>
        <w:jc w:val="both"/>
        <w:rPr>
          <w:color w:val="000080"/>
        </w:rPr>
      </w:pPr>
    </w:p>
    <w:sectPr w:rsidR="00114F20" w:rsidRPr="00D91DA6" w:rsidSect="006418C9">
      <w:footerReference w:type="even" r:id="rId7"/>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942" w:rsidRDefault="00C00942">
      <w:r>
        <w:separator/>
      </w:r>
    </w:p>
  </w:endnote>
  <w:endnote w:type="continuationSeparator" w:id="0">
    <w:p w:rsidR="00C00942" w:rsidRDefault="00C00942">
      <w:r>
        <w:continuationSeparator/>
      </w:r>
    </w:p>
  </w:endnote>
</w:endnotes>
</file>

<file path=word/fontTable.xml><?xml version="1.0" encoding="utf-8"?>
<w:fonts xmlns:r="http://schemas.openxmlformats.org/officeDocument/2006/relationships" xmlns:w="http://schemas.openxmlformats.org/wordprocessingml/2006/main">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F9" w:rsidRDefault="00870F44">
    <w:pPr>
      <w:pStyle w:val="Footer"/>
      <w:framePr w:wrap="around" w:vAnchor="text" w:hAnchor="margin" w:xAlign="center" w:y="1"/>
      <w:rPr>
        <w:rStyle w:val="PageNumber"/>
      </w:rPr>
    </w:pPr>
    <w:r>
      <w:rPr>
        <w:rStyle w:val="PageNumber"/>
      </w:rPr>
      <w:fldChar w:fldCharType="begin"/>
    </w:r>
    <w:r w:rsidR="000D43F9">
      <w:rPr>
        <w:rStyle w:val="PageNumber"/>
      </w:rPr>
      <w:instrText xml:space="preserve">PAGE  </w:instrText>
    </w:r>
    <w:r>
      <w:rPr>
        <w:rStyle w:val="PageNumber"/>
      </w:rPr>
      <w:fldChar w:fldCharType="separate"/>
    </w:r>
    <w:r w:rsidR="006418C9">
      <w:rPr>
        <w:rStyle w:val="PageNumber"/>
        <w:noProof/>
      </w:rPr>
      <w:t>2</w:t>
    </w:r>
    <w:r>
      <w:rPr>
        <w:rStyle w:val="PageNumber"/>
      </w:rPr>
      <w:fldChar w:fldCharType="end"/>
    </w:r>
  </w:p>
  <w:p w:rsidR="000D43F9" w:rsidRDefault="00BB0A0A" w:rsidP="002B0749">
    <w:pPr>
      <w:pStyle w:val="Footer"/>
      <w:jc w:val="right"/>
    </w:pPr>
    <w:r>
      <w:tab/>
    </w:r>
    <w:r>
      <w:tab/>
    </w:r>
    <w:r w:rsidRPr="001D3186">
      <w:rPr>
        <w:caps/>
        <w:color w:val="000080"/>
      </w:rPr>
      <w:t>PD09</w:t>
    </w:r>
    <w:r>
      <w:rPr>
        <w:caps/>
        <w:color w:val="000080"/>
      </w:rPr>
      <w:t>00</w:t>
    </w:r>
    <w:r w:rsidRPr="001D3186">
      <w:rPr>
        <w:caps/>
        <w:color w:val="00008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F9" w:rsidRDefault="00870F44">
    <w:pPr>
      <w:pStyle w:val="Footer"/>
      <w:framePr w:wrap="around" w:vAnchor="text" w:hAnchor="margin" w:xAlign="center" w:y="1"/>
      <w:rPr>
        <w:rStyle w:val="PageNumber"/>
      </w:rPr>
    </w:pPr>
    <w:r>
      <w:rPr>
        <w:rStyle w:val="PageNumber"/>
      </w:rPr>
      <w:fldChar w:fldCharType="begin"/>
    </w:r>
    <w:r w:rsidR="000D43F9">
      <w:rPr>
        <w:rStyle w:val="PageNumber"/>
      </w:rPr>
      <w:instrText xml:space="preserve">PAGE  </w:instrText>
    </w:r>
    <w:r>
      <w:rPr>
        <w:rStyle w:val="PageNumber"/>
      </w:rPr>
      <w:fldChar w:fldCharType="separate"/>
    </w:r>
    <w:r w:rsidR="00DC3D62">
      <w:rPr>
        <w:rStyle w:val="PageNumber"/>
        <w:noProof/>
      </w:rPr>
      <w:t>5</w:t>
    </w:r>
    <w:r>
      <w:rPr>
        <w:rStyle w:val="PageNumber"/>
      </w:rPr>
      <w:fldChar w:fldCharType="end"/>
    </w:r>
  </w:p>
  <w:p w:rsidR="000D43F9" w:rsidRDefault="00BB0A0A" w:rsidP="002B0749">
    <w:pPr>
      <w:pStyle w:val="Footer"/>
      <w:jc w:val="right"/>
    </w:pPr>
    <w:r>
      <w:tab/>
    </w:r>
    <w:r>
      <w:tab/>
    </w:r>
    <w:r w:rsidRPr="001D3186">
      <w:rPr>
        <w:caps/>
        <w:color w:val="000080"/>
      </w:rPr>
      <w:t>PD09</w:t>
    </w:r>
    <w:r>
      <w:rPr>
        <w:caps/>
        <w:color w:val="000080"/>
      </w:rPr>
      <w:t>00</w:t>
    </w:r>
    <w:r w:rsidR="00CA17F9">
      <w:rPr>
        <w:caps/>
        <w:color w:val="000080"/>
      </w:rPr>
      <w:t>241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942" w:rsidRDefault="00C00942">
      <w:r>
        <w:separator/>
      </w:r>
    </w:p>
  </w:footnote>
  <w:footnote w:type="continuationSeparator" w:id="0">
    <w:p w:rsidR="00C00942" w:rsidRDefault="00C00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1C28D1"/>
    <w:rsid w:val="000059FA"/>
    <w:rsid w:val="00010ABA"/>
    <w:rsid w:val="000145C2"/>
    <w:rsid w:val="00023D43"/>
    <w:rsid w:val="00035C3A"/>
    <w:rsid w:val="000379D0"/>
    <w:rsid w:val="00040FC4"/>
    <w:rsid w:val="000416F8"/>
    <w:rsid w:val="000469AD"/>
    <w:rsid w:val="00051622"/>
    <w:rsid w:val="00053D7C"/>
    <w:rsid w:val="00072433"/>
    <w:rsid w:val="0008708B"/>
    <w:rsid w:val="000A2BCE"/>
    <w:rsid w:val="000A4BBA"/>
    <w:rsid w:val="000C7DE4"/>
    <w:rsid w:val="000D15E7"/>
    <w:rsid w:val="000D248A"/>
    <w:rsid w:val="000D43F9"/>
    <w:rsid w:val="000D4717"/>
    <w:rsid w:val="000D7D55"/>
    <w:rsid w:val="000F427B"/>
    <w:rsid w:val="0010417F"/>
    <w:rsid w:val="0010530E"/>
    <w:rsid w:val="001103CD"/>
    <w:rsid w:val="00114F20"/>
    <w:rsid w:val="001231DC"/>
    <w:rsid w:val="001315DD"/>
    <w:rsid w:val="001334E1"/>
    <w:rsid w:val="00135385"/>
    <w:rsid w:val="001364D1"/>
    <w:rsid w:val="001541C5"/>
    <w:rsid w:val="00177659"/>
    <w:rsid w:val="00185ECB"/>
    <w:rsid w:val="0019273F"/>
    <w:rsid w:val="001A7538"/>
    <w:rsid w:val="001B5B59"/>
    <w:rsid w:val="001C0DE2"/>
    <w:rsid w:val="001C181A"/>
    <w:rsid w:val="001C2053"/>
    <w:rsid w:val="001C28D1"/>
    <w:rsid w:val="001C7418"/>
    <w:rsid w:val="001D0051"/>
    <w:rsid w:val="001D2224"/>
    <w:rsid w:val="001D68CF"/>
    <w:rsid w:val="001D6A8C"/>
    <w:rsid w:val="001D7A56"/>
    <w:rsid w:val="001D7CC5"/>
    <w:rsid w:val="001E18E2"/>
    <w:rsid w:val="002060B6"/>
    <w:rsid w:val="00216049"/>
    <w:rsid w:val="00217C09"/>
    <w:rsid w:val="00225196"/>
    <w:rsid w:val="00225CB4"/>
    <w:rsid w:val="002338CA"/>
    <w:rsid w:val="0024227D"/>
    <w:rsid w:val="00246860"/>
    <w:rsid w:val="0025183C"/>
    <w:rsid w:val="002620C5"/>
    <w:rsid w:val="0026318D"/>
    <w:rsid w:val="0027159C"/>
    <w:rsid w:val="00273CC8"/>
    <w:rsid w:val="00274549"/>
    <w:rsid w:val="00274E46"/>
    <w:rsid w:val="00276C86"/>
    <w:rsid w:val="002B03B2"/>
    <w:rsid w:val="002B0749"/>
    <w:rsid w:val="002B7342"/>
    <w:rsid w:val="002C6E5B"/>
    <w:rsid w:val="002D18B4"/>
    <w:rsid w:val="002E1C31"/>
    <w:rsid w:val="002E333A"/>
    <w:rsid w:val="002E3474"/>
    <w:rsid w:val="002E764B"/>
    <w:rsid w:val="002F7F81"/>
    <w:rsid w:val="0030677A"/>
    <w:rsid w:val="00323E70"/>
    <w:rsid w:val="0033555E"/>
    <w:rsid w:val="00341A54"/>
    <w:rsid w:val="00363362"/>
    <w:rsid w:val="0037520D"/>
    <w:rsid w:val="00377BD2"/>
    <w:rsid w:val="003857D4"/>
    <w:rsid w:val="00385D6F"/>
    <w:rsid w:val="00392F80"/>
    <w:rsid w:val="00393651"/>
    <w:rsid w:val="003A41BA"/>
    <w:rsid w:val="003A6A99"/>
    <w:rsid w:val="003B227A"/>
    <w:rsid w:val="003D2BA3"/>
    <w:rsid w:val="003D7DDB"/>
    <w:rsid w:val="003E0543"/>
    <w:rsid w:val="003F58B0"/>
    <w:rsid w:val="004007E9"/>
    <w:rsid w:val="00401BBC"/>
    <w:rsid w:val="00404B45"/>
    <w:rsid w:val="00406CC5"/>
    <w:rsid w:val="004074A4"/>
    <w:rsid w:val="004101B2"/>
    <w:rsid w:val="004172DB"/>
    <w:rsid w:val="00422B75"/>
    <w:rsid w:val="0043503A"/>
    <w:rsid w:val="0044384F"/>
    <w:rsid w:val="004543BC"/>
    <w:rsid w:val="004574C6"/>
    <w:rsid w:val="00457BCF"/>
    <w:rsid w:val="004718E7"/>
    <w:rsid w:val="004761CC"/>
    <w:rsid w:val="00495350"/>
    <w:rsid w:val="004A24D2"/>
    <w:rsid w:val="004A4136"/>
    <w:rsid w:val="004B03F3"/>
    <w:rsid w:val="004B7169"/>
    <w:rsid w:val="004C6CDA"/>
    <w:rsid w:val="004E32EA"/>
    <w:rsid w:val="005038CF"/>
    <w:rsid w:val="00510588"/>
    <w:rsid w:val="0051146C"/>
    <w:rsid w:val="00512954"/>
    <w:rsid w:val="0052226A"/>
    <w:rsid w:val="005222E7"/>
    <w:rsid w:val="0052590B"/>
    <w:rsid w:val="00526591"/>
    <w:rsid w:val="005350A5"/>
    <w:rsid w:val="00536379"/>
    <w:rsid w:val="00540BEF"/>
    <w:rsid w:val="005436C2"/>
    <w:rsid w:val="0055288D"/>
    <w:rsid w:val="00593043"/>
    <w:rsid w:val="005A258C"/>
    <w:rsid w:val="005A3560"/>
    <w:rsid w:val="005B011A"/>
    <w:rsid w:val="005F1115"/>
    <w:rsid w:val="005F27F2"/>
    <w:rsid w:val="005F424D"/>
    <w:rsid w:val="00615641"/>
    <w:rsid w:val="006254FF"/>
    <w:rsid w:val="006307BA"/>
    <w:rsid w:val="00634C4A"/>
    <w:rsid w:val="006418C9"/>
    <w:rsid w:val="00645046"/>
    <w:rsid w:val="00651D60"/>
    <w:rsid w:val="00662F08"/>
    <w:rsid w:val="00663589"/>
    <w:rsid w:val="00670DDC"/>
    <w:rsid w:val="0067443B"/>
    <w:rsid w:val="0067623C"/>
    <w:rsid w:val="006844C2"/>
    <w:rsid w:val="00684E2B"/>
    <w:rsid w:val="00690FDA"/>
    <w:rsid w:val="00696476"/>
    <w:rsid w:val="006A10FA"/>
    <w:rsid w:val="006A40E6"/>
    <w:rsid w:val="006A5C07"/>
    <w:rsid w:val="006A75FA"/>
    <w:rsid w:val="006B07D5"/>
    <w:rsid w:val="006B5923"/>
    <w:rsid w:val="006B6C14"/>
    <w:rsid w:val="006D2D39"/>
    <w:rsid w:val="006E06D1"/>
    <w:rsid w:val="006E7356"/>
    <w:rsid w:val="006F1A46"/>
    <w:rsid w:val="007003BC"/>
    <w:rsid w:val="007165CE"/>
    <w:rsid w:val="00720968"/>
    <w:rsid w:val="00721D12"/>
    <w:rsid w:val="00721F8B"/>
    <w:rsid w:val="00736A49"/>
    <w:rsid w:val="00744EBB"/>
    <w:rsid w:val="00746AE2"/>
    <w:rsid w:val="00750C82"/>
    <w:rsid w:val="0076100C"/>
    <w:rsid w:val="007651ED"/>
    <w:rsid w:val="00773BBA"/>
    <w:rsid w:val="00781BD4"/>
    <w:rsid w:val="00784832"/>
    <w:rsid w:val="00791F1E"/>
    <w:rsid w:val="007A0B39"/>
    <w:rsid w:val="007A14A4"/>
    <w:rsid w:val="007A168F"/>
    <w:rsid w:val="007A28E4"/>
    <w:rsid w:val="007A5AD1"/>
    <w:rsid w:val="007B0A06"/>
    <w:rsid w:val="007B3C1F"/>
    <w:rsid w:val="007B5C5C"/>
    <w:rsid w:val="007B7C41"/>
    <w:rsid w:val="007C3161"/>
    <w:rsid w:val="007C433E"/>
    <w:rsid w:val="007D0292"/>
    <w:rsid w:val="007E2046"/>
    <w:rsid w:val="007E4FBB"/>
    <w:rsid w:val="00811D5B"/>
    <w:rsid w:val="00817713"/>
    <w:rsid w:val="00823AC5"/>
    <w:rsid w:val="00830999"/>
    <w:rsid w:val="00830D5E"/>
    <w:rsid w:val="00830F69"/>
    <w:rsid w:val="00834458"/>
    <w:rsid w:val="00837465"/>
    <w:rsid w:val="00841457"/>
    <w:rsid w:val="0084374E"/>
    <w:rsid w:val="00844842"/>
    <w:rsid w:val="0085206E"/>
    <w:rsid w:val="00853718"/>
    <w:rsid w:val="008541EF"/>
    <w:rsid w:val="0086162B"/>
    <w:rsid w:val="00865207"/>
    <w:rsid w:val="00866305"/>
    <w:rsid w:val="00870F44"/>
    <w:rsid w:val="00871262"/>
    <w:rsid w:val="00875B51"/>
    <w:rsid w:val="00875F2D"/>
    <w:rsid w:val="008933CF"/>
    <w:rsid w:val="008A63A9"/>
    <w:rsid w:val="008B04DB"/>
    <w:rsid w:val="008B5D31"/>
    <w:rsid w:val="008D7B07"/>
    <w:rsid w:val="008E2D99"/>
    <w:rsid w:val="008E4A60"/>
    <w:rsid w:val="009026E8"/>
    <w:rsid w:val="00914ADB"/>
    <w:rsid w:val="00923B25"/>
    <w:rsid w:val="009400CE"/>
    <w:rsid w:val="00942645"/>
    <w:rsid w:val="0095340A"/>
    <w:rsid w:val="00954581"/>
    <w:rsid w:val="0095466C"/>
    <w:rsid w:val="0096168C"/>
    <w:rsid w:val="00962F2D"/>
    <w:rsid w:val="009732B8"/>
    <w:rsid w:val="00977CB4"/>
    <w:rsid w:val="00985099"/>
    <w:rsid w:val="009A0DE3"/>
    <w:rsid w:val="009B1534"/>
    <w:rsid w:val="009B69D3"/>
    <w:rsid w:val="009B7BA7"/>
    <w:rsid w:val="009C0938"/>
    <w:rsid w:val="009C3F82"/>
    <w:rsid w:val="009C7DF5"/>
    <w:rsid w:val="009D1ADE"/>
    <w:rsid w:val="009E1283"/>
    <w:rsid w:val="00A1105B"/>
    <w:rsid w:val="00A16876"/>
    <w:rsid w:val="00A200AA"/>
    <w:rsid w:val="00A2186F"/>
    <w:rsid w:val="00A2270B"/>
    <w:rsid w:val="00A2496E"/>
    <w:rsid w:val="00A258B7"/>
    <w:rsid w:val="00A47CF1"/>
    <w:rsid w:val="00A50418"/>
    <w:rsid w:val="00A608FB"/>
    <w:rsid w:val="00A62C3E"/>
    <w:rsid w:val="00A70E7B"/>
    <w:rsid w:val="00A76094"/>
    <w:rsid w:val="00A86CB6"/>
    <w:rsid w:val="00A90D55"/>
    <w:rsid w:val="00AA04B3"/>
    <w:rsid w:val="00AC3649"/>
    <w:rsid w:val="00AC439D"/>
    <w:rsid w:val="00AE2D29"/>
    <w:rsid w:val="00B32179"/>
    <w:rsid w:val="00B40A3E"/>
    <w:rsid w:val="00B522CD"/>
    <w:rsid w:val="00B55917"/>
    <w:rsid w:val="00B72303"/>
    <w:rsid w:val="00B77C16"/>
    <w:rsid w:val="00B82277"/>
    <w:rsid w:val="00B95833"/>
    <w:rsid w:val="00B95DF7"/>
    <w:rsid w:val="00BA2D98"/>
    <w:rsid w:val="00BA30D1"/>
    <w:rsid w:val="00BA4609"/>
    <w:rsid w:val="00BA5BE2"/>
    <w:rsid w:val="00BA7F46"/>
    <w:rsid w:val="00BB0A0A"/>
    <w:rsid w:val="00BC09D1"/>
    <w:rsid w:val="00BD6806"/>
    <w:rsid w:val="00BD7831"/>
    <w:rsid w:val="00BD7C10"/>
    <w:rsid w:val="00BE0DEB"/>
    <w:rsid w:val="00BE6365"/>
    <w:rsid w:val="00C00942"/>
    <w:rsid w:val="00C13B34"/>
    <w:rsid w:val="00C261C6"/>
    <w:rsid w:val="00C30A97"/>
    <w:rsid w:val="00C31DDC"/>
    <w:rsid w:val="00C34326"/>
    <w:rsid w:val="00C368E8"/>
    <w:rsid w:val="00C5019E"/>
    <w:rsid w:val="00C53E8A"/>
    <w:rsid w:val="00C54DF3"/>
    <w:rsid w:val="00C56FC8"/>
    <w:rsid w:val="00C71BEC"/>
    <w:rsid w:val="00C84AD1"/>
    <w:rsid w:val="00C85579"/>
    <w:rsid w:val="00CA068D"/>
    <w:rsid w:val="00CA17F9"/>
    <w:rsid w:val="00CA1CBA"/>
    <w:rsid w:val="00CA282D"/>
    <w:rsid w:val="00CB23DC"/>
    <w:rsid w:val="00CB28E2"/>
    <w:rsid w:val="00CB7FF7"/>
    <w:rsid w:val="00CC2044"/>
    <w:rsid w:val="00CC69EC"/>
    <w:rsid w:val="00CD34C7"/>
    <w:rsid w:val="00CD63C8"/>
    <w:rsid w:val="00CE031F"/>
    <w:rsid w:val="00CF158D"/>
    <w:rsid w:val="00CF4394"/>
    <w:rsid w:val="00D14BAE"/>
    <w:rsid w:val="00D1648B"/>
    <w:rsid w:val="00D16819"/>
    <w:rsid w:val="00D20AC0"/>
    <w:rsid w:val="00D336C8"/>
    <w:rsid w:val="00D339E8"/>
    <w:rsid w:val="00D40B1F"/>
    <w:rsid w:val="00D4644C"/>
    <w:rsid w:val="00D47A35"/>
    <w:rsid w:val="00D50C8C"/>
    <w:rsid w:val="00D52393"/>
    <w:rsid w:val="00D53F14"/>
    <w:rsid w:val="00D76AB2"/>
    <w:rsid w:val="00D829AD"/>
    <w:rsid w:val="00D87788"/>
    <w:rsid w:val="00D910C2"/>
    <w:rsid w:val="00D9189B"/>
    <w:rsid w:val="00D91DA6"/>
    <w:rsid w:val="00D972D4"/>
    <w:rsid w:val="00DA195B"/>
    <w:rsid w:val="00DB0015"/>
    <w:rsid w:val="00DB2AAD"/>
    <w:rsid w:val="00DB78DD"/>
    <w:rsid w:val="00DC1D30"/>
    <w:rsid w:val="00DC2556"/>
    <w:rsid w:val="00DC3D62"/>
    <w:rsid w:val="00DD3593"/>
    <w:rsid w:val="00DE7E74"/>
    <w:rsid w:val="00E00A69"/>
    <w:rsid w:val="00E017F0"/>
    <w:rsid w:val="00E041E4"/>
    <w:rsid w:val="00E14581"/>
    <w:rsid w:val="00E15539"/>
    <w:rsid w:val="00E16541"/>
    <w:rsid w:val="00E2632B"/>
    <w:rsid w:val="00E405EA"/>
    <w:rsid w:val="00E42789"/>
    <w:rsid w:val="00E464F0"/>
    <w:rsid w:val="00E50BEB"/>
    <w:rsid w:val="00E738CB"/>
    <w:rsid w:val="00E82B6D"/>
    <w:rsid w:val="00EA11B6"/>
    <w:rsid w:val="00EA2DD8"/>
    <w:rsid w:val="00EA681F"/>
    <w:rsid w:val="00EB3D06"/>
    <w:rsid w:val="00EB4B7A"/>
    <w:rsid w:val="00EB76E4"/>
    <w:rsid w:val="00EC0E65"/>
    <w:rsid w:val="00EC50C9"/>
    <w:rsid w:val="00EE0B44"/>
    <w:rsid w:val="00EE341C"/>
    <w:rsid w:val="00EF608E"/>
    <w:rsid w:val="00F0706C"/>
    <w:rsid w:val="00F11EBE"/>
    <w:rsid w:val="00F1516A"/>
    <w:rsid w:val="00F22A26"/>
    <w:rsid w:val="00F24072"/>
    <w:rsid w:val="00F32139"/>
    <w:rsid w:val="00F34E08"/>
    <w:rsid w:val="00F41D91"/>
    <w:rsid w:val="00F46964"/>
    <w:rsid w:val="00F5126A"/>
    <w:rsid w:val="00F718A8"/>
    <w:rsid w:val="00F72183"/>
    <w:rsid w:val="00F82981"/>
    <w:rsid w:val="00F8311F"/>
    <w:rsid w:val="00F83248"/>
    <w:rsid w:val="00F853AE"/>
    <w:rsid w:val="00F93DCC"/>
    <w:rsid w:val="00F9435D"/>
    <w:rsid w:val="00FB593A"/>
    <w:rsid w:val="00FB6E82"/>
    <w:rsid w:val="00FC4576"/>
    <w:rsid w:val="00FC7DBC"/>
    <w:rsid w:val="00FD1D5A"/>
    <w:rsid w:val="00FF3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C2"/>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DC3D62"/>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 J. D'ORAZIO</dc:creator>
  <cp:keywords/>
  <dc:description/>
  <cp:lastModifiedBy>JAMEILL.BARKSDALE</cp:lastModifiedBy>
  <cp:revision>8</cp:revision>
  <cp:lastPrinted>2010-01-08T19:57:00Z</cp:lastPrinted>
  <dcterms:created xsi:type="dcterms:W3CDTF">2010-01-08T18:24:00Z</dcterms:created>
  <dcterms:modified xsi:type="dcterms:W3CDTF">2012-02-02T20:45:00Z</dcterms:modified>
</cp:coreProperties>
</file>