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DF5FA4" w:rsidRPr="00DF5FA4" w:rsidRDefault="00DF5FA4" w:rsidP="00DF5FA4">
      <w:pPr>
        <w:tabs>
          <w:tab w:val="left" w:pos="288"/>
          <w:tab w:val="left" w:pos="4752"/>
        </w:tabs>
        <w:spacing w:line="240" w:lineRule="exact"/>
        <w:rPr>
          <w:color w:val="000080"/>
        </w:rPr>
      </w:pPr>
      <w:r w:rsidRPr="00DF5FA4">
        <w:rPr>
          <w:color w:val="000080"/>
        </w:rPr>
        <w:t>NAME:</w:t>
      </w:r>
      <w:r w:rsidRPr="00DF5FA4">
        <w:rPr>
          <w:color w:val="000080"/>
        </w:rPr>
        <w:tab/>
      </w:r>
      <w:r w:rsidRPr="00DF5FA4">
        <w:rPr>
          <w:color w:val="000080"/>
        </w:rPr>
        <w:tab/>
        <w:t>BRANCH OF SERVICE: ARMY</w:t>
      </w:r>
    </w:p>
    <w:p w:rsidR="00A64B8D" w:rsidRDefault="00DF5FA4" w:rsidP="00DF5FA4">
      <w:pPr>
        <w:tabs>
          <w:tab w:val="left" w:pos="288"/>
          <w:tab w:val="left" w:pos="4752"/>
        </w:tabs>
        <w:spacing w:line="240" w:lineRule="exact"/>
        <w:rPr>
          <w:color w:val="000080"/>
        </w:rPr>
      </w:pPr>
      <w:r w:rsidRPr="00DF5FA4">
        <w:rPr>
          <w:color w:val="000080"/>
        </w:rPr>
        <w:t>CASE NUMBER:  PD0900237</w:t>
      </w:r>
      <w:r w:rsidRPr="00DF5FA4">
        <w:rPr>
          <w:color w:val="000080"/>
        </w:rPr>
        <w:tab/>
      </w:r>
      <w:r w:rsidRPr="00DF5FA4">
        <w:rPr>
          <w:color w:val="000080"/>
        </w:rPr>
        <w:tab/>
        <w:t>BOARD DATE: 2010</w:t>
      </w:r>
      <w:r w:rsidR="00694BDF" w:rsidRPr="00F30529">
        <w:rPr>
          <w:color w:val="000080"/>
        </w:rPr>
        <w:t>0415</w:t>
      </w:r>
    </w:p>
    <w:p w:rsidR="00540BEF" w:rsidRDefault="00DF5FA4" w:rsidP="00DF5FA4">
      <w:pPr>
        <w:tabs>
          <w:tab w:val="left" w:pos="288"/>
          <w:tab w:val="left" w:pos="4752"/>
        </w:tabs>
        <w:spacing w:line="240" w:lineRule="exact"/>
        <w:rPr>
          <w:color w:val="000080"/>
        </w:rPr>
      </w:pPr>
      <w:r w:rsidRPr="00DF5FA4">
        <w:rPr>
          <w:color w:val="000080"/>
        </w:rPr>
        <w:t>SEPARATION DATE: 20051009</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CA6EEB" w:rsidRPr="00AE51EF" w:rsidRDefault="002C6E5B" w:rsidP="00AE51EF">
      <w:pPr>
        <w:tabs>
          <w:tab w:val="left" w:pos="288"/>
          <w:tab w:val="left" w:pos="4752"/>
        </w:tabs>
        <w:spacing w:line="240" w:lineRule="exact"/>
        <w:jc w:val="both"/>
        <w:rPr>
          <w:color w:val="000080"/>
        </w:rPr>
      </w:pPr>
      <w:r w:rsidRPr="00AE51EF">
        <w:rPr>
          <w:color w:val="000080"/>
          <w:u w:val="single"/>
        </w:rPr>
        <w:t>SUMMARY OF CASE</w:t>
      </w:r>
      <w:r w:rsidRPr="00AE51EF">
        <w:rPr>
          <w:color w:val="000080"/>
        </w:rPr>
        <w:t xml:space="preserve">:  This covered individual (CI) was </w:t>
      </w:r>
      <w:r w:rsidR="00E322F7" w:rsidRPr="00AE51EF">
        <w:rPr>
          <w:color w:val="000080"/>
        </w:rPr>
        <w:t xml:space="preserve">a </w:t>
      </w:r>
      <w:r w:rsidR="00A64B8D">
        <w:rPr>
          <w:color w:val="000080"/>
        </w:rPr>
        <w:t>Reserve MSG, CBR Specialist,</w:t>
      </w:r>
      <w:r w:rsidR="00E322F7" w:rsidRPr="00AE51EF">
        <w:rPr>
          <w:color w:val="000080"/>
        </w:rPr>
        <w:t xml:space="preserve"> </w:t>
      </w:r>
      <w:r w:rsidRPr="00AE51EF">
        <w:rPr>
          <w:color w:val="000080"/>
        </w:rPr>
        <w:t>medically separated from the Army in 200</w:t>
      </w:r>
      <w:r w:rsidR="00E97C70" w:rsidRPr="00AE51EF">
        <w:rPr>
          <w:color w:val="000080"/>
        </w:rPr>
        <w:t>5</w:t>
      </w:r>
      <w:r w:rsidRPr="00AE51EF">
        <w:rPr>
          <w:color w:val="000080"/>
        </w:rPr>
        <w:t xml:space="preserve"> after </w:t>
      </w:r>
      <w:r w:rsidR="00E97C70" w:rsidRPr="00AE51EF">
        <w:rPr>
          <w:color w:val="000080"/>
        </w:rPr>
        <w:t>33</w:t>
      </w:r>
      <w:r w:rsidRPr="00AE51EF">
        <w:rPr>
          <w:color w:val="000080"/>
        </w:rPr>
        <w:t xml:space="preserve"> years of </w:t>
      </w:r>
      <w:r w:rsidR="00E97C70" w:rsidRPr="00AE51EF">
        <w:rPr>
          <w:color w:val="000080"/>
        </w:rPr>
        <w:t xml:space="preserve">combined </w:t>
      </w:r>
      <w:r w:rsidRPr="00AE51EF">
        <w:rPr>
          <w:color w:val="000080"/>
        </w:rPr>
        <w:t xml:space="preserve">service.  The medical basis for the separation was </w:t>
      </w:r>
      <w:r w:rsidR="007C1895" w:rsidRPr="00AE51EF">
        <w:rPr>
          <w:color w:val="000080"/>
        </w:rPr>
        <w:t xml:space="preserve">a back condition.  He experienced a sudden onset of back pain while running during preparation for the </w:t>
      </w:r>
      <w:r w:rsidR="00A64B8D">
        <w:rPr>
          <w:color w:val="000080"/>
        </w:rPr>
        <w:t>Army Physical Fitness Test (</w:t>
      </w:r>
      <w:r w:rsidR="007C1895" w:rsidRPr="00AE51EF">
        <w:rPr>
          <w:color w:val="000080"/>
        </w:rPr>
        <w:t>APFT</w:t>
      </w:r>
      <w:r w:rsidR="00A64B8D">
        <w:rPr>
          <w:color w:val="000080"/>
        </w:rPr>
        <w:t>)</w:t>
      </w:r>
      <w:r w:rsidR="007C1895" w:rsidRPr="00AE51EF">
        <w:rPr>
          <w:color w:val="000080"/>
        </w:rPr>
        <w:t xml:space="preserve"> at </w:t>
      </w:r>
      <w:r w:rsidR="006E6BD5" w:rsidRPr="00AE51EF">
        <w:rPr>
          <w:color w:val="000080"/>
        </w:rPr>
        <w:t>his</w:t>
      </w:r>
      <w:r w:rsidR="007C1895" w:rsidRPr="00AE51EF">
        <w:rPr>
          <w:color w:val="000080"/>
        </w:rPr>
        <w:t xml:space="preserve"> </w:t>
      </w:r>
      <w:r w:rsidR="001C3DEC">
        <w:rPr>
          <w:color w:val="000080"/>
        </w:rPr>
        <w:t>R</w:t>
      </w:r>
      <w:r w:rsidR="007C1895" w:rsidRPr="00AE51EF">
        <w:rPr>
          <w:color w:val="000080"/>
        </w:rPr>
        <w:t xml:space="preserve">eserve site.  The question was raised as to whether this incident represented aggravation of a </w:t>
      </w:r>
      <w:r w:rsidR="00DE41A4" w:rsidRPr="00AE51EF">
        <w:rPr>
          <w:color w:val="000080"/>
        </w:rPr>
        <w:t>prior injury</w:t>
      </w:r>
      <w:r w:rsidR="007C1895" w:rsidRPr="00AE51EF">
        <w:rPr>
          <w:color w:val="000080"/>
        </w:rPr>
        <w:t xml:space="preserve"> but </w:t>
      </w:r>
      <w:r w:rsidR="00DE41A4" w:rsidRPr="00AE51EF">
        <w:rPr>
          <w:color w:val="000080"/>
        </w:rPr>
        <w:t>was</w:t>
      </w:r>
      <w:r w:rsidR="007C1895" w:rsidRPr="00AE51EF">
        <w:rPr>
          <w:color w:val="000080"/>
        </w:rPr>
        <w:t xml:space="preserve"> determined </w:t>
      </w:r>
      <w:r w:rsidR="00DE41A4" w:rsidRPr="00AE51EF">
        <w:rPr>
          <w:color w:val="000080"/>
        </w:rPr>
        <w:t xml:space="preserve">to be </w:t>
      </w:r>
      <w:r w:rsidR="007C1895" w:rsidRPr="00AE51EF">
        <w:rPr>
          <w:color w:val="000080"/>
        </w:rPr>
        <w:t>in Line of Duty.</w:t>
      </w:r>
      <w:r w:rsidR="006E6BD5" w:rsidRPr="00AE51EF">
        <w:rPr>
          <w:color w:val="000080"/>
        </w:rPr>
        <w:t xml:space="preserve">  The pain worsened over the following year and an </w:t>
      </w:r>
      <w:r w:rsidR="00A64B8D" w:rsidRPr="00A64B8D">
        <w:rPr>
          <w:color w:val="000080"/>
        </w:rPr>
        <w:t xml:space="preserve">Magnetic Resonance Imaging </w:t>
      </w:r>
      <w:r w:rsidR="00A64B8D">
        <w:rPr>
          <w:color w:val="000080"/>
        </w:rPr>
        <w:t>(</w:t>
      </w:r>
      <w:r w:rsidR="006E6BD5" w:rsidRPr="00AE51EF">
        <w:rPr>
          <w:color w:val="000080"/>
        </w:rPr>
        <w:t>MRI</w:t>
      </w:r>
      <w:r w:rsidR="00A64B8D">
        <w:rPr>
          <w:color w:val="000080"/>
        </w:rPr>
        <w:t>)</w:t>
      </w:r>
      <w:r w:rsidR="006E6BD5" w:rsidRPr="00AE51EF">
        <w:rPr>
          <w:color w:val="000080"/>
        </w:rPr>
        <w:t xml:space="preserve"> in 2003 showed disc </w:t>
      </w:r>
      <w:proofErr w:type="spellStart"/>
      <w:r w:rsidR="006E6BD5" w:rsidRPr="00AE51EF">
        <w:rPr>
          <w:color w:val="000080"/>
        </w:rPr>
        <w:t>herniation</w:t>
      </w:r>
      <w:proofErr w:type="spellEnd"/>
      <w:r w:rsidR="006E6BD5" w:rsidRPr="00AE51EF">
        <w:rPr>
          <w:color w:val="000080"/>
        </w:rPr>
        <w:t xml:space="preserve"> at L2/3 and degenerative changes of the lower lumbar segments.  No frank neural compromise was in evidence.  There were intermittent bilateral </w:t>
      </w:r>
      <w:proofErr w:type="spellStart"/>
      <w:r w:rsidR="006E6BD5" w:rsidRPr="00AE51EF">
        <w:rPr>
          <w:color w:val="000080"/>
        </w:rPr>
        <w:t>radicular</w:t>
      </w:r>
      <w:proofErr w:type="spellEnd"/>
      <w:r w:rsidR="006E6BD5" w:rsidRPr="00AE51EF">
        <w:rPr>
          <w:color w:val="000080"/>
        </w:rPr>
        <w:t xml:space="preserve"> symptoms, but EMG (nerve conduction study) and neurological examinations were normal.  A trial of conservative measures</w:t>
      </w:r>
      <w:r w:rsidR="00DE41A4" w:rsidRPr="00AE51EF">
        <w:rPr>
          <w:color w:val="000080"/>
        </w:rPr>
        <w:t xml:space="preserve">, including epidural injections, </w:t>
      </w:r>
      <w:r w:rsidR="006E6BD5" w:rsidRPr="00AE51EF">
        <w:rPr>
          <w:color w:val="000080"/>
        </w:rPr>
        <w:t xml:space="preserve">was undertaken by </w:t>
      </w:r>
      <w:r w:rsidR="00DE41A4" w:rsidRPr="00AE51EF">
        <w:rPr>
          <w:color w:val="000080"/>
        </w:rPr>
        <w:t xml:space="preserve">his </w:t>
      </w:r>
      <w:r w:rsidR="006E6BD5" w:rsidRPr="00AE51EF">
        <w:rPr>
          <w:color w:val="000080"/>
        </w:rPr>
        <w:t>civilian physicians</w:t>
      </w:r>
      <w:r w:rsidR="00DE41A4" w:rsidRPr="00AE51EF">
        <w:rPr>
          <w:color w:val="000080"/>
        </w:rPr>
        <w:t xml:space="preserve"> without</w:t>
      </w:r>
      <w:r w:rsidR="00A64B8D">
        <w:rPr>
          <w:color w:val="000080"/>
        </w:rPr>
        <w:t xml:space="preserve"> significant </w:t>
      </w:r>
      <w:r w:rsidR="006E6BD5" w:rsidRPr="00AE51EF">
        <w:rPr>
          <w:color w:val="000080"/>
        </w:rPr>
        <w:t>improvement.</w:t>
      </w:r>
      <w:r w:rsidR="00DE41A4" w:rsidRPr="00AE51EF">
        <w:rPr>
          <w:color w:val="000080"/>
        </w:rPr>
        <w:t xml:space="preserve">  He was unable to perform within his </w:t>
      </w:r>
      <w:r w:rsidR="00A64B8D">
        <w:rPr>
          <w:color w:val="000080"/>
        </w:rPr>
        <w:t>military occupational specialty (</w:t>
      </w:r>
      <w:r w:rsidR="00DE41A4" w:rsidRPr="00AE51EF">
        <w:rPr>
          <w:color w:val="000080"/>
        </w:rPr>
        <w:t>MOS</w:t>
      </w:r>
      <w:r w:rsidR="00A64B8D">
        <w:rPr>
          <w:color w:val="000080"/>
        </w:rPr>
        <w:t>)</w:t>
      </w:r>
      <w:r w:rsidR="00DE41A4" w:rsidRPr="00AE51EF">
        <w:rPr>
          <w:color w:val="000080"/>
        </w:rPr>
        <w:t xml:space="preserve"> or participate in the APFT, was issued a permanent L3 profile and was referred for a </w:t>
      </w:r>
      <w:r w:rsidR="00A64B8D">
        <w:rPr>
          <w:color w:val="000080"/>
        </w:rPr>
        <w:t>Medical Evaluation Board (</w:t>
      </w:r>
      <w:r w:rsidR="00DE41A4" w:rsidRPr="00AE51EF">
        <w:rPr>
          <w:color w:val="000080"/>
        </w:rPr>
        <w:t>MEB</w:t>
      </w:r>
      <w:r w:rsidR="00A64B8D">
        <w:rPr>
          <w:color w:val="000080"/>
        </w:rPr>
        <w:t>)</w:t>
      </w:r>
      <w:r w:rsidR="00DE41A4" w:rsidRPr="00AE51EF">
        <w:rPr>
          <w:color w:val="000080"/>
        </w:rPr>
        <w:t xml:space="preserve">.  The back condition was forwarded to the </w:t>
      </w:r>
      <w:r w:rsidR="00A64B8D">
        <w:rPr>
          <w:color w:val="000080"/>
        </w:rPr>
        <w:t>Physical Evaluation Board (</w:t>
      </w:r>
      <w:r w:rsidR="00DE41A4" w:rsidRPr="00AE51EF">
        <w:rPr>
          <w:color w:val="000080"/>
        </w:rPr>
        <w:t>PEB</w:t>
      </w:r>
      <w:r w:rsidR="00A64B8D">
        <w:rPr>
          <w:color w:val="000080"/>
        </w:rPr>
        <w:t>)</w:t>
      </w:r>
      <w:r w:rsidR="00DE41A4" w:rsidRPr="00AE51EF">
        <w:rPr>
          <w:color w:val="000080"/>
        </w:rPr>
        <w:t xml:space="preserve"> as medically unacceptable IAW AR</w:t>
      </w:r>
      <w:r w:rsidR="00A64B8D">
        <w:rPr>
          <w:color w:val="000080"/>
        </w:rPr>
        <w:t> </w:t>
      </w:r>
      <w:r w:rsidR="00DE41A4" w:rsidRPr="00AE51EF">
        <w:rPr>
          <w:color w:val="000080"/>
        </w:rPr>
        <w:t xml:space="preserve">40-501.  </w:t>
      </w:r>
      <w:r w:rsidR="00CA6EEB" w:rsidRPr="00AE51EF">
        <w:rPr>
          <w:color w:val="000080"/>
        </w:rPr>
        <w:t xml:space="preserve">Hypertension, </w:t>
      </w:r>
      <w:proofErr w:type="spellStart"/>
      <w:r w:rsidR="00CA6EEB" w:rsidRPr="00AE51EF">
        <w:rPr>
          <w:color w:val="000080"/>
        </w:rPr>
        <w:t>hyperlipidemia</w:t>
      </w:r>
      <w:proofErr w:type="spellEnd"/>
      <w:r w:rsidR="00CA6EEB" w:rsidRPr="00AE51EF">
        <w:rPr>
          <w:color w:val="000080"/>
        </w:rPr>
        <w:t xml:space="preserve"> and bilateral hearing </w:t>
      </w:r>
      <w:proofErr w:type="gramStart"/>
      <w:r w:rsidR="00CA6EEB" w:rsidRPr="00AE51EF">
        <w:rPr>
          <w:color w:val="000080"/>
        </w:rPr>
        <w:t>loss</w:t>
      </w:r>
      <w:proofErr w:type="gramEnd"/>
      <w:r w:rsidR="00CA6EEB" w:rsidRPr="00AE51EF">
        <w:rPr>
          <w:color w:val="000080"/>
        </w:rPr>
        <w:t xml:space="preserve"> were addressed in the </w:t>
      </w:r>
      <w:r w:rsidR="00A64B8D">
        <w:rPr>
          <w:color w:val="000080"/>
        </w:rPr>
        <w:t>narrative summary (</w:t>
      </w:r>
      <w:r w:rsidR="00CA6EEB" w:rsidRPr="00AE51EF">
        <w:rPr>
          <w:color w:val="000080"/>
        </w:rPr>
        <w:t>NARSUM</w:t>
      </w:r>
      <w:r w:rsidR="00A64B8D">
        <w:rPr>
          <w:color w:val="000080"/>
        </w:rPr>
        <w:t>)</w:t>
      </w:r>
      <w:r w:rsidR="00CA6EEB" w:rsidRPr="00AE51EF">
        <w:rPr>
          <w:color w:val="000080"/>
        </w:rPr>
        <w:t xml:space="preserve"> as medically acceptable additional conditions, but were not forwarded to the PEB on the DA </w:t>
      </w:r>
      <w:r w:rsidR="00A64B8D">
        <w:rPr>
          <w:color w:val="000080"/>
        </w:rPr>
        <w:t xml:space="preserve">Form </w:t>
      </w:r>
      <w:r w:rsidR="00CA6EEB" w:rsidRPr="00AE51EF">
        <w:rPr>
          <w:color w:val="000080"/>
        </w:rPr>
        <w:t xml:space="preserve">3947 for adjudication.  Other conditions supported in the </w:t>
      </w:r>
      <w:r w:rsidR="00A64B8D">
        <w:rPr>
          <w:color w:val="000080"/>
        </w:rPr>
        <w:t>Disability Evaluation System (</w:t>
      </w:r>
      <w:r w:rsidR="00CA6EEB" w:rsidRPr="00AE51EF">
        <w:rPr>
          <w:color w:val="000080"/>
        </w:rPr>
        <w:t>DES</w:t>
      </w:r>
      <w:r w:rsidR="00A64B8D">
        <w:rPr>
          <w:color w:val="000080"/>
        </w:rPr>
        <w:t>)</w:t>
      </w:r>
      <w:r w:rsidR="00CA6EEB" w:rsidRPr="00AE51EF">
        <w:rPr>
          <w:color w:val="000080"/>
        </w:rPr>
        <w:t xml:space="preserve"> packet are discussed below, but were not adjudicated by the PEB.  An informal PEB found the back condition unfitting with a rating of 10%.  The rating was raised to 20% by a formal PEB.  This was upheld on </w:t>
      </w:r>
      <w:r w:rsidR="00A64B8D">
        <w:rPr>
          <w:color w:val="000080"/>
        </w:rPr>
        <w:t>US Army Physical Disability Agency (</w:t>
      </w:r>
      <w:r w:rsidR="00CA6EEB" w:rsidRPr="00AE51EF">
        <w:rPr>
          <w:color w:val="000080"/>
        </w:rPr>
        <w:t>USAPDA</w:t>
      </w:r>
      <w:r w:rsidR="00A64B8D">
        <w:rPr>
          <w:color w:val="000080"/>
        </w:rPr>
        <w:t>)</w:t>
      </w:r>
      <w:r w:rsidR="00CA6EEB" w:rsidRPr="00AE51EF">
        <w:rPr>
          <w:color w:val="000080"/>
        </w:rPr>
        <w:t xml:space="preserve"> appeal and the CI was thus medically separated with a disability rating of 20%.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3E0B5A" w:rsidRPr="00AE51EF" w:rsidRDefault="002C6E5B" w:rsidP="00AE51EF">
      <w:pPr>
        <w:tabs>
          <w:tab w:val="left" w:pos="288"/>
          <w:tab w:val="left" w:pos="4752"/>
        </w:tabs>
        <w:spacing w:line="240" w:lineRule="exact"/>
        <w:jc w:val="both"/>
        <w:rPr>
          <w:color w:val="000080"/>
        </w:rPr>
      </w:pPr>
      <w:r w:rsidRPr="00AE51EF">
        <w:rPr>
          <w:color w:val="000080"/>
          <w:u w:val="single"/>
        </w:rPr>
        <w:t>CI CONTENTION</w:t>
      </w:r>
      <w:r w:rsidRPr="00AE51EF">
        <w:rPr>
          <w:color w:val="000080"/>
        </w:rPr>
        <w:t>:  The CI states:</w:t>
      </w:r>
      <w:r w:rsidR="00C932C5" w:rsidRPr="00AE51EF">
        <w:rPr>
          <w:color w:val="000080"/>
        </w:rPr>
        <w:t xml:space="preserve"> ‘</w:t>
      </w:r>
      <w:r w:rsidR="00CA6EEB" w:rsidRPr="00AE51EF">
        <w:rPr>
          <w:color w:val="000080"/>
        </w:rPr>
        <w:t xml:space="preserve">Inconsistencies between PEB and VA (20% v. 40%) rating. </w:t>
      </w:r>
      <w:r w:rsidR="00D85352" w:rsidRPr="00AE51EF">
        <w:rPr>
          <w:color w:val="000080"/>
        </w:rPr>
        <w:t xml:space="preserve"> </w:t>
      </w:r>
      <w:proofErr w:type="gramStart"/>
      <w:r w:rsidR="00D85352" w:rsidRPr="00AE51EF">
        <w:rPr>
          <w:color w:val="000080"/>
        </w:rPr>
        <w:t>Differences in opinions of severity of injury between medical professionals.</w:t>
      </w:r>
      <w:proofErr w:type="gramEnd"/>
      <w:r w:rsidR="00D85352" w:rsidRPr="00AE51EF">
        <w:rPr>
          <w:color w:val="000080"/>
        </w:rPr>
        <w:t xml:space="preserve"> Lack of due process</w:t>
      </w:r>
      <w:r w:rsidR="00AE51EF">
        <w:rPr>
          <w:color w:val="000080"/>
        </w:rPr>
        <w:t>...</w:t>
      </w:r>
      <w:r w:rsidR="00C932C5" w:rsidRPr="00AE51EF">
        <w:rPr>
          <w:color w:val="000080"/>
        </w:rPr>
        <w:t>’</w:t>
      </w:r>
      <w:r w:rsidR="00896535" w:rsidRPr="00AE51EF">
        <w:rPr>
          <w:color w:val="000080"/>
        </w:rPr>
        <w:t xml:space="preserve"> </w:t>
      </w:r>
      <w:r w:rsidR="00D85352" w:rsidRPr="00AE51EF">
        <w:rPr>
          <w:color w:val="000080"/>
        </w:rPr>
        <w:t xml:space="preserve">He goes on to elaborate contentions regarding procedural irregularities, an incomplete NARSUM, suspected failure of the PEB </w:t>
      </w:r>
      <w:r w:rsidR="00995609" w:rsidRPr="00AE51EF">
        <w:rPr>
          <w:color w:val="000080"/>
        </w:rPr>
        <w:t xml:space="preserve">to apply the </w:t>
      </w:r>
      <w:r w:rsidR="00A64B8D">
        <w:rPr>
          <w:color w:val="000080"/>
        </w:rPr>
        <w:t>Veterans Administration Schedule for Rating Disabilities (</w:t>
      </w:r>
      <w:r w:rsidR="00995609" w:rsidRPr="00AE51EF">
        <w:rPr>
          <w:color w:val="000080"/>
        </w:rPr>
        <w:t>VASRD</w:t>
      </w:r>
      <w:r w:rsidR="00A64B8D">
        <w:rPr>
          <w:color w:val="000080"/>
        </w:rPr>
        <w:t>)</w:t>
      </w:r>
      <w:r w:rsidR="00995609" w:rsidRPr="00AE51EF">
        <w:rPr>
          <w:color w:val="000080"/>
        </w:rPr>
        <w:t xml:space="preserve"> and lack of familiarity with his case on the part of the formal PEB members.  He submits medical statements from </w:t>
      </w:r>
      <w:r w:rsidR="005176C9" w:rsidRPr="00AE51EF">
        <w:rPr>
          <w:color w:val="000080"/>
        </w:rPr>
        <w:t>his civilian</w:t>
      </w:r>
      <w:r w:rsidR="00995609" w:rsidRPr="00AE51EF">
        <w:rPr>
          <w:color w:val="000080"/>
        </w:rPr>
        <w:t xml:space="preserve"> physicians and personal statements from family members and others, stating they are ‘inconsistent with the examining doctor’.  </w:t>
      </w:r>
      <w:r w:rsidR="003E0B5A" w:rsidRPr="00AE51EF">
        <w:rPr>
          <w:color w:val="000080"/>
        </w:rPr>
        <w:t xml:space="preserve">He notes his other VA-rated </w:t>
      </w:r>
      <w:r w:rsidR="003E0B5A" w:rsidRPr="00AE51EF">
        <w:rPr>
          <w:color w:val="000080"/>
        </w:rPr>
        <w:lastRenderedPageBreak/>
        <w:t>conditions on the application, but does not specifically contend for service ratings for them.</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2338CA" w:rsidRPr="00AE51EF" w:rsidRDefault="002C6E5B" w:rsidP="00AE51EF">
      <w:pPr>
        <w:tabs>
          <w:tab w:val="left" w:pos="288"/>
          <w:tab w:val="left" w:pos="4752"/>
        </w:tabs>
        <w:spacing w:line="240" w:lineRule="exact"/>
        <w:jc w:val="both"/>
        <w:rPr>
          <w:color w:val="000080"/>
        </w:rPr>
      </w:pPr>
      <w:r w:rsidRPr="00AE51EF">
        <w:rPr>
          <w:color w:val="000080"/>
          <w:u w:val="single"/>
        </w:rPr>
        <w:t>RATING COMPARISON</w:t>
      </w:r>
      <w:r w:rsidRPr="00AE51EF">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270" w:type="dxa"/>
        <w:tblInd w:w="108" w:type="dxa"/>
        <w:tblLayout w:type="fixed"/>
        <w:tblLook w:val="04A0"/>
      </w:tblPr>
      <w:tblGrid>
        <w:gridCol w:w="2160"/>
        <w:gridCol w:w="360"/>
        <w:gridCol w:w="720"/>
        <w:gridCol w:w="810"/>
        <w:gridCol w:w="2700"/>
        <w:gridCol w:w="720"/>
        <w:gridCol w:w="810"/>
        <w:gridCol w:w="990"/>
      </w:tblGrid>
      <w:tr w:rsidR="00684E2B" w:rsidRPr="002A685E" w:rsidTr="001008C1">
        <w:trPr>
          <w:trHeight w:val="233"/>
        </w:trPr>
        <w:tc>
          <w:tcPr>
            <w:tcW w:w="4050" w:type="dxa"/>
            <w:gridSpan w:val="4"/>
            <w:tcBorders>
              <w:right w:val="thinThickThinSmallGap" w:sz="24" w:space="0" w:color="auto"/>
            </w:tcBorders>
            <w:shd w:val="clear" w:color="auto" w:fill="C6D9F1" w:themeFill="text2" w:themeFillTint="33"/>
          </w:tcPr>
          <w:p w:rsidR="00684E2B" w:rsidRPr="002A685E" w:rsidRDefault="00684E2B" w:rsidP="005176C9">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Service PEB</w:t>
            </w:r>
            <w:r w:rsidR="002B2645" w:rsidRPr="002A685E">
              <w:rPr>
                <w:rFonts w:cs="Times New Roman"/>
                <w:b/>
                <w:color w:val="002060"/>
                <w:sz w:val="20"/>
                <w:szCs w:val="20"/>
              </w:rPr>
              <w:t xml:space="preserve"> – Dated </w:t>
            </w:r>
            <w:r w:rsidR="005176C9">
              <w:rPr>
                <w:rFonts w:cs="Times New Roman"/>
                <w:b/>
                <w:color w:val="002060"/>
                <w:sz w:val="20"/>
                <w:szCs w:val="20"/>
              </w:rPr>
              <w:t>20041018</w:t>
            </w:r>
          </w:p>
        </w:tc>
        <w:tc>
          <w:tcPr>
            <w:tcW w:w="5220" w:type="dxa"/>
            <w:gridSpan w:val="4"/>
            <w:tcBorders>
              <w:left w:val="thinThickThinSmallGap" w:sz="24" w:space="0" w:color="auto"/>
            </w:tcBorders>
            <w:shd w:val="clear" w:color="auto" w:fill="C6D9F1" w:themeFill="text2" w:themeFillTint="33"/>
          </w:tcPr>
          <w:p w:rsidR="00684E2B" w:rsidRPr="002A685E" w:rsidRDefault="00684E2B" w:rsidP="00780377">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VA (</w:t>
            </w:r>
            <w:r w:rsidR="00780377">
              <w:rPr>
                <w:rFonts w:cs="Times New Roman"/>
                <w:b/>
                <w:color w:val="002060"/>
                <w:sz w:val="20"/>
                <w:szCs w:val="20"/>
              </w:rPr>
              <w:t>~3</w:t>
            </w:r>
            <w:r w:rsidRPr="002A685E">
              <w:rPr>
                <w:rFonts w:cs="Times New Roman"/>
                <w:b/>
                <w:color w:val="002060"/>
                <w:sz w:val="20"/>
                <w:szCs w:val="20"/>
              </w:rPr>
              <w:t xml:space="preserve"> Mo. after Separation</w:t>
            </w:r>
            <w:r w:rsidR="005176C9">
              <w:rPr>
                <w:rFonts w:cs="Times New Roman"/>
                <w:b/>
                <w:color w:val="002060"/>
                <w:sz w:val="20"/>
                <w:szCs w:val="20"/>
              </w:rPr>
              <w:t xml:space="preserve">) – Effective Dates </w:t>
            </w:r>
            <w:r w:rsidR="00EA2B8A">
              <w:rPr>
                <w:rFonts w:cs="Times New Roman"/>
                <w:b/>
                <w:color w:val="002060"/>
                <w:sz w:val="20"/>
                <w:szCs w:val="20"/>
              </w:rPr>
              <w:t>Variable</w:t>
            </w:r>
          </w:p>
        </w:tc>
      </w:tr>
      <w:tr w:rsidR="002B2645" w:rsidRPr="002A685E" w:rsidTr="001008C1">
        <w:trPr>
          <w:trHeight w:val="233"/>
        </w:trPr>
        <w:tc>
          <w:tcPr>
            <w:tcW w:w="2520" w:type="dxa"/>
            <w:gridSpan w:val="2"/>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2700" w:type="dxa"/>
            <w:tcBorders>
              <w:left w:val="thinThickThinSmallGap" w:sz="24" w:space="0" w:color="auto"/>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2A685E" w:rsidRDefault="002B2645"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Exam</w:t>
            </w:r>
          </w:p>
        </w:tc>
      </w:tr>
      <w:tr w:rsidR="00EA2B8A" w:rsidRPr="002A685E" w:rsidTr="00EA2B8A">
        <w:trPr>
          <w:trHeight w:val="152"/>
        </w:trPr>
        <w:tc>
          <w:tcPr>
            <w:tcW w:w="2160" w:type="dxa"/>
            <w:tcBorders>
              <w:right w:val="single" w:sz="4" w:space="0" w:color="auto"/>
            </w:tcBorders>
            <w:shd w:val="clear" w:color="auto" w:fill="FFFFFF" w:themeFill="background1"/>
          </w:tcPr>
          <w:p w:rsidR="00EA2B8A" w:rsidRPr="00EA2B8A" w:rsidRDefault="00EA2B8A" w:rsidP="00780377">
            <w:pPr>
              <w:pStyle w:val="ListParagraph"/>
              <w:spacing w:after="0" w:line="240" w:lineRule="auto"/>
              <w:ind w:left="0"/>
              <w:rPr>
                <w:rFonts w:eastAsiaTheme="minorEastAsia"/>
                <w:color w:val="002060"/>
                <w:sz w:val="18"/>
                <w:szCs w:val="18"/>
              </w:rPr>
            </w:pPr>
            <w:r w:rsidRPr="00EA2B8A">
              <w:rPr>
                <w:rFonts w:eastAsiaTheme="minorEastAsia"/>
                <w:color w:val="002060"/>
                <w:sz w:val="18"/>
                <w:szCs w:val="18"/>
              </w:rPr>
              <w:t>Chronic Low Back Pain…</w:t>
            </w:r>
          </w:p>
        </w:tc>
        <w:tc>
          <w:tcPr>
            <w:tcW w:w="1080" w:type="dxa"/>
            <w:gridSpan w:val="2"/>
            <w:tcBorders>
              <w:left w:val="single" w:sz="4" w:space="0" w:color="auto"/>
            </w:tcBorders>
            <w:shd w:val="clear" w:color="auto" w:fill="FFFFFF" w:themeFill="background1"/>
          </w:tcPr>
          <w:p w:rsidR="00EA2B8A" w:rsidRPr="00EA2B8A" w:rsidRDefault="00EA2B8A" w:rsidP="00EA2B8A">
            <w:pPr>
              <w:pStyle w:val="ListParagraph"/>
              <w:spacing w:after="0" w:line="240" w:lineRule="auto"/>
              <w:ind w:left="0"/>
              <w:jc w:val="center"/>
              <w:rPr>
                <w:rFonts w:eastAsiaTheme="minorEastAsia"/>
                <w:color w:val="002060"/>
                <w:sz w:val="18"/>
                <w:szCs w:val="18"/>
              </w:rPr>
            </w:pPr>
            <w:r w:rsidRPr="00EA2B8A">
              <w:rPr>
                <w:rFonts w:eastAsiaTheme="minorEastAsia"/>
                <w:color w:val="002060"/>
                <w:sz w:val="18"/>
                <w:szCs w:val="18"/>
              </w:rPr>
              <w:t>5299-5237</w:t>
            </w:r>
          </w:p>
        </w:tc>
        <w:tc>
          <w:tcPr>
            <w:tcW w:w="810" w:type="dxa"/>
            <w:tcBorders>
              <w:right w:val="thinThickThinSmallGap" w:sz="24" w:space="0" w:color="auto"/>
            </w:tcBorders>
            <w:shd w:val="clear" w:color="auto" w:fill="FFFFFF" w:themeFill="background1"/>
          </w:tcPr>
          <w:p w:rsidR="00EA2B8A" w:rsidRPr="00EA2B8A" w:rsidRDefault="00EA2B8A" w:rsidP="00EA2B8A">
            <w:pPr>
              <w:pStyle w:val="ListParagraph"/>
              <w:spacing w:after="0" w:line="240" w:lineRule="auto"/>
              <w:ind w:left="0"/>
              <w:jc w:val="center"/>
              <w:rPr>
                <w:rFonts w:eastAsiaTheme="minorEastAsia"/>
                <w:color w:val="002060"/>
                <w:sz w:val="18"/>
                <w:szCs w:val="18"/>
              </w:rPr>
            </w:pPr>
            <w:r w:rsidRPr="00EA2B8A">
              <w:rPr>
                <w:rFonts w:eastAsiaTheme="minorEastAsia"/>
                <w:color w:val="002060"/>
                <w:sz w:val="18"/>
                <w:szCs w:val="18"/>
              </w:rPr>
              <w:t>20%</w:t>
            </w:r>
          </w:p>
        </w:tc>
        <w:tc>
          <w:tcPr>
            <w:tcW w:w="2700" w:type="dxa"/>
            <w:tcBorders>
              <w:left w:val="thinThickThinSmallGap" w:sz="24" w:space="0" w:color="auto"/>
            </w:tcBorders>
            <w:shd w:val="clear" w:color="auto" w:fill="FFFFFF" w:themeFill="background1"/>
          </w:tcPr>
          <w:p w:rsidR="00EA2B8A" w:rsidRPr="00EA2B8A" w:rsidRDefault="00EA2B8A" w:rsidP="00780377">
            <w:pPr>
              <w:pStyle w:val="ListParagraph"/>
              <w:spacing w:after="0" w:line="240" w:lineRule="auto"/>
              <w:ind w:left="0"/>
              <w:rPr>
                <w:rFonts w:eastAsiaTheme="minorEastAsia"/>
                <w:color w:val="002060"/>
                <w:sz w:val="18"/>
                <w:szCs w:val="18"/>
              </w:rPr>
            </w:pPr>
            <w:r w:rsidRPr="00EA2B8A">
              <w:rPr>
                <w:rFonts w:eastAsiaTheme="minorEastAsia"/>
                <w:color w:val="002060"/>
                <w:sz w:val="18"/>
                <w:szCs w:val="18"/>
              </w:rPr>
              <w:t>Degenerative Disc Disease</w:t>
            </w:r>
          </w:p>
        </w:tc>
        <w:tc>
          <w:tcPr>
            <w:tcW w:w="720" w:type="dxa"/>
            <w:shd w:val="clear" w:color="auto" w:fill="FFFFFF" w:themeFill="background1"/>
          </w:tcPr>
          <w:p w:rsidR="00EA2B8A" w:rsidRPr="00EA2B8A" w:rsidRDefault="00EA2B8A" w:rsidP="00EA2B8A">
            <w:pPr>
              <w:pStyle w:val="ListParagraph"/>
              <w:spacing w:after="0" w:line="240" w:lineRule="auto"/>
              <w:ind w:left="0"/>
              <w:jc w:val="center"/>
              <w:rPr>
                <w:rFonts w:eastAsiaTheme="minorEastAsia"/>
                <w:color w:val="002060"/>
                <w:sz w:val="18"/>
                <w:szCs w:val="18"/>
              </w:rPr>
            </w:pPr>
            <w:r w:rsidRPr="00EA2B8A">
              <w:rPr>
                <w:rFonts w:eastAsiaTheme="minorEastAsia"/>
                <w:color w:val="002060"/>
                <w:sz w:val="18"/>
                <w:szCs w:val="18"/>
              </w:rPr>
              <w:t>5242</w:t>
            </w:r>
          </w:p>
        </w:tc>
        <w:tc>
          <w:tcPr>
            <w:tcW w:w="810" w:type="dxa"/>
            <w:shd w:val="clear" w:color="auto" w:fill="FFFFFF" w:themeFill="background1"/>
          </w:tcPr>
          <w:p w:rsidR="00EA2B8A" w:rsidRPr="00EA2B8A" w:rsidRDefault="00EA2B8A" w:rsidP="00EA2B8A">
            <w:pPr>
              <w:pStyle w:val="ListParagraph"/>
              <w:spacing w:after="0" w:line="240" w:lineRule="auto"/>
              <w:ind w:left="0"/>
              <w:jc w:val="center"/>
              <w:rPr>
                <w:rFonts w:eastAsiaTheme="minorEastAsia"/>
                <w:color w:val="002060"/>
                <w:sz w:val="18"/>
                <w:szCs w:val="18"/>
              </w:rPr>
            </w:pPr>
            <w:r w:rsidRPr="00EA2B8A">
              <w:rPr>
                <w:rFonts w:eastAsiaTheme="minorEastAsia"/>
                <w:color w:val="002060"/>
                <w:sz w:val="18"/>
                <w:szCs w:val="18"/>
              </w:rPr>
              <w:t>40%</w:t>
            </w:r>
          </w:p>
        </w:tc>
        <w:tc>
          <w:tcPr>
            <w:tcW w:w="990" w:type="dxa"/>
            <w:shd w:val="clear" w:color="auto" w:fill="FFFFFF" w:themeFill="background1"/>
          </w:tcPr>
          <w:p w:rsidR="00EA2B8A" w:rsidRPr="00FD0AA0" w:rsidRDefault="00EA2B8A"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20060121</w:t>
            </w:r>
          </w:p>
        </w:tc>
      </w:tr>
      <w:tr w:rsidR="00AE51EF" w:rsidRPr="002A685E" w:rsidTr="001008C1">
        <w:trPr>
          <w:trHeight w:val="143"/>
        </w:trPr>
        <w:tc>
          <w:tcPr>
            <w:tcW w:w="4050" w:type="dxa"/>
            <w:gridSpan w:val="4"/>
            <w:vMerge w:val="restart"/>
            <w:tcBorders>
              <w:right w:val="thinThickThinSmallGap" w:sz="24" w:space="0" w:color="auto"/>
            </w:tcBorders>
            <w:shd w:val="clear" w:color="auto" w:fill="FFFFFF" w:themeFill="background1"/>
          </w:tcPr>
          <w:p w:rsidR="00AE51EF" w:rsidRPr="00FD0AA0" w:rsidRDefault="00AE51EF" w:rsidP="00F37554">
            <w:pPr>
              <w:pStyle w:val="ListParagraph"/>
              <w:spacing w:after="0" w:line="240" w:lineRule="auto"/>
              <w:ind w:left="0"/>
              <w:jc w:val="center"/>
              <w:rPr>
                <w:rFonts w:cs="Times New Roman"/>
                <w:b/>
                <w:color w:val="002060"/>
                <w:sz w:val="18"/>
                <w:szCs w:val="18"/>
              </w:rPr>
            </w:pPr>
            <w:r>
              <w:rPr>
                <w:rFonts w:eastAsiaTheme="minorEastAsia"/>
                <w:color w:val="002060"/>
                <w:sz w:val="18"/>
                <w:szCs w:val="18"/>
              </w:rPr>
              <w:t>↓</w:t>
            </w:r>
            <w:r w:rsidRPr="00FD0AA0">
              <w:rPr>
                <w:rFonts w:eastAsiaTheme="minorEastAsia"/>
                <w:color w:val="002060"/>
                <w:sz w:val="18"/>
                <w:szCs w:val="18"/>
              </w:rPr>
              <w:t>No Additional DA 3947 Entries</w:t>
            </w:r>
            <w:r>
              <w:rPr>
                <w:rFonts w:eastAsiaTheme="minorEastAsia"/>
                <w:color w:val="002060"/>
                <w:sz w:val="18"/>
                <w:szCs w:val="18"/>
              </w:rPr>
              <w:t>↓</w:t>
            </w:r>
          </w:p>
        </w:tc>
        <w:tc>
          <w:tcPr>
            <w:tcW w:w="2700" w:type="dxa"/>
            <w:tcBorders>
              <w:left w:val="thinThickThinSmallGap" w:sz="24" w:space="0" w:color="auto"/>
            </w:tcBorders>
            <w:shd w:val="clear" w:color="auto" w:fill="FFFFFF" w:themeFill="background1"/>
          </w:tcPr>
          <w:p w:rsidR="00AE51EF" w:rsidRPr="00FD0AA0" w:rsidRDefault="00AE51EF" w:rsidP="00F37554">
            <w:pPr>
              <w:pStyle w:val="ListParagraph"/>
              <w:spacing w:after="0" w:line="240" w:lineRule="auto"/>
              <w:ind w:left="0"/>
              <w:rPr>
                <w:rFonts w:cs="Times New Roman"/>
                <w:color w:val="002060"/>
                <w:sz w:val="18"/>
                <w:szCs w:val="18"/>
              </w:rPr>
            </w:pPr>
            <w:r>
              <w:rPr>
                <w:rFonts w:cs="Times New Roman"/>
                <w:color w:val="002060"/>
                <w:sz w:val="18"/>
                <w:szCs w:val="18"/>
              </w:rPr>
              <w:t>Bilateral Tinnitus</w:t>
            </w:r>
          </w:p>
        </w:tc>
        <w:tc>
          <w:tcPr>
            <w:tcW w:w="720" w:type="dxa"/>
            <w:shd w:val="clear" w:color="auto" w:fill="FFFFFF" w:themeFill="background1"/>
          </w:tcPr>
          <w:p w:rsidR="00AE51EF" w:rsidRPr="00FD0AA0" w:rsidRDefault="00AE51EF"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6260</w:t>
            </w:r>
          </w:p>
        </w:tc>
        <w:tc>
          <w:tcPr>
            <w:tcW w:w="810" w:type="dxa"/>
            <w:shd w:val="clear" w:color="auto" w:fill="FFFFFF" w:themeFill="background1"/>
          </w:tcPr>
          <w:p w:rsidR="00AE51EF" w:rsidRPr="00FD0AA0" w:rsidRDefault="00AE51EF"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10%</w:t>
            </w:r>
          </w:p>
        </w:tc>
        <w:tc>
          <w:tcPr>
            <w:tcW w:w="990" w:type="dxa"/>
            <w:shd w:val="clear" w:color="auto" w:fill="FFFFFF" w:themeFill="background1"/>
          </w:tcPr>
          <w:p w:rsidR="00AE51EF" w:rsidRPr="00FD0AA0" w:rsidRDefault="00AE51EF"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19980902</w:t>
            </w:r>
          </w:p>
        </w:tc>
      </w:tr>
      <w:tr w:rsidR="00AE51EF" w:rsidRPr="002A685E" w:rsidTr="001008C1">
        <w:trPr>
          <w:trHeight w:val="197"/>
        </w:trPr>
        <w:tc>
          <w:tcPr>
            <w:tcW w:w="4050" w:type="dxa"/>
            <w:gridSpan w:val="4"/>
            <w:vMerge/>
            <w:tcBorders>
              <w:right w:val="thinThickThinSmallGap" w:sz="24" w:space="0" w:color="auto"/>
            </w:tcBorders>
            <w:shd w:val="clear" w:color="auto" w:fill="FFFFFF" w:themeFill="background1"/>
          </w:tcPr>
          <w:p w:rsidR="00AE51EF" w:rsidRPr="00FD0AA0" w:rsidRDefault="00AE51EF" w:rsidP="00F37554">
            <w:pPr>
              <w:pStyle w:val="ListParagraph"/>
              <w:spacing w:after="0" w:line="240" w:lineRule="auto"/>
              <w:ind w:left="0"/>
              <w:jc w:val="center"/>
              <w:rPr>
                <w:rFonts w:cs="Times New Roman"/>
                <w:b/>
                <w:color w:val="002060"/>
                <w:sz w:val="18"/>
                <w:szCs w:val="18"/>
              </w:rPr>
            </w:pPr>
          </w:p>
        </w:tc>
        <w:tc>
          <w:tcPr>
            <w:tcW w:w="4230" w:type="dxa"/>
            <w:gridSpan w:val="3"/>
            <w:tcBorders>
              <w:left w:val="thinThickThinSmallGap" w:sz="24" w:space="0" w:color="auto"/>
            </w:tcBorders>
            <w:shd w:val="clear" w:color="auto" w:fill="FFFFFF" w:themeFill="background1"/>
          </w:tcPr>
          <w:p w:rsidR="00AE51EF" w:rsidRPr="00FD0AA0" w:rsidRDefault="00AE51EF" w:rsidP="00690FDA">
            <w:pPr>
              <w:pStyle w:val="ListParagraph"/>
              <w:spacing w:after="0" w:line="240" w:lineRule="auto"/>
              <w:ind w:left="0"/>
              <w:jc w:val="center"/>
              <w:rPr>
                <w:rFonts w:cs="Times New Roman"/>
                <w:color w:val="002060"/>
                <w:sz w:val="18"/>
                <w:szCs w:val="18"/>
              </w:rPr>
            </w:pPr>
            <w:r w:rsidRPr="00FD0AA0">
              <w:rPr>
                <w:rFonts w:cs="Times New Roman"/>
                <w:color w:val="002060"/>
                <w:sz w:val="18"/>
                <w:szCs w:val="18"/>
              </w:rPr>
              <w:t xml:space="preserve">Non-PEB X  </w:t>
            </w:r>
            <w:r>
              <w:rPr>
                <w:rFonts w:cs="Times New Roman"/>
                <w:color w:val="002060"/>
                <w:sz w:val="18"/>
                <w:szCs w:val="18"/>
              </w:rPr>
              <w:t>1</w:t>
            </w:r>
            <w:r w:rsidRPr="00FD0AA0">
              <w:rPr>
                <w:rFonts w:cs="Times New Roman"/>
                <w:color w:val="002060"/>
                <w:sz w:val="18"/>
                <w:szCs w:val="18"/>
              </w:rPr>
              <w:t xml:space="preserve"> / NSC X </w:t>
            </w:r>
            <w:r>
              <w:rPr>
                <w:rFonts w:cs="Times New Roman"/>
                <w:color w:val="002060"/>
                <w:sz w:val="18"/>
                <w:szCs w:val="18"/>
              </w:rPr>
              <w:t>8</w:t>
            </w:r>
          </w:p>
        </w:tc>
        <w:tc>
          <w:tcPr>
            <w:tcW w:w="990" w:type="dxa"/>
            <w:shd w:val="clear" w:color="auto" w:fill="FFFFFF" w:themeFill="background1"/>
          </w:tcPr>
          <w:p w:rsidR="00AE51EF" w:rsidRPr="00FD0AA0" w:rsidRDefault="00AE51EF" w:rsidP="00F37554">
            <w:pPr>
              <w:pStyle w:val="ListParagraph"/>
              <w:spacing w:after="0" w:line="240" w:lineRule="auto"/>
              <w:ind w:left="0"/>
              <w:jc w:val="center"/>
              <w:rPr>
                <w:rFonts w:cs="Times New Roman"/>
                <w:color w:val="002060"/>
                <w:sz w:val="18"/>
                <w:szCs w:val="18"/>
              </w:rPr>
            </w:pPr>
            <w:r>
              <w:rPr>
                <w:rFonts w:cs="Times New Roman"/>
                <w:color w:val="002060"/>
                <w:sz w:val="18"/>
                <w:szCs w:val="18"/>
              </w:rPr>
              <w:t>20060121</w:t>
            </w:r>
          </w:p>
        </w:tc>
      </w:tr>
      <w:tr w:rsidR="00684E2B" w:rsidRPr="002A685E" w:rsidTr="001008C1">
        <w:trPr>
          <w:trHeight w:val="242"/>
        </w:trPr>
        <w:tc>
          <w:tcPr>
            <w:tcW w:w="4050" w:type="dxa"/>
            <w:gridSpan w:val="4"/>
            <w:tcBorders>
              <w:right w:val="thinThickThinSmallGap" w:sz="24" w:space="0" w:color="auto"/>
            </w:tcBorders>
            <w:shd w:val="clear" w:color="auto" w:fill="C6D9F1" w:themeFill="text2" w:themeFillTint="33"/>
          </w:tcPr>
          <w:p w:rsidR="00684E2B" w:rsidRPr="002A685E" w:rsidRDefault="00684E2B"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 xml:space="preserve">TOTAL Combined:  </w:t>
            </w:r>
            <w:r w:rsidR="00780377">
              <w:rPr>
                <w:rFonts w:cs="Times New Roman"/>
                <w:b/>
                <w:color w:val="002060"/>
                <w:sz w:val="20"/>
                <w:szCs w:val="20"/>
              </w:rPr>
              <w:t>2</w:t>
            </w:r>
            <w:r w:rsidRPr="002A685E">
              <w:rPr>
                <w:rFonts w:cs="Times New Roman"/>
                <w:b/>
                <w:color w:val="002060"/>
                <w:sz w:val="20"/>
                <w:szCs w:val="20"/>
              </w:rPr>
              <w:t>0%</w:t>
            </w:r>
          </w:p>
        </w:tc>
        <w:tc>
          <w:tcPr>
            <w:tcW w:w="5220" w:type="dxa"/>
            <w:gridSpan w:val="4"/>
            <w:tcBorders>
              <w:left w:val="thinThickThinSmallGap" w:sz="24" w:space="0" w:color="auto"/>
            </w:tcBorders>
            <w:shd w:val="clear" w:color="auto" w:fill="C6D9F1" w:themeFill="text2" w:themeFillTint="33"/>
          </w:tcPr>
          <w:p w:rsidR="00684E2B" w:rsidRPr="002A685E" w:rsidRDefault="00684E2B" w:rsidP="00F37554">
            <w:pPr>
              <w:pStyle w:val="ListParagraph"/>
              <w:spacing w:after="0" w:line="240" w:lineRule="auto"/>
              <w:ind w:left="0"/>
              <w:jc w:val="center"/>
              <w:rPr>
                <w:rFonts w:cs="Times New Roman"/>
                <w:b/>
                <w:color w:val="002060"/>
                <w:sz w:val="20"/>
                <w:szCs w:val="20"/>
              </w:rPr>
            </w:pPr>
            <w:r w:rsidRPr="002A685E">
              <w:rPr>
                <w:rFonts w:cs="Times New Roman"/>
                <w:b/>
                <w:color w:val="002060"/>
                <w:sz w:val="20"/>
                <w:szCs w:val="20"/>
              </w:rPr>
              <w:t>TOTAL Combined (</w:t>
            </w:r>
            <w:r w:rsidRPr="002A685E">
              <w:rPr>
                <w:rFonts w:cs="Times New Roman"/>
                <w:b/>
                <w:i/>
                <w:color w:val="002060"/>
                <w:sz w:val="20"/>
                <w:szCs w:val="20"/>
              </w:rPr>
              <w:t>Includes Non-PEB Conditions</w:t>
            </w:r>
            <w:r w:rsidR="006F5A4E" w:rsidRPr="002A685E">
              <w:rPr>
                <w:rFonts w:cs="Times New Roman"/>
                <w:b/>
                <w:color w:val="002060"/>
                <w:sz w:val="20"/>
                <w:szCs w:val="20"/>
              </w:rPr>
              <w:t xml:space="preserve">): </w:t>
            </w:r>
            <w:r w:rsidR="00780377">
              <w:rPr>
                <w:rFonts w:cs="Times New Roman"/>
                <w:b/>
                <w:color w:val="002060"/>
                <w:sz w:val="20"/>
                <w:szCs w:val="20"/>
              </w:rPr>
              <w:t>5</w:t>
            </w:r>
            <w:r w:rsidRPr="002A685E">
              <w:rPr>
                <w:rFonts w:cs="Times New Roman"/>
                <w:b/>
                <w:color w:val="002060"/>
                <w:sz w:val="20"/>
                <w:szCs w:val="20"/>
              </w:rPr>
              <w:t xml:space="preserve">0%                                                                         </w:t>
            </w:r>
            <w:r w:rsidRPr="002A685E">
              <w:rPr>
                <w:rFonts w:cs="Times New Roman"/>
                <w:color w:val="00206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AE51EF" w:rsidRDefault="002C6E5B" w:rsidP="002C6E5B">
      <w:pPr>
        <w:tabs>
          <w:tab w:val="left" w:pos="288"/>
          <w:tab w:val="left" w:pos="4752"/>
        </w:tabs>
        <w:spacing w:line="240" w:lineRule="exact"/>
        <w:jc w:val="both"/>
        <w:rPr>
          <w:color w:val="000080"/>
        </w:rPr>
      </w:pPr>
      <w:r w:rsidRPr="00AE51EF">
        <w:rPr>
          <w:color w:val="000080"/>
          <w:u w:val="single"/>
        </w:rPr>
        <w:t>ANALYSIS SUMMARY</w:t>
      </w:r>
      <w:r w:rsidRPr="00AE51EF">
        <w:rPr>
          <w:color w:val="000080"/>
        </w:rPr>
        <w:t>:</w:t>
      </w:r>
    </w:p>
    <w:p w:rsidR="00780377" w:rsidRPr="00AE51EF" w:rsidRDefault="00780377" w:rsidP="002C6E5B">
      <w:pPr>
        <w:tabs>
          <w:tab w:val="left" w:pos="288"/>
          <w:tab w:val="left" w:pos="4752"/>
        </w:tabs>
        <w:spacing w:line="240" w:lineRule="exact"/>
        <w:jc w:val="both"/>
        <w:rPr>
          <w:color w:val="000080"/>
        </w:rPr>
      </w:pPr>
    </w:p>
    <w:p w:rsidR="00780377" w:rsidRPr="00AE51EF" w:rsidRDefault="00780377" w:rsidP="00AE51EF">
      <w:pPr>
        <w:tabs>
          <w:tab w:val="left" w:pos="288"/>
          <w:tab w:val="left" w:pos="4752"/>
        </w:tabs>
        <w:spacing w:line="240" w:lineRule="exact"/>
        <w:jc w:val="both"/>
        <w:rPr>
          <w:color w:val="000080"/>
        </w:rPr>
      </w:pPr>
      <w:r w:rsidRPr="00AE51EF">
        <w:rPr>
          <w:color w:val="000080"/>
        </w:rPr>
        <w:t>It is noted for the record that the Board has neither the jurisdiction nor authority to scrutinize or render opinions regarding the CI’s numerous statements in the application regarding due process</w:t>
      </w:r>
      <w:r w:rsidR="00BB396B" w:rsidRPr="00AE51EF">
        <w:rPr>
          <w:color w:val="000080"/>
        </w:rPr>
        <w:t xml:space="preserve">.  </w:t>
      </w:r>
      <w:r w:rsidRPr="00AE51EF">
        <w:rPr>
          <w:color w:val="000080"/>
        </w:rPr>
        <w:t xml:space="preserve"> </w:t>
      </w:r>
      <w:r w:rsidR="00BB396B" w:rsidRPr="00AE51EF">
        <w:rPr>
          <w:color w:val="000080"/>
        </w:rPr>
        <w:t xml:space="preserve">Likewise the perceived </w:t>
      </w:r>
      <w:proofErr w:type="gramStart"/>
      <w:r w:rsidR="0098577B" w:rsidRPr="00AE51EF">
        <w:rPr>
          <w:color w:val="000080"/>
        </w:rPr>
        <w:t>in</w:t>
      </w:r>
      <w:r w:rsidR="00BB396B" w:rsidRPr="00AE51EF">
        <w:rPr>
          <w:color w:val="000080"/>
        </w:rPr>
        <w:t>adequacy of the formal PEB’s preparation or contended omissions from the NARSUM are</w:t>
      </w:r>
      <w:proofErr w:type="gramEnd"/>
      <w:r w:rsidR="00BB396B" w:rsidRPr="00AE51EF">
        <w:rPr>
          <w:color w:val="000080"/>
        </w:rPr>
        <w:t xml:space="preserve"> not relevant to the Board’s deliberation</w:t>
      </w:r>
      <w:r w:rsidR="0098577B" w:rsidRPr="00AE51EF">
        <w:rPr>
          <w:color w:val="000080"/>
        </w:rPr>
        <w:t xml:space="preserve"> or subject to its opinion</w:t>
      </w:r>
      <w:r w:rsidR="00BB396B" w:rsidRPr="00AE51EF">
        <w:rPr>
          <w:color w:val="000080"/>
        </w:rPr>
        <w:t xml:space="preserve">.  The Board’s role is confined to the review of medical records and all evidence at hand to assess the </w:t>
      </w:r>
      <w:r w:rsidR="00796727" w:rsidRPr="00AE51EF">
        <w:rPr>
          <w:color w:val="000080"/>
        </w:rPr>
        <w:t>accuracy</w:t>
      </w:r>
      <w:r w:rsidR="00BB396B" w:rsidRPr="00AE51EF">
        <w:rPr>
          <w:color w:val="000080"/>
        </w:rPr>
        <w:t xml:space="preserve"> of PEB </w:t>
      </w:r>
      <w:r w:rsidR="0098577B" w:rsidRPr="00AE51EF">
        <w:rPr>
          <w:color w:val="000080"/>
        </w:rPr>
        <w:t>rating determinations compared to VASRD standards, as well as the fairness of PEB fitness adjudications.</w:t>
      </w:r>
    </w:p>
    <w:p w:rsidR="00132036" w:rsidRPr="00AE51EF" w:rsidRDefault="00132036" w:rsidP="00AE51EF">
      <w:pPr>
        <w:tabs>
          <w:tab w:val="left" w:pos="288"/>
          <w:tab w:val="left" w:pos="4752"/>
        </w:tabs>
        <w:spacing w:line="240" w:lineRule="exact"/>
        <w:jc w:val="both"/>
        <w:rPr>
          <w:color w:val="000080"/>
        </w:rPr>
      </w:pPr>
    </w:p>
    <w:p w:rsidR="00132036" w:rsidRPr="00AE51EF" w:rsidRDefault="00BA3513" w:rsidP="00AE51EF">
      <w:pPr>
        <w:tabs>
          <w:tab w:val="left" w:pos="288"/>
          <w:tab w:val="left" w:pos="4752"/>
        </w:tabs>
        <w:spacing w:line="240" w:lineRule="exact"/>
        <w:jc w:val="both"/>
        <w:rPr>
          <w:color w:val="000080"/>
        </w:rPr>
      </w:pPr>
      <w:r w:rsidRPr="00AE51EF">
        <w:rPr>
          <w:color w:val="000080"/>
        </w:rPr>
        <w:t xml:space="preserve">The Board </w:t>
      </w:r>
      <w:r w:rsidR="00DD2CD9" w:rsidRPr="00AE51EF">
        <w:rPr>
          <w:color w:val="000080"/>
        </w:rPr>
        <w:t xml:space="preserve">deliberated the </w:t>
      </w:r>
      <w:r w:rsidR="00A56DC5" w:rsidRPr="00AE51EF">
        <w:rPr>
          <w:color w:val="000080"/>
        </w:rPr>
        <w:t>service connection issue</w:t>
      </w:r>
      <w:r w:rsidR="00DD2CD9" w:rsidRPr="00AE51EF">
        <w:rPr>
          <w:color w:val="000080"/>
        </w:rPr>
        <w:t xml:space="preserve"> in this case.  The sudden onset of back pain while running was repeatedly referred to as an ‘injury’ </w:t>
      </w:r>
      <w:r w:rsidR="00212407" w:rsidRPr="00AE51EF">
        <w:rPr>
          <w:color w:val="000080"/>
        </w:rPr>
        <w:t>sustained in service</w:t>
      </w:r>
      <w:r w:rsidR="00DD2CD9" w:rsidRPr="00AE51EF">
        <w:rPr>
          <w:color w:val="000080"/>
        </w:rPr>
        <w:t xml:space="preserve">.  </w:t>
      </w:r>
      <w:r w:rsidR="00212407" w:rsidRPr="00AE51EF">
        <w:rPr>
          <w:color w:val="000080"/>
        </w:rPr>
        <w:t xml:space="preserve">That was the basis for the Line of Duty decision, the way it was characterized in medical histories </w:t>
      </w:r>
      <w:r w:rsidR="00997D12" w:rsidRPr="00AE51EF">
        <w:rPr>
          <w:color w:val="000080"/>
        </w:rPr>
        <w:t>and the way it was stated in numerous appeals and letters of support.</w:t>
      </w:r>
      <w:r w:rsidR="00212407" w:rsidRPr="00AE51EF">
        <w:rPr>
          <w:color w:val="000080"/>
        </w:rPr>
        <w:t xml:space="preserve"> </w:t>
      </w:r>
      <w:r w:rsidR="00997D12" w:rsidRPr="00AE51EF">
        <w:rPr>
          <w:color w:val="000080"/>
        </w:rPr>
        <w:t xml:space="preserve"> </w:t>
      </w:r>
      <w:r w:rsidR="00DD2CD9" w:rsidRPr="00AE51EF">
        <w:rPr>
          <w:color w:val="000080"/>
        </w:rPr>
        <w:t xml:space="preserve">There was no </w:t>
      </w:r>
      <w:r w:rsidR="00CB36D1" w:rsidRPr="00AE51EF">
        <w:rPr>
          <w:color w:val="000080"/>
        </w:rPr>
        <w:t>fall or other trauma associated with the onset of symptoms as related in the history</w:t>
      </w:r>
      <w:r w:rsidR="00DD2CD9" w:rsidRPr="00AE51EF">
        <w:rPr>
          <w:color w:val="000080"/>
        </w:rPr>
        <w:t xml:space="preserve">, however.  This incident was simply the declaration of pre-existing spinal pathology.  </w:t>
      </w:r>
      <w:r w:rsidR="00796727" w:rsidRPr="00AE51EF">
        <w:rPr>
          <w:color w:val="000080"/>
        </w:rPr>
        <w:t>Such a</w:t>
      </w:r>
      <w:r w:rsidR="00DD2CD9" w:rsidRPr="00AE51EF">
        <w:rPr>
          <w:color w:val="000080"/>
        </w:rPr>
        <w:t xml:space="preserve"> history, in fact, is </w:t>
      </w:r>
      <w:r w:rsidR="00796727" w:rsidRPr="00AE51EF">
        <w:rPr>
          <w:color w:val="000080"/>
        </w:rPr>
        <w:t>typical of</w:t>
      </w:r>
      <w:r w:rsidR="00DD2CD9" w:rsidRPr="00AE51EF">
        <w:rPr>
          <w:color w:val="000080"/>
        </w:rPr>
        <w:t xml:space="preserve"> </w:t>
      </w:r>
      <w:r w:rsidR="00796727" w:rsidRPr="00AE51EF">
        <w:rPr>
          <w:color w:val="000080"/>
        </w:rPr>
        <w:t xml:space="preserve">degenerative </w:t>
      </w:r>
      <w:r w:rsidR="00DD2CD9" w:rsidRPr="00AE51EF">
        <w:rPr>
          <w:color w:val="000080"/>
        </w:rPr>
        <w:t xml:space="preserve">disc disease.  </w:t>
      </w:r>
      <w:r w:rsidR="00681599" w:rsidRPr="00AE51EF">
        <w:rPr>
          <w:color w:val="000080"/>
        </w:rPr>
        <w:t xml:space="preserve">By circumstance </w:t>
      </w:r>
      <w:r w:rsidR="001475BF" w:rsidRPr="00AE51EF">
        <w:rPr>
          <w:color w:val="000080"/>
        </w:rPr>
        <w:t>the condition surfaced</w:t>
      </w:r>
      <w:r w:rsidR="00681599" w:rsidRPr="00AE51EF">
        <w:rPr>
          <w:color w:val="000080"/>
        </w:rPr>
        <w:t xml:space="preserve"> </w:t>
      </w:r>
      <w:r w:rsidR="001475BF" w:rsidRPr="00AE51EF">
        <w:rPr>
          <w:color w:val="000080"/>
        </w:rPr>
        <w:t>while running in preparation for the APFT</w:t>
      </w:r>
      <w:r w:rsidR="00681599" w:rsidRPr="00AE51EF">
        <w:rPr>
          <w:color w:val="000080"/>
        </w:rPr>
        <w:t>, but it was not caused by</w:t>
      </w:r>
      <w:r w:rsidR="001475BF" w:rsidRPr="00AE51EF">
        <w:rPr>
          <w:color w:val="000080"/>
        </w:rPr>
        <w:t xml:space="preserve"> that activity nor would it have been </w:t>
      </w:r>
      <w:r w:rsidR="00CB36D1" w:rsidRPr="00AE51EF">
        <w:rPr>
          <w:color w:val="000080"/>
        </w:rPr>
        <w:t xml:space="preserve">ultimately </w:t>
      </w:r>
      <w:r w:rsidR="001475BF" w:rsidRPr="00AE51EF">
        <w:rPr>
          <w:color w:val="000080"/>
        </w:rPr>
        <w:t xml:space="preserve">avoided </w:t>
      </w:r>
      <w:r w:rsidR="00A56DC5" w:rsidRPr="00AE51EF">
        <w:rPr>
          <w:color w:val="000080"/>
        </w:rPr>
        <w:t>by not engaging in that activity</w:t>
      </w:r>
      <w:r w:rsidR="00681599" w:rsidRPr="00AE51EF">
        <w:rPr>
          <w:color w:val="000080"/>
        </w:rPr>
        <w:t xml:space="preserve">.  Although the permanent service aggravation factor remains subject to debate, there is a significant element of unacknowledged </w:t>
      </w:r>
      <w:r w:rsidR="00A64B8D">
        <w:rPr>
          <w:color w:val="000080"/>
        </w:rPr>
        <w:t>existing p</w:t>
      </w:r>
      <w:r w:rsidR="00A64B8D" w:rsidRPr="00A64B8D">
        <w:rPr>
          <w:color w:val="000080"/>
        </w:rPr>
        <w:t xml:space="preserve">rior </w:t>
      </w:r>
      <w:r w:rsidR="00A64B8D">
        <w:rPr>
          <w:color w:val="000080"/>
        </w:rPr>
        <w:t>to s</w:t>
      </w:r>
      <w:r w:rsidR="00A64B8D" w:rsidRPr="00A64B8D">
        <w:rPr>
          <w:color w:val="000080"/>
        </w:rPr>
        <w:t>ervice</w:t>
      </w:r>
      <w:r w:rsidR="00A64B8D">
        <w:rPr>
          <w:color w:val="000080"/>
        </w:rPr>
        <w:t xml:space="preserve"> (</w:t>
      </w:r>
      <w:r w:rsidR="00681599" w:rsidRPr="00AE51EF">
        <w:rPr>
          <w:color w:val="000080"/>
        </w:rPr>
        <w:t>EPTS</w:t>
      </w:r>
      <w:r w:rsidR="00A64B8D">
        <w:rPr>
          <w:color w:val="000080"/>
        </w:rPr>
        <w:t>)</w:t>
      </w:r>
      <w:r w:rsidR="00681599" w:rsidRPr="00AE51EF">
        <w:rPr>
          <w:color w:val="000080"/>
        </w:rPr>
        <w:t xml:space="preserve"> contribution </w:t>
      </w:r>
      <w:r w:rsidR="00A56DC5" w:rsidRPr="00AE51EF">
        <w:rPr>
          <w:color w:val="000080"/>
        </w:rPr>
        <w:t>to</w:t>
      </w:r>
      <w:r w:rsidR="00681599" w:rsidRPr="00AE51EF">
        <w:rPr>
          <w:color w:val="000080"/>
        </w:rPr>
        <w:t xml:space="preserve"> this case.</w:t>
      </w:r>
      <w:r w:rsidR="001475BF" w:rsidRPr="00AE51EF">
        <w:rPr>
          <w:color w:val="000080"/>
        </w:rPr>
        <w:t xml:space="preserve">  Given the long length of Reserve </w:t>
      </w:r>
      <w:r w:rsidR="00222F86" w:rsidRPr="00AE51EF">
        <w:rPr>
          <w:color w:val="000080"/>
        </w:rPr>
        <w:t>service</w:t>
      </w:r>
      <w:r w:rsidR="001475BF" w:rsidRPr="00AE51EF">
        <w:rPr>
          <w:color w:val="000080"/>
        </w:rPr>
        <w:t xml:space="preserve"> before separation</w:t>
      </w:r>
      <w:r w:rsidR="00222F86" w:rsidRPr="00AE51EF">
        <w:rPr>
          <w:color w:val="000080"/>
        </w:rPr>
        <w:t xml:space="preserve">, </w:t>
      </w:r>
      <w:r w:rsidR="00CB36D1" w:rsidRPr="00AE51EF">
        <w:rPr>
          <w:color w:val="000080"/>
        </w:rPr>
        <w:t xml:space="preserve">the Action Officer opines that </w:t>
      </w:r>
      <w:r w:rsidR="00222F86" w:rsidRPr="00AE51EF">
        <w:rPr>
          <w:color w:val="000080"/>
        </w:rPr>
        <w:t xml:space="preserve">service aggravation should be conceded in favor of the CI.  </w:t>
      </w:r>
      <w:proofErr w:type="spellStart"/>
      <w:r w:rsidR="00A56DC5" w:rsidRPr="00AE51EF">
        <w:rPr>
          <w:color w:val="000080"/>
        </w:rPr>
        <w:t>DoDI</w:t>
      </w:r>
      <w:proofErr w:type="spellEnd"/>
      <w:r w:rsidR="00A56DC5" w:rsidRPr="00AE51EF">
        <w:rPr>
          <w:color w:val="000080"/>
        </w:rPr>
        <w:t xml:space="preserve"> 6040.44</w:t>
      </w:r>
      <w:r w:rsidR="001475BF" w:rsidRPr="00AE51EF">
        <w:rPr>
          <w:color w:val="000080"/>
        </w:rPr>
        <w:t xml:space="preserve">, </w:t>
      </w:r>
      <w:r w:rsidR="00CB36D1" w:rsidRPr="00AE51EF">
        <w:rPr>
          <w:color w:val="000080"/>
        </w:rPr>
        <w:t>furthermore</w:t>
      </w:r>
      <w:r w:rsidR="00A56DC5" w:rsidRPr="00AE51EF">
        <w:rPr>
          <w:color w:val="000080"/>
        </w:rPr>
        <w:t xml:space="preserve">, </w:t>
      </w:r>
      <w:r w:rsidR="00CB36D1" w:rsidRPr="00AE51EF">
        <w:rPr>
          <w:color w:val="000080"/>
        </w:rPr>
        <w:t xml:space="preserve">precludes a Board recommendation that would lower the combined disability rating in effect. </w:t>
      </w:r>
    </w:p>
    <w:p w:rsidR="003403F3" w:rsidRPr="00AE51EF" w:rsidRDefault="003403F3" w:rsidP="002C6E5B">
      <w:pPr>
        <w:tabs>
          <w:tab w:val="left" w:pos="288"/>
          <w:tab w:val="left" w:pos="4752"/>
        </w:tabs>
        <w:spacing w:line="240" w:lineRule="exact"/>
        <w:jc w:val="both"/>
        <w:rPr>
          <w:color w:val="000080"/>
        </w:rPr>
      </w:pPr>
    </w:p>
    <w:p w:rsidR="00CB36D1" w:rsidRPr="00AE51EF" w:rsidRDefault="00FA0460" w:rsidP="00AE51EF">
      <w:pPr>
        <w:tabs>
          <w:tab w:val="left" w:pos="288"/>
          <w:tab w:val="left" w:pos="4752"/>
        </w:tabs>
        <w:spacing w:line="240" w:lineRule="exact"/>
        <w:jc w:val="both"/>
        <w:rPr>
          <w:color w:val="000080"/>
        </w:rPr>
      </w:pPr>
      <w:r w:rsidRPr="00AE51EF">
        <w:rPr>
          <w:color w:val="000080"/>
          <w:u w:val="single"/>
        </w:rPr>
        <w:t>Back</w:t>
      </w:r>
      <w:r w:rsidR="002C6E5B" w:rsidRPr="00AE51EF">
        <w:rPr>
          <w:color w:val="000080"/>
          <w:u w:val="single"/>
        </w:rPr>
        <w:t xml:space="preserve"> Condition</w:t>
      </w:r>
      <w:r w:rsidR="002C6E5B" w:rsidRPr="00AE51EF">
        <w:rPr>
          <w:color w:val="000080"/>
        </w:rPr>
        <w:t>.  The</w:t>
      </w:r>
      <w:r w:rsidR="0011190A" w:rsidRPr="00AE51EF">
        <w:rPr>
          <w:color w:val="000080"/>
        </w:rPr>
        <w:t xml:space="preserve"> PEB’s DA </w:t>
      </w:r>
      <w:r w:rsidR="00A64B8D">
        <w:rPr>
          <w:color w:val="000080"/>
        </w:rPr>
        <w:t xml:space="preserve">Form </w:t>
      </w:r>
      <w:r w:rsidR="0011190A" w:rsidRPr="00AE51EF">
        <w:rPr>
          <w:color w:val="000080"/>
        </w:rPr>
        <w:t xml:space="preserve">199 invoked the USAPDA pain policy in reference to its rating determination for the back condition.  For its VASRD §4.71a derived rating recommendation, the Board has three goniometric range-of-motion (ROM) examinations in evidence.  Presumably because of an extended </w:t>
      </w:r>
      <w:r w:rsidR="0011190A" w:rsidRPr="00AE51EF">
        <w:rPr>
          <w:color w:val="000080"/>
        </w:rPr>
        <w:lastRenderedPageBreak/>
        <w:t xml:space="preserve">appeals process (the CI also appealed for continuance on active duty), there was a </w:t>
      </w:r>
      <w:r w:rsidR="00CD57EE" w:rsidRPr="00AE51EF">
        <w:rPr>
          <w:color w:val="000080"/>
        </w:rPr>
        <w:t xml:space="preserve">~1½ year delay between MEB examinations and separation.  The NARSUM defaulted to physical therapy (PT) goniometric measurements </w:t>
      </w:r>
      <w:r w:rsidR="00AB4545" w:rsidRPr="00AE51EF">
        <w:rPr>
          <w:color w:val="000080"/>
        </w:rPr>
        <w:t xml:space="preserve">regarding </w:t>
      </w:r>
      <w:proofErr w:type="spellStart"/>
      <w:r w:rsidR="00AB4545" w:rsidRPr="00AE51EF">
        <w:rPr>
          <w:color w:val="000080"/>
        </w:rPr>
        <w:t>thoracolumbar</w:t>
      </w:r>
      <w:proofErr w:type="spellEnd"/>
      <w:r w:rsidR="00CD57EE" w:rsidRPr="00AE51EF">
        <w:rPr>
          <w:color w:val="000080"/>
        </w:rPr>
        <w:t xml:space="preserve"> ROM</w:t>
      </w:r>
      <w:r w:rsidR="00AB4545" w:rsidRPr="00AE51EF">
        <w:rPr>
          <w:color w:val="000080"/>
        </w:rPr>
        <w:t xml:space="preserve"> in the physical exam</w:t>
      </w:r>
      <w:r w:rsidR="00CD57EE" w:rsidRPr="00AE51EF">
        <w:rPr>
          <w:color w:val="000080"/>
        </w:rPr>
        <w:t xml:space="preserve">.  A very comprehensive Functional Capacity Assessment (FCA) examination was performed soon afterwards.  This, however, followed </w:t>
      </w:r>
      <w:r w:rsidR="00A64B8D">
        <w:rPr>
          <w:color w:val="000080"/>
        </w:rPr>
        <w:t>American Medical Association (</w:t>
      </w:r>
      <w:r w:rsidR="00CD57EE" w:rsidRPr="00AE51EF">
        <w:rPr>
          <w:color w:val="000080"/>
        </w:rPr>
        <w:t>AMA</w:t>
      </w:r>
      <w:r w:rsidR="00A64B8D">
        <w:rPr>
          <w:color w:val="000080"/>
        </w:rPr>
        <w:t>)</w:t>
      </w:r>
      <w:r w:rsidR="00CD57EE" w:rsidRPr="00AE51EF">
        <w:rPr>
          <w:color w:val="000080"/>
        </w:rPr>
        <w:t xml:space="preserve"> impairment rating guidelines which do not include rotational measurements</w:t>
      </w:r>
      <w:r w:rsidR="005D2FD7" w:rsidRPr="00AE51EF">
        <w:rPr>
          <w:color w:val="000080"/>
        </w:rPr>
        <w:t xml:space="preserve"> and utilized an inclinometer instead of the VASRD-specified </w:t>
      </w:r>
      <w:proofErr w:type="spellStart"/>
      <w:r w:rsidR="005D2FD7" w:rsidRPr="00AE51EF">
        <w:rPr>
          <w:color w:val="000080"/>
        </w:rPr>
        <w:t>goniometer</w:t>
      </w:r>
      <w:proofErr w:type="spellEnd"/>
      <w:r w:rsidR="00CD57EE" w:rsidRPr="00AE51EF">
        <w:rPr>
          <w:color w:val="000080"/>
        </w:rPr>
        <w:t>.  The AMA-based spine rating was 13%</w:t>
      </w:r>
      <w:r w:rsidR="005D2FD7" w:rsidRPr="00AE51EF">
        <w:rPr>
          <w:color w:val="000080"/>
        </w:rPr>
        <w:t xml:space="preserve"> (flexion was 97% of norm)</w:t>
      </w:r>
      <w:r w:rsidR="00CD57EE" w:rsidRPr="00AE51EF">
        <w:rPr>
          <w:color w:val="000080"/>
        </w:rPr>
        <w:t xml:space="preserve">, but a VASRD-based rating cannot be derived from this examination.  The VA rating examination </w:t>
      </w:r>
      <w:r w:rsidR="00F5140F" w:rsidRPr="00AE51EF">
        <w:rPr>
          <w:color w:val="000080"/>
        </w:rPr>
        <w:t xml:space="preserve">carries a probative value advantage over the MEB evidence for proximity to separation (three months).  </w:t>
      </w:r>
      <w:r w:rsidR="005D2FD7" w:rsidRPr="00AE51EF">
        <w:rPr>
          <w:color w:val="000080"/>
        </w:rPr>
        <w:t xml:space="preserve">Pain was not specified as the end-point of the FCA measurements, but was for the PT and VA exams.  </w:t>
      </w:r>
      <w:r w:rsidR="00F5140F" w:rsidRPr="00AE51EF">
        <w:rPr>
          <w:color w:val="000080"/>
        </w:rPr>
        <w:t>All three examinations are summarized in the chart below.</w:t>
      </w:r>
    </w:p>
    <w:p w:rsidR="0011190A" w:rsidRPr="0011190A" w:rsidRDefault="0011190A" w:rsidP="0011190A">
      <w:pPr>
        <w:spacing w:line="240" w:lineRule="exact"/>
        <w:ind w:left="4320" w:firstLine="720"/>
        <w:rPr>
          <w:rFonts w:ascii="Calibri" w:eastAsia="Calibri" w:hAnsi="Calibri"/>
          <w:color w:val="002060"/>
          <w:sz w:val="22"/>
          <w:szCs w:val="22"/>
        </w:rPr>
      </w:pPr>
      <w:r>
        <w:rPr>
          <w:rFonts w:ascii="Calibri" w:eastAsia="Calibri" w:hAnsi="Calibri"/>
          <w:color w:val="002060"/>
        </w:rPr>
        <w:t xml:space="preserve">       </w:t>
      </w:r>
      <w:r w:rsidRPr="0011190A">
        <w:rPr>
          <w:rFonts w:ascii="Calibri" w:eastAsia="Calibri" w:hAnsi="Calibri"/>
          <w:color w:val="002060"/>
          <w:sz w:val="22"/>
          <w:szCs w:val="22"/>
        </w:rPr>
        <w:t>Separation ↓10/09/05</w:t>
      </w:r>
    </w:p>
    <w:tbl>
      <w:tblPr>
        <w:tblW w:w="7466"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616"/>
        <w:gridCol w:w="1710"/>
        <w:gridCol w:w="1980"/>
      </w:tblGrid>
      <w:tr w:rsidR="00560D57" w:rsidRPr="007862B0" w:rsidTr="00384866">
        <w:tc>
          <w:tcPr>
            <w:tcW w:w="2160" w:type="dxa"/>
            <w:shd w:val="clear" w:color="auto" w:fill="C6D9F1" w:themeFill="text2" w:themeFillTint="33"/>
          </w:tcPr>
          <w:p w:rsidR="00560D57" w:rsidRPr="00F81C35" w:rsidRDefault="00560D57" w:rsidP="00164E08">
            <w:pPr>
              <w:pStyle w:val="ListParagraph"/>
              <w:spacing w:after="0" w:line="240" w:lineRule="exact"/>
              <w:ind w:left="0"/>
              <w:jc w:val="center"/>
              <w:rPr>
                <w:rFonts w:ascii="Calibri" w:eastAsia="Calibri" w:hAnsi="Calibri" w:cs="Times New Roman"/>
                <w:color w:val="002060"/>
              </w:rPr>
            </w:pPr>
            <w:proofErr w:type="spellStart"/>
            <w:r w:rsidRPr="00F81C35">
              <w:rPr>
                <w:rFonts w:ascii="Calibri" w:eastAsia="Calibri" w:hAnsi="Calibri" w:cs="Times New Roman"/>
                <w:color w:val="002060"/>
              </w:rPr>
              <w:t>Thoracolumbar</w:t>
            </w:r>
            <w:proofErr w:type="spellEnd"/>
            <w:r w:rsidRPr="00F81C35">
              <w:rPr>
                <w:rFonts w:ascii="Calibri" w:eastAsia="Calibri" w:hAnsi="Calibri" w:cs="Times New Roman"/>
                <w:color w:val="002060"/>
              </w:rPr>
              <w:t xml:space="preserve"> ROM</w:t>
            </w:r>
          </w:p>
        </w:tc>
        <w:tc>
          <w:tcPr>
            <w:tcW w:w="1616" w:type="dxa"/>
            <w:shd w:val="clear" w:color="auto" w:fill="C6D9F1" w:themeFill="text2" w:themeFillTint="33"/>
          </w:tcPr>
          <w:p w:rsidR="00560D57" w:rsidRPr="00F81C35" w:rsidRDefault="00CD57EE" w:rsidP="0079672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PT</w:t>
            </w:r>
            <w:r w:rsidR="00560D57" w:rsidRPr="00F81C35">
              <w:rPr>
                <w:rFonts w:ascii="Calibri" w:eastAsia="Calibri" w:hAnsi="Calibri" w:cs="Times New Roman"/>
                <w:color w:val="002060"/>
              </w:rPr>
              <w:t xml:space="preserve"> –</w:t>
            </w:r>
            <w:r w:rsidR="00796727">
              <w:rPr>
                <w:rFonts w:ascii="Calibri" w:eastAsia="Calibri" w:hAnsi="Calibri" w:cs="Times New Roman"/>
                <w:color w:val="002060"/>
              </w:rPr>
              <w:t xml:space="preserve"> 4/22/04</w:t>
            </w:r>
          </w:p>
        </w:tc>
        <w:tc>
          <w:tcPr>
            <w:tcW w:w="1710" w:type="dxa"/>
            <w:shd w:val="clear" w:color="auto" w:fill="C6D9F1" w:themeFill="text2" w:themeFillTint="33"/>
          </w:tcPr>
          <w:p w:rsidR="00560D57" w:rsidRPr="00F81C35" w:rsidRDefault="00796727" w:rsidP="001D1065">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 xml:space="preserve">FCA </w:t>
            </w:r>
            <w:r w:rsidR="001D1065">
              <w:rPr>
                <w:rFonts w:ascii="Calibri" w:eastAsia="Calibri" w:hAnsi="Calibri" w:cs="Times New Roman"/>
                <w:color w:val="002060"/>
              </w:rPr>
              <w:t>–</w:t>
            </w:r>
            <w:r w:rsidR="00560D57" w:rsidRPr="00F81C35">
              <w:rPr>
                <w:rFonts w:ascii="Calibri" w:eastAsia="Calibri" w:hAnsi="Calibri" w:cs="Times New Roman"/>
                <w:color w:val="002060"/>
              </w:rPr>
              <w:t xml:space="preserve"> </w:t>
            </w:r>
            <w:r w:rsidR="001D1065">
              <w:rPr>
                <w:rFonts w:ascii="Calibri" w:eastAsia="Calibri" w:hAnsi="Calibri" w:cs="Times New Roman"/>
                <w:color w:val="002060"/>
              </w:rPr>
              <w:t>5/7/04</w:t>
            </w:r>
          </w:p>
        </w:tc>
        <w:tc>
          <w:tcPr>
            <w:tcW w:w="1980" w:type="dxa"/>
            <w:shd w:val="clear" w:color="auto" w:fill="C6D9F1" w:themeFill="text2" w:themeFillTint="33"/>
          </w:tcPr>
          <w:p w:rsidR="00560D57" w:rsidRPr="00F81C35" w:rsidRDefault="00560D57" w:rsidP="001D1065">
            <w:pPr>
              <w:pStyle w:val="ListParagraph"/>
              <w:spacing w:after="0" w:line="240" w:lineRule="exact"/>
              <w:ind w:left="0"/>
              <w:jc w:val="center"/>
              <w:rPr>
                <w:rFonts w:ascii="Calibri" w:hAnsi="Calibri"/>
                <w:color w:val="002060"/>
              </w:rPr>
            </w:pPr>
            <w:r w:rsidRPr="00F81C35">
              <w:rPr>
                <w:rFonts w:ascii="Calibri" w:eastAsia="Calibri" w:hAnsi="Calibri" w:cs="Times New Roman"/>
                <w:color w:val="002060"/>
              </w:rPr>
              <w:t>VA</w:t>
            </w:r>
            <w:r w:rsidRPr="00F81C35">
              <w:rPr>
                <w:rFonts w:ascii="Calibri" w:hAnsi="Calibri"/>
                <w:color w:val="002060"/>
              </w:rPr>
              <w:t xml:space="preserve"> C&amp;P </w:t>
            </w:r>
            <w:r w:rsidR="001D1065">
              <w:rPr>
                <w:rFonts w:ascii="Calibri" w:hAnsi="Calibri"/>
                <w:color w:val="002060"/>
              </w:rPr>
              <w:t>–</w:t>
            </w:r>
            <w:r w:rsidRPr="00F81C35">
              <w:rPr>
                <w:rFonts w:ascii="Calibri" w:hAnsi="Calibri"/>
                <w:color w:val="002060"/>
              </w:rPr>
              <w:t xml:space="preserve"> </w:t>
            </w:r>
            <w:r w:rsidR="001D1065">
              <w:rPr>
                <w:rFonts w:ascii="Calibri" w:eastAsia="Calibri" w:hAnsi="Calibri" w:cs="Times New Roman"/>
                <w:color w:val="002060"/>
              </w:rPr>
              <w:t>1/22/06</w:t>
            </w:r>
          </w:p>
        </w:tc>
      </w:tr>
      <w:tr w:rsidR="00560D57" w:rsidRPr="00140096" w:rsidTr="00384866">
        <w:tc>
          <w:tcPr>
            <w:tcW w:w="2160" w:type="dxa"/>
          </w:tcPr>
          <w:p w:rsidR="00560D57" w:rsidRPr="00F81C35" w:rsidRDefault="00560D57" w:rsidP="00164E08">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Flexion</w:t>
            </w:r>
          </w:p>
        </w:tc>
        <w:tc>
          <w:tcPr>
            <w:tcW w:w="1616" w:type="dxa"/>
          </w:tcPr>
          <w:p w:rsidR="00560D57" w:rsidRPr="00F81C35" w:rsidRDefault="001D1065"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3</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710" w:type="dxa"/>
          </w:tcPr>
          <w:p w:rsidR="00560D57" w:rsidRPr="00F81C35" w:rsidRDefault="001D1065"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58</w:t>
            </w:r>
            <w:r w:rsidR="00560D57" w:rsidRPr="00F81C35">
              <w:rPr>
                <w:rFonts w:ascii="Calibri" w:eastAsia="Calibri" w:hAnsi="Calibri" w:cs="Times New Roman"/>
                <w:color w:val="002060"/>
              </w:rPr>
              <w:t>⁰</w:t>
            </w:r>
          </w:p>
        </w:tc>
        <w:tc>
          <w:tcPr>
            <w:tcW w:w="1980" w:type="dxa"/>
          </w:tcPr>
          <w:p w:rsidR="00560D57" w:rsidRPr="00F81C35" w:rsidRDefault="001D1065"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15</w:t>
            </w:r>
            <w:r w:rsidR="00560D57" w:rsidRPr="00F81C35">
              <w:rPr>
                <w:rFonts w:ascii="Calibri" w:eastAsia="Calibri" w:hAnsi="Calibri" w:cs="Times New Roman"/>
                <w:color w:val="002060"/>
              </w:rPr>
              <w:t>⁰</w:t>
            </w:r>
          </w:p>
        </w:tc>
      </w:tr>
      <w:tr w:rsidR="00560D57" w:rsidRPr="00D340CE" w:rsidTr="00384866">
        <w:tc>
          <w:tcPr>
            <w:tcW w:w="2160" w:type="dxa"/>
          </w:tcPr>
          <w:p w:rsidR="00560D57" w:rsidRPr="00F81C35" w:rsidRDefault="00560D57" w:rsidP="00164E08">
            <w:pPr>
              <w:pStyle w:val="ListParagraph"/>
              <w:spacing w:after="0" w:line="240" w:lineRule="exact"/>
              <w:ind w:left="0"/>
              <w:rPr>
                <w:rFonts w:ascii="Calibri" w:eastAsia="Calibri" w:hAnsi="Calibri" w:cs="Times New Roman"/>
                <w:color w:val="002060"/>
              </w:rPr>
            </w:pPr>
            <w:r w:rsidRPr="00F81C35">
              <w:rPr>
                <w:rFonts w:ascii="Calibri" w:eastAsia="Calibri" w:hAnsi="Calibri" w:cs="Times New Roman"/>
                <w:color w:val="002060"/>
              </w:rPr>
              <w:t>Combined</w:t>
            </w:r>
          </w:p>
        </w:tc>
        <w:tc>
          <w:tcPr>
            <w:tcW w:w="1616" w:type="dxa"/>
          </w:tcPr>
          <w:p w:rsidR="00560D57" w:rsidRPr="00F81C35" w:rsidRDefault="001D1065"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8</w:t>
            </w:r>
            <w:r w:rsidR="00384866" w:rsidRPr="00F81C35">
              <w:rPr>
                <w:rFonts w:ascii="Calibri" w:eastAsia="Calibri" w:hAnsi="Calibri" w:cs="Times New Roman"/>
                <w:color w:val="002060"/>
              </w:rPr>
              <w:t>0</w:t>
            </w:r>
            <w:r w:rsidR="00560D57" w:rsidRPr="00F81C35">
              <w:rPr>
                <w:rFonts w:ascii="Calibri" w:eastAsia="Calibri" w:hAnsi="Calibri" w:cs="Times New Roman"/>
                <w:color w:val="002060"/>
              </w:rPr>
              <w:t>⁰</w:t>
            </w:r>
          </w:p>
        </w:tc>
        <w:tc>
          <w:tcPr>
            <w:tcW w:w="1710" w:type="dxa"/>
          </w:tcPr>
          <w:p w:rsidR="00560D57" w:rsidRPr="00F81C35" w:rsidRDefault="001D1065" w:rsidP="00560D57">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Incomplete</w:t>
            </w:r>
            <w:r w:rsidR="00560D57" w:rsidRPr="00F81C35">
              <w:rPr>
                <w:rFonts w:ascii="Calibri" w:eastAsia="Calibri" w:hAnsi="Calibri" w:cs="Times New Roman"/>
                <w:color w:val="002060"/>
              </w:rPr>
              <w:t xml:space="preserve"> </w:t>
            </w:r>
          </w:p>
        </w:tc>
        <w:tc>
          <w:tcPr>
            <w:tcW w:w="1980" w:type="dxa"/>
          </w:tcPr>
          <w:p w:rsidR="00560D57" w:rsidRPr="00F81C35" w:rsidRDefault="00CD57EE" w:rsidP="00164E08">
            <w:pPr>
              <w:pStyle w:val="ListParagraph"/>
              <w:spacing w:after="0" w:line="240" w:lineRule="exact"/>
              <w:ind w:left="0"/>
              <w:jc w:val="center"/>
              <w:rPr>
                <w:rFonts w:ascii="Calibri" w:eastAsia="Calibri" w:hAnsi="Calibri" w:cs="Times New Roman"/>
                <w:color w:val="002060"/>
              </w:rPr>
            </w:pPr>
            <w:r>
              <w:rPr>
                <w:rFonts w:ascii="Calibri" w:eastAsia="Calibri" w:hAnsi="Calibri" w:cs="Times New Roman"/>
                <w:color w:val="002060"/>
              </w:rPr>
              <w:t>45</w:t>
            </w:r>
            <w:r w:rsidR="00560D57" w:rsidRPr="00F81C35">
              <w:rPr>
                <w:rFonts w:ascii="Calibri" w:eastAsia="Calibri" w:hAnsi="Calibri" w:cs="Times New Roman"/>
                <w:color w:val="002060"/>
              </w:rPr>
              <w:t>⁰</w:t>
            </w:r>
          </w:p>
        </w:tc>
      </w:tr>
      <w:tr w:rsidR="00194930" w:rsidRPr="004E0248" w:rsidTr="00384866">
        <w:tc>
          <w:tcPr>
            <w:tcW w:w="2160" w:type="dxa"/>
          </w:tcPr>
          <w:p w:rsidR="00194930" w:rsidRPr="00F81C35" w:rsidRDefault="00194930" w:rsidP="004E0248">
            <w:pPr>
              <w:tabs>
                <w:tab w:val="left" w:pos="288"/>
                <w:tab w:val="left" w:pos="4752"/>
              </w:tabs>
              <w:spacing w:line="240" w:lineRule="exact"/>
              <w:rPr>
                <w:rFonts w:asciiTheme="minorHAnsi" w:eastAsiaTheme="minorHAnsi" w:hAnsiTheme="minorHAnsi"/>
                <w:color w:val="002060"/>
                <w:sz w:val="22"/>
                <w:szCs w:val="22"/>
              </w:rPr>
            </w:pPr>
            <w:r w:rsidRPr="00F81C35">
              <w:rPr>
                <w:rFonts w:asciiTheme="minorHAnsi" w:eastAsiaTheme="minorHAnsi" w:hAnsiTheme="minorHAnsi"/>
                <w:color w:val="002060"/>
                <w:sz w:val="22"/>
                <w:szCs w:val="22"/>
              </w:rPr>
              <w:t>§4.71a Rating</w:t>
            </w:r>
          </w:p>
        </w:tc>
        <w:tc>
          <w:tcPr>
            <w:tcW w:w="1616" w:type="dxa"/>
          </w:tcPr>
          <w:p w:rsidR="00194930" w:rsidRPr="00F81C35" w:rsidRDefault="001D1065"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4</w:t>
            </w:r>
            <w:r w:rsidR="00384866" w:rsidRPr="00F81C35">
              <w:rPr>
                <w:rFonts w:asciiTheme="minorHAnsi" w:eastAsiaTheme="minorHAnsi" w:hAnsiTheme="minorHAnsi"/>
                <w:color w:val="002060"/>
                <w:sz w:val="22"/>
                <w:szCs w:val="22"/>
              </w:rPr>
              <w:t>0</w:t>
            </w:r>
            <w:r w:rsidR="00194930" w:rsidRPr="00F81C35">
              <w:rPr>
                <w:rFonts w:asciiTheme="minorHAnsi" w:eastAsiaTheme="minorHAnsi" w:hAnsiTheme="minorHAnsi"/>
                <w:color w:val="002060"/>
                <w:sz w:val="22"/>
                <w:szCs w:val="22"/>
              </w:rPr>
              <w:t>%</w:t>
            </w:r>
          </w:p>
        </w:tc>
        <w:tc>
          <w:tcPr>
            <w:tcW w:w="1710" w:type="dxa"/>
          </w:tcPr>
          <w:p w:rsidR="00194930" w:rsidRPr="00F81C35" w:rsidRDefault="001D1065"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2</w:t>
            </w:r>
            <w:r w:rsidR="00194930" w:rsidRPr="00F81C35">
              <w:rPr>
                <w:rFonts w:asciiTheme="minorHAnsi" w:eastAsiaTheme="minorHAnsi" w:hAnsiTheme="minorHAnsi"/>
                <w:color w:val="002060"/>
                <w:sz w:val="22"/>
                <w:szCs w:val="22"/>
              </w:rPr>
              <w:t>0%</w:t>
            </w:r>
            <w:r>
              <w:rPr>
                <w:rFonts w:asciiTheme="minorHAnsi" w:eastAsiaTheme="minorHAnsi" w:hAnsiTheme="minorHAnsi"/>
                <w:color w:val="002060"/>
                <w:sz w:val="22"/>
                <w:szCs w:val="22"/>
              </w:rPr>
              <w:t>*</w:t>
            </w:r>
          </w:p>
        </w:tc>
        <w:tc>
          <w:tcPr>
            <w:tcW w:w="1980" w:type="dxa"/>
          </w:tcPr>
          <w:p w:rsidR="00194930" w:rsidRPr="00F81C35" w:rsidRDefault="00F5140F" w:rsidP="004E0248">
            <w:pPr>
              <w:tabs>
                <w:tab w:val="left" w:pos="288"/>
                <w:tab w:val="left" w:pos="4752"/>
              </w:tabs>
              <w:spacing w:line="240" w:lineRule="exact"/>
              <w:jc w:val="center"/>
              <w:rPr>
                <w:rFonts w:asciiTheme="minorHAnsi" w:eastAsiaTheme="minorHAnsi" w:hAnsiTheme="minorHAnsi"/>
                <w:color w:val="002060"/>
                <w:sz w:val="22"/>
                <w:szCs w:val="22"/>
              </w:rPr>
            </w:pPr>
            <w:r>
              <w:rPr>
                <w:rFonts w:asciiTheme="minorHAnsi" w:eastAsiaTheme="minorHAnsi" w:hAnsiTheme="minorHAnsi"/>
                <w:color w:val="002060"/>
                <w:sz w:val="22"/>
                <w:szCs w:val="22"/>
              </w:rPr>
              <w:t>40</w:t>
            </w:r>
            <w:r w:rsidR="00194930" w:rsidRPr="00F81C35">
              <w:rPr>
                <w:rFonts w:asciiTheme="minorHAnsi" w:eastAsiaTheme="minorHAnsi" w:hAnsiTheme="minorHAnsi"/>
                <w:color w:val="002060"/>
                <w:sz w:val="22"/>
                <w:szCs w:val="22"/>
              </w:rPr>
              <w:t>%</w:t>
            </w:r>
          </w:p>
        </w:tc>
      </w:tr>
    </w:tbl>
    <w:p w:rsidR="00560D57" w:rsidRPr="00D67066" w:rsidRDefault="00D67066" w:rsidP="00D67066">
      <w:pPr>
        <w:pStyle w:val="ListParagraph"/>
        <w:spacing w:after="0" w:line="240" w:lineRule="exact"/>
        <w:ind w:left="0"/>
        <w:rPr>
          <w:rFonts w:ascii="Calibri" w:eastAsia="Calibri" w:hAnsi="Calibri" w:cs="Times New Roman"/>
          <w:color w:val="002060"/>
        </w:rPr>
      </w:pPr>
      <w:r>
        <w:rPr>
          <w:rFonts w:ascii="Calibri" w:eastAsia="Calibri" w:hAnsi="Calibri"/>
          <w:color w:val="002060"/>
        </w:rPr>
        <w:t xml:space="preserve">      </w:t>
      </w:r>
      <w:r>
        <w:rPr>
          <w:rFonts w:ascii="Calibri" w:eastAsia="Calibri" w:hAnsi="Calibri"/>
          <w:color w:val="002060"/>
        </w:rPr>
        <w:tab/>
        <w:t xml:space="preserve">       </w:t>
      </w:r>
      <w:r>
        <w:rPr>
          <w:rFonts w:ascii="Calibri" w:eastAsia="Calibri" w:hAnsi="Calibri"/>
          <w:color w:val="002060"/>
        </w:rPr>
        <w:tab/>
      </w:r>
      <w:r>
        <w:rPr>
          <w:rFonts w:ascii="Calibri" w:eastAsia="Calibri" w:hAnsi="Calibri"/>
          <w:color w:val="002060"/>
        </w:rPr>
        <w:tab/>
      </w:r>
      <w:r>
        <w:rPr>
          <w:rFonts w:ascii="Calibri" w:eastAsia="Calibri" w:hAnsi="Calibri"/>
          <w:color w:val="002060"/>
        </w:rPr>
        <w:tab/>
      </w:r>
      <w:r>
        <w:rPr>
          <w:rFonts w:ascii="Calibri" w:eastAsia="Calibri" w:hAnsi="Calibri"/>
          <w:color w:val="002060"/>
        </w:rPr>
        <w:tab/>
        <w:t xml:space="preserve">             </w:t>
      </w:r>
      <w:r w:rsidR="0011190A">
        <w:rPr>
          <w:rFonts w:ascii="Calibri" w:eastAsia="Calibri" w:hAnsi="Calibri"/>
          <w:color w:val="002060"/>
        </w:rPr>
        <w:tab/>
        <w:t xml:space="preserve">       </w:t>
      </w:r>
      <w:r w:rsidR="001D1065" w:rsidRPr="00D67066">
        <w:rPr>
          <w:rFonts w:ascii="Calibri" w:eastAsia="Calibri" w:hAnsi="Calibri" w:cs="Times New Roman"/>
          <w:color w:val="002060"/>
        </w:rPr>
        <w:t>*Exam not IAW VASRD.</w:t>
      </w:r>
      <w:r>
        <w:rPr>
          <w:rFonts w:ascii="Calibri" w:eastAsia="Calibri" w:hAnsi="Calibri" w:cs="Times New Roman"/>
          <w:color w:val="002060"/>
        </w:rPr>
        <w:t xml:space="preserve">  </w:t>
      </w:r>
    </w:p>
    <w:p w:rsidR="00D67066" w:rsidRPr="00EF01D5" w:rsidRDefault="00D67066" w:rsidP="002C6E5B">
      <w:pPr>
        <w:tabs>
          <w:tab w:val="left" w:pos="288"/>
          <w:tab w:val="left" w:pos="4752"/>
        </w:tabs>
        <w:spacing w:line="240" w:lineRule="exact"/>
        <w:rPr>
          <w:rFonts w:asciiTheme="minorHAnsi" w:hAnsiTheme="minorHAnsi"/>
          <w:color w:val="auto"/>
          <w:szCs w:val="24"/>
        </w:rPr>
      </w:pPr>
    </w:p>
    <w:p w:rsidR="00F5140F" w:rsidRPr="00AE51EF" w:rsidRDefault="00EF01D5" w:rsidP="00AE51EF">
      <w:pPr>
        <w:tabs>
          <w:tab w:val="left" w:pos="288"/>
          <w:tab w:val="left" w:pos="4752"/>
        </w:tabs>
        <w:spacing w:line="240" w:lineRule="exact"/>
        <w:jc w:val="both"/>
        <w:rPr>
          <w:color w:val="000080"/>
        </w:rPr>
      </w:pPr>
      <w:r w:rsidRPr="00AE51EF">
        <w:rPr>
          <w:color w:val="000080"/>
        </w:rPr>
        <w:t xml:space="preserve">Given this data set, the Board’s rating recommendation IAW VASRD §4.71a is logically 40%.  The VA coding, 5242 for degenerative arthritis of the spine, is a good match with the pathology.  Reasonable doubt is resolved in favor of the CI, therefore, </w:t>
      </w:r>
      <w:r w:rsidR="00F1481F" w:rsidRPr="00AE51EF">
        <w:rPr>
          <w:color w:val="000080"/>
        </w:rPr>
        <w:t xml:space="preserve">in rendering a recommendation for a 40% rating under 5242 for the </w:t>
      </w:r>
      <w:proofErr w:type="spellStart"/>
      <w:r w:rsidR="00F1481F" w:rsidRPr="00AE51EF">
        <w:rPr>
          <w:color w:val="000080"/>
        </w:rPr>
        <w:t>thoracolumbar</w:t>
      </w:r>
      <w:proofErr w:type="spellEnd"/>
      <w:r w:rsidR="00F1481F" w:rsidRPr="00AE51EF">
        <w:rPr>
          <w:color w:val="000080"/>
        </w:rPr>
        <w:t xml:space="preserve"> condition.</w:t>
      </w:r>
    </w:p>
    <w:p w:rsidR="00F1481F" w:rsidRDefault="00F1481F" w:rsidP="002C6E5B">
      <w:pPr>
        <w:tabs>
          <w:tab w:val="left" w:pos="288"/>
          <w:tab w:val="left" w:pos="4752"/>
        </w:tabs>
        <w:spacing w:line="240" w:lineRule="exact"/>
        <w:rPr>
          <w:rFonts w:asciiTheme="minorHAnsi" w:hAnsiTheme="minorHAnsi"/>
          <w:color w:val="auto"/>
          <w:szCs w:val="24"/>
        </w:rPr>
      </w:pPr>
    </w:p>
    <w:p w:rsidR="00F26432" w:rsidRPr="00AE51EF" w:rsidRDefault="002C6E5B" w:rsidP="00AE51EF">
      <w:pPr>
        <w:tabs>
          <w:tab w:val="left" w:pos="288"/>
          <w:tab w:val="left" w:pos="4752"/>
        </w:tabs>
        <w:spacing w:line="240" w:lineRule="exact"/>
        <w:jc w:val="both"/>
        <w:rPr>
          <w:color w:val="000080"/>
        </w:rPr>
      </w:pPr>
      <w:proofErr w:type="gramStart"/>
      <w:r w:rsidRPr="00AE51EF">
        <w:rPr>
          <w:color w:val="000080"/>
          <w:u w:val="single"/>
        </w:rPr>
        <w:t>Other Conditions</w:t>
      </w:r>
      <w:r w:rsidRPr="00AE51EF">
        <w:rPr>
          <w:color w:val="000080"/>
        </w:rPr>
        <w:t>.</w:t>
      </w:r>
      <w:proofErr w:type="gramEnd"/>
      <w:r w:rsidRPr="00AE51EF">
        <w:rPr>
          <w:color w:val="000080"/>
        </w:rPr>
        <w:t xml:space="preserve">  </w:t>
      </w:r>
      <w:r w:rsidR="00A64A9D" w:rsidRPr="00AE51EF">
        <w:rPr>
          <w:color w:val="000080"/>
        </w:rPr>
        <w:t xml:space="preserve">As noted in the summary, the NARSUM formally addressed hypertension, </w:t>
      </w:r>
      <w:proofErr w:type="spellStart"/>
      <w:r w:rsidR="00A64A9D" w:rsidRPr="00AE51EF">
        <w:rPr>
          <w:color w:val="000080"/>
        </w:rPr>
        <w:t>hyperlipidemia</w:t>
      </w:r>
      <w:proofErr w:type="spellEnd"/>
      <w:r w:rsidR="00A64A9D" w:rsidRPr="00AE51EF">
        <w:rPr>
          <w:color w:val="000080"/>
        </w:rPr>
        <w:t xml:space="preserve"> and bilateral hearing loss as conditions meeting AR 40-501 retention standards.  Such conditions are generally included on the DA </w:t>
      </w:r>
      <w:r w:rsidR="00A64B8D">
        <w:rPr>
          <w:color w:val="000080"/>
        </w:rPr>
        <w:t xml:space="preserve">Form </w:t>
      </w:r>
      <w:r w:rsidR="00A64A9D" w:rsidRPr="00AE51EF">
        <w:rPr>
          <w:color w:val="000080"/>
        </w:rPr>
        <w:t xml:space="preserve">3947 and specifically adjudicated for fitness by the PEB.  There is nothing to suggest that a formal PEB adjudication would have been other than not unfitting for any of these, however.  Hypertension and </w:t>
      </w:r>
      <w:proofErr w:type="spellStart"/>
      <w:r w:rsidR="00A64A9D" w:rsidRPr="00AE51EF">
        <w:rPr>
          <w:color w:val="000080"/>
        </w:rPr>
        <w:t>hyperlipidemia</w:t>
      </w:r>
      <w:proofErr w:type="spellEnd"/>
      <w:r w:rsidR="00A64A9D" w:rsidRPr="00AE51EF">
        <w:rPr>
          <w:color w:val="000080"/>
        </w:rPr>
        <w:t xml:space="preserve"> were chronic, stable and asymptomatic.  Neither is relevant for Board consideration as unfitting.  The hearing loss was associated with the need for hearing aids and an H2 profile.  </w:t>
      </w:r>
      <w:r w:rsidR="00243190" w:rsidRPr="00AE51EF">
        <w:rPr>
          <w:color w:val="000080"/>
        </w:rPr>
        <w:t>T</w:t>
      </w:r>
      <w:r w:rsidR="00A64A9D" w:rsidRPr="00AE51EF">
        <w:rPr>
          <w:color w:val="000080"/>
        </w:rPr>
        <w:t>he Commander’s statement cited the hearing loss, noting that the CI ‘could possibly miss critical orders</w:t>
      </w:r>
      <w:r w:rsidR="00243190" w:rsidRPr="00AE51EF">
        <w:rPr>
          <w:color w:val="000080"/>
        </w:rPr>
        <w:t xml:space="preserve">’.  This conclusion is unduly speculative, however, as a basis for Board recommendation as additionally unfitting.  Furthermore the VASRD §4.87 rating for the hearing loss was not compensable.  The NARSUM also documented a right knee condition.  </w:t>
      </w:r>
      <w:r w:rsidR="006A0781" w:rsidRPr="00AE51EF">
        <w:rPr>
          <w:color w:val="000080"/>
        </w:rPr>
        <w:t xml:space="preserve">There is no evidence that it was under active treatment at the time of separation and it was not service connected by the VA.  It was also not profiled or noted in the Commander’s statement.  In his appeal for reconsideration, the CI noted that he suffered from depression, </w:t>
      </w:r>
      <w:proofErr w:type="spellStart"/>
      <w:r w:rsidR="006A0781" w:rsidRPr="00AE51EF">
        <w:rPr>
          <w:color w:val="000080"/>
        </w:rPr>
        <w:t>gastroesophageal</w:t>
      </w:r>
      <w:proofErr w:type="spellEnd"/>
      <w:r w:rsidR="006A0781" w:rsidRPr="00AE51EF">
        <w:rPr>
          <w:color w:val="000080"/>
        </w:rPr>
        <w:t xml:space="preserve"> reflux disease (GERD) and various </w:t>
      </w:r>
      <w:proofErr w:type="spellStart"/>
      <w:r w:rsidR="006A0781" w:rsidRPr="00AE51EF">
        <w:rPr>
          <w:color w:val="000080"/>
        </w:rPr>
        <w:t>arthridities</w:t>
      </w:r>
      <w:proofErr w:type="spellEnd"/>
      <w:r w:rsidR="006A0781" w:rsidRPr="00AE51EF">
        <w:rPr>
          <w:color w:val="000080"/>
        </w:rPr>
        <w:t xml:space="preserve"> as a consequence </w:t>
      </w:r>
      <w:r w:rsidR="006A0781" w:rsidRPr="00AE51EF">
        <w:rPr>
          <w:color w:val="000080"/>
        </w:rPr>
        <w:lastRenderedPageBreak/>
        <w:t xml:space="preserve">of his unfitting back condition (GERD </w:t>
      </w:r>
      <w:r w:rsidR="00DB40A5" w:rsidRPr="00AE51EF">
        <w:rPr>
          <w:color w:val="000080"/>
        </w:rPr>
        <w:t>linked to</w:t>
      </w:r>
      <w:r w:rsidR="006A0781" w:rsidRPr="00AE51EF">
        <w:rPr>
          <w:color w:val="000080"/>
        </w:rPr>
        <w:t xml:space="preserve"> anti-</w:t>
      </w:r>
      <w:proofErr w:type="spellStart"/>
      <w:r w:rsidR="006A0781" w:rsidRPr="00AE51EF">
        <w:rPr>
          <w:color w:val="000080"/>
        </w:rPr>
        <w:t>inflammatories</w:t>
      </w:r>
      <w:proofErr w:type="spellEnd"/>
      <w:r w:rsidR="00DB40A5" w:rsidRPr="00AE51EF">
        <w:rPr>
          <w:color w:val="000080"/>
        </w:rPr>
        <w:t xml:space="preserve"> for back pain</w:t>
      </w:r>
      <w:r w:rsidR="006A0781" w:rsidRPr="00AE51EF">
        <w:rPr>
          <w:color w:val="000080"/>
        </w:rPr>
        <w:t>).</w:t>
      </w:r>
      <w:r w:rsidR="00212407" w:rsidRPr="00AE51EF">
        <w:rPr>
          <w:color w:val="000080"/>
        </w:rPr>
        <w:t xml:space="preserve">  Whether or not related to the back condition, any of these conditions would need to be in themselves unfitting for the Board to recommend them for additional rating.</w:t>
      </w:r>
      <w:r w:rsidR="00997D12" w:rsidRPr="00AE51EF">
        <w:rPr>
          <w:color w:val="000080"/>
        </w:rPr>
        <w:t xml:space="preserve">  Although the CI eventually obtained a 100% rating from the VA for depression, the claim was </w:t>
      </w:r>
      <w:r w:rsidR="00AD592A" w:rsidRPr="00AE51EF">
        <w:rPr>
          <w:color w:val="000080"/>
        </w:rPr>
        <w:t xml:space="preserve">initially </w:t>
      </w:r>
      <w:r w:rsidR="00997D12" w:rsidRPr="00AE51EF">
        <w:rPr>
          <w:color w:val="000080"/>
        </w:rPr>
        <w:t>denied on the basis of his post-separation evaluation.  That rating decision stated, ‘Your service medical records do not show any treatment for or diagnosis of depression while in service.’  His physical profile was S1.  The Commander’s statement made no mention of psychiatric disorder or impaired mental performance.  Neither GERD nor any of the other conditions noted in the appeal</w:t>
      </w:r>
      <w:r w:rsidR="00AD592A" w:rsidRPr="00AE51EF">
        <w:rPr>
          <w:color w:val="000080"/>
        </w:rPr>
        <w:t xml:space="preserve"> were service connected by the VA.  There is no evidence that any of them were clinically active during the MEB and none were covered by the physical profile or Commander’s statement.  In the MEB physical and in a letter from his civilian physician submitted to the PEB, a recently diagnosed </w:t>
      </w:r>
      <w:proofErr w:type="spellStart"/>
      <w:r w:rsidR="00AD592A" w:rsidRPr="00AE51EF">
        <w:rPr>
          <w:color w:val="000080"/>
        </w:rPr>
        <w:t>neurocranial</w:t>
      </w:r>
      <w:proofErr w:type="spellEnd"/>
      <w:r w:rsidR="00AD592A" w:rsidRPr="00AE51EF">
        <w:rPr>
          <w:color w:val="000080"/>
        </w:rPr>
        <w:t xml:space="preserve"> condition was elaborated.  There were MRI abnormalities and a ‘working diagnosis of possible multiple sclerosis’.  The neurological examinations in evidence during the MEB, including the NARSUM, are all normal.  Nowhere is there </w:t>
      </w:r>
      <w:r w:rsidR="00F90EE3" w:rsidRPr="00AE51EF">
        <w:rPr>
          <w:color w:val="000080"/>
        </w:rPr>
        <w:t xml:space="preserve">documentation in the </w:t>
      </w:r>
      <w:r w:rsidR="00DB40A5" w:rsidRPr="00AE51EF">
        <w:rPr>
          <w:color w:val="000080"/>
        </w:rPr>
        <w:t>outpatient</w:t>
      </w:r>
      <w:r w:rsidR="00F90EE3" w:rsidRPr="00AE51EF">
        <w:rPr>
          <w:color w:val="000080"/>
        </w:rPr>
        <w:t xml:space="preserve"> record</w:t>
      </w:r>
      <w:r w:rsidR="00DB40A5" w:rsidRPr="00AE51EF">
        <w:rPr>
          <w:color w:val="000080"/>
        </w:rPr>
        <w:t xml:space="preserve">s </w:t>
      </w:r>
      <w:r w:rsidR="00F90EE3" w:rsidRPr="00AE51EF">
        <w:rPr>
          <w:color w:val="000080"/>
        </w:rPr>
        <w:t xml:space="preserve">of </w:t>
      </w:r>
      <w:r w:rsidR="00DB40A5" w:rsidRPr="00AE51EF">
        <w:rPr>
          <w:color w:val="000080"/>
        </w:rPr>
        <w:t xml:space="preserve">any </w:t>
      </w:r>
      <w:r w:rsidR="00F90EE3" w:rsidRPr="00AE51EF">
        <w:rPr>
          <w:color w:val="000080"/>
        </w:rPr>
        <w:t xml:space="preserve">neurologic symptoms </w:t>
      </w:r>
      <w:r w:rsidR="00DB40A5" w:rsidRPr="00AE51EF">
        <w:rPr>
          <w:color w:val="000080"/>
        </w:rPr>
        <w:t xml:space="preserve">other than the </w:t>
      </w:r>
      <w:proofErr w:type="spellStart"/>
      <w:r w:rsidR="00DB40A5" w:rsidRPr="00AE51EF">
        <w:rPr>
          <w:color w:val="000080"/>
        </w:rPr>
        <w:t>radicular</w:t>
      </w:r>
      <w:proofErr w:type="spellEnd"/>
      <w:r w:rsidR="00DB40A5" w:rsidRPr="00AE51EF">
        <w:rPr>
          <w:color w:val="000080"/>
        </w:rPr>
        <w:t xml:space="preserve"> ones noted with the back condition and no evidence of any neurologic impairment linked to fitness</w:t>
      </w:r>
      <w:r w:rsidR="00F90EE3" w:rsidRPr="00AE51EF">
        <w:rPr>
          <w:color w:val="000080"/>
        </w:rPr>
        <w:t>.  Several other relatively minor conditions were elaborated by the CI on his MEB physical, but none of them are relevant for Board consideration as unfitting.  Additional conditions claimed to the VA were all denied and all contained a statement in the rating decision that they were not evident in the service medical records.</w:t>
      </w:r>
    </w:p>
    <w:p w:rsidR="00F90EE3" w:rsidRPr="00AE51EF" w:rsidRDefault="00F90EE3" w:rsidP="00AE51EF">
      <w:pPr>
        <w:tabs>
          <w:tab w:val="left" w:pos="288"/>
          <w:tab w:val="left" w:pos="4752"/>
        </w:tabs>
        <w:spacing w:line="240" w:lineRule="exact"/>
        <w:jc w:val="both"/>
        <w:rPr>
          <w:color w:val="000080"/>
        </w:rPr>
      </w:pPr>
    </w:p>
    <w:p w:rsidR="00DB40A5" w:rsidRDefault="00DB40A5" w:rsidP="00AE51EF">
      <w:pPr>
        <w:tabs>
          <w:tab w:val="left" w:pos="288"/>
          <w:tab w:val="left" w:pos="4752"/>
        </w:tabs>
        <w:spacing w:line="240" w:lineRule="exact"/>
        <w:jc w:val="both"/>
        <w:rPr>
          <w:rFonts w:asciiTheme="minorHAnsi" w:hAnsiTheme="minorHAnsi"/>
          <w:color w:val="auto"/>
          <w:szCs w:val="24"/>
        </w:rPr>
      </w:pPr>
      <w:r w:rsidRPr="00AE51EF">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2E06F3" w:rsidRDefault="00C56FC8" w:rsidP="00AE51EF">
      <w:pPr>
        <w:tabs>
          <w:tab w:val="left" w:pos="288"/>
          <w:tab w:val="left" w:pos="4752"/>
        </w:tabs>
        <w:spacing w:line="240" w:lineRule="exact"/>
        <w:jc w:val="both"/>
        <w:rPr>
          <w:rFonts w:asciiTheme="minorHAnsi" w:hAnsiTheme="minorHAnsi"/>
          <w:color w:val="auto"/>
          <w:szCs w:val="24"/>
        </w:rPr>
      </w:pPr>
      <w:r w:rsidRPr="00AE51EF">
        <w:rPr>
          <w:color w:val="000080"/>
          <w:u w:val="single"/>
        </w:rPr>
        <w:t>BOARD FINDINGS</w:t>
      </w:r>
      <w:r w:rsidRPr="00AE51EF">
        <w:rPr>
          <w:color w:val="000080"/>
        </w:rPr>
        <w:t xml:space="preserve">:  IAW </w:t>
      </w:r>
      <w:proofErr w:type="spellStart"/>
      <w:r w:rsidRPr="00AE51EF">
        <w:rPr>
          <w:color w:val="000080"/>
        </w:rPr>
        <w:t>DoDI</w:t>
      </w:r>
      <w:proofErr w:type="spellEnd"/>
      <w:r w:rsidRPr="00AE51EF">
        <w:rPr>
          <w:color w:val="000080"/>
        </w:rPr>
        <w:t xml:space="preserve"> 6040.44, provisions of </w:t>
      </w:r>
      <w:proofErr w:type="spellStart"/>
      <w:r w:rsidRPr="00AE51EF">
        <w:rPr>
          <w:color w:val="000080"/>
        </w:rPr>
        <w:t>DoD</w:t>
      </w:r>
      <w:proofErr w:type="spellEnd"/>
      <w:r w:rsidRPr="00AE51EF">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AE51EF">
        <w:rPr>
          <w:color w:val="000080"/>
        </w:rPr>
        <w:t xml:space="preserve"> </w:t>
      </w:r>
      <w:r w:rsidR="00DB40A5" w:rsidRPr="00AE51EF">
        <w:rPr>
          <w:color w:val="000080"/>
        </w:rPr>
        <w:t xml:space="preserve">As discussed above, PEB reliance on the USAPDA pain policy for rating the back condition was operant in this case and the condition was adjudicated independently of that policy by the Board.  In the matter of the </w:t>
      </w:r>
      <w:proofErr w:type="spellStart"/>
      <w:r w:rsidR="00DB40A5" w:rsidRPr="00AE51EF">
        <w:rPr>
          <w:color w:val="000080"/>
        </w:rPr>
        <w:t>thoracolumbar</w:t>
      </w:r>
      <w:proofErr w:type="spellEnd"/>
      <w:r w:rsidR="00DB40A5" w:rsidRPr="00AE51EF">
        <w:rPr>
          <w:color w:val="000080"/>
        </w:rPr>
        <w:t xml:space="preserve"> condition, the Board unanimously recommends a rating of 40% coded 5242 IAW VASRD §4.71a.  </w:t>
      </w:r>
      <w:r w:rsidR="002E06F3" w:rsidRPr="00AE51EF">
        <w:rPr>
          <w:color w:val="000080"/>
        </w:rPr>
        <w:t xml:space="preserve">In the matter of the hypertension, </w:t>
      </w:r>
      <w:proofErr w:type="spellStart"/>
      <w:r w:rsidR="002E06F3" w:rsidRPr="00AE51EF">
        <w:rPr>
          <w:color w:val="000080"/>
        </w:rPr>
        <w:t>hyperlipidemia</w:t>
      </w:r>
      <w:proofErr w:type="spellEnd"/>
      <w:r w:rsidR="002E06F3" w:rsidRPr="00AE51EF">
        <w:rPr>
          <w:color w:val="000080"/>
        </w:rPr>
        <w:t>, hearing loss, depression, GERD, arthritis, neurological disorder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026A9" w:rsidRDefault="00B026A9" w:rsidP="00135385">
      <w:pPr>
        <w:tabs>
          <w:tab w:val="left" w:pos="288"/>
          <w:tab w:val="left" w:pos="4752"/>
        </w:tabs>
        <w:spacing w:line="240" w:lineRule="exact"/>
        <w:jc w:val="both"/>
        <w:rPr>
          <w:color w:val="000080"/>
          <w:u w:val="single"/>
        </w:rPr>
      </w:pPr>
    </w:p>
    <w:p w:rsidR="00FB593A" w:rsidRDefault="00C56FC8" w:rsidP="00135385">
      <w:pPr>
        <w:tabs>
          <w:tab w:val="left" w:pos="288"/>
          <w:tab w:val="left" w:pos="4752"/>
        </w:tabs>
        <w:spacing w:line="240" w:lineRule="exact"/>
        <w:jc w:val="both"/>
        <w:rPr>
          <w:color w:val="000080"/>
        </w:rPr>
      </w:pPr>
      <w:r w:rsidRPr="00AE51EF">
        <w:rPr>
          <w:color w:val="000080"/>
          <w:u w:val="single"/>
        </w:rPr>
        <w:t>RECOMMENDATION</w:t>
      </w:r>
      <w:r w:rsidRPr="00AE51EF">
        <w:rPr>
          <w:color w:val="000080"/>
        </w:rPr>
        <w:t xml:space="preserve">: The Board recommends that the CI’s prior determination be modified as follows and that the discharge with </w:t>
      </w:r>
      <w:r w:rsidRPr="00AE51EF">
        <w:rPr>
          <w:color w:val="000080"/>
        </w:rPr>
        <w:lastRenderedPageBreak/>
        <w:t xml:space="preserve">severance pay be </w:t>
      </w:r>
      <w:proofErr w:type="spellStart"/>
      <w:r w:rsidRPr="00AE51EF">
        <w:rPr>
          <w:color w:val="000080"/>
        </w:rPr>
        <w:t>recharacterized</w:t>
      </w:r>
      <w:proofErr w:type="spellEnd"/>
      <w:r w:rsidRPr="00AE51EF">
        <w:rPr>
          <w:color w:val="000080"/>
        </w:rPr>
        <w:t xml:space="preserve"> to reflect permanent disability retirement,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0"/>
        <w:gridCol w:w="1710"/>
        <w:gridCol w:w="1170"/>
      </w:tblGrid>
      <w:tr w:rsidR="004101B2" w:rsidRPr="00533FB5" w:rsidTr="002E06F3">
        <w:trPr>
          <w:trHeight w:val="287"/>
        </w:trPr>
        <w:tc>
          <w:tcPr>
            <w:tcW w:w="594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Pr>
                <w:b/>
                <w:color w:val="000080"/>
                <w:szCs w:val="24"/>
              </w:rPr>
              <w:t>UNFITTING CONDITION</w:t>
            </w:r>
          </w:p>
        </w:tc>
        <w:tc>
          <w:tcPr>
            <w:tcW w:w="171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17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101B2" w:rsidRPr="00533FB5" w:rsidTr="002E06F3">
        <w:tc>
          <w:tcPr>
            <w:tcW w:w="5940" w:type="dxa"/>
          </w:tcPr>
          <w:p w:rsidR="004101B2" w:rsidRPr="00A867F0" w:rsidRDefault="002E06F3" w:rsidP="00896683">
            <w:pPr>
              <w:tabs>
                <w:tab w:val="left" w:pos="288"/>
                <w:tab w:val="left" w:pos="4752"/>
              </w:tabs>
              <w:spacing w:before="20" w:after="20" w:line="240" w:lineRule="exact"/>
              <w:rPr>
                <w:color w:val="000080"/>
                <w:szCs w:val="24"/>
              </w:rPr>
            </w:pPr>
            <w:r>
              <w:rPr>
                <w:color w:val="000080"/>
                <w:szCs w:val="24"/>
              </w:rPr>
              <w:t>Degenerative Disk Disease, Lumbar Spine</w:t>
            </w:r>
          </w:p>
        </w:tc>
        <w:tc>
          <w:tcPr>
            <w:tcW w:w="1710" w:type="dxa"/>
          </w:tcPr>
          <w:p w:rsidR="004101B2" w:rsidRPr="00A867F0" w:rsidRDefault="002E06F3" w:rsidP="00F533F9">
            <w:pPr>
              <w:tabs>
                <w:tab w:val="left" w:pos="288"/>
                <w:tab w:val="left" w:pos="4752"/>
              </w:tabs>
              <w:spacing w:line="240" w:lineRule="exact"/>
              <w:jc w:val="center"/>
              <w:rPr>
                <w:color w:val="000080"/>
                <w:szCs w:val="24"/>
              </w:rPr>
            </w:pPr>
            <w:r>
              <w:rPr>
                <w:color w:val="000080"/>
                <w:szCs w:val="24"/>
              </w:rPr>
              <w:t>5242</w:t>
            </w:r>
          </w:p>
        </w:tc>
        <w:tc>
          <w:tcPr>
            <w:tcW w:w="1170" w:type="dxa"/>
          </w:tcPr>
          <w:p w:rsidR="004101B2" w:rsidRPr="00A867F0" w:rsidRDefault="002E06F3" w:rsidP="00F533F9">
            <w:pPr>
              <w:tabs>
                <w:tab w:val="left" w:pos="288"/>
                <w:tab w:val="left" w:pos="4752"/>
              </w:tabs>
              <w:spacing w:line="240" w:lineRule="exact"/>
              <w:jc w:val="center"/>
              <w:rPr>
                <w:color w:val="000080"/>
                <w:szCs w:val="24"/>
              </w:rPr>
            </w:pPr>
            <w:r>
              <w:rPr>
                <w:color w:val="000080"/>
                <w:szCs w:val="24"/>
              </w:rPr>
              <w:t>4</w:t>
            </w:r>
            <w:r w:rsidR="00E74437">
              <w:rPr>
                <w:color w:val="000080"/>
                <w:szCs w:val="24"/>
              </w:rPr>
              <w:t>0</w:t>
            </w:r>
            <w:r w:rsidR="00182A4C">
              <w:rPr>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DF5FA4">
        <w:rPr>
          <w:color w:val="000080"/>
        </w:rPr>
        <w:t>0310</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4A26B3" w:rsidRDefault="004A26B3">
      <w:pPr>
        <w:rPr>
          <w:color w:val="000080"/>
        </w:rPr>
      </w:pPr>
      <w:r>
        <w:rPr>
          <w:color w:val="000080"/>
        </w:rPr>
        <w:br w:type="page"/>
      </w:r>
    </w:p>
    <w:p w:rsidR="004A26B3" w:rsidRDefault="004A26B3" w:rsidP="004A26B3">
      <w:pPr>
        <w:pStyle w:val="Default"/>
        <w:framePr w:w="15611" w:wrap="auto" w:vAnchor="page" w:hAnchor="page" w:x="1" w:y="1"/>
      </w:pPr>
      <w:r>
        <w:rPr>
          <w:noProof/>
        </w:rPr>
        <w:lastRenderedPageBreak/>
        <w:drawing>
          <wp:inline distT="0" distB="0" distL="0" distR="0">
            <wp:extent cx="7852410" cy="1003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52410" cy="10033000"/>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D56" w:rsidRDefault="00113D56">
      <w:r>
        <w:separator/>
      </w:r>
    </w:p>
  </w:endnote>
  <w:endnote w:type="continuationSeparator" w:id="0">
    <w:p w:rsidR="00113D56" w:rsidRDefault="00113D56">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4256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4256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4A26B3">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DF5FA4">
      <w:rPr>
        <w:caps/>
        <w:color w:val="000080"/>
      </w:rPr>
      <w:t>237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D56" w:rsidRDefault="00113D56">
      <w:r>
        <w:separator/>
      </w:r>
    </w:p>
  </w:footnote>
  <w:footnote w:type="continuationSeparator" w:id="0">
    <w:p w:rsidR="00113D56" w:rsidRDefault="00113D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81953"/>
  </w:hdrShapeDefaults>
  <w:footnotePr>
    <w:numRestart w:val="eachSect"/>
    <w:footnote w:id="-1"/>
    <w:footnote w:id="0"/>
  </w:footnotePr>
  <w:endnotePr>
    <w:endnote w:id="-1"/>
    <w:endnote w:id="0"/>
  </w:endnotePr>
  <w:compat/>
  <w:rsids>
    <w:rsidRoot w:val="001C28D1"/>
    <w:rsid w:val="000059FA"/>
    <w:rsid w:val="00006F87"/>
    <w:rsid w:val="00010ABA"/>
    <w:rsid w:val="00013417"/>
    <w:rsid w:val="000145C2"/>
    <w:rsid w:val="0001473F"/>
    <w:rsid w:val="00023D43"/>
    <w:rsid w:val="000332CA"/>
    <w:rsid w:val="0003374E"/>
    <w:rsid w:val="000344E6"/>
    <w:rsid w:val="00035C3A"/>
    <w:rsid w:val="00036E4B"/>
    <w:rsid w:val="000379D0"/>
    <w:rsid w:val="00040FC4"/>
    <w:rsid w:val="000416F8"/>
    <w:rsid w:val="00043CA2"/>
    <w:rsid w:val="00051622"/>
    <w:rsid w:val="00052234"/>
    <w:rsid w:val="00053D7C"/>
    <w:rsid w:val="000577C9"/>
    <w:rsid w:val="0006431E"/>
    <w:rsid w:val="00066CE9"/>
    <w:rsid w:val="00072433"/>
    <w:rsid w:val="000775C2"/>
    <w:rsid w:val="000806AD"/>
    <w:rsid w:val="00082482"/>
    <w:rsid w:val="0008708B"/>
    <w:rsid w:val="00094E4F"/>
    <w:rsid w:val="000A2BCE"/>
    <w:rsid w:val="000A41E3"/>
    <w:rsid w:val="000A4BBA"/>
    <w:rsid w:val="000A5071"/>
    <w:rsid w:val="000C3C13"/>
    <w:rsid w:val="000C5813"/>
    <w:rsid w:val="000C7DE4"/>
    <w:rsid w:val="000D15E7"/>
    <w:rsid w:val="000D21C7"/>
    <w:rsid w:val="000D248A"/>
    <w:rsid w:val="000D43F9"/>
    <w:rsid w:val="000D4717"/>
    <w:rsid w:val="000D6457"/>
    <w:rsid w:val="000D7D55"/>
    <w:rsid w:val="000E0993"/>
    <w:rsid w:val="000E37E0"/>
    <w:rsid w:val="000F02BE"/>
    <w:rsid w:val="000F427B"/>
    <w:rsid w:val="001008C1"/>
    <w:rsid w:val="00102F03"/>
    <w:rsid w:val="00103CCF"/>
    <w:rsid w:val="0010417F"/>
    <w:rsid w:val="001042D2"/>
    <w:rsid w:val="0010530E"/>
    <w:rsid w:val="001103CD"/>
    <w:rsid w:val="00110D4E"/>
    <w:rsid w:val="0011190A"/>
    <w:rsid w:val="00113D56"/>
    <w:rsid w:val="00114F20"/>
    <w:rsid w:val="001219DF"/>
    <w:rsid w:val="001231DC"/>
    <w:rsid w:val="001272AE"/>
    <w:rsid w:val="001315DD"/>
    <w:rsid w:val="00132036"/>
    <w:rsid w:val="00135385"/>
    <w:rsid w:val="001364D1"/>
    <w:rsid w:val="00142EBA"/>
    <w:rsid w:val="001475BF"/>
    <w:rsid w:val="00153740"/>
    <w:rsid w:val="001541C5"/>
    <w:rsid w:val="0015623F"/>
    <w:rsid w:val="00156974"/>
    <w:rsid w:val="00166182"/>
    <w:rsid w:val="00177659"/>
    <w:rsid w:val="001779E5"/>
    <w:rsid w:val="00182A4C"/>
    <w:rsid w:val="00183F77"/>
    <w:rsid w:val="00185ECB"/>
    <w:rsid w:val="001870F0"/>
    <w:rsid w:val="0019273F"/>
    <w:rsid w:val="00193AD5"/>
    <w:rsid w:val="00194930"/>
    <w:rsid w:val="001A7538"/>
    <w:rsid w:val="001B4EC2"/>
    <w:rsid w:val="001B5B59"/>
    <w:rsid w:val="001C181A"/>
    <w:rsid w:val="001C2053"/>
    <w:rsid w:val="001C28D1"/>
    <w:rsid w:val="001C3DEC"/>
    <w:rsid w:val="001C5CFC"/>
    <w:rsid w:val="001C7418"/>
    <w:rsid w:val="001D0051"/>
    <w:rsid w:val="001D1065"/>
    <w:rsid w:val="001D2224"/>
    <w:rsid w:val="001D68CF"/>
    <w:rsid w:val="001D6A8C"/>
    <w:rsid w:val="001D7A56"/>
    <w:rsid w:val="001E18E0"/>
    <w:rsid w:val="001E18E2"/>
    <w:rsid w:val="00200AA0"/>
    <w:rsid w:val="00202736"/>
    <w:rsid w:val="00203652"/>
    <w:rsid w:val="002060B6"/>
    <w:rsid w:val="00212407"/>
    <w:rsid w:val="00216049"/>
    <w:rsid w:val="00217C09"/>
    <w:rsid w:val="00220F5C"/>
    <w:rsid w:val="00222F86"/>
    <w:rsid w:val="00225196"/>
    <w:rsid w:val="00225CB4"/>
    <w:rsid w:val="0023049F"/>
    <w:rsid w:val="00232C9B"/>
    <w:rsid w:val="00232F09"/>
    <w:rsid w:val="002335D5"/>
    <w:rsid w:val="002338CA"/>
    <w:rsid w:val="00233FE5"/>
    <w:rsid w:val="0024174E"/>
    <w:rsid w:val="002417BD"/>
    <w:rsid w:val="0024227D"/>
    <w:rsid w:val="0024256C"/>
    <w:rsid w:val="00243190"/>
    <w:rsid w:val="00246860"/>
    <w:rsid w:val="00246DFF"/>
    <w:rsid w:val="00246E89"/>
    <w:rsid w:val="0025183C"/>
    <w:rsid w:val="002528EC"/>
    <w:rsid w:val="00255049"/>
    <w:rsid w:val="00260531"/>
    <w:rsid w:val="0026318D"/>
    <w:rsid w:val="00270864"/>
    <w:rsid w:val="002712F7"/>
    <w:rsid w:val="0027159C"/>
    <w:rsid w:val="00274549"/>
    <w:rsid w:val="00274E46"/>
    <w:rsid w:val="00276C86"/>
    <w:rsid w:val="00283379"/>
    <w:rsid w:val="002A3237"/>
    <w:rsid w:val="002A685E"/>
    <w:rsid w:val="002A72C7"/>
    <w:rsid w:val="002B03B2"/>
    <w:rsid w:val="002B0749"/>
    <w:rsid w:val="002B2645"/>
    <w:rsid w:val="002C6E5B"/>
    <w:rsid w:val="002D18B4"/>
    <w:rsid w:val="002D2392"/>
    <w:rsid w:val="002E06F3"/>
    <w:rsid w:val="002E1877"/>
    <w:rsid w:val="002E1C31"/>
    <w:rsid w:val="002E333A"/>
    <w:rsid w:val="002E3474"/>
    <w:rsid w:val="002E400C"/>
    <w:rsid w:val="002E49C3"/>
    <w:rsid w:val="002E7570"/>
    <w:rsid w:val="002E764B"/>
    <w:rsid w:val="002F0E28"/>
    <w:rsid w:val="002F287E"/>
    <w:rsid w:val="002F2D63"/>
    <w:rsid w:val="002F7F81"/>
    <w:rsid w:val="0030678B"/>
    <w:rsid w:val="00310CD7"/>
    <w:rsid w:val="00323E70"/>
    <w:rsid w:val="00326F7F"/>
    <w:rsid w:val="003320E8"/>
    <w:rsid w:val="0033555E"/>
    <w:rsid w:val="00336805"/>
    <w:rsid w:val="00337351"/>
    <w:rsid w:val="003403F3"/>
    <w:rsid w:val="00341A54"/>
    <w:rsid w:val="0034669F"/>
    <w:rsid w:val="00351498"/>
    <w:rsid w:val="00352B22"/>
    <w:rsid w:val="0036319E"/>
    <w:rsid w:val="003632A4"/>
    <w:rsid w:val="00363362"/>
    <w:rsid w:val="00370EF5"/>
    <w:rsid w:val="00372251"/>
    <w:rsid w:val="00373064"/>
    <w:rsid w:val="0037520D"/>
    <w:rsid w:val="0037628C"/>
    <w:rsid w:val="00376B81"/>
    <w:rsid w:val="00377BD2"/>
    <w:rsid w:val="003821E1"/>
    <w:rsid w:val="00384866"/>
    <w:rsid w:val="003857D4"/>
    <w:rsid w:val="00385D6F"/>
    <w:rsid w:val="00387095"/>
    <w:rsid w:val="00390092"/>
    <w:rsid w:val="00393651"/>
    <w:rsid w:val="003A41BA"/>
    <w:rsid w:val="003A6A99"/>
    <w:rsid w:val="003B0253"/>
    <w:rsid w:val="003B227A"/>
    <w:rsid w:val="003D2BA3"/>
    <w:rsid w:val="003D3C22"/>
    <w:rsid w:val="003D7089"/>
    <w:rsid w:val="003D7DDB"/>
    <w:rsid w:val="003E02C7"/>
    <w:rsid w:val="003E0543"/>
    <w:rsid w:val="003E0B5A"/>
    <w:rsid w:val="003E31E3"/>
    <w:rsid w:val="003E46D1"/>
    <w:rsid w:val="003E5E2C"/>
    <w:rsid w:val="003F58B0"/>
    <w:rsid w:val="004007E9"/>
    <w:rsid w:val="00401825"/>
    <w:rsid w:val="00401BBC"/>
    <w:rsid w:val="00403BFB"/>
    <w:rsid w:val="00404B45"/>
    <w:rsid w:val="00406CC5"/>
    <w:rsid w:val="004074A4"/>
    <w:rsid w:val="004101B2"/>
    <w:rsid w:val="004123D7"/>
    <w:rsid w:val="004172DB"/>
    <w:rsid w:val="00422B75"/>
    <w:rsid w:val="00433F36"/>
    <w:rsid w:val="0043503A"/>
    <w:rsid w:val="0044384F"/>
    <w:rsid w:val="00446018"/>
    <w:rsid w:val="00450482"/>
    <w:rsid w:val="004543BC"/>
    <w:rsid w:val="0045645D"/>
    <w:rsid w:val="004574C6"/>
    <w:rsid w:val="00457BCF"/>
    <w:rsid w:val="00457DCE"/>
    <w:rsid w:val="00460E3F"/>
    <w:rsid w:val="00467592"/>
    <w:rsid w:val="004718E7"/>
    <w:rsid w:val="004761CC"/>
    <w:rsid w:val="00481DA1"/>
    <w:rsid w:val="0049445D"/>
    <w:rsid w:val="00495350"/>
    <w:rsid w:val="00497156"/>
    <w:rsid w:val="004A24D2"/>
    <w:rsid w:val="004A26B3"/>
    <w:rsid w:val="004A4136"/>
    <w:rsid w:val="004A417B"/>
    <w:rsid w:val="004B03F3"/>
    <w:rsid w:val="004B6AF3"/>
    <w:rsid w:val="004B715E"/>
    <w:rsid w:val="004B7169"/>
    <w:rsid w:val="004B79C9"/>
    <w:rsid w:val="004C5E33"/>
    <w:rsid w:val="004C6CDA"/>
    <w:rsid w:val="004D10D4"/>
    <w:rsid w:val="004D16BD"/>
    <w:rsid w:val="004D6F2B"/>
    <w:rsid w:val="004E0248"/>
    <w:rsid w:val="004E21A3"/>
    <w:rsid w:val="004E32EA"/>
    <w:rsid w:val="004F3222"/>
    <w:rsid w:val="004F3BFA"/>
    <w:rsid w:val="00510588"/>
    <w:rsid w:val="0051146C"/>
    <w:rsid w:val="005176C9"/>
    <w:rsid w:val="005222E7"/>
    <w:rsid w:val="00523E04"/>
    <w:rsid w:val="0052590B"/>
    <w:rsid w:val="00526591"/>
    <w:rsid w:val="00527178"/>
    <w:rsid w:val="005350A5"/>
    <w:rsid w:val="00536379"/>
    <w:rsid w:val="005400C5"/>
    <w:rsid w:val="00540BEF"/>
    <w:rsid w:val="005436C2"/>
    <w:rsid w:val="005473C0"/>
    <w:rsid w:val="005507F6"/>
    <w:rsid w:val="0055288D"/>
    <w:rsid w:val="00554001"/>
    <w:rsid w:val="00555259"/>
    <w:rsid w:val="00560D57"/>
    <w:rsid w:val="00562A94"/>
    <w:rsid w:val="005710A9"/>
    <w:rsid w:val="00593043"/>
    <w:rsid w:val="005A258C"/>
    <w:rsid w:val="005A3560"/>
    <w:rsid w:val="005A6C99"/>
    <w:rsid w:val="005B011A"/>
    <w:rsid w:val="005B1D8F"/>
    <w:rsid w:val="005B5B3D"/>
    <w:rsid w:val="005D2FD7"/>
    <w:rsid w:val="005E3064"/>
    <w:rsid w:val="005F1115"/>
    <w:rsid w:val="005F27F2"/>
    <w:rsid w:val="005F424D"/>
    <w:rsid w:val="00606BEB"/>
    <w:rsid w:val="00613E26"/>
    <w:rsid w:val="00615641"/>
    <w:rsid w:val="006211D0"/>
    <w:rsid w:val="00624D0C"/>
    <w:rsid w:val="006307BA"/>
    <w:rsid w:val="00634C4A"/>
    <w:rsid w:val="0063532E"/>
    <w:rsid w:val="00637BDC"/>
    <w:rsid w:val="006418C9"/>
    <w:rsid w:val="00645046"/>
    <w:rsid w:val="00645EA2"/>
    <w:rsid w:val="00662F08"/>
    <w:rsid w:val="00663589"/>
    <w:rsid w:val="00670DDC"/>
    <w:rsid w:val="00671EB4"/>
    <w:rsid w:val="0067443B"/>
    <w:rsid w:val="00681599"/>
    <w:rsid w:val="00684E2B"/>
    <w:rsid w:val="00690FDA"/>
    <w:rsid w:val="00694BDF"/>
    <w:rsid w:val="00694EEA"/>
    <w:rsid w:val="006955B4"/>
    <w:rsid w:val="00696476"/>
    <w:rsid w:val="006A0781"/>
    <w:rsid w:val="006A10FA"/>
    <w:rsid w:val="006A40E6"/>
    <w:rsid w:val="006A5C07"/>
    <w:rsid w:val="006A75FA"/>
    <w:rsid w:val="006B07D5"/>
    <w:rsid w:val="006B1309"/>
    <w:rsid w:val="006B5923"/>
    <w:rsid w:val="006B67D9"/>
    <w:rsid w:val="006B6C14"/>
    <w:rsid w:val="006C3A68"/>
    <w:rsid w:val="006C6AB1"/>
    <w:rsid w:val="006D2D39"/>
    <w:rsid w:val="006E06D1"/>
    <w:rsid w:val="006E2DC8"/>
    <w:rsid w:val="006E6BD5"/>
    <w:rsid w:val="006E7356"/>
    <w:rsid w:val="006E77C8"/>
    <w:rsid w:val="006F149D"/>
    <w:rsid w:val="006F1A46"/>
    <w:rsid w:val="006F503C"/>
    <w:rsid w:val="006F5A4E"/>
    <w:rsid w:val="00703B6C"/>
    <w:rsid w:val="00706482"/>
    <w:rsid w:val="00706BEF"/>
    <w:rsid w:val="007076ED"/>
    <w:rsid w:val="007116BC"/>
    <w:rsid w:val="007165CE"/>
    <w:rsid w:val="00720968"/>
    <w:rsid w:val="00721D12"/>
    <w:rsid w:val="00721F8B"/>
    <w:rsid w:val="0073254D"/>
    <w:rsid w:val="00736A49"/>
    <w:rsid w:val="00743B71"/>
    <w:rsid w:val="00743C2D"/>
    <w:rsid w:val="00744EBB"/>
    <w:rsid w:val="00746AE2"/>
    <w:rsid w:val="00750C82"/>
    <w:rsid w:val="0076100C"/>
    <w:rsid w:val="007651ED"/>
    <w:rsid w:val="00766C87"/>
    <w:rsid w:val="00780377"/>
    <w:rsid w:val="00780A31"/>
    <w:rsid w:val="00781BD4"/>
    <w:rsid w:val="00784832"/>
    <w:rsid w:val="00785D77"/>
    <w:rsid w:val="00786111"/>
    <w:rsid w:val="00791F1E"/>
    <w:rsid w:val="00794F3D"/>
    <w:rsid w:val="00796727"/>
    <w:rsid w:val="007A0B39"/>
    <w:rsid w:val="007A14A4"/>
    <w:rsid w:val="007A168F"/>
    <w:rsid w:val="007A28E4"/>
    <w:rsid w:val="007A3BB3"/>
    <w:rsid w:val="007A5AD1"/>
    <w:rsid w:val="007A5B7B"/>
    <w:rsid w:val="007B0A06"/>
    <w:rsid w:val="007B5C5C"/>
    <w:rsid w:val="007B7C41"/>
    <w:rsid w:val="007C1895"/>
    <w:rsid w:val="007C433E"/>
    <w:rsid w:val="007C4DB1"/>
    <w:rsid w:val="007D0292"/>
    <w:rsid w:val="007D21AC"/>
    <w:rsid w:val="007D568A"/>
    <w:rsid w:val="007D574E"/>
    <w:rsid w:val="007E2046"/>
    <w:rsid w:val="007E4FBB"/>
    <w:rsid w:val="007E55BF"/>
    <w:rsid w:val="007E71B1"/>
    <w:rsid w:val="007E71F6"/>
    <w:rsid w:val="007E7B4E"/>
    <w:rsid w:val="007F0CE2"/>
    <w:rsid w:val="007F0EFF"/>
    <w:rsid w:val="007F1375"/>
    <w:rsid w:val="00803850"/>
    <w:rsid w:val="00805AFD"/>
    <w:rsid w:val="00811D5B"/>
    <w:rsid w:val="00817713"/>
    <w:rsid w:val="00830999"/>
    <w:rsid w:val="00830D5E"/>
    <w:rsid w:val="00830F69"/>
    <w:rsid w:val="00834458"/>
    <w:rsid w:val="00835841"/>
    <w:rsid w:val="00837465"/>
    <w:rsid w:val="00841457"/>
    <w:rsid w:val="0084374E"/>
    <w:rsid w:val="00844842"/>
    <w:rsid w:val="0085206E"/>
    <w:rsid w:val="00852AD4"/>
    <w:rsid w:val="00852BA8"/>
    <w:rsid w:val="00853718"/>
    <w:rsid w:val="008541EF"/>
    <w:rsid w:val="00856FA4"/>
    <w:rsid w:val="0086162B"/>
    <w:rsid w:val="00865207"/>
    <w:rsid w:val="008656A7"/>
    <w:rsid w:val="00871262"/>
    <w:rsid w:val="00871D4E"/>
    <w:rsid w:val="00875B51"/>
    <w:rsid w:val="00875F2D"/>
    <w:rsid w:val="008764DC"/>
    <w:rsid w:val="00883930"/>
    <w:rsid w:val="00896535"/>
    <w:rsid w:val="00896683"/>
    <w:rsid w:val="008A63A9"/>
    <w:rsid w:val="008B04DB"/>
    <w:rsid w:val="008B3AF2"/>
    <w:rsid w:val="008B515D"/>
    <w:rsid w:val="008B5D31"/>
    <w:rsid w:val="008B6705"/>
    <w:rsid w:val="008D105E"/>
    <w:rsid w:val="008D7B07"/>
    <w:rsid w:val="008E2D99"/>
    <w:rsid w:val="008E4A60"/>
    <w:rsid w:val="008F1919"/>
    <w:rsid w:val="008F524A"/>
    <w:rsid w:val="009026E8"/>
    <w:rsid w:val="00906EB7"/>
    <w:rsid w:val="009102BF"/>
    <w:rsid w:val="00914ADB"/>
    <w:rsid w:val="00923B25"/>
    <w:rsid w:val="0092402E"/>
    <w:rsid w:val="00942645"/>
    <w:rsid w:val="00950A3A"/>
    <w:rsid w:val="0095340A"/>
    <w:rsid w:val="00954581"/>
    <w:rsid w:val="0095466C"/>
    <w:rsid w:val="00960357"/>
    <w:rsid w:val="0096168C"/>
    <w:rsid w:val="00961840"/>
    <w:rsid w:val="00962F2D"/>
    <w:rsid w:val="009672CD"/>
    <w:rsid w:val="00972996"/>
    <w:rsid w:val="009732B8"/>
    <w:rsid w:val="00976869"/>
    <w:rsid w:val="00977740"/>
    <w:rsid w:val="00977CB4"/>
    <w:rsid w:val="009809B8"/>
    <w:rsid w:val="00985099"/>
    <w:rsid w:val="0098577B"/>
    <w:rsid w:val="0099421F"/>
    <w:rsid w:val="00995609"/>
    <w:rsid w:val="00997D12"/>
    <w:rsid w:val="009A0DE3"/>
    <w:rsid w:val="009A4F1B"/>
    <w:rsid w:val="009A79BA"/>
    <w:rsid w:val="009B1534"/>
    <w:rsid w:val="009B4A3B"/>
    <w:rsid w:val="009B69D3"/>
    <w:rsid w:val="009B7BA7"/>
    <w:rsid w:val="009C0938"/>
    <w:rsid w:val="009C3F82"/>
    <w:rsid w:val="009C72DD"/>
    <w:rsid w:val="009C7DF5"/>
    <w:rsid w:val="009D056C"/>
    <w:rsid w:val="009D060F"/>
    <w:rsid w:val="009D1ADE"/>
    <w:rsid w:val="009E09D0"/>
    <w:rsid w:val="009E1283"/>
    <w:rsid w:val="009E3A7F"/>
    <w:rsid w:val="009E57B1"/>
    <w:rsid w:val="009F7809"/>
    <w:rsid w:val="009F7AF5"/>
    <w:rsid w:val="00A00D14"/>
    <w:rsid w:val="00A01408"/>
    <w:rsid w:val="00A02457"/>
    <w:rsid w:val="00A0404B"/>
    <w:rsid w:val="00A1105B"/>
    <w:rsid w:val="00A15B6B"/>
    <w:rsid w:val="00A16876"/>
    <w:rsid w:val="00A200AA"/>
    <w:rsid w:val="00A2186F"/>
    <w:rsid w:val="00A2270B"/>
    <w:rsid w:val="00A23B89"/>
    <w:rsid w:val="00A2496E"/>
    <w:rsid w:val="00A258B7"/>
    <w:rsid w:val="00A32743"/>
    <w:rsid w:val="00A414A9"/>
    <w:rsid w:val="00A44D75"/>
    <w:rsid w:val="00A47CF1"/>
    <w:rsid w:val="00A50418"/>
    <w:rsid w:val="00A56D26"/>
    <w:rsid w:val="00A56DC5"/>
    <w:rsid w:val="00A608FB"/>
    <w:rsid w:val="00A64A9D"/>
    <w:rsid w:val="00A64B8D"/>
    <w:rsid w:val="00A65C78"/>
    <w:rsid w:val="00A70E7B"/>
    <w:rsid w:val="00A73B84"/>
    <w:rsid w:val="00A7411D"/>
    <w:rsid w:val="00A76094"/>
    <w:rsid w:val="00A768E2"/>
    <w:rsid w:val="00A82C52"/>
    <w:rsid w:val="00A86CB6"/>
    <w:rsid w:val="00A90D55"/>
    <w:rsid w:val="00A961EE"/>
    <w:rsid w:val="00AA04B3"/>
    <w:rsid w:val="00AA493E"/>
    <w:rsid w:val="00AA73AF"/>
    <w:rsid w:val="00AB0CD6"/>
    <w:rsid w:val="00AB1754"/>
    <w:rsid w:val="00AB4545"/>
    <w:rsid w:val="00AC439D"/>
    <w:rsid w:val="00AD067E"/>
    <w:rsid w:val="00AD592A"/>
    <w:rsid w:val="00AD68C5"/>
    <w:rsid w:val="00AD755C"/>
    <w:rsid w:val="00AE1273"/>
    <w:rsid w:val="00AE2D29"/>
    <w:rsid w:val="00AE4624"/>
    <w:rsid w:val="00AE51EF"/>
    <w:rsid w:val="00AE5E14"/>
    <w:rsid w:val="00AF4FA5"/>
    <w:rsid w:val="00B026A9"/>
    <w:rsid w:val="00B15D30"/>
    <w:rsid w:val="00B23436"/>
    <w:rsid w:val="00B32179"/>
    <w:rsid w:val="00B331A9"/>
    <w:rsid w:val="00B40A3E"/>
    <w:rsid w:val="00B50227"/>
    <w:rsid w:val="00B522CD"/>
    <w:rsid w:val="00B55917"/>
    <w:rsid w:val="00B64DD6"/>
    <w:rsid w:val="00B72303"/>
    <w:rsid w:val="00B82277"/>
    <w:rsid w:val="00B843F6"/>
    <w:rsid w:val="00B91676"/>
    <w:rsid w:val="00B95833"/>
    <w:rsid w:val="00BA2D98"/>
    <w:rsid w:val="00BA30D1"/>
    <w:rsid w:val="00BA3513"/>
    <w:rsid w:val="00BA4609"/>
    <w:rsid w:val="00BA5BE2"/>
    <w:rsid w:val="00BA7F46"/>
    <w:rsid w:val="00BB0A0A"/>
    <w:rsid w:val="00BB396B"/>
    <w:rsid w:val="00BB45B5"/>
    <w:rsid w:val="00BB6064"/>
    <w:rsid w:val="00BC09D1"/>
    <w:rsid w:val="00BC361C"/>
    <w:rsid w:val="00BD40AB"/>
    <w:rsid w:val="00BD6806"/>
    <w:rsid w:val="00BD7433"/>
    <w:rsid w:val="00BD7831"/>
    <w:rsid w:val="00BD7C10"/>
    <w:rsid w:val="00BE0DEB"/>
    <w:rsid w:val="00BE2FC1"/>
    <w:rsid w:val="00BE6365"/>
    <w:rsid w:val="00BF0B7F"/>
    <w:rsid w:val="00BF4720"/>
    <w:rsid w:val="00C038EC"/>
    <w:rsid w:val="00C13B34"/>
    <w:rsid w:val="00C1713D"/>
    <w:rsid w:val="00C177F1"/>
    <w:rsid w:val="00C25978"/>
    <w:rsid w:val="00C261C6"/>
    <w:rsid w:val="00C30A97"/>
    <w:rsid w:val="00C31DDC"/>
    <w:rsid w:val="00C34326"/>
    <w:rsid w:val="00C36201"/>
    <w:rsid w:val="00C368E8"/>
    <w:rsid w:val="00C42443"/>
    <w:rsid w:val="00C42CBA"/>
    <w:rsid w:val="00C5019E"/>
    <w:rsid w:val="00C524A8"/>
    <w:rsid w:val="00C53E8A"/>
    <w:rsid w:val="00C54DF3"/>
    <w:rsid w:val="00C558A1"/>
    <w:rsid w:val="00C560A7"/>
    <w:rsid w:val="00C56FC8"/>
    <w:rsid w:val="00C60F23"/>
    <w:rsid w:val="00C62EB2"/>
    <w:rsid w:val="00C71BEC"/>
    <w:rsid w:val="00C74D3A"/>
    <w:rsid w:val="00C80511"/>
    <w:rsid w:val="00C8070B"/>
    <w:rsid w:val="00C826F5"/>
    <w:rsid w:val="00C83740"/>
    <w:rsid w:val="00C84AD1"/>
    <w:rsid w:val="00C85579"/>
    <w:rsid w:val="00C863E5"/>
    <w:rsid w:val="00C931FC"/>
    <w:rsid w:val="00C932C5"/>
    <w:rsid w:val="00C9650E"/>
    <w:rsid w:val="00CA068D"/>
    <w:rsid w:val="00CA282D"/>
    <w:rsid w:val="00CA4670"/>
    <w:rsid w:val="00CA6B1A"/>
    <w:rsid w:val="00CA6EEB"/>
    <w:rsid w:val="00CB20DC"/>
    <w:rsid w:val="00CB23DC"/>
    <w:rsid w:val="00CB28E2"/>
    <w:rsid w:val="00CB36D1"/>
    <w:rsid w:val="00CB7FF7"/>
    <w:rsid w:val="00CC19B3"/>
    <w:rsid w:val="00CC2044"/>
    <w:rsid w:val="00CC69EC"/>
    <w:rsid w:val="00CD15BE"/>
    <w:rsid w:val="00CD34C7"/>
    <w:rsid w:val="00CD57EE"/>
    <w:rsid w:val="00CD63C8"/>
    <w:rsid w:val="00CF158D"/>
    <w:rsid w:val="00CF4394"/>
    <w:rsid w:val="00D10577"/>
    <w:rsid w:val="00D134D6"/>
    <w:rsid w:val="00D14BAE"/>
    <w:rsid w:val="00D1648B"/>
    <w:rsid w:val="00D16819"/>
    <w:rsid w:val="00D20AC0"/>
    <w:rsid w:val="00D336C8"/>
    <w:rsid w:val="00D339E8"/>
    <w:rsid w:val="00D40B1F"/>
    <w:rsid w:val="00D40D75"/>
    <w:rsid w:val="00D50C8C"/>
    <w:rsid w:val="00D52393"/>
    <w:rsid w:val="00D53F14"/>
    <w:rsid w:val="00D54BE4"/>
    <w:rsid w:val="00D60483"/>
    <w:rsid w:val="00D63577"/>
    <w:rsid w:val="00D67066"/>
    <w:rsid w:val="00D67FD7"/>
    <w:rsid w:val="00D74261"/>
    <w:rsid w:val="00D7441B"/>
    <w:rsid w:val="00D76AB2"/>
    <w:rsid w:val="00D80490"/>
    <w:rsid w:val="00D829AD"/>
    <w:rsid w:val="00D82EE2"/>
    <w:rsid w:val="00D85352"/>
    <w:rsid w:val="00D8545C"/>
    <w:rsid w:val="00D87788"/>
    <w:rsid w:val="00D877C8"/>
    <w:rsid w:val="00D910C2"/>
    <w:rsid w:val="00D9168C"/>
    <w:rsid w:val="00D9189B"/>
    <w:rsid w:val="00D91DA6"/>
    <w:rsid w:val="00D972D4"/>
    <w:rsid w:val="00DA195B"/>
    <w:rsid w:val="00DB0015"/>
    <w:rsid w:val="00DB2AAD"/>
    <w:rsid w:val="00DB40A5"/>
    <w:rsid w:val="00DB626D"/>
    <w:rsid w:val="00DB6365"/>
    <w:rsid w:val="00DC0BF1"/>
    <w:rsid w:val="00DC41C3"/>
    <w:rsid w:val="00DD2CD9"/>
    <w:rsid w:val="00DD3593"/>
    <w:rsid w:val="00DE41A4"/>
    <w:rsid w:val="00DE6952"/>
    <w:rsid w:val="00DE7E74"/>
    <w:rsid w:val="00DF5FA4"/>
    <w:rsid w:val="00E00A69"/>
    <w:rsid w:val="00E017F0"/>
    <w:rsid w:val="00E01A0E"/>
    <w:rsid w:val="00E041E4"/>
    <w:rsid w:val="00E103C8"/>
    <w:rsid w:val="00E1085B"/>
    <w:rsid w:val="00E14581"/>
    <w:rsid w:val="00E15539"/>
    <w:rsid w:val="00E16541"/>
    <w:rsid w:val="00E2632B"/>
    <w:rsid w:val="00E322F7"/>
    <w:rsid w:val="00E3369B"/>
    <w:rsid w:val="00E405EA"/>
    <w:rsid w:val="00E408B7"/>
    <w:rsid w:val="00E42789"/>
    <w:rsid w:val="00E43F59"/>
    <w:rsid w:val="00E464F0"/>
    <w:rsid w:val="00E50BEB"/>
    <w:rsid w:val="00E6092F"/>
    <w:rsid w:val="00E629DA"/>
    <w:rsid w:val="00E67FAC"/>
    <w:rsid w:val="00E738CB"/>
    <w:rsid w:val="00E74437"/>
    <w:rsid w:val="00E81C3E"/>
    <w:rsid w:val="00E82B6D"/>
    <w:rsid w:val="00E97C70"/>
    <w:rsid w:val="00EA1177"/>
    <w:rsid w:val="00EA11B6"/>
    <w:rsid w:val="00EA2181"/>
    <w:rsid w:val="00EA2B8A"/>
    <w:rsid w:val="00EA2DD8"/>
    <w:rsid w:val="00EA4475"/>
    <w:rsid w:val="00EA681F"/>
    <w:rsid w:val="00EB3823"/>
    <w:rsid w:val="00EB47D8"/>
    <w:rsid w:val="00EB76E4"/>
    <w:rsid w:val="00EC0E65"/>
    <w:rsid w:val="00EC50C9"/>
    <w:rsid w:val="00EC5BB2"/>
    <w:rsid w:val="00ED664B"/>
    <w:rsid w:val="00EE0B44"/>
    <w:rsid w:val="00EE704A"/>
    <w:rsid w:val="00EF01D5"/>
    <w:rsid w:val="00EF4C74"/>
    <w:rsid w:val="00EF5268"/>
    <w:rsid w:val="00EF608E"/>
    <w:rsid w:val="00F05807"/>
    <w:rsid w:val="00F07052"/>
    <w:rsid w:val="00F0706C"/>
    <w:rsid w:val="00F11EBE"/>
    <w:rsid w:val="00F130D0"/>
    <w:rsid w:val="00F1481F"/>
    <w:rsid w:val="00F1516A"/>
    <w:rsid w:val="00F22A26"/>
    <w:rsid w:val="00F24072"/>
    <w:rsid w:val="00F26432"/>
    <w:rsid w:val="00F30529"/>
    <w:rsid w:val="00F3197A"/>
    <w:rsid w:val="00F32139"/>
    <w:rsid w:val="00F33D56"/>
    <w:rsid w:val="00F34E08"/>
    <w:rsid w:val="00F41D91"/>
    <w:rsid w:val="00F42363"/>
    <w:rsid w:val="00F450EE"/>
    <w:rsid w:val="00F46964"/>
    <w:rsid w:val="00F5126A"/>
    <w:rsid w:val="00F5140F"/>
    <w:rsid w:val="00F718A8"/>
    <w:rsid w:val="00F72183"/>
    <w:rsid w:val="00F76D01"/>
    <w:rsid w:val="00F772AE"/>
    <w:rsid w:val="00F81C35"/>
    <w:rsid w:val="00F82981"/>
    <w:rsid w:val="00F8311F"/>
    <w:rsid w:val="00F83248"/>
    <w:rsid w:val="00F853AE"/>
    <w:rsid w:val="00F90EE3"/>
    <w:rsid w:val="00F93DCC"/>
    <w:rsid w:val="00F9435D"/>
    <w:rsid w:val="00FA0460"/>
    <w:rsid w:val="00FB593A"/>
    <w:rsid w:val="00FB6E82"/>
    <w:rsid w:val="00FC2A13"/>
    <w:rsid w:val="00FC4576"/>
    <w:rsid w:val="00FC7DBC"/>
    <w:rsid w:val="00FD076A"/>
    <w:rsid w:val="00FD0AA0"/>
    <w:rsid w:val="00FD1D5A"/>
    <w:rsid w:val="00FD5059"/>
    <w:rsid w:val="00FD554D"/>
    <w:rsid w:val="00FF0FF7"/>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A26B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8D00-B02C-4853-8FF0-7BBD741A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1778</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8</cp:revision>
  <cp:lastPrinted>2010-04-20T17:11:00Z</cp:lastPrinted>
  <dcterms:created xsi:type="dcterms:W3CDTF">2010-04-15T18:17:00Z</dcterms:created>
  <dcterms:modified xsi:type="dcterms:W3CDTF">2012-02-01T15:38:00Z</dcterms:modified>
</cp:coreProperties>
</file>