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8C0BF9" w:rsidRPr="008C0BF9" w:rsidRDefault="008C0BF9" w:rsidP="008C0BF9">
      <w:pPr>
        <w:tabs>
          <w:tab w:val="left" w:pos="288"/>
          <w:tab w:val="left" w:pos="4752"/>
        </w:tabs>
        <w:spacing w:line="240" w:lineRule="exact"/>
        <w:rPr>
          <w:color w:val="000080"/>
        </w:rPr>
      </w:pPr>
      <w:r w:rsidRPr="008C0BF9">
        <w:rPr>
          <w:color w:val="000080"/>
        </w:rPr>
        <w:t>NAME:</w:t>
      </w:r>
      <w:r w:rsidRPr="008C0BF9">
        <w:rPr>
          <w:color w:val="000080"/>
        </w:rPr>
        <w:tab/>
      </w:r>
      <w:r w:rsidRPr="008C0BF9">
        <w:rPr>
          <w:color w:val="000080"/>
        </w:rPr>
        <w:tab/>
        <w:t>BRANCH OF SERVICE:  ARMY</w:t>
      </w:r>
    </w:p>
    <w:p w:rsidR="00B85C36" w:rsidRDefault="008C0BF9" w:rsidP="008C0BF9">
      <w:pPr>
        <w:tabs>
          <w:tab w:val="left" w:pos="288"/>
          <w:tab w:val="left" w:pos="4752"/>
        </w:tabs>
        <w:spacing w:line="240" w:lineRule="exact"/>
        <w:rPr>
          <w:color w:val="000080"/>
        </w:rPr>
      </w:pPr>
      <w:r w:rsidRPr="008C0BF9">
        <w:rPr>
          <w:color w:val="000080"/>
        </w:rPr>
        <w:t>CASE NUMBER:  PD0900235</w:t>
      </w:r>
      <w:r w:rsidRPr="008C0BF9">
        <w:rPr>
          <w:color w:val="000080"/>
        </w:rPr>
        <w:tab/>
      </w:r>
      <w:r w:rsidRPr="008C0BF9">
        <w:rPr>
          <w:color w:val="000080"/>
        </w:rPr>
        <w:tab/>
        <w:t>BOARD DATE: 2010</w:t>
      </w:r>
      <w:r>
        <w:rPr>
          <w:color w:val="000080"/>
        </w:rPr>
        <w:t>0408</w:t>
      </w:r>
    </w:p>
    <w:p w:rsidR="00540BEF" w:rsidRDefault="008C0BF9" w:rsidP="008C0BF9">
      <w:pPr>
        <w:tabs>
          <w:tab w:val="left" w:pos="288"/>
          <w:tab w:val="left" w:pos="4752"/>
        </w:tabs>
        <w:spacing w:line="240" w:lineRule="exact"/>
        <w:rPr>
          <w:color w:val="000080"/>
        </w:rPr>
      </w:pPr>
      <w:r w:rsidRPr="008C0BF9">
        <w:rPr>
          <w:color w:val="000080"/>
        </w:rPr>
        <w:t>SEPARATION DATE: 20040201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DA1EFB" w:rsidRPr="00410837" w:rsidRDefault="002C6E5B" w:rsidP="00410837">
      <w:pPr>
        <w:tabs>
          <w:tab w:val="left" w:pos="288"/>
          <w:tab w:val="left" w:pos="4752"/>
        </w:tabs>
        <w:spacing w:line="240" w:lineRule="exact"/>
        <w:jc w:val="both"/>
        <w:rPr>
          <w:color w:val="000080"/>
        </w:rPr>
      </w:pPr>
      <w:r w:rsidRPr="00410837">
        <w:rPr>
          <w:color w:val="000080"/>
          <w:u w:val="single"/>
        </w:rPr>
        <w:t>SUMMARY OF CASE</w:t>
      </w:r>
      <w:r w:rsidRPr="00410837">
        <w:rPr>
          <w:color w:val="000080"/>
        </w:rPr>
        <w:t xml:space="preserve">:  This covered individual (CI) was </w:t>
      </w:r>
      <w:r w:rsidR="00A04C94" w:rsidRPr="00410837">
        <w:rPr>
          <w:color w:val="000080"/>
        </w:rPr>
        <w:t>an active duty SPC</w:t>
      </w:r>
      <w:r w:rsidR="00B85C36">
        <w:rPr>
          <w:color w:val="000080"/>
        </w:rPr>
        <w:t>/</w:t>
      </w:r>
      <w:r w:rsidR="00A04C94" w:rsidRPr="00410837">
        <w:rPr>
          <w:color w:val="000080"/>
        </w:rPr>
        <w:t>Heavy Vehicle Mechanic</w:t>
      </w:r>
      <w:r w:rsidR="00B85C36">
        <w:rPr>
          <w:color w:val="000080"/>
        </w:rPr>
        <w:t xml:space="preserve"> </w:t>
      </w:r>
      <w:r w:rsidRPr="00410837">
        <w:rPr>
          <w:color w:val="000080"/>
        </w:rPr>
        <w:t>medically separated from the Army in 200</w:t>
      </w:r>
      <w:r w:rsidR="00A04C94" w:rsidRPr="00410837">
        <w:rPr>
          <w:color w:val="000080"/>
        </w:rPr>
        <w:t>4</w:t>
      </w:r>
      <w:r w:rsidRPr="00410837">
        <w:rPr>
          <w:color w:val="000080"/>
        </w:rPr>
        <w:t xml:space="preserve"> after </w:t>
      </w:r>
      <w:r w:rsidR="00A04C94" w:rsidRPr="00410837">
        <w:rPr>
          <w:color w:val="000080"/>
        </w:rPr>
        <w:t>3</w:t>
      </w:r>
      <w:r w:rsidRPr="00410837">
        <w:rPr>
          <w:color w:val="000080"/>
        </w:rPr>
        <w:t xml:space="preserve"> years of service.  The medical basis for the separation was </w:t>
      </w:r>
      <w:r w:rsidR="00A04C94" w:rsidRPr="00410837">
        <w:rPr>
          <w:color w:val="000080"/>
        </w:rPr>
        <w:t xml:space="preserve">a back condition.  He experienced an onset of low back pain without specific injury in 2001.  It was associated with intermittent left </w:t>
      </w:r>
      <w:r w:rsidR="00410837">
        <w:rPr>
          <w:color w:val="000080"/>
        </w:rPr>
        <w:t>sciatic</w:t>
      </w:r>
      <w:r w:rsidR="00A04C94" w:rsidRPr="00410837">
        <w:rPr>
          <w:color w:val="000080"/>
        </w:rPr>
        <w:t xml:space="preserve"> </w:t>
      </w:r>
      <w:proofErr w:type="spellStart"/>
      <w:r w:rsidR="00A04C94" w:rsidRPr="00410837">
        <w:rPr>
          <w:color w:val="000080"/>
        </w:rPr>
        <w:t>radicular</w:t>
      </w:r>
      <w:proofErr w:type="spellEnd"/>
      <w:r w:rsidR="00A04C94" w:rsidRPr="00410837">
        <w:rPr>
          <w:color w:val="000080"/>
        </w:rPr>
        <w:t xml:space="preserve"> symptoms, which w</w:t>
      </w:r>
      <w:r w:rsidR="00410837">
        <w:rPr>
          <w:color w:val="000080"/>
        </w:rPr>
        <w:t>as</w:t>
      </w:r>
      <w:r w:rsidR="00A04C94" w:rsidRPr="00410837">
        <w:rPr>
          <w:color w:val="000080"/>
        </w:rPr>
        <w:t xml:space="preserve"> not associated with positive neurologic findings or abnormal EMG (nerve conduction study).  An initial CT scan showed a mild disc protrusion at L5/S1, but a subsequent </w:t>
      </w:r>
      <w:r w:rsidR="00B85C36" w:rsidRPr="00B85C36">
        <w:rPr>
          <w:color w:val="000080"/>
        </w:rPr>
        <w:t xml:space="preserve">Magnetic Resonance Imaging </w:t>
      </w:r>
      <w:r w:rsidR="00B85C36">
        <w:rPr>
          <w:color w:val="000080"/>
        </w:rPr>
        <w:t>(</w:t>
      </w:r>
      <w:r w:rsidR="00A04C94" w:rsidRPr="00410837">
        <w:rPr>
          <w:color w:val="000080"/>
        </w:rPr>
        <w:t>MRI</w:t>
      </w:r>
      <w:r w:rsidR="00B85C36">
        <w:rPr>
          <w:color w:val="000080"/>
        </w:rPr>
        <w:t>)</w:t>
      </w:r>
      <w:r w:rsidR="00A04C94" w:rsidRPr="00410837">
        <w:rPr>
          <w:color w:val="000080"/>
        </w:rPr>
        <w:t xml:space="preserve"> was normal.  He was not a surgical candidate.  </w:t>
      </w:r>
      <w:r w:rsidR="005308BF" w:rsidRPr="00410837">
        <w:rPr>
          <w:color w:val="000080"/>
        </w:rPr>
        <w:t>C</w:t>
      </w:r>
      <w:r w:rsidR="00A04C94" w:rsidRPr="00410837">
        <w:rPr>
          <w:color w:val="000080"/>
        </w:rPr>
        <w:t xml:space="preserve">onservative management included opiate analgesics, physical therapy and epidural injections.  He did not respond adequately to perform within his </w:t>
      </w:r>
      <w:r w:rsidR="00B85C36" w:rsidRPr="00B85C36">
        <w:rPr>
          <w:color w:val="000080"/>
        </w:rPr>
        <w:t xml:space="preserve">Military Occupational Specialty </w:t>
      </w:r>
      <w:r w:rsidR="00B85C36">
        <w:rPr>
          <w:color w:val="000080"/>
        </w:rPr>
        <w:t>(</w:t>
      </w:r>
      <w:r w:rsidR="00A04C94" w:rsidRPr="00410837">
        <w:rPr>
          <w:color w:val="000080"/>
        </w:rPr>
        <w:t>MOS</w:t>
      </w:r>
      <w:r w:rsidR="00B85C36">
        <w:rPr>
          <w:color w:val="000080"/>
        </w:rPr>
        <w:t>)</w:t>
      </w:r>
      <w:r w:rsidR="00A04C94" w:rsidRPr="00410837">
        <w:rPr>
          <w:color w:val="000080"/>
        </w:rPr>
        <w:t xml:space="preserve"> or participate in the </w:t>
      </w:r>
      <w:r w:rsidR="00B85C36" w:rsidRPr="00B85C36">
        <w:rPr>
          <w:color w:val="000080"/>
        </w:rPr>
        <w:t xml:space="preserve">Army Physical Fitness Test </w:t>
      </w:r>
      <w:r w:rsidR="00B85C36">
        <w:rPr>
          <w:color w:val="000080"/>
        </w:rPr>
        <w:t>(</w:t>
      </w:r>
      <w:r w:rsidR="00A04C94" w:rsidRPr="00410837">
        <w:rPr>
          <w:color w:val="000080"/>
        </w:rPr>
        <w:t>APFT</w:t>
      </w:r>
      <w:r w:rsidR="00B85C36">
        <w:rPr>
          <w:color w:val="000080"/>
        </w:rPr>
        <w:t>)</w:t>
      </w:r>
      <w:r w:rsidR="00DA1EFB" w:rsidRPr="00410837">
        <w:rPr>
          <w:color w:val="000080"/>
        </w:rPr>
        <w:t xml:space="preserve">.  He was issued a permanent L3 profile and underwent a </w:t>
      </w:r>
      <w:r w:rsidR="00B85C36">
        <w:rPr>
          <w:color w:val="000080"/>
        </w:rPr>
        <w:t>Medical Evaluation Board (</w:t>
      </w:r>
      <w:r w:rsidR="00DA1EFB" w:rsidRPr="00410837">
        <w:rPr>
          <w:color w:val="000080"/>
        </w:rPr>
        <w:t>MEB</w:t>
      </w:r>
      <w:r w:rsidR="00B85C36">
        <w:rPr>
          <w:color w:val="000080"/>
        </w:rPr>
        <w:t>)</w:t>
      </w:r>
      <w:r w:rsidR="00DA1EFB" w:rsidRPr="00410837">
        <w:rPr>
          <w:color w:val="000080"/>
        </w:rPr>
        <w:t xml:space="preserve">.  His back condition was referred to the </w:t>
      </w:r>
      <w:r w:rsidR="00B85C36">
        <w:rPr>
          <w:color w:val="000080"/>
        </w:rPr>
        <w:t>Physical Evaluation Board (</w:t>
      </w:r>
      <w:r w:rsidR="00DA1EFB" w:rsidRPr="00410837">
        <w:rPr>
          <w:color w:val="000080"/>
        </w:rPr>
        <w:t>PEB</w:t>
      </w:r>
      <w:r w:rsidR="00B85C36">
        <w:rPr>
          <w:color w:val="000080"/>
        </w:rPr>
        <w:t>)</w:t>
      </w:r>
      <w:r w:rsidR="00DA1EFB" w:rsidRPr="00410837">
        <w:rPr>
          <w:color w:val="000080"/>
        </w:rPr>
        <w:t xml:space="preserve"> as medically unacceptable IAW AR 40-501.  Additional conditions supported in the DES packet are discussed below, but were not forwarded for PEB adjudication on the DA </w:t>
      </w:r>
      <w:r w:rsidR="00B85C36">
        <w:rPr>
          <w:color w:val="000080"/>
        </w:rPr>
        <w:t xml:space="preserve">Form </w:t>
      </w:r>
      <w:r w:rsidR="00DA1EFB" w:rsidRPr="00410837">
        <w:rPr>
          <w:color w:val="000080"/>
        </w:rPr>
        <w:t>3947.</w:t>
      </w:r>
      <w:r w:rsidR="005308BF" w:rsidRPr="00410837">
        <w:rPr>
          <w:color w:val="000080"/>
        </w:rPr>
        <w:t xml:space="preserve">  </w:t>
      </w:r>
      <w:r w:rsidR="00DA1EFB" w:rsidRPr="00410837">
        <w:rPr>
          <w:color w:val="000080"/>
        </w:rPr>
        <w:t xml:space="preserve">The CI was found unfit </w:t>
      </w:r>
      <w:proofErr w:type="gramStart"/>
      <w:r w:rsidR="00DA1EFB" w:rsidRPr="00410837">
        <w:rPr>
          <w:color w:val="000080"/>
        </w:rPr>
        <w:t>for</w:t>
      </w:r>
      <w:proofErr w:type="gramEnd"/>
      <w:r w:rsidR="00DA1EFB" w:rsidRPr="00410837">
        <w:rPr>
          <w:color w:val="000080"/>
        </w:rPr>
        <w:t xml:space="preserve"> the back condition and medically separated with a disability rating of 10%.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410837" w:rsidRDefault="002C6E5B" w:rsidP="00410837">
      <w:pPr>
        <w:tabs>
          <w:tab w:val="left" w:pos="288"/>
          <w:tab w:val="left" w:pos="4752"/>
        </w:tabs>
        <w:spacing w:line="240" w:lineRule="exact"/>
        <w:jc w:val="both"/>
        <w:rPr>
          <w:color w:val="000080"/>
        </w:rPr>
      </w:pPr>
      <w:r w:rsidRPr="00410837">
        <w:rPr>
          <w:color w:val="000080"/>
          <w:u w:val="single"/>
        </w:rPr>
        <w:t>CI CONTENTION</w:t>
      </w:r>
      <w:r w:rsidRPr="00410837">
        <w:rPr>
          <w:color w:val="000080"/>
        </w:rPr>
        <w:t>:  The CI states:</w:t>
      </w:r>
      <w:r w:rsidR="00C932C5" w:rsidRPr="00410837">
        <w:rPr>
          <w:color w:val="000080"/>
        </w:rPr>
        <w:t xml:space="preserve"> ‘</w:t>
      </w:r>
      <w:r w:rsidR="0053175B" w:rsidRPr="00410837">
        <w:rPr>
          <w:color w:val="000080"/>
        </w:rPr>
        <w:t>I would greatly appreciate your reconsideration due to some of the difficulties I experience such as</w:t>
      </w:r>
      <w:r w:rsidR="00410837">
        <w:rPr>
          <w:color w:val="000080"/>
        </w:rPr>
        <w:t>...</w:t>
      </w:r>
      <w:r w:rsidR="00C932C5" w:rsidRPr="00410837">
        <w:rPr>
          <w:color w:val="000080"/>
        </w:rPr>
        <w:t>’</w:t>
      </w:r>
      <w:r w:rsidR="00896535" w:rsidRPr="00410837">
        <w:rPr>
          <w:color w:val="000080"/>
        </w:rPr>
        <w:t xml:space="preserve">  </w:t>
      </w:r>
      <w:r w:rsidR="0053175B" w:rsidRPr="00410837">
        <w:rPr>
          <w:color w:val="000080"/>
        </w:rPr>
        <w:t xml:space="preserve">He goes on to describe examples of his current </w:t>
      </w:r>
      <w:r w:rsidR="00410837">
        <w:rPr>
          <w:color w:val="000080"/>
        </w:rPr>
        <w:t xml:space="preserve">level of </w:t>
      </w:r>
      <w:r w:rsidR="0053175B" w:rsidRPr="00410837">
        <w:rPr>
          <w:color w:val="000080"/>
        </w:rPr>
        <w:t xml:space="preserve">disability and </w:t>
      </w:r>
      <w:r w:rsidR="00410837">
        <w:rPr>
          <w:color w:val="000080"/>
        </w:rPr>
        <w:t xml:space="preserve">significant </w:t>
      </w:r>
      <w:r w:rsidR="0053175B" w:rsidRPr="00410837">
        <w:rPr>
          <w:color w:val="000080"/>
        </w:rPr>
        <w:t xml:space="preserve">difficulties associated with his back condition.  </w:t>
      </w:r>
      <w:r w:rsidR="00896535" w:rsidRPr="00410837">
        <w:rPr>
          <w:color w:val="000080"/>
        </w:rPr>
        <w:t>He elaborates no specific contentions regarding rating or coding and mentions no additionally contended conditions.</w:t>
      </w:r>
      <w:r w:rsidR="003E0B5A" w:rsidRPr="00410837">
        <w:rPr>
          <w:color w:val="000080"/>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410837" w:rsidRDefault="002C6E5B" w:rsidP="00875F2D">
      <w:pPr>
        <w:tabs>
          <w:tab w:val="left" w:pos="288"/>
          <w:tab w:val="left" w:pos="4752"/>
        </w:tabs>
        <w:spacing w:line="240" w:lineRule="exact"/>
        <w:jc w:val="both"/>
        <w:rPr>
          <w:color w:val="000080"/>
        </w:rPr>
      </w:pPr>
      <w:r w:rsidRPr="00410837">
        <w:rPr>
          <w:color w:val="000080"/>
          <w:u w:val="single"/>
        </w:rPr>
        <w:t>RATING COMPARISON</w:t>
      </w:r>
      <w:r w:rsidRPr="00410837">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1710"/>
        <w:gridCol w:w="720"/>
        <w:gridCol w:w="900"/>
        <w:gridCol w:w="2070"/>
        <w:gridCol w:w="360"/>
        <w:gridCol w:w="720"/>
        <w:gridCol w:w="810"/>
        <w:gridCol w:w="990"/>
        <w:gridCol w:w="990"/>
      </w:tblGrid>
      <w:tr w:rsidR="002F6C33" w:rsidRPr="002A685E" w:rsidTr="002F6C33">
        <w:trPr>
          <w:trHeight w:val="233"/>
        </w:trPr>
        <w:tc>
          <w:tcPr>
            <w:tcW w:w="3330" w:type="dxa"/>
            <w:gridSpan w:val="3"/>
            <w:tcBorders>
              <w:right w:val="thinThickThinSmallGap" w:sz="24" w:space="0" w:color="auto"/>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Pr>
                <w:rFonts w:cs="Times New Roman"/>
                <w:b/>
                <w:color w:val="002060"/>
                <w:sz w:val="20"/>
                <w:szCs w:val="20"/>
              </w:rPr>
              <w:t xml:space="preserve"> – Dated </w:t>
            </w:r>
            <w:r w:rsidRPr="00DA1EFB">
              <w:rPr>
                <w:rFonts w:cs="Times New Roman"/>
                <w:b/>
                <w:color w:val="002060"/>
                <w:sz w:val="20"/>
                <w:szCs w:val="20"/>
              </w:rPr>
              <w:t>20031029</w:t>
            </w:r>
          </w:p>
        </w:tc>
        <w:tc>
          <w:tcPr>
            <w:tcW w:w="5940" w:type="dxa"/>
            <w:gridSpan w:val="6"/>
            <w:tcBorders>
              <w:left w:val="thinThickThinSmallGap" w:sz="24" w:space="0" w:color="auto"/>
            </w:tcBorders>
            <w:shd w:val="clear" w:color="auto" w:fill="C6D9F1" w:themeFill="text2" w:themeFillTint="33"/>
          </w:tcPr>
          <w:p w:rsidR="00D57BD3" w:rsidRPr="002A685E" w:rsidRDefault="00D57BD3" w:rsidP="00404F6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404F63">
              <w:rPr>
                <w:rFonts w:cs="Times New Roman"/>
                <w:b/>
                <w:color w:val="002060"/>
                <w:sz w:val="20"/>
                <w:szCs w:val="20"/>
              </w:rPr>
              <w:t>Pre-</w:t>
            </w:r>
            <w:r w:rsidRPr="002A685E">
              <w:rPr>
                <w:rFonts w:cs="Times New Roman"/>
                <w:b/>
                <w:color w:val="002060"/>
                <w:sz w:val="20"/>
                <w:szCs w:val="20"/>
              </w:rPr>
              <w:t>Separation</w:t>
            </w:r>
            <w:r w:rsidR="002F6C33">
              <w:rPr>
                <w:rFonts w:cs="Times New Roman"/>
                <w:b/>
                <w:color w:val="002060"/>
                <w:sz w:val="20"/>
                <w:szCs w:val="20"/>
              </w:rPr>
              <w:t xml:space="preserve"> → 3 Mo. after Separation</w:t>
            </w:r>
            <w:r w:rsidRPr="002A685E">
              <w:rPr>
                <w:rFonts w:cs="Times New Roman"/>
                <w:b/>
                <w:color w:val="002060"/>
                <w:sz w:val="20"/>
                <w:szCs w:val="20"/>
              </w:rPr>
              <w:t>)</w:t>
            </w:r>
          </w:p>
        </w:tc>
      </w:tr>
      <w:tr w:rsidR="002F6C33" w:rsidRPr="002A685E" w:rsidTr="002F6C33">
        <w:trPr>
          <w:trHeight w:val="233"/>
        </w:trPr>
        <w:tc>
          <w:tcPr>
            <w:tcW w:w="1710" w:type="dxa"/>
            <w:tcBorders>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900" w:type="dxa"/>
            <w:tcBorders>
              <w:bottom w:val="single" w:sz="4" w:space="0" w:color="000000" w:themeColor="text1"/>
              <w:right w:val="thinThickThinSmallGap" w:sz="24" w:space="0" w:color="auto"/>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430" w:type="dxa"/>
            <w:gridSpan w:val="2"/>
            <w:tcBorders>
              <w:left w:val="thinThickThinSmallGap" w:sz="24" w:space="0" w:color="auto"/>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c>
          <w:tcPr>
            <w:tcW w:w="990" w:type="dxa"/>
            <w:tcBorders>
              <w:bottom w:val="single" w:sz="4" w:space="0" w:color="000000" w:themeColor="text1"/>
            </w:tcBorders>
            <w:shd w:val="clear" w:color="auto" w:fill="C6D9F1" w:themeFill="text2" w:themeFillTint="33"/>
          </w:tcPr>
          <w:p w:rsidR="00D57BD3" w:rsidRPr="002A685E" w:rsidRDefault="00D57BD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Effective</w:t>
            </w:r>
          </w:p>
        </w:tc>
      </w:tr>
      <w:tr w:rsidR="002F6C33" w:rsidRPr="002A685E" w:rsidTr="002F6C33">
        <w:trPr>
          <w:trHeight w:val="240"/>
        </w:trPr>
        <w:tc>
          <w:tcPr>
            <w:tcW w:w="1710" w:type="dxa"/>
            <w:vMerge w:val="restart"/>
            <w:shd w:val="clear" w:color="auto" w:fill="FFFFFF" w:themeFill="background1"/>
          </w:tcPr>
          <w:p w:rsidR="00D57BD3" w:rsidRPr="00505444" w:rsidRDefault="00D57BD3" w:rsidP="00505444">
            <w:pPr>
              <w:pStyle w:val="ListParagraph"/>
              <w:spacing w:after="0" w:line="240" w:lineRule="auto"/>
              <w:ind w:left="0"/>
              <w:rPr>
                <w:rFonts w:eastAsiaTheme="minorEastAsia"/>
                <w:color w:val="002060"/>
                <w:sz w:val="18"/>
                <w:szCs w:val="18"/>
              </w:rPr>
            </w:pPr>
            <w:r w:rsidRPr="00505444">
              <w:rPr>
                <w:rFonts w:eastAsiaTheme="minorEastAsia"/>
                <w:color w:val="002060"/>
                <w:sz w:val="18"/>
                <w:szCs w:val="18"/>
              </w:rPr>
              <w:t>Chronic Low Back Pain…</w:t>
            </w:r>
          </w:p>
        </w:tc>
        <w:tc>
          <w:tcPr>
            <w:tcW w:w="720" w:type="dxa"/>
            <w:vMerge w:val="restart"/>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5299</w:t>
            </w:r>
            <w:r w:rsidR="00404F63" w:rsidRPr="00505444">
              <w:rPr>
                <w:rFonts w:eastAsiaTheme="minorEastAsia"/>
                <w:color w:val="002060"/>
                <w:sz w:val="18"/>
                <w:szCs w:val="18"/>
              </w:rPr>
              <w:t>-</w:t>
            </w:r>
            <w:r w:rsidRPr="00505444">
              <w:rPr>
                <w:rFonts w:eastAsiaTheme="minorEastAsia"/>
                <w:color w:val="002060"/>
                <w:sz w:val="18"/>
                <w:szCs w:val="18"/>
              </w:rPr>
              <w:t xml:space="preserve"> 5237</w:t>
            </w:r>
          </w:p>
        </w:tc>
        <w:tc>
          <w:tcPr>
            <w:tcW w:w="900" w:type="dxa"/>
            <w:vMerge w:val="restart"/>
            <w:tcBorders>
              <w:right w:val="thinThickThinSmallGap" w:sz="2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10%</w:t>
            </w:r>
          </w:p>
        </w:tc>
        <w:tc>
          <w:tcPr>
            <w:tcW w:w="2430" w:type="dxa"/>
            <w:gridSpan w:val="2"/>
            <w:vMerge w:val="restart"/>
            <w:tcBorders>
              <w:left w:val="thinThickThinSmallGap" w:sz="24" w:space="0" w:color="auto"/>
            </w:tcBorders>
            <w:shd w:val="clear" w:color="auto" w:fill="FFFFFF" w:themeFill="background1"/>
          </w:tcPr>
          <w:p w:rsidR="00D57BD3" w:rsidRPr="00505444" w:rsidRDefault="00D57BD3" w:rsidP="00505444">
            <w:pPr>
              <w:pStyle w:val="ListParagraph"/>
              <w:spacing w:after="0" w:line="240" w:lineRule="auto"/>
              <w:ind w:left="0"/>
              <w:rPr>
                <w:rFonts w:eastAsiaTheme="minorEastAsia"/>
                <w:color w:val="002060"/>
                <w:sz w:val="18"/>
                <w:szCs w:val="18"/>
              </w:rPr>
            </w:pPr>
            <w:proofErr w:type="spellStart"/>
            <w:r w:rsidRPr="00505444">
              <w:rPr>
                <w:rFonts w:eastAsiaTheme="minorEastAsia"/>
                <w:color w:val="002060"/>
                <w:sz w:val="18"/>
                <w:szCs w:val="18"/>
              </w:rPr>
              <w:t>Thoracolumbar</w:t>
            </w:r>
            <w:proofErr w:type="spellEnd"/>
            <w:r w:rsidRPr="00505444">
              <w:rPr>
                <w:rFonts w:eastAsiaTheme="minorEastAsia"/>
                <w:color w:val="002060"/>
                <w:sz w:val="18"/>
                <w:szCs w:val="18"/>
              </w:rPr>
              <w:t xml:space="preserve"> Somatic Dysfunction</w:t>
            </w:r>
          </w:p>
        </w:tc>
        <w:tc>
          <w:tcPr>
            <w:tcW w:w="720" w:type="dxa"/>
            <w:vMerge w:val="restart"/>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5237</w:t>
            </w:r>
          </w:p>
        </w:tc>
        <w:tc>
          <w:tcPr>
            <w:tcW w:w="810" w:type="dxa"/>
            <w:tcBorders>
              <w:bottom w:val="single" w:sz="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10%</w:t>
            </w:r>
          </w:p>
        </w:tc>
        <w:tc>
          <w:tcPr>
            <w:tcW w:w="990" w:type="dxa"/>
            <w:tcBorders>
              <w:bottom w:val="single" w:sz="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20031103</w:t>
            </w:r>
          </w:p>
        </w:tc>
        <w:tc>
          <w:tcPr>
            <w:tcW w:w="990" w:type="dxa"/>
            <w:tcBorders>
              <w:bottom w:val="single" w:sz="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20040202</w:t>
            </w:r>
          </w:p>
        </w:tc>
      </w:tr>
      <w:tr w:rsidR="002F6C33" w:rsidRPr="002A685E" w:rsidTr="002F6C33">
        <w:trPr>
          <w:trHeight w:val="184"/>
        </w:trPr>
        <w:tc>
          <w:tcPr>
            <w:tcW w:w="1710" w:type="dxa"/>
            <w:vMerge/>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p>
        </w:tc>
        <w:tc>
          <w:tcPr>
            <w:tcW w:w="720" w:type="dxa"/>
            <w:vMerge/>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p>
        </w:tc>
        <w:tc>
          <w:tcPr>
            <w:tcW w:w="900" w:type="dxa"/>
            <w:vMerge/>
            <w:tcBorders>
              <w:right w:val="thinThickThinSmallGap" w:sz="2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p>
        </w:tc>
        <w:tc>
          <w:tcPr>
            <w:tcW w:w="2430" w:type="dxa"/>
            <w:gridSpan w:val="2"/>
            <w:vMerge/>
            <w:tcBorders>
              <w:left w:val="thinThickThinSmallGap" w:sz="24" w:space="0" w:color="auto"/>
            </w:tcBorders>
            <w:shd w:val="clear" w:color="auto" w:fill="FFFFFF" w:themeFill="background1"/>
          </w:tcPr>
          <w:p w:rsidR="00D57BD3" w:rsidRPr="00505444" w:rsidRDefault="00D57BD3" w:rsidP="00505444">
            <w:pPr>
              <w:pStyle w:val="ListParagraph"/>
              <w:spacing w:after="0" w:line="240" w:lineRule="auto"/>
              <w:ind w:left="0"/>
              <w:rPr>
                <w:rFonts w:eastAsiaTheme="minorEastAsia"/>
                <w:color w:val="002060"/>
                <w:sz w:val="18"/>
                <w:szCs w:val="18"/>
              </w:rPr>
            </w:pPr>
          </w:p>
        </w:tc>
        <w:tc>
          <w:tcPr>
            <w:tcW w:w="720" w:type="dxa"/>
            <w:vMerge/>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p>
        </w:tc>
        <w:tc>
          <w:tcPr>
            <w:tcW w:w="810" w:type="dxa"/>
            <w:tcBorders>
              <w:top w:val="single" w:sz="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w:t>
            </w:r>
          </w:p>
        </w:tc>
        <w:tc>
          <w:tcPr>
            <w:tcW w:w="990" w:type="dxa"/>
            <w:tcBorders>
              <w:top w:val="single" w:sz="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20040512</w:t>
            </w:r>
          </w:p>
        </w:tc>
        <w:tc>
          <w:tcPr>
            <w:tcW w:w="990" w:type="dxa"/>
            <w:tcBorders>
              <w:top w:val="single" w:sz="4" w:space="0" w:color="auto"/>
            </w:tcBorders>
            <w:shd w:val="clear" w:color="auto" w:fill="FFFFFF" w:themeFill="background1"/>
          </w:tcPr>
          <w:p w:rsidR="00D57BD3" w:rsidRPr="00505444" w:rsidRDefault="00D57BD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20040407</w:t>
            </w:r>
          </w:p>
        </w:tc>
      </w:tr>
      <w:tr w:rsidR="002F6C33" w:rsidRPr="002A685E" w:rsidTr="002F6C33">
        <w:trPr>
          <w:trHeight w:val="143"/>
        </w:trPr>
        <w:tc>
          <w:tcPr>
            <w:tcW w:w="3330" w:type="dxa"/>
            <w:gridSpan w:val="3"/>
            <w:vMerge w:val="restart"/>
            <w:tcBorders>
              <w:right w:val="thinThickThinSmallGap" w:sz="24" w:space="0" w:color="auto"/>
            </w:tcBorders>
            <w:shd w:val="clear" w:color="auto" w:fill="FFFFFF" w:themeFill="background1"/>
          </w:tcPr>
          <w:p w:rsidR="002F6C33" w:rsidRPr="00505444" w:rsidRDefault="002F6C33" w:rsidP="00D57BD3">
            <w:pPr>
              <w:pStyle w:val="ListParagraph"/>
              <w:spacing w:after="0" w:line="240" w:lineRule="auto"/>
              <w:ind w:left="0"/>
              <w:jc w:val="center"/>
              <w:rPr>
                <w:rFonts w:eastAsiaTheme="minorEastAsia"/>
                <w:color w:val="002060"/>
                <w:sz w:val="18"/>
                <w:szCs w:val="18"/>
              </w:rPr>
            </w:pPr>
            <w:r w:rsidRPr="00FD0AA0">
              <w:rPr>
                <w:rFonts w:eastAsiaTheme="minorEastAsia"/>
                <w:color w:val="002060"/>
                <w:sz w:val="18"/>
                <w:szCs w:val="18"/>
              </w:rPr>
              <w:t xml:space="preserve">↓No Additional DA </w:t>
            </w:r>
            <w:r w:rsidR="00B85C36">
              <w:rPr>
                <w:rFonts w:eastAsiaTheme="minorEastAsia"/>
                <w:color w:val="002060"/>
                <w:sz w:val="18"/>
                <w:szCs w:val="18"/>
              </w:rPr>
              <w:t xml:space="preserve">Form </w:t>
            </w:r>
            <w:r w:rsidRPr="00FD0AA0">
              <w:rPr>
                <w:rFonts w:eastAsiaTheme="minorEastAsia"/>
                <w:color w:val="002060"/>
                <w:sz w:val="18"/>
                <w:szCs w:val="18"/>
              </w:rPr>
              <w:t>3947 Entries.↓</w:t>
            </w:r>
          </w:p>
        </w:tc>
        <w:tc>
          <w:tcPr>
            <w:tcW w:w="2430" w:type="dxa"/>
            <w:gridSpan w:val="2"/>
            <w:tcBorders>
              <w:left w:val="thinThickThinSmallGap" w:sz="24" w:space="0" w:color="auto"/>
            </w:tcBorders>
            <w:shd w:val="clear" w:color="auto" w:fill="FFFFFF" w:themeFill="background1"/>
          </w:tcPr>
          <w:p w:rsidR="002F6C33" w:rsidRPr="00505444" w:rsidRDefault="002F6C33" w:rsidP="00505444">
            <w:pPr>
              <w:pStyle w:val="ListParagraph"/>
              <w:spacing w:after="0" w:line="240" w:lineRule="auto"/>
              <w:ind w:left="0"/>
              <w:rPr>
                <w:rFonts w:eastAsiaTheme="minorEastAsia"/>
                <w:color w:val="002060"/>
                <w:sz w:val="18"/>
                <w:szCs w:val="18"/>
              </w:rPr>
            </w:pPr>
            <w:proofErr w:type="spellStart"/>
            <w:r w:rsidRPr="00505444">
              <w:rPr>
                <w:rFonts w:eastAsiaTheme="minorEastAsia"/>
                <w:color w:val="002060"/>
                <w:sz w:val="18"/>
                <w:szCs w:val="18"/>
              </w:rPr>
              <w:t>Epicondylitis</w:t>
            </w:r>
            <w:proofErr w:type="spellEnd"/>
            <w:r w:rsidRPr="00505444">
              <w:rPr>
                <w:rFonts w:eastAsiaTheme="minorEastAsia"/>
                <w:color w:val="002060"/>
                <w:sz w:val="18"/>
                <w:szCs w:val="18"/>
              </w:rPr>
              <w:t>, Right Elbow</w:t>
            </w:r>
          </w:p>
        </w:tc>
        <w:tc>
          <w:tcPr>
            <w:tcW w:w="72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5206</w:t>
            </w:r>
          </w:p>
        </w:tc>
        <w:tc>
          <w:tcPr>
            <w:tcW w:w="81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10%</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 xml:space="preserve">20031103 </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20040202</w:t>
            </w:r>
          </w:p>
        </w:tc>
      </w:tr>
      <w:tr w:rsidR="002F6C33" w:rsidRPr="002A685E" w:rsidTr="00505444">
        <w:trPr>
          <w:trHeight w:val="143"/>
        </w:trPr>
        <w:tc>
          <w:tcPr>
            <w:tcW w:w="3330" w:type="dxa"/>
            <w:gridSpan w:val="3"/>
            <w:vMerge/>
            <w:tcBorders>
              <w:right w:val="thinThickThinSmallGap" w:sz="24" w:space="0" w:color="auto"/>
            </w:tcBorders>
            <w:shd w:val="clear" w:color="auto" w:fill="FFFFFF" w:themeFill="background1"/>
          </w:tcPr>
          <w:p w:rsidR="002F6C33" w:rsidRPr="00FD0AA0" w:rsidRDefault="002F6C33" w:rsidP="00D57BD3">
            <w:pPr>
              <w:pStyle w:val="ListParagraph"/>
              <w:spacing w:after="0" w:line="240" w:lineRule="auto"/>
              <w:ind w:left="0"/>
              <w:jc w:val="center"/>
              <w:rPr>
                <w:rFonts w:eastAsiaTheme="minorEastAsia"/>
                <w:color w:val="002060"/>
                <w:sz w:val="18"/>
                <w:szCs w:val="18"/>
              </w:rPr>
            </w:pPr>
          </w:p>
        </w:tc>
        <w:tc>
          <w:tcPr>
            <w:tcW w:w="2070" w:type="dxa"/>
            <w:tcBorders>
              <w:left w:val="thinThickThinSmallGap" w:sz="24" w:space="0" w:color="auto"/>
              <w:right w:val="single" w:sz="4" w:space="0" w:color="auto"/>
            </w:tcBorders>
            <w:shd w:val="clear" w:color="auto" w:fill="FFFFFF" w:themeFill="background1"/>
          </w:tcPr>
          <w:p w:rsidR="002F6C33" w:rsidRPr="00505444" w:rsidRDefault="002F6C33" w:rsidP="00505444">
            <w:pPr>
              <w:pStyle w:val="ListParagraph"/>
              <w:spacing w:after="0" w:line="240" w:lineRule="auto"/>
              <w:ind w:left="0"/>
              <w:rPr>
                <w:rFonts w:eastAsiaTheme="minorEastAsia"/>
                <w:color w:val="002060"/>
                <w:sz w:val="18"/>
                <w:szCs w:val="18"/>
              </w:rPr>
            </w:pPr>
            <w:r w:rsidRPr="00505444">
              <w:rPr>
                <w:rFonts w:eastAsiaTheme="minorEastAsia"/>
                <w:color w:val="002060"/>
                <w:sz w:val="18"/>
                <w:szCs w:val="18"/>
              </w:rPr>
              <w:t>Reactive Airway Disease</w:t>
            </w:r>
          </w:p>
        </w:tc>
        <w:tc>
          <w:tcPr>
            <w:tcW w:w="1080" w:type="dxa"/>
            <w:gridSpan w:val="2"/>
            <w:tcBorders>
              <w:left w:val="single" w:sz="4" w:space="0" w:color="auto"/>
            </w:tcBorders>
            <w:shd w:val="clear" w:color="auto" w:fill="FFFFFF" w:themeFill="background1"/>
          </w:tcPr>
          <w:p w:rsidR="002F6C33" w:rsidRPr="00505444" w:rsidRDefault="002F6C33" w:rsidP="00505444">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6699-6602</w:t>
            </w:r>
          </w:p>
        </w:tc>
        <w:tc>
          <w:tcPr>
            <w:tcW w:w="81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10%</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 xml:space="preserve">20031103 </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20040202</w:t>
            </w:r>
          </w:p>
        </w:tc>
      </w:tr>
      <w:tr w:rsidR="002F6C33" w:rsidRPr="002A685E" w:rsidTr="002F6C33">
        <w:trPr>
          <w:trHeight w:val="143"/>
        </w:trPr>
        <w:tc>
          <w:tcPr>
            <w:tcW w:w="3330" w:type="dxa"/>
            <w:gridSpan w:val="3"/>
            <w:vMerge/>
            <w:tcBorders>
              <w:right w:val="thinThickThinSmallGap" w:sz="24" w:space="0" w:color="auto"/>
            </w:tcBorders>
            <w:shd w:val="clear" w:color="auto" w:fill="FFFFFF" w:themeFill="background1"/>
          </w:tcPr>
          <w:p w:rsidR="002F6C33" w:rsidRPr="00FD0AA0" w:rsidRDefault="002F6C33" w:rsidP="00D57BD3">
            <w:pPr>
              <w:pStyle w:val="ListParagraph"/>
              <w:spacing w:after="0" w:line="240" w:lineRule="auto"/>
              <w:ind w:left="0"/>
              <w:jc w:val="center"/>
              <w:rPr>
                <w:rFonts w:eastAsiaTheme="minorEastAsia"/>
                <w:color w:val="002060"/>
                <w:sz w:val="18"/>
                <w:szCs w:val="18"/>
              </w:rPr>
            </w:pPr>
          </w:p>
        </w:tc>
        <w:tc>
          <w:tcPr>
            <w:tcW w:w="2430" w:type="dxa"/>
            <w:gridSpan w:val="2"/>
            <w:tcBorders>
              <w:left w:val="thinThickThinSmallGap" w:sz="24" w:space="0" w:color="auto"/>
            </w:tcBorders>
            <w:shd w:val="clear" w:color="auto" w:fill="FFFFFF" w:themeFill="background1"/>
          </w:tcPr>
          <w:p w:rsidR="002F6C33" w:rsidRPr="00505444" w:rsidRDefault="002F6C33" w:rsidP="00505444">
            <w:pPr>
              <w:pStyle w:val="ListParagraph"/>
              <w:spacing w:after="0" w:line="240" w:lineRule="auto"/>
              <w:ind w:left="0"/>
              <w:rPr>
                <w:rFonts w:eastAsiaTheme="minorEastAsia"/>
                <w:color w:val="002060"/>
                <w:sz w:val="18"/>
                <w:szCs w:val="18"/>
              </w:rPr>
            </w:pPr>
            <w:r w:rsidRPr="00505444">
              <w:rPr>
                <w:rFonts w:eastAsiaTheme="minorEastAsia"/>
                <w:color w:val="002060"/>
                <w:sz w:val="18"/>
                <w:szCs w:val="18"/>
              </w:rPr>
              <w:t>Major Depressive Disorder</w:t>
            </w:r>
          </w:p>
        </w:tc>
        <w:tc>
          <w:tcPr>
            <w:tcW w:w="72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9434</w:t>
            </w:r>
          </w:p>
        </w:tc>
        <w:tc>
          <w:tcPr>
            <w:tcW w:w="81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10%</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 xml:space="preserve">20031103 </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20040202</w:t>
            </w:r>
          </w:p>
        </w:tc>
      </w:tr>
      <w:tr w:rsidR="002F6C33" w:rsidRPr="002A685E" w:rsidTr="002F6C33">
        <w:trPr>
          <w:trHeight w:val="197"/>
        </w:trPr>
        <w:tc>
          <w:tcPr>
            <w:tcW w:w="3330" w:type="dxa"/>
            <w:gridSpan w:val="3"/>
            <w:vMerge/>
            <w:tcBorders>
              <w:right w:val="thinThickThinSmallGap" w:sz="24" w:space="0" w:color="auto"/>
            </w:tcBorders>
            <w:shd w:val="clear" w:color="auto" w:fill="FFFFFF" w:themeFill="background1"/>
          </w:tcPr>
          <w:p w:rsidR="002F6C33" w:rsidRPr="00505444" w:rsidRDefault="002F6C33" w:rsidP="00D57BD3">
            <w:pPr>
              <w:pStyle w:val="ListParagraph"/>
              <w:spacing w:after="0" w:line="240" w:lineRule="auto"/>
              <w:ind w:left="0"/>
              <w:jc w:val="center"/>
              <w:rPr>
                <w:rFonts w:eastAsiaTheme="minorEastAsia"/>
                <w:color w:val="002060"/>
                <w:sz w:val="18"/>
                <w:szCs w:val="18"/>
              </w:rPr>
            </w:pPr>
          </w:p>
        </w:tc>
        <w:tc>
          <w:tcPr>
            <w:tcW w:w="3960" w:type="dxa"/>
            <w:gridSpan w:val="4"/>
            <w:tcBorders>
              <w:left w:val="thinThickThinSmallGap" w:sz="24" w:space="0" w:color="auto"/>
            </w:tcBorders>
            <w:shd w:val="clear" w:color="auto" w:fill="FFFFFF" w:themeFill="background1"/>
          </w:tcPr>
          <w:p w:rsidR="002F6C33" w:rsidRPr="00505444" w:rsidRDefault="002F6C33" w:rsidP="00D57BD3">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Non-PEB X  4 / NSC X 1</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 xml:space="preserve">20031103 </w:t>
            </w:r>
          </w:p>
        </w:tc>
        <w:tc>
          <w:tcPr>
            <w:tcW w:w="990" w:type="dxa"/>
            <w:shd w:val="clear" w:color="auto" w:fill="FFFFFF" w:themeFill="background1"/>
          </w:tcPr>
          <w:p w:rsidR="002F6C33" w:rsidRPr="00505444" w:rsidRDefault="002F6C33" w:rsidP="00D9058F">
            <w:pPr>
              <w:pStyle w:val="ListParagraph"/>
              <w:spacing w:after="0" w:line="240" w:lineRule="auto"/>
              <w:ind w:left="0"/>
              <w:jc w:val="center"/>
              <w:rPr>
                <w:rFonts w:eastAsiaTheme="minorEastAsia"/>
                <w:color w:val="002060"/>
                <w:sz w:val="18"/>
                <w:szCs w:val="18"/>
              </w:rPr>
            </w:pPr>
            <w:r w:rsidRPr="00505444">
              <w:rPr>
                <w:rFonts w:eastAsiaTheme="minorEastAsia"/>
                <w:color w:val="002060"/>
                <w:sz w:val="18"/>
                <w:szCs w:val="18"/>
              </w:rPr>
              <w:t>20040202</w:t>
            </w:r>
          </w:p>
        </w:tc>
      </w:tr>
      <w:tr w:rsidR="002F6C33" w:rsidRPr="002A685E" w:rsidTr="002F6C33">
        <w:trPr>
          <w:trHeight w:val="242"/>
        </w:trPr>
        <w:tc>
          <w:tcPr>
            <w:tcW w:w="3330" w:type="dxa"/>
            <w:gridSpan w:val="3"/>
            <w:tcBorders>
              <w:right w:val="thinThickThinSmallGap" w:sz="24" w:space="0" w:color="auto"/>
            </w:tcBorders>
            <w:shd w:val="clear" w:color="auto" w:fill="C6D9F1" w:themeFill="text2" w:themeFillTint="33"/>
          </w:tcPr>
          <w:p w:rsidR="002F6C33" w:rsidRPr="002A685E" w:rsidRDefault="002F6C33" w:rsidP="00D57BD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1</w:t>
            </w:r>
            <w:r w:rsidRPr="002A685E">
              <w:rPr>
                <w:rFonts w:cs="Times New Roman"/>
                <w:b/>
                <w:color w:val="002060"/>
                <w:sz w:val="20"/>
                <w:szCs w:val="20"/>
              </w:rPr>
              <w:t>0%</w:t>
            </w:r>
          </w:p>
        </w:tc>
        <w:tc>
          <w:tcPr>
            <w:tcW w:w="5940" w:type="dxa"/>
            <w:gridSpan w:val="6"/>
            <w:tcBorders>
              <w:left w:val="thinThickThinSmallGap" w:sz="24" w:space="0" w:color="auto"/>
            </w:tcBorders>
            <w:shd w:val="clear" w:color="auto" w:fill="C6D9F1" w:themeFill="text2" w:themeFillTint="33"/>
          </w:tcPr>
          <w:p w:rsidR="002F6C33" w:rsidRPr="002A685E" w:rsidRDefault="002F6C33" w:rsidP="002F6C3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Pr>
                <w:rFonts w:cs="Times New Roman"/>
                <w:b/>
                <w:color w:val="002060"/>
                <w:sz w:val="20"/>
                <w:szCs w:val="20"/>
              </w:rPr>
              <w:t>3</w:t>
            </w:r>
            <w:r w:rsidRPr="002A685E">
              <w:rPr>
                <w:rFonts w:cs="Times New Roman"/>
                <w:b/>
                <w:color w:val="002060"/>
                <w:sz w:val="20"/>
                <w:szCs w:val="20"/>
              </w:rPr>
              <w:t xml:space="preserve">0% </w:t>
            </w:r>
            <w:r>
              <w:rPr>
                <w:rFonts w:cs="Times New Roman"/>
                <w:b/>
                <w:color w:val="002060"/>
                <w:sz w:val="20"/>
                <w:szCs w:val="20"/>
              </w:rPr>
              <w:t>(40% from 20040407)</w:t>
            </w:r>
            <w:r w:rsidRPr="002A685E">
              <w:rPr>
                <w:rFonts w:cs="Times New Roman"/>
                <w:b/>
                <w:color w:val="002060"/>
                <w:sz w:val="20"/>
                <w:szCs w:val="20"/>
              </w:rPr>
              <w:t xml:space="preserve">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2C6E5B" w:rsidRPr="00410837" w:rsidRDefault="002C6E5B" w:rsidP="00410837">
      <w:pPr>
        <w:tabs>
          <w:tab w:val="left" w:pos="288"/>
          <w:tab w:val="left" w:pos="4752"/>
        </w:tabs>
        <w:spacing w:line="240" w:lineRule="exact"/>
        <w:jc w:val="both"/>
        <w:rPr>
          <w:color w:val="000080"/>
        </w:rPr>
      </w:pPr>
      <w:r w:rsidRPr="00410837">
        <w:rPr>
          <w:color w:val="000080"/>
          <w:u w:val="single"/>
        </w:rPr>
        <w:lastRenderedPageBreak/>
        <w:t>ANALYSIS SUMMARY</w:t>
      </w:r>
      <w:r w:rsidRPr="00410837">
        <w:rPr>
          <w:color w:val="000080"/>
        </w:rPr>
        <w:t>:</w:t>
      </w:r>
    </w:p>
    <w:p w:rsidR="002C6E5B" w:rsidRPr="00410837" w:rsidRDefault="002C6E5B" w:rsidP="002C6E5B">
      <w:pPr>
        <w:tabs>
          <w:tab w:val="left" w:pos="288"/>
          <w:tab w:val="left" w:pos="4752"/>
        </w:tabs>
        <w:spacing w:line="240" w:lineRule="exact"/>
        <w:jc w:val="both"/>
        <w:rPr>
          <w:color w:val="000080"/>
        </w:rPr>
      </w:pPr>
    </w:p>
    <w:p w:rsidR="002C6E5B" w:rsidRPr="00410837" w:rsidRDefault="00F1375F" w:rsidP="00410837">
      <w:pPr>
        <w:tabs>
          <w:tab w:val="left" w:pos="288"/>
          <w:tab w:val="left" w:pos="4752"/>
        </w:tabs>
        <w:spacing w:line="240" w:lineRule="exact"/>
        <w:jc w:val="both"/>
        <w:rPr>
          <w:color w:val="000080"/>
        </w:rPr>
      </w:pPr>
      <w:r w:rsidRPr="00410837">
        <w:rPr>
          <w:color w:val="000080"/>
          <w:u w:val="single"/>
        </w:rPr>
        <w:t>Back</w:t>
      </w:r>
      <w:r w:rsidR="002C6E5B" w:rsidRPr="00410837">
        <w:rPr>
          <w:color w:val="000080"/>
          <w:u w:val="single"/>
        </w:rPr>
        <w:t xml:space="preserve"> Condition</w:t>
      </w:r>
      <w:r w:rsidR="002C6E5B" w:rsidRPr="00410837">
        <w:rPr>
          <w:color w:val="000080"/>
        </w:rPr>
        <w:t>.  The</w:t>
      </w:r>
      <w:r w:rsidRPr="00410837">
        <w:rPr>
          <w:color w:val="000080"/>
        </w:rPr>
        <w:t xml:space="preserve"> PEB’s DA </w:t>
      </w:r>
      <w:r w:rsidR="00B85C36">
        <w:rPr>
          <w:color w:val="000080"/>
        </w:rPr>
        <w:t xml:space="preserve">Form </w:t>
      </w:r>
      <w:r w:rsidRPr="00410837">
        <w:rPr>
          <w:color w:val="000080"/>
        </w:rPr>
        <w:t xml:space="preserve">199 did not reflect application of the </w:t>
      </w:r>
      <w:r w:rsidR="00B85C36">
        <w:rPr>
          <w:color w:val="000080"/>
        </w:rPr>
        <w:t>US Army Physical Disability Agency (</w:t>
      </w:r>
      <w:r w:rsidRPr="00410837">
        <w:rPr>
          <w:color w:val="000080"/>
        </w:rPr>
        <w:t>USAPDA</w:t>
      </w:r>
      <w:r w:rsidR="00B85C36">
        <w:rPr>
          <w:color w:val="000080"/>
        </w:rPr>
        <w:t>)</w:t>
      </w:r>
      <w:r w:rsidRPr="00410837">
        <w:rPr>
          <w:color w:val="000080"/>
        </w:rPr>
        <w:t xml:space="preserve"> pain policy and </w:t>
      </w:r>
      <w:r w:rsidR="005308BF" w:rsidRPr="00410837">
        <w:rPr>
          <w:color w:val="000080"/>
        </w:rPr>
        <w:t>the</w:t>
      </w:r>
      <w:r w:rsidRPr="00410837">
        <w:rPr>
          <w:color w:val="000080"/>
        </w:rPr>
        <w:t xml:space="preserve"> spine rating was IAW </w:t>
      </w:r>
      <w:r w:rsidR="00B85C36">
        <w:rPr>
          <w:color w:val="000080"/>
        </w:rPr>
        <w:t>Veterans Administration Schedule for Rating Disabilities (</w:t>
      </w:r>
      <w:r w:rsidRPr="00410837">
        <w:rPr>
          <w:color w:val="000080"/>
        </w:rPr>
        <w:t>VASRD</w:t>
      </w:r>
      <w:r w:rsidR="00B85C36">
        <w:rPr>
          <w:color w:val="000080"/>
        </w:rPr>
        <w:t>)</w:t>
      </w:r>
      <w:r w:rsidRPr="00410837">
        <w:rPr>
          <w:color w:val="000080"/>
        </w:rPr>
        <w:t xml:space="preserve"> §4.71a.  There are three goniometric range-of-motion (ROM) exams from which the Board may derive its rating recommendation.  The one reflected in the </w:t>
      </w:r>
      <w:r w:rsidR="00B85C36">
        <w:rPr>
          <w:color w:val="000080"/>
        </w:rPr>
        <w:t>narrative summary (</w:t>
      </w:r>
      <w:r w:rsidRPr="00410837">
        <w:rPr>
          <w:color w:val="000080"/>
        </w:rPr>
        <w:t>NARSUM</w:t>
      </w:r>
      <w:r w:rsidR="00B85C36">
        <w:rPr>
          <w:color w:val="000080"/>
        </w:rPr>
        <w:t>)</w:t>
      </w:r>
      <w:r w:rsidRPr="00410837">
        <w:rPr>
          <w:color w:val="000080"/>
        </w:rPr>
        <w:t>, from which the PEB derived its decision</w:t>
      </w:r>
      <w:r w:rsidR="0059060C" w:rsidRPr="00410837">
        <w:rPr>
          <w:color w:val="000080"/>
        </w:rPr>
        <w:t>,</w:t>
      </w:r>
      <w:r w:rsidRPr="00410837">
        <w:rPr>
          <w:color w:val="000080"/>
        </w:rPr>
        <w:t xml:space="preserve"> </w:t>
      </w:r>
      <w:r w:rsidR="00FA1E8A" w:rsidRPr="00410837">
        <w:rPr>
          <w:color w:val="000080"/>
        </w:rPr>
        <w:t xml:space="preserve">was not entirely precise.  The examiner noted ‘measurements’, but did not stipulate the use of a </w:t>
      </w:r>
      <w:proofErr w:type="spellStart"/>
      <w:r w:rsidR="00FA1E8A" w:rsidRPr="00410837">
        <w:rPr>
          <w:color w:val="000080"/>
        </w:rPr>
        <w:t>goniometer</w:t>
      </w:r>
      <w:proofErr w:type="spellEnd"/>
      <w:r w:rsidR="00FA1E8A" w:rsidRPr="00410837">
        <w:rPr>
          <w:color w:val="000080"/>
        </w:rPr>
        <w:t xml:space="preserve">.  The Board sees no imperative to assume otherwise, however.  Also the lateral flexion and rotation measurements were stated as ‘full’ rather than in degrees.  For purposes of application to the §4.71a spine formula, the Board assumes VASRD normal values for those four measurements.  There are two well-timed VA goniometric examinations in evidence.  One was a pre-separation </w:t>
      </w:r>
      <w:r w:rsidR="0059060C" w:rsidRPr="00410837">
        <w:rPr>
          <w:color w:val="000080"/>
        </w:rPr>
        <w:t xml:space="preserve">rating </w:t>
      </w:r>
      <w:r w:rsidR="00FA1E8A" w:rsidRPr="00410837">
        <w:rPr>
          <w:color w:val="000080"/>
        </w:rPr>
        <w:t>exam three months prior and the other was a rating exam performed three months after separation.  These examinations are summarized in the chart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746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616"/>
        <w:gridCol w:w="1710"/>
        <w:gridCol w:w="1980"/>
      </w:tblGrid>
      <w:tr w:rsidR="00560D57" w:rsidRPr="007862B0" w:rsidTr="00384866">
        <w:tc>
          <w:tcPr>
            <w:tcW w:w="2160" w:type="dxa"/>
            <w:shd w:val="clear" w:color="auto" w:fill="C6D9F1" w:themeFill="text2" w:themeFillTint="33"/>
          </w:tcPr>
          <w:p w:rsidR="00560D57" w:rsidRPr="00F81C35" w:rsidRDefault="00560D57" w:rsidP="00164E08">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616" w:type="dxa"/>
            <w:shd w:val="clear" w:color="auto" w:fill="C6D9F1" w:themeFill="text2" w:themeFillTint="33"/>
          </w:tcPr>
          <w:p w:rsidR="00560D57" w:rsidRPr="00F81C35" w:rsidRDefault="00505444" w:rsidP="00505444">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MEB</w:t>
            </w:r>
            <w:r w:rsidR="00560D57" w:rsidRPr="00F81C35">
              <w:rPr>
                <w:rFonts w:ascii="Calibri" w:eastAsia="Calibri" w:hAnsi="Calibri" w:cs="Times New Roman"/>
                <w:color w:val="002060"/>
              </w:rPr>
              <w:t xml:space="preserve"> – </w:t>
            </w:r>
            <w:r>
              <w:rPr>
                <w:rFonts w:ascii="Calibri" w:eastAsia="Calibri" w:hAnsi="Calibri" w:cs="Times New Roman"/>
                <w:color w:val="002060"/>
              </w:rPr>
              <w:t>9/23/03</w:t>
            </w:r>
          </w:p>
        </w:tc>
        <w:tc>
          <w:tcPr>
            <w:tcW w:w="1710" w:type="dxa"/>
            <w:shd w:val="clear" w:color="auto" w:fill="C6D9F1" w:themeFill="text2" w:themeFillTint="33"/>
          </w:tcPr>
          <w:p w:rsidR="00560D57" w:rsidRPr="00F81C35" w:rsidRDefault="00505444" w:rsidP="00505444">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VA</w:t>
            </w:r>
            <w:r w:rsidR="00560D57" w:rsidRPr="00F81C35">
              <w:rPr>
                <w:rFonts w:ascii="Calibri" w:eastAsia="Calibri" w:hAnsi="Calibri" w:cs="Times New Roman"/>
                <w:color w:val="002060"/>
              </w:rPr>
              <w:t xml:space="preserve"> </w:t>
            </w:r>
            <w:r>
              <w:rPr>
                <w:rFonts w:ascii="Calibri" w:eastAsia="Calibri" w:hAnsi="Calibri" w:cs="Times New Roman"/>
                <w:color w:val="002060"/>
              </w:rPr>
              <w:t>–</w:t>
            </w:r>
            <w:r w:rsidR="00560D57" w:rsidRPr="00F81C35">
              <w:rPr>
                <w:rFonts w:ascii="Calibri" w:eastAsia="Calibri" w:hAnsi="Calibri" w:cs="Times New Roman"/>
                <w:color w:val="002060"/>
              </w:rPr>
              <w:t xml:space="preserve"> </w:t>
            </w:r>
            <w:r>
              <w:rPr>
                <w:rFonts w:ascii="Calibri" w:eastAsia="Calibri" w:hAnsi="Calibri" w:cs="Times New Roman"/>
                <w:color w:val="002060"/>
              </w:rPr>
              <w:t>11/03/03</w:t>
            </w:r>
          </w:p>
        </w:tc>
        <w:tc>
          <w:tcPr>
            <w:tcW w:w="1980" w:type="dxa"/>
            <w:shd w:val="clear" w:color="auto" w:fill="C6D9F1" w:themeFill="text2" w:themeFillTint="33"/>
          </w:tcPr>
          <w:p w:rsidR="00560D57" w:rsidRPr="00F81C35" w:rsidRDefault="00560D57" w:rsidP="00505444">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w:t>
            </w:r>
            <w:r w:rsidR="00505444">
              <w:rPr>
                <w:rFonts w:ascii="Calibri" w:hAnsi="Calibri"/>
                <w:color w:val="002060"/>
              </w:rPr>
              <w:t>–</w:t>
            </w:r>
            <w:r w:rsidRPr="00F81C35">
              <w:rPr>
                <w:rFonts w:ascii="Calibri" w:hAnsi="Calibri"/>
                <w:color w:val="002060"/>
              </w:rPr>
              <w:t xml:space="preserve"> </w:t>
            </w:r>
            <w:r w:rsidR="00505444">
              <w:rPr>
                <w:rFonts w:ascii="Calibri" w:eastAsia="Calibri" w:hAnsi="Calibri" w:cs="Times New Roman"/>
                <w:color w:val="002060"/>
              </w:rPr>
              <w:t>5/12/04</w:t>
            </w:r>
          </w:p>
        </w:tc>
      </w:tr>
      <w:tr w:rsidR="00560D57" w:rsidRPr="00140096" w:rsidTr="00384866">
        <w:tc>
          <w:tcPr>
            <w:tcW w:w="2160" w:type="dxa"/>
          </w:tcPr>
          <w:p w:rsidR="00560D57" w:rsidRPr="00F81C35" w:rsidRDefault="00560D57"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616" w:type="dxa"/>
          </w:tcPr>
          <w:p w:rsidR="00560D57" w:rsidRPr="00F81C35" w:rsidRDefault="00505444"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8</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710" w:type="dxa"/>
          </w:tcPr>
          <w:p w:rsidR="00560D57" w:rsidRPr="00F81C35" w:rsidRDefault="00F1375F"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8</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980" w:type="dxa"/>
          </w:tcPr>
          <w:p w:rsidR="00560D57" w:rsidRPr="00F81C35" w:rsidRDefault="00505444"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55</w:t>
            </w:r>
            <w:r w:rsidR="00560D57" w:rsidRPr="00F81C35">
              <w:rPr>
                <w:rFonts w:ascii="Calibri" w:eastAsia="Calibri" w:hAnsi="Calibri" w:cs="Times New Roman"/>
                <w:color w:val="002060"/>
              </w:rPr>
              <w:t>⁰</w:t>
            </w:r>
          </w:p>
        </w:tc>
      </w:tr>
      <w:tr w:rsidR="00560D57" w:rsidRPr="00D340CE" w:rsidTr="00384866">
        <w:tc>
          <w:tcPr>
            <w:tcW w:w="2160" w:type="dxa"/>
          </w:tcPr>
          <w:p w:rsidR="00560D57" w:rsidRPr="00F81C35" w:rsidRDefault="00560D57"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616" w:type="dxa"/>
          </w:tcPr>
          <w:p w:rsidR="00560D57" w:rsidRPr="00F81C35" w:rsidRDefault="00505444"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≥24</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710" w:type="dxa"/>
          </w:tcPr>
          <w:p w:rsidR="00560D57" w:rsidRPr="00F81C35" w:rsidRDefault="00F1375F" w:rsidP="00560D5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≥24</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 xml:space="preserve">⁰ </w:t>
            </w:r>
          </w:p>
        </w:tc>
        <w:tc>
          <w:tcPr>
            <w:tcW w:w="1980" w:type="dxa"/>
          </w:tcPr>
          <w:p w:rsidR="00560D57" w:rsidRPr="00F81C35" w:rsidRDefault="00F1375F"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19</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r>
      <w:tr w:rsidR="00194930" w:rsidRPr="004E0248" w:rsidTr="00384866">
        <w:tc>
          <w:tcPr>
            <w:tcW w:w="2160" w:type="dxa"/>
          </w:tcPr>
          <w:p w:rsidR="00194930" w:rsidRPr="00F81C35" w:rsidRDefault="00194930"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616" w:type="dxa"/>
          </w:tcPr>
          <w:p w:rsidR="00194930" w:rsidRPr="00F81C35" w:rsidRDefault="00505444"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384866" w:rsidRPr="00F81C35">
              <w:rPr>
                <w:rFonts w:asciiTheme="minorHAnsi" w:eastAsiaTheme="minorHAnsi" w:hAnsiTheme="minorHAnsi"/>
                <w:color w:val="002060"/>
                <w:sz w:val="22"/>
                <w:szCs w:val="22"/>
              </w:rPr>
              <w:t>0</w:t>
            </w:r>
            <w:r w:rsidR="00194930" w:rsidRPr="00F81C35">
              <w:rPr>
                <w:rFonts w:asciiTheme="minorHAnsi" w:eastAsiaTheme="minorHAnsi" w:hAnsiTheme="minorHAnsi"/>
                <w:color w:val="002060"/>
                <w:sz w:val="22"/>
                <w:szCs w:val="22"/>
              </w:rPr>
              <w:t>%</w:t>
            </w:r>
          </w:p>
        </w:tc>
        <w:tc>
          <w:tcPr>
            <w:tcW w:w="1710" w:type="dxa"/>
          </w:tcPr>
          <w:p w:rsidR="00194930" w:rsidRPr="00F81C35" w:rsidRDefault="00F1375F"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194930" w:rsidRPr="00F81C35">
              <w:rPr>
                <w:rFonts w:asciiTheme="minorHAnsi" w:eastAsiaTheme="minorHAnsi" w:hAnsiTheme="minorHAnsi"/>
                <w:color w:val="002060"/>
                <w:sz w:val="22"/>
                <w:szCs w:val="22"/>
              </w:rPr>
              <w:t>0%</w:t>
            </w:r>
          </w:p>
        </w:tc>
        <w:tc>
          <w:tcPr>
            <w:tcW w:w="1980" w:type="dxa"/>
          </w:tcPr>
          <w:p w:rsidR="00194930" w:rsidRPr="00F81C35" w:rsidRDefault="00F1375F"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00194930" w:rsidRPr="00F81C35">
              <w:rPr>
                <w:rFonts w:asciiTheme="minorHAnsi" w:eastAsiaTheme="minorHAnsi" w:hAnsiTheme="minorHAnsi"/>
                <w:color w:val="002060"/>
                <w:sz w:val="22"/>
                <w:szCs w:val="22"/>
              </w:rPr>
              <w:t>0%</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C710A0" w:rsidRPr="00410837" w:rsidRDefault="00FA1E8A" w:rsidP="00410837">
      <w:pPr>
        <w:tabs>
          <w:tab w:val="left" w:pos="288"/>
          <w:tab w:val="left" w:pos="4752"/>
        </w:tabs>
        <w:spacing w:line="240" w:lineRule="exact"/>
        <w:jc w:val="both"/>
        <w:rPr>
          <w:color w:val="000080"/>
        </w:rPr>
      </w:pPr>
      <w:r w:rsidRPr="00410837">
        <w:rPr>
          <w:color w:val="000080"/>
        </w:rPr>
        <w:t>The MEB examin</w:t>
      </w:r>
      <w:r w:rsidR="0059060C" w:rsidRPr="00410837">
        <w:rPr>
          <w:color w:val="000080"/>
        </w:rPr>
        <w:t>er</w:t>
      </w:r>
      <w:r w:rsidRPr="00410837">
        <w:rPr>
          <w:color w:val="000080"/>
        </w:rPr>
        <w:t xml:space="preserve"> did not specify pain on motion or </w:t>
      </w:r>
      <w:r w:rsidR="00BB02F8" w:rsidRPr="00410837">
        <w:rPr>
          <w:color w:val="000080"/>
        </w:rPr>
        <w:t xml:space="preserve">stipulate measurements based on pain.  The VA examinations did specify pain end-points and those are the values </w:t>
      </w:r>
      <w:r w:rsidR="008A24C1">
        <w:rPr>
          <w:color w:val="000080"/>
        </w:rPr>
        <w:t>record</w:t>
      </w:r>
      <w:r w:rsidR="00BB02F8" w:rsidRPr="00410837">
        <w:rPr>
          <w:color w:val="000080"/>
        </w:rPr>
        <w:t>ed above.  All of the examinations noted tenderness.  None of them documented abnormal contour and all specified a normal gait.</w:t>
      </w:r>
      <w:r w:rsidR="00660F82" w:rsidRPr="00410837">
        <w:rPr>
          <w:color w:val="000080"/>
        </w:rPr>
        <w:t xml:space="preserve">  The VA examination at three months resulted in an appropriate raise of the spine rating to 20%, albeit not retroactive to separation.  The timing falls well within the 12 month window specified in </w:t>
      </w:r>
      <w:proofErr w:type="spellStart"/>
      <w:r w:rsidR="00660F82" w:rsidRPr="00410837">
        <w:rPr>
          <w:color w:val="000080"/>
        </w:rPr>
        <w:t>DoDI</w:t>
      </w:r>
      <w:proofErr w:type="spellEnd"/>
      <w:r w:rsidR="00660F82" w:rsidRPr="00410837">
        <w:rPr>
          <w:color w:val="000080"/>
        </w:rPr>
        <w:t xml:space="preserve"> 6040.44 </w:t>
      </w:r>
      <w:r w:rsidR="008E220B" w:rsidRPr="00410837">
        <w:rPr>
          <w:color w:val="000080"/>
        </w:rPr>
        <w:t xml:space="preserve">as a basis for Board recommendation.  The probative value of that exam is </w:t>
      </w:r>
      <w:r w:rsidR="008A24C1">
        <w:rPr>
          <w:color w:val="000080"/>
        </w:rPr>
        <w:t>somewhat</w:t>
      </w:r>
      <w:r w:rsidR="008E220B" w:rsidRPr="00410837">
        <w:rPr>
          <w:color w:val="000080"/>
        </w:rPr>
        <w:t xml:space="preserve"> greater than that of the MEB exam because of the imprecision of the latter </w:t>
      </w:r>
      <w:r w:rsidR="0059060C" w:rsidRPr="00410837">
        <w:rPr>
          <w:color w:val="000080"/>
        </w:rPr>
        <w:t>(discussed</w:t>
      </w:r>
      <w:r w:rsidR="008E220B" w:rsidRPr="00410837">
        <w:rPr>
          <w:color w:val="000080"/>
        </w:rPr>
        <w:t xml:space="preserve"> above</w:t>
      </w:r>
      <w:r w:rsidR="0059060C" w:rsidRPr="00410837">
        <w:rPr>
          <w:color w:val="000080"/>
        </w:rPr>
        <w:t>)</w:t>
      </w:r>
      <w:r w:rsidR="008E220B" w:rsidRPr="00410837">
        <w:rPr>
          <w:color w:val="000080"/>
        </w:rPr>
        <w:t xml:space="preserve">.  It does not, however, outweigh the pre-separation VA rating examination.  The service treatment record was reviewed for comparison examinations corroborating the impaired ROM documented on the second VA exam.  There are numerous clinical notes and one neurosurgical consult during the MEB period which commented on lumbar ROM.  Although none of them provided formal or estimated measurements, all noted normal or ‘full’ ROM.  Most of them noted spasm or tenderness, but none noted </w:t>
      </w:r>
      <w:proofErr w:type="spellStart"/>
      <w:r w:rsidR="008E220B" w:rsidRPr="00410837">
        <w:rPr>
          <w:color w:val="000080"/>
        </w:rPr>
        <w:t>antalgic</w:t>
      </w:r>
      <w:proofErr w:type="spellEnd"/>
      <w:r w:rsidR="008E220B" w:rsidRPr="00410837">
        <w:rPr>
          <w:color w:val="000080"/>
        </w:rPr>
        <w:t xml:space="preserve"> gait or abnormal contour.</w:t>
      </w:r>
      <w:r w:rsidR="00C710A0" w:rsidRPr="00410837">
        <w:rPr>
          <w:color w:val="000080"/>
        </w:rPr>
        <w:t xml:space="preserve">  All evidence considered</w:t>
      </w:r>
      <w:proofErr w:type="gramStart"/>
      <w:r w:rsidR="00C710A0" w:rsidRPr="00410837">
        <w:rPr>
          <w:color w:val="000080"/>
        </w:rPr>
        <w:t>,</w:t>
      </w:r>
      <w:proofErr w:type="gramEnd"/>
      <w:r w:rsidR="00C710A0" w:rsidRPr="00410837">
        <w:rPr>
          <w:color w:val="000080"/>
        </w:rPr>
        <w:t xml:space="preserve"> there is not reasonable doubt in the CI’s favor supporting </w:t>
      </w:r>
      <w:proofErr w:type="spellStart"/>
      <w:r w:rsidR="00C710A0" w:rsidRPr="00410837">
        <w:rPr>
          <w:color w:val="000080"/>
        </w:rPr>
        <w:t>recharacterization</w:t>
      </w:r>
      <w:proofErr w:type="spellEnd"/>
      <w:r w:rsidR="00C710A0" w:rsidRPr="00410837">
        <w:rPr>
          <w:color w:val="000080"/>
        </w:rPr>
        <w:t xml:space="preserve"> of the PEB adjudication for the lumbar spine condition.</w:t>
      </w:r>
      <w:r w:rsidR="00F26A5F" w:rsidRPr="00410837">
        <w:rPr>
          <w:color w:val="000080"/>
        </w:rPr>
        <w:t xml:space="preserve">  </w:t>
      </w:r>
    </w:p>
    <w:p w:rsidR="00FA1E8A" w:rsidRPr="00410837" w:rsidRDefault="00FA1E8A" w:rsidP="00410837">
      <w:pPr>
        <w:tabs>
          <w:tab w:val="left" w:pos="288"/>
          <w:tab w:val="left" w:pos="4752"/>
        </w:tabs>
        <w:spacing w:line="240" w:lineRule="exact"/>
        <w:jc w:val="both"/>
        <w:rPr>
          <w:color w:val="000080"/>
        </w:rPr>
      </w:pPr>
    </w:p>
    <w:p w:rsidR="00BB02F8" w:rsidRPr="00410837" w:rsidRDefault="00660F82" w:rsidP="00410837">
      <w:pPr>
        <w:tabs>
          <w:tab w:val="left" w:pos="288"/>
          <w:tab w:val="left" w:pos="4752"/>
        </w:tabs>
        <w:spacing w:line="240" w:lineRule="exact"/>
        <w:jc w:val="both"/>
        <w:rPr>
          <w:color w:val="000080"/>
        </w:rPr>
      </w:pPr>
      <w:proofErr w:type="spellStart"/>
      <w:proofErr w:type="gramStart"/>
      <w:r w:rsidRPr="00410837">
        <w:rPr>
          <w:color w:val="000080"/>
          <w:u w:val="single"/>
        </w:rPr>
        <w:t>Radiculopathy</w:t>
      </w:r>
      <w:proofErr w:type="spellEnd"/>
      <w:r w:rsidRPr="00410837">
        <w:rPr>
          <w:color w:val="000080"/>
        </w:rPr>
        <w:t>.</w:t>
      </w:r>
      <w:proofErr w:type="gramEnd"/>
      <w:r w:rsidRPr="00410837">
        <w:rPr>
          <w:color w:val="000080"/>
        </w:rPr>
        <w:t xml:space="preserve">  </w:t>
      </w:r>
      <w:r w:rsidR="00BB02F8" w:rsidRPr="00410837">
        <w:rPr>
          <w:color w:val="000080"/>
        </w:rPr>
        <w:t xml:space="preserve">The Board deliberated if an additional peripheral nerve rating was justified by the left sciatic </w:t>
      </w:r>
      <w:proofErr w:type="spellStart"/>
      <w:r w:rsidR="0059060C" w:rsidRPr="00410837">
        <w:rPr>
          <w:color w:val="000080"/>
        </w:rPr>
        <w:t>radiculopathy</w:t>
      </w:r>
      <w:proofErr w:type="spellEnd"/>
      <w:r w:rsidR="0059060C" w:rsidRPr="00410837">
        <w:rPr>
          <w:color w:val="000080"/>
        </w:rPr>
        <w:t xml:space="preserve"> evidenced</w:t>
      </w:r>
      <w:r w:rsidRPr="00410837">
        <w:rPr>
          <w:color w:val="000080"/>
        </w:rPr>
        <w:t xml:space="preserve"> in </w:t>
      </w:r>
      <w:r w:rsidR="00BB02F8" w:rsidRPr="00410837">
        <w:rPr>
          <w:color w:val="000080"/>
        </w:rPr>
        <w:t>th</w:t>
      </w:r>
      <w:r w:rsidR="0059060C" w:rsidRPr="00410837">
        <w:rPr>
          <w:color w:val="000080"/>
        </w:rPr>
        <w:t>e</w:t>
      </w:r>
      <w:r w:rsidR="00BB02F8" w:rsidRPr="00410837">
        <w:rPr>
          <w:color w:val="000080"/>
        </w:rPr>
        <w:t xml:space="preserve"> case.  The normal EMG and neurologic examinations were noted on the DA </w:t>
      </w:r>
      <w:r w:rsidR="00B85C36">
        <w:rPr>
          <w:color w:val="000080"/>
        </w:rPr>
        <w:t xml:space="preserve">Form </w:t>
      </w:r>
      <w:r w:rsidR="00BB02F8" w:rsidRPr="00410837">
        <w:rPr>
          <w:color w:val="000080"/>
        </w:rPr>
        <w:t xml:space="preserve">199 in that </w:t>
      </w:r>
      <w:r w:rsidR="00BB02F8" w:rsidRPr="00410837">
        <w:rPr>
          <w:color w:val="000080"/>
        </w:rPr>
        <w:lastRenderedPageBreak/>
        <w:t xml:space="preserve">regard.  All three of the examinations referenced above also documented normal sensory, motor and reflex examinations.  The VA did not find a basis for coding or rating peripheral nerve impairment.  Board precedent is that a functional impairment tied to fitness is </w:t>
      </w:r>
      <w:r w:rsidR="007A3556" w:rsidRPr="00410837">
        <w:rPr>
          <w:color w:val="000080"/>
        </w:rPr>
        <w:t>required</w:t>
      </w:r>
      <w:r w:rsidR="00BB02F8" w:rsidRPr="00410837">
        <w:rPr>
          <w:color w:val="000080"/>
        </w:rPr>
        <w:t xml:space="preserve"> </w:t>
      </w:r>
      <w:r w:rsidR="007A3556" w:rsidRPr="00410837">
        <w:rPr>
          <w:color w:val="000080"/>
        </w:rPr>
        <w:t>to support a</w:t>
      </w:r>
      <w:r w:rsidR="00BB02F8" w:rsidRPr="00410837">
        <w:rPr>
          <w:color w:val="000080"/>
        </w:rPr>
        <w:t xml:space="preserve"> recommendation </w:t>
      </w:r>
      <w:r w:rsidR="007A3556" w:rsidRPr="00410837">
        <w:rPr>
          <w:color w:val="000080"/>
        </w:rPr>
        <w:t>for addition of</w:t>
      </w:r>
      <w:r w:rsidR="00BB02F8" w:rsidRPr="00410837">
        <w:rPr>
          <w:color w:val="000080"/>
        </w:rPr>
        <w:t xml:space="preserve"> a peripheral nerve rating at separation.</w:t>
      </w:r>
      <w:r w:rsidR="007A3556" w:rsidRPr="00410837">
        <w:rPr>
          <w:color w:val="000080"/>
        </w:rPr>
        <w:t xml:space="preserve">  The pain component of a </w:t>
      </w:r>
      <w:proofErr w:type="spellStart"/>
      <w:r w:rsidR="007A3556" w:rsidRPr="00410837">
        <w:rPr>
          <w:color w:val="000080"/>
        </w:rPr>
        <w:t>radiculopathy</w:t>
      </w:r>
      <w:proofErr w:type="spellEnd"/>
      <w:r w:rsidR="007A3556" w:rsidRPr="00410837">
        <w:rPr>
          <w:color w:val="000080"/>
        </w:rPr>
        <w:t xml:space="preserve"> is subsumed under the general spine rating as </w:t>
      </w:r>
      <w:r w:rsidRPr="00410837">
        <w:rPr>
          <w:color w:val="000080"/>
        </w:rPr>
        <w:t>specified</w:t>
      </w:r>
      <w:r w:rsidR="007A3556" w:rsidRPr="00410837">
        <w:rPr>
          <w:color w:val="000080"/>
        </w:rPr>
        <w:t xml:space="preserve"> in </w:t>
      </w:r>
      <w:r w:rsidRPr="00410837">
        <w:rPr>
          <w:color w:val="000080"/>
        </w:rPr>
        <w:t xml:space="preserve">§4.71a.  </w:t>
      </w:r>
      <w:r w:rsidR="007A3556" w:rsidRPr="00410837">
        <w:rPr>
          <w:color w:val="000080"/>
        </w:rPr>
        <w:t>Since no evidence of functional impairment exists in this case</w:t>
      </w:r>
      <w:r w:rsidRPr="00410837">
        <w:rPr>
          <w:color w:val="000080"/>
        </w:rPr>
        <w:t>, the Board cannot support a recommendation for additional rating on that basis.</w:t>
      </w:r>
    </w:p>
    <w:p w:rsidR="009A4F1B" w:rsidRDefault="00094E4F" w:rsidP="002C6E5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 </w:t>
      </w:r>
    </w:p>
    <w:p w:rsidR="00F26432" w:rsidRPr="00410837" w:rsidRDefault="002C6E5B" w:rsidP="00410837">
      <w:pPr>
        <w:tabs>
          <w:tab w:val="left" w:pos="288"/>
          <w:tab w:val="left" w:pos="4752"/>
        </w:tabs>
        <w:spacing w:line="240" w:lineRule="exact"/>
        <w:jc w:val="both"/>
        <w:rPr>
          <w:color w:val="000080"/>
        </w:rPr>
      </w:pPr>
      <w:proofErr w:type="gramStart"/>
      <w:r w:rsidRPr="00410837">
        <w:rPr>
          <w:color w:val="000080"/>
          <w:u w:val="single"/>
        </w:rPr>
        <w:t>Other Conditions</w:t>
      </w:r>
      <w:r w:rsidRPr="00410837">
        <w:rPr>
          <w:color w:val="000080"/>
        </w:rPr>
        <w:t>.</w:t>
      </w:r>
      <w:proofErr w:type="gramEnd"/>
      <w:r w:rsidRPr="00410837">
        <w:rPr>
          <w:color w:val="000080"/>
        </w:rPr>
        <w:t xml:space="preserve">  </w:t>
      </w:r>
      <w:r w:rsidR="00C710A0" w:rsidRPr="00410837">
        <w:rPr>
          <w:color w:val="000080"/>
        </w:rPr>
        <w:t xml:space="preserve">The NARSUM did not formally identify any other medical conditions at separation, although several conditions rated by the VA at separation were elaborated on the MEB physical and are thereby eligible for Board consideration.  </w:t>
      </w:r>
      <w:r w:rsidR="00C93E9B" w:rsidRPr="00410837">
        <w:rPr>
          <w:color w:val="000080"/>
        </w:rPr>
        <w:t xml:space="preserve">These included a right elbow condition, </w:t>
      </w:r>
      <w:r w:rsidR="000167EF" w:rsidRPr="00410837">
        <w:rPr>
          <w:color w:val="000080"/>
        </w:rPr>
        <w:t xml:space="preserve">bilateral wrist conditions, bilateral knee conditions, </w:t>
      </w:r>
      <w:proofErr w:type="spellStart"/>
      <w:r w:rsidR="000167EF" w:rsidRPr="00410837">
        <w:rPr>
          <w:color w:val="000080"/>
        </w:rPr>
        <w:t>tinea</w:t>
      </w:r>
      <w:proofErr w:type="spellEnd"/>
      <w:r w:rsidR="000167EF" w:rsidRPr="00410837">
        <w:rPr>
          <w:color w:val="000080"/>
        </w:rPr>
        <w:t xml:space="preserve"> </w:t>
      </w:r>
      <w:proofErr w:type="spellStart"/>
      <w:r w:rsidR="000167EF" w:rsidRPr="00410837">
        <w:rPr>
          <w:color w:val="000080"/>
        </w:rPr>
        <w:t>pedis</w:t>
      </w:r>
      <w:proofErr w:type="spellEnd"/>
      <w:r w:rsidR="000167EF" w:rsidRPr="00410837">
        <w:rPr>
          <w:color w:val="000080"/>
        </w:rPr>
        <w:t xml:space="preserve"> (athlete’s foot), allergic rhinitis, reactive airway disease and</w:t>
      </w:r>
      <w:r w:rsidR="00C93E9B" w:rsidRPr="00410837">
        <w:rPr>
          <w:color w:val="000080"/>
        </w:rPr>
        <w:t xml:space="preserve"> major depressive disorder.  The right elbow condition </w:t>
      </w:r>
      <w:r w:rsidR="000167EF" w:rsidRPr="00410837">
        <w:rPr>
          <w:color w:val="000080"/>
        </w:rPr>
        <w:t xml:space="preserve">was diagnosed as </w:t>
      </w:r>
      <w:proofErr w:type="spellStart"/>
      <w:r w:rsidR="000167EF" w:rsidRPr="00410837">
        <w:rPr>
          <w:color w:val="000080"/>
        </w:rPr>
        <w:t>epicondylitis</w:t>
      </w:r>
      <w:proofErr w:type="spellEnd"/>
      <w:r w:rsidR="000167EF" w:rsidRPr="00410837">
        <w:rPr>
          <w:color w:val="000080"/>
        </w:rPr>
        <w:t xml:space="preserve"> (tennis elbow) in 2002.  The bilateral wrist conditions were diagnosed as tendonitis in 2002.  The CI received a 10% VA rating for the elbow and the wrists were not service connected.  The conditions were noted in some clinical entries during the MEB period, but there were no clinical visits specifically for them.  </w:t>
      </w:r>
      <w:r w:rsidR="00F26A5F" w:rsidRPr="00410837">
        <w:rPr>
          <w:color w:val="000080"/>
        </w:rPr>
        <w:t xml:space="preserve">The physical profile was U1 and </w:t>
      </w:r>
      <w:r w:rsidR="00DF692B" w:rsidRPr="00410837">
        <w:rPr>
          <w:color w:val="000080"/>
        </w:rPr>
        <w:t xml:space="preserve">no upper extremity conditions or limitations were specified in the Commander’s statement.  No link to fitness can be drawn for </w:t>
      </w:r>
      <w:r w:rsidR="0057356E" w:rsidRPr="00410837">
        <w:rPr>
          <w:color w:val="000080"/>
        </w:rPr>
        <w:t>the elbow or wrist</w:t>
      </w:r>
      <w:r w:rsidR="00DF692B" w:rsidRPr="00410837">
        <w:rPr>
          <w:color w:val="000080"/>
        </w:rPr>
        <w:t xml:space="preserve"> conditions.  The CI experienced the onset of bilateral knee pain in 2002.  His left knee was mentioned in two clinical entries during the MEB period.  His VA diagnoses were </w:t>
      </w:r>
      <w:proofErr w:type="spellStart"/>
      <w:r w:rsidR="00DF692B" w:rsidRPr="00410837">
        <w:rPr>
          <w:color w:val="000080"/>
        </w:rPr>
        <w:t>patellofemoral</w:t>
      </w:r>
      <w:proofErr w:type="spellEnd"/>
      <w:r w:rsidR="00DF692B" w:rsidRPr="00410837">
        <w:rPr>
          <w:color w:val="000080"/>
        </w:rPr>
        <w:t xml:space="preserve"> syndrome and he received non-compensable ratings for each knee.  The </w:t>
      </w:r>
      <w:proofErr w:type="spellStart"/>
      <w:r w:rsidR="00DF692B" w:rsidRPr="00410837">
        <w:rPr>
          <w:color w:val="000080"/>
        </w:rPr>
        <w:t>tinea</w:t>
      </w:r>
      <w:proofErr w:type="spellEnd"/>
      <w:r w:rsidR="00DF692B" w:rsidRPr="00410837">
        <w:rPr>
          <w:color w:val="000080"/>
        </w:rPr>
        <w:t xml:space="preserve"> </w:t>
      </w:r>
      <w:proofErr w:type="spellStart"/>
      <w:r w:rsidR="00DF692B" w:rsidRPr="00410837">
        <w:rPr>
          <w:color w:val="000080"/>
        </w:rPr>
        <w:t>pedis</w:t>
      </w:r>
      <w:proofErr w:type="spellEnd"/>
      <w:r w:rsidR="00DF692B" w:rsidRPr="00410837">
        <w:rPr>
          <w:color w:val="000080"/>
        </w:rPr>
        <w:t xml:space="preserve"> </w:t>
      </w:r>
      <w:r w:rsidR="0059060C" w:rsidRPr="00410837">
        <w:rPr>
          <w:color w:val="000080"/>
        </w:rPr>
        <w:t>(</w:t>
      </w:r>
      <w:r w:rsidR="00DF692B" w:rsidRPr="00410837">
        <w:rPr>
          <w:color w:val="000080"/>
        </w:rPr>
        <w:t>and ‘corns’</w:t>
      </w:r>
      <w:r w:rsidR="0059060C" w:rsidRPr="00410837">
        <w:rPr>
          <w:color w:val="000080"/>
        </w:rPr>
        <w:t>)</w:t>
      </w:r>
      <w:r w:rsidR="00DF692B" w:rsidRPr="00410837">
        <w:rPr>
          <w:color w:val="000080"/>
        </w:rPr>
        <w:t xml:space="preserve"> were mentioned on the MEB physical, and attributed to </w:t>
      </w:r>
      <w:r w:rsidR="0059060C" w:rsidRPr="00410837">
        <w:rPr>
          <w:color w:val="000080"/>
        </w:rPr>
        <w:t>the wear</w:t>
      </w:r>
      <w:r w:rsidR="00DF692B" w:rsidRPr="00410837">
        <w:rPr>
          <w:color w:val="000080"/>
        </w:rPr>
        <w:t xml:space="preserve"> </w:t>
      </w:r>
      <w:r w:rsidR="0059060C" w:rsidRPr="00410837">
        <w:rPr>
          <w:color w:val="000080"/>
        </w:rPr>
        <w:t xml:space="preserve">of </w:t>
      </w:r>
      <w:r w:rsidR="00DF692B" w:rsidRPr="00410837">
        <w:rPr>
          <w:color w:val="000080"/>
        </w:rPr>
        <w:t xml:space="preserve">boots.  There was no footwear profile or active podiatric care during the MEB period.  The L3 physical profile was limited to the back condition.  Knee or foot problems were not noted in the Commander’s statement.  </w:t>
      </w:r>
      <w:r w:rsidR="0057356E" w:rsidRPr="00410837">
        <w:rPr>
          <w:color w:val="000080"/>
        </w:rPr>
        <w:t xml:space="preserve">No link to fitness can be drawn for the knee or foot conditions.  Allergic rhinitis was mentioned only as ‘allergies’ on the MEB physical and received a non-compensable rating from the VA.  The CI had a history of intermittent </w:t>
      </w:r>
      <w:proofErr w:type="spellStart"/>
      <w:r w:rsidR="0057356E" w:rsidRPr="00410837">
        <w:rPr>
          <w:color w:val="000080"/>
        </w:rPr>
        <w:t>bronchospasm</w:t>
      </w:r>
      <w:proofErr w:type="spellEnd"/>
      <w:r w:rsidR="0057356E" w:rsidRPr="00410837">
        <w:rPr>
          <w:color w:val="000080"/>
        </w:rPr>
        <w:t>, which was stable with occasional use of an inhaler.  These conditions were not clinically active during the MEB period.  The physical profile was P1 and the Commander’s statement was silent regarding these conditions.  No link to fitness can be drawn for the allergic rhinitis or allergy conditions.  The CI was diagnosed with major depressive disorder by a VA psychiatrist.  The MEB physical documented ‘nightmares’ and ‘counseling’.  The examiner clarified this as ‘depres</w:t>
      </w:r>
      <w:r w:rsidR="00410837">
        <w:rPr>
          <w:color w:val="000080"/>
        </w:rPr>
        <w:t>sion -</w:t>
      </w:r>
      <w:r w:rsidR="0057356E" w:rsidRPr="00410837">
        <w:rPr>
          <w:color w:val="000080"/>
        </w:rPr>
        <w:t xml:space="preserve"> stress secondary to job and low back pain [medical shorthand translated]’.  </w:t>
      </w:r>
      <w:r w:rsidR="00C07FE1" w:rsidRPr="00410837">
        <w:rPr>
          <w:color w:val="000080"/>
        </w:rPr>
        <w:t xml:space="preserve">No behavioral health notes were in evidence during the MEB period and no psychotherapeutic medications were prescribed at separation.  The VA psychiatric rating examination was performed prior to separation and supported a 10% rating under §4.130.  The global assessment of </w:t>
      </w:r>
      <w:r w:rsidR="00C07FE1" w:rsidRPr="00410837">
        <w:rPr>
          <w:color w:val="000080"/>
        </w:rPr>
        <w:lastRenderedPageBreak/>
        <w:t>functioning showed minimal, if any, impairment (GAF = 90).  The physical profile was S1 and the Commander’s statement noted no mental impairment.  No link to fitness can be drawn for the psychiatric condition.  No other conditions relevant for Board consideration are in evidence in the service or VA files.</w:t>
      </w:r>
    </w:p>
    <w:p w:rsidR="00C07FE1" w:rsidRPr="00410837" w:rsidRDefault="00C07FE1" w:rsidP="00410837">
      <w:pPr>
        <w:tabs>
          <w:tab w:val="left" w:pos="288"/>
          <w:tab w:val="left" w:pos="4752"/>
        </w:tabs>
        <w:spacing w:line="240" w:lineRule="exact"/>
        <w:jc w:val="both"/>
        <w:rPr>
          <w:color w:val="000080"/>
        </w:rPr>
      </w:pPr>
    </w:p>
    <w:p w:rsidR="00C07FE1" w:rsidRPr="00410837" w:rsidRDefault="00C07FE1" w:rsidP="00410837">
      <w:pPr>
        <w:tabs>
          <w:tab w:val="left" w:pos="288"/>
          <w:tab w:val="left" w:pos="4752"/>
        </w:tabs>
        <w:spacing w:line="240" w:lineRule="exact"/>
        <w:jc w:val="both"/>
        <w:rPr>
          <w:color w:val="000080"/>
        </w:rPr>
      </w:pPr>
      <w:r w:rsidRPr="00410837">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23ACF" w:rsidRPr="00410837" w:rsidRDefault="00C56FC8" w:rsidP="00410837">
      <w:pPr>
        <w:tabs>
          <w:tab w:val="left" w:pos="288"/>
          <w:tab w:val="left" w:pos="4752"/>
        </w:tabs>
        <w:spacing w:line="240" w:lineRule="exact"/>
        <w:jc w:val="both"/>
        <w:rPr>
          <w:color w:val="000080"/>
        </w:rPr>
      </w:pPr>
      <w:r w:rsidRPr="00410837">
        <w:rPr>
          <w:color w:val="000080"/>
          <w:u w:val="single"/>
        </w:rPr>
        <w:t>BOARD FINDINGS</w:t>
      </w:r>
      <w:r w:rsidRPr="00410837">
        <w:rPr>
          <w:color w:val="000080"/>
        </w:rPr>
        <w:t xml:space="preserve">:  IAW </w:t>
      </w:r>
      <w:proofErr w:type="spellStart"/>
      <w:r w:rsidRPr="00410837">
        <w:rPr>
          <w:color w:val="000080"/>
        </w:rPr>
        <w:t>DoDI</w:t>
      </w:r>
      <w:proofErr w:type="spellEnd"/>
      <w:r w:rsidRPr="00410837">
        <w:rPr>
          <w:color w:val="000080"/>
        </w:rPr>
        <w:t xml:space="preserve"> 6040.44, provisions of </w:t>
      </w:r>
      <w:proofErr w:type="spellStart"/>
      <w:r w:rsidRPr="00410837">
        <w:rPr>
          <w:color w:val="000080"/>
        </w:rPr>
        <w:t>DoD</w:t>
      </w:r>
      <w:proofErr w:type="spellEnd"/>
      <w:r w:rsidRPr="00410837">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410837">
        <w:rPr>
          <w:color w:val="000080"/>
        </w:rPr>
        <w:t xml:space="preserve"> </w:t>
      </w:r>
      <w:r w:rsidR="007639A5" w:rsidRPr="00410837">
        <w:rPr>
          <w:color w:val="000080"/>
        </w:rPr>
        <w:t xml:space="preserve">The Board did not surmise from the record or PEB ruling in this case that any prerogatives outside the VASRD were exercised.  In the matter of the lumbar spine condition and IAW VASRD §4.71a, the Board unanimously recommends no change in the PEB adjudication.  In the matter of the lumbar </w:t>
      </w:r>
      <w:proofErr w:type="spellStart"/>
      <w:r w:rsidR="007639A5" w:rsidRPr="00410837">
        <w:rPr>
          <w:color w:val="000080"/>
        </w:rPr>
        <w:t>radiculopathy</w:t>
      </w:r>
      <w:proofErr w:type="spellEnd"/>
      <w:r w:rsidR="007639A5" w:rsidRPr="00410837">
        <w:rPr>
          <w:color w:val="000080"/>
        </w:rPr>
        <w:t xml:space="preserve"> in evidence, the Board unanimously agrees that it cannot recommend additional disability rating for peripheral nerve impairment at separation.  </w:t>
      </w:r>
      <w:r w:rsidR="00423ACF" w:rsidRPr="00410837">
        <w:rPr>
          <w:color w:val="000080"/>
        </w:rPr>
        <w:t xml:space="preserve">In the matter of the right elbow condition, bilateral wrist conditions, bilateral knee conditions, </w:t>
      </w:r>
      <w:proofErr w:type="spellStart"/>
      <w:r w:rsidR="00423ACF" w:rsidRPr="00410837">
        <w:rPr>
          <w:color w:val="000080"/>
        </w:rPr>
        <w:t>tinea</w:t>
      </w:r>
      <w:proofErr w:type="spellEnd"/>
      <w:r w:rsidR="00423ACF" w:rsidRPr="00410837">
        <w:rPr>
          <w:color w:val="000080"/>
        </w:rPr>
        <w:t xml:space="preserve"> </w:t>
      </w:r>
      <w:proofErr w:type="spellStart"/>
      <w:r w:rsidR="00423ACF" w:rsidRPr="00410837">
        <w:rPr>
          <w:color w:val="000080"/>
        </w:rPr>
        <w:t>pedis</w:t>
      </w:r>
      <w:proofErr w:type="spellEnd"/>
      <w:r w:rsidR="00423ACF" w:rsidRPr="00410837">
        <w:rPr>
          <w:color w:val="000080"/>
        </w:rPr>
        <w:t>, allergic rhinitis, reactive airway disease, major depressive disorder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Pr="00410837" w:rsidRDefault="00C56FC8" w:rsidP="00875F2D">
      <w:pPr>
        <w:tabs>
          <w:tab w:val="left" w:pos="288"/>
          <w:tab w:val="left" w:pos="4752"/>
        </w:tabs>
        <w:spacing w:line="240" w:lineRule="exact"/>
        <w:jc w:val="both"/>
        <w:rPr>
          <w:color w:val="000080"/>
        </w:rPr>
      </w:pPr>
      <w:r w:rsidRPr="00410837">
        <w:rPr>
          <w:color w:val="000080"/>
          <w:u w:val="single"/>
        </w:rPr>
        <w:t>RECOMMENDATION</w:t>
      </w:r>
      <w:r w:rsidRPr="00410837">
        <w:rPr>
          <w:color w:val="000080"/>
        </w:rPr>
        <w:t xml:space="preserve">: </w:t>
      </w:r>
      <w:r w:rsidR="00423ACF" w:rsidRPr="00410837">
        <w:rPr>
          <w:color w:val="000080"/>
        </w:rPr>
        <w:t xml:space="preserve">The Board therefore recommends that there be no </w:t>
      </w:r>
      <w:proofErr w:type="spellStart"/>
      <w:r w:rsidR="00423ACF" w:rsidRPr="00410837">
        <w:rPr>
          <w:color w:val="000080"/>
        </w:rPr>
        <w:t>recharacterization</w:t>
      </w:r>
      <w:proofErr w:type="spellEnd"/>
      <w:r w:rsidR="00423ACF" w:rsidRPr="00410837">
        <w:rPr>
          <w:color w:val="000080"/>
        </w:rPr>
        <w:t xml:space="preserve"> of the CI’s disability and separation determination.</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8C0BF9">
        <w:rPr>
          <w:color w:val="000080"/>
        </w:rPr>
        <w:t>0310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9251B6" w:rsidRDefault="009251B6">
      <w:pPr>
        <w:rPr>
          <w:color w:val="000080"/>
        </w:rPr>
      </w:pPr>
      <w:r>
        <w:rPr>
          <w:color w:val="000080"/>
        </w:rPr>
        <w:br w:type="page"/>
      </w:r>
    </w:p>
    <w:p w:rsidR="009251B6" w:rsidRDefault="009251B6" w:rsidP="009251B6">
      <w:pPr>
        <w:pStyle w:val="Default"/>
        <w:framePr w:w="17186" w:wrap="auto" w:vAnchor="page" w:hAnchor="page" w:x="1" w:y="1"/>
      </w:pPr>
      <w:r>
        <w:rPr>
          <w:noProof/>
        </w:rPr>
        <w:lastRenderedPageBreak/>
        <w:drawing>
          <wp:inline distT="0" distB="0" distL="0" distR="0">
            <wp:extent cx="7849870" cy="10679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9870" cy="1067943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B6" w:rsidRDefault="004650B6">
      <w:r>
        <w:separator/>
      </w:r>
    </w:p>
  </w:endnote>
  <w:endnote w:type="continuationSeparator" w:id="0">
    <w:p w:rsidR="004650B6" w:rsidRDefault="004650B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352C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9352C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251B6">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8C0BF9">
      <w:rPr>
        <w:caps/>
        <w:color w:val="000080"/>
      </w:rPr>
      <w:t>235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B6" w:rsidRDefault="004650B6">
      <w:r>
        <w:separator/>
      </w:r>
    </w:p>
  </w:footnote>
  <w:footnote w:type="continuationSeparator" w:id="0">
    <w:p w:rsidR="004650B6" w:rsidRDefault="004650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55329"/>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167EF"/>
    <w:rsid w:val="00016C12"/>
    <w:rsid w:val="00023D43"/>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806AD"/>
    <w:rsid w:val="00082482"/>
    <w:rsid w:val="0008708B"/>
    <w:rsid w:val="00094E4F"/>
    <w:rsid w:val="000A2BCE"/>
    <w:rsid w:val="000A41E3"/>
    <w:rsid w:val="000A4BBA"/>
    <w:rsid w:val="000A5071"/>
    <w:rsid w:val="000C3C13"/>
    <w:rsid w:val="000C5813"/>
    <w:rsid w:val="000C7DE4"/>
    <w:rsid w:val="000D15E7"/>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EBA"/>
    <w:rsid w:val="001541C5"/>
    <w:rsid w:val="0015623F"/>
    <w:rsid w:val="00166182"/>
    <w:rsid w:val="00177659"/>
    <w:rsid w:val="001779E5"/>
    <w:rsid w:val="0018163D"/>
    <w:rsid w:val="00182A4C"/>
    <w:rsid w:val="00183F77"/>
    <w:rsid w:val="00185ECB"/>
    <w:rsid w:val="001870F0"/>
    <w:rsid w:val="0019273F"/>
    <w:rsid w:val="00193AD5"/>
    <w:rsid w:val="00194930"/>
    <w:rsid w:val="00194CFE"/>
    <w:rsid w:val="001A7538"/>
    <w:rsid w:val="001B4EC2"/>
    <w:rsid w:val="001B5B59"/>
    <w:rsid w:val="001C181A"/>
    <w:rsid w:val="001C2053"/>
    <w:rsid w:val="001C28D1"/>
    <w:rsid w:val="001C5CFC"/>
    <w:rsid w:val="001C7418"/>
    <w:rsid w:val="001D0051"/>
    <w:rsid w:val="001D2224"/>
    <w:rsid w:val="001D68CF"/>
    <w:rsid w:val="001D6A8C"/>
    <w:rsid w:val="001D7A56"/>
    <w:rsid w:val="001E18E0"/>
    <w:rsid w:val="001E18E2"/>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60531"/>
    <w:rsid w:val="0026318D"/>
    <w:rsid w:val="00270864"/>
    <w:rsid w:val="002712F7"/>
    <w:rsid w:val="0027159C"/>
    <w:rsid w:val="00274549"/>
    <w:rsid w:val="00274E46"/>
    <w:rsid w:val="00276C86"/>
    <w:rsid w:val="002A3237"/>
    <w:rsid w:val="002A685E"/>
    <w:rsid w:val="002A72C7"/>
    <w:rsid w:val="002B03B2"/>
    <w:rsid w:val="002B0749"/>
    <w:rsid w:val="002B2645"/>
    <w:rsid w:val="002C6E5B"/>
    <w:rsid w:val="002D0A88"/>
    <w:rsid w:val="002D18B4"/>
    <w:rsid w:val="002E1877"/>
    <w:rsid w:val="002E1C31"/>
    <w:rsid w:val="002E333A"/>
    <w:rsid w:val="002E3474"/>
    <w:rsid w:val="002E400C"/>
    <w:rsid w:val="002E49C3"/>
    <w:rsid w:val="002E7570"/>
    <w:rsid w:val="002E764B"/>
    <w:rsid w:val="002F0E28"/>
    <w:rsid w:val="002F287E"/>
    <w:rsid w:val="002F2D63"/>
    <w:rsid w:val="002F6C33"/>
    <w:rsid w:val="002F7F81"/>
    <w:rsid w:val="0030678B"/>
    <w:rsid w:val="00310CD7"/>
    <w:rsid w:val="00323E70"/>
    <w:rsid w:val="00326F7F"/>
    <w:rsid w:val="003320E8"/>
    <w:rsid w:val="0033555E"/>
    <w:rsid w:val="00336805"/>
    <w:rsid w:val="00337351"/>
    <w:rsid w:val="00341A54"/>
    <w:rsid w:val="0034669F"/>
    <w:rsid w:val="00351498"/>
    <w:rsid w:val="00352B22"/>
    <w:rsid w:val="0036319E"/>
    <w:rsid w:val="003632A4"/>
    <w:rsid w:val="00363362"/>
    <w:rsid w:val="00370EF5"/>
    <w:rsid w:val="00372251"/>
    <w:rsid w:val="0037520D"/>
    <w:rsid w:val="0037628C"/>
    <w:rsid w:val="00377BD2"/>
    <w:rsid w:val="003821E1"/>
    <w:rsid w:val="00384866"/>
    <w:rsid w:val="003857D4"/>
    <w:rsid w:val="00385D6F"/>
    <w:rsid w:val="00387095"/>
    <w:rsid w:val="00390092"/>
    <w:rsid w:val="00393651"/>
    <w:rsid w:val="003A41BA"/>
    <w:rsid w:val="003A6A99"/>
    <w:rsid w:val="003B227A"/>
    <w:rsid w:val="003D2BA3"/>
    <w:rsid w:val="003D3C22"/>
    <w:rsid w:val="003D7089"/>
    <w:rsid w:val="003D7DDB"/>
    <w:rsid w:val="003E02C7"/>
    <w:rsid w:val="003E0543"/>
    <w:rsid w:val="003E0B5A"/>
    <w:rsid w:val="003E31E3"/>
    <w:rsid w:val="003F58B0"/>
    <w:rsid w:val="004007E9"/>
    <w:rsid w:val="00401825"/>
    <w:rsid w:val="00401BBC"/>
    <w:rsid w:val="00403BFB"/>
    <w:rsid w:val="00404B45"/>
    <w:rsid w:val="00404F63"/>
    <w:rsid w:val="00406CC5"/>
    <w:rsid w:val="004074A4"/>
    <w:rsid w:val="004101B2"/>
    <w:rsid w:val="00410837"/>
    <w:rsid w:val="004123D7"/>
    <w:rsid w:val="004172DB"/>
    <w:rsid w:val="00422B75"/>
    <w:rsid w:val="00423ACF"/>
    <w:rsid w:val="00433F36"/>
    <w:rsid w:val="0043503A"/>
    <w:rsid w:val="0044384F"/>
    <w:rsid w:val="00446018"/>
    <w:rsid w:val="004543BC"/>
    <w:rsid w:val="0045645D"/>
    <w:rsid w:val="004574C6"/>
    <w:rsid w:val="00457BCF"/>
    <w:rsid w:val="00457DCE"/>
    <w:rsid w:val="00460E3F"/>
    <w:rsid w:val="004650B6"/>
    <w:rsid w:val="00467592"/>
    <w:rsid w:val="004718E7"/>
    <w:rsid w:val="004761CC"/>
    <w:rsid w:val="00481DA1"/>
    <w:rsid w:val="0049445D"/>
    <w:rsid w:val="00495350"/>
    <w:rsid w:val="004A24D2"/>
    <w:rsid w:val="004A4136"/>
    <w:rsid w:val="004A417B"/>
    <w:rsid w:val="004B03F3"/>
    <w:rsid w:val="004B6AF3"/>
    <w:rsid w:val="004B715E"/>
    <w:rsid w:val="004B7169"/>
    <w:rsid w:val="004B79C9"/>
    <w:rsid w:val="004C5E33"/>
    <w:rsid w:val="004C6CDA"/>
    <w:rsid w:val="004D10D4"/>
    <w:rsid w:val="004D16BD"/>
    <w:rsid w:val="004D6F2B"/>
    <w:rsid w:val="004E0248"/>
    <w:rsid w:val="004E32EA"/>
    <w:rsid w:val="004F3222"/>
    <w:rsid w:val="004F3BFA"/>
    <w:rsid w:val="00505444"/>
    <w:rsid w:val="00510588"/>
    <w:rsid w:val="0051146C"/>
    <w:rsid w:val="005222E7"/>
    <w:rsid w:val="00523E04"/>
    <w:rsid w:val="0052590B"/>
    <w:rsid w:val="00526591"/>
    <w:rsid w:val="00527178"/>
    <w:rsid w:val="005308BF"/>
    <w:rsid w:val="0053175B"/>
    <w:rsid w:val="005350A5"/>
    <w:rsid w:val="00536379"/>
    <w:rsid w:val="005400C5"/>
    <w:rsid w:val="00540BEF"/>
    <w:rsid w:val="005436C2"/>
    <w:rsid w:val="0055288D"/>
    <w:rsid w:val="00555259"/>
    <w:rsid w:val="00560D57"/>
    <w:rsid w:val="00562A94"/>
    <w:rsid w:val="005710A9"/>
    <w:rsid w:val="0057356E"/>
    <w:rsid w:val="0059060C"/>
    <w:rsid w:val="00593043"/>
    <w:rsid w:val="005A258C"/>
    <w:rsid w:val="005A3560"/>
    <w:rsid w:val="005A6C99"/>
    <w:rsid w:val="005B011A"/>
    <w:rsid w:val="005B1D8F"/>
    <w:rsid w:val="005B5B3D"/>
    <w:rsid w:val="005E3064"/>
    <w:rsid w:val="005F1115"/>
    <w:rsid w:val="005F27F2"/>
    <w:rsid w:val="005F424D"/>
    <w:rsid w:val="00606BEB"/>
    <w:rsid w:val="00613E26"/>
    <w:rsid w:val="00615641"/>
    <w:rsid w:val="006211D0"/>
    <w:rsid w:val="00624D0C"/>
    <w:rsid w:val="006307BA"/>
    <w:rsid w:val="00634C4A"/>
    <w:rsid w:val="0063532E"/>
    <w:rsid w:val="00637BDC"/>
    <w:rsid w:val="006418C9"/>
    <w:rsid w:val="00645046"/>
    <w:rsid w:val="00645EA2"/>
    <w:rsid w:val="00655BF1"/>
    <w:rsid w:val="00660F82"/>
    <w:rsid w:val="00662F08"/>
    <w:rsid w:val="00663589"/>
    <w:rsid w:val="00670DDC"/>
    <w:rsid w:val="00671EB4"/>
    <w:rsid w:val="0067443B"/>
    <w:rsid w:val="00684E2B"/>
    <w:rsid w:val="00690FDA"/>
    <w:rsid w:val="00694EEA"/>
    <w:rsid w:val="006955B4"/>
    <w:rsid w:val="00696476"/>
    <w:rsid w:val="006A10FA"/>
    <w:rsid w:val="006A40E6"/>
    <w:rsid w:val="006A5C07"/>
    <w:rsid w:val="006A75FA"/>
    <w:rsid w:val="006B07D5"/>
    <w:rsid w:val="006B1309"/>
    <w:rsid w:val="006B5923"/>
    <w:rsid w:val="006B67D9"/>
    <w:rsid w:val="006B67F6"/>
    <w:rsid w:val="006B6C14"/>
    <w:rsid w:val="006C3A68"/>
    <w:rsid w:val="006C6AB1"/>
    <w:rsid w:val="006D2D39"/>
    <w:rsid w:val="006E06D1"/>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3254D"/>
    <w:rsid w:val="00736A49"/>
    <w:rsid w:val="00743C2D"/>
    <w:rsid w:val="00744EBB"/>
    <w:rsid w:val="00746AE2"/>
    <w:rsid w:val="00750C82"/>
    <w:rsid w:val="0076100C"/>
    <w:rsid w:val="007639A5"/>
    <w:rsid w:val="007651ED"/>
    <w:rsid w:val="00766C87"/>
    <w:rsid w:val="00781BD4"/>
    <w:rsid w:val="00784832"/>
    <w:rsid w:val="00785D77"/>
    <w:rsid w:val="00786111"/>
    <w:rsid w:val="00791F1E"/>
    <w:rsid w:val="00794F3D"/>
    <w:rsid w:val="007A0B39"/>
    <w:rsid w:val="007A14A4"/>
    <w:rsid w:val="007A168F"/>
    <w:rsid w:val="007A28E4"/>
    <w:rsid w:val="007A3556"/>
    <w:rsid w:val="007A3BB3"/>
    <w:rsid w:val="007A5AD1"/>
    <w:rsid w:val="007A5B7B"/>
    <w:rsid w:val="007B0A06"/>
    <w:rsid w:val="007B5C5C"/>
    <w:rsid w:val="007B7C41"/>
    <w:rsid w:val="007C433E"/>
    <w:rsid w:val="007C4DB1"/>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30999"/>
    <w:rsid w:val="00830D5E"/>
    <w:rsid w:val="00830F69"/>
    <w:rsid w:val="00834458"/>
    <w:rsid w:val="00835841"/>
    <w:rsid w:val="00837465"/>
    <w:rsid w:val="00841457"/>
    <w:rsid w:val="0084374E"/>
    <w:rsid w:val="00844842"/>
    <w:rsid w:val="0085206E"/>
    <w:rsid w:val="00852AD4"/>
    <w:rsid w:val="00852BA8"/>
    <w:rsid w:val="00853718"/>
    <w:rsid w:val="008541EF"/>
    <w:rsid w:val="00856FA4"/>
    <w:rsid w:val="0086162B"/>
    <w:rsid w:val="00865207"/>
    <w:rsid w:val="008656A7"/>
    <w:rsid w:val="00871262"/>
    <w:rsid w:val="00871D4E"/>
    <w:rsid w:val="00875B51"/>
    <w:rsid w:val="00875F2D"/>
    <w:rsid w:val="008764DC"/>
    <w:rsid w:val="00883930"/>
    <w:rsid w:val="00896535"/>
    <w:rsid w:val="00896683"/>
    <w:rsid w:val="008A24C1"/>
    <w:rsid w:val="008A63A9"/>
    <w:rsid w:val="008A7C74"/>
    <w:rsid w:val="008B04DB"/>
    <w:rsid w:val="008B3AF2"/>
    <w:rsid w:val="008B515D"/>
    <w:rsid w:val="008B5D31"/>
    <w:rsid w:val="008B6705"/>
    <w:rsid w:val="008C0BF9"/>
    <w:rsid w:val="008D7B07"/>
    <w:rsid w:val="008E220B"/>
    <w:rsid w:val="008E2D99"/>
    <w:rsid w:val="008E4A60"/>
    <w:rsid w:val="009026E8"/>
    <w:rsid w:val="00906EB7"/>
    <w:rsid w:val="009102BF"/>
    <w:rsid w:val="00914ADB"/>
    <w:rsid w:val="00923B25"/>
    <w:rsid w:val="0092402E"/>
    <w:rsid w:val="009251B6"/>
    <w:rsid w:val="009352C7"/>
    <w:rsid w:val="00936CB2"/>
    <w:rsid w:val="00942645"/>
    <w:rsid w:val="00950A3A"/>
    <w:rsid w:val="0095340A"/>
    <w:rsid w:val="00954581"/>
    <w:rsid w:val="0095466C"/>
    <w:rsid w:val="00960357"/>
    <w:rsid w:val="0096168C"/>
    <w:rsid w:val="00961840"/>
    <w:rsid w:val="00962F2D"/>
    <w:rsid w:val="009672CD"/>
    <w:rsid w:val="00972996"/>
    <w:rsid w:val="009732B8"/>
    <w:rsid w:val="00976869"/>
    <w:rsid w:val="00977740"/>
    <w:rsid w:val="00977CB4"/>
    <w:rsid w:val="009809B8"/>
    <w:rsid w:val="00985099"/>
    <w:rsid w:val="0099421F"/>
    <w:rsid w:val="009A0DE3"/>
    <w:rsid w:val="009A4F1B"/>
    <w:rsid w:val="009A79BA"/>
    <w:rsid w:val="009B1534"/>
    <w:rsid w:val="009B4A3B"/>
    <w:rsid w:val="009B69D3"/>
    <w:rsid w:val="009B7BA7"/>
    <w:rsid w:val="009C093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404B"/>
    <w:rsid w:val="00A04C94"/>
    <w:rsid w:val="00A1105B"/>
    <w:rsid w:val="00A15B6B"/>
    <w:rsid w:val="00A16876"/>
    <w:rsid w:val="00A200AA"/>
    <w:rsid w:val="00A2186F"/>
    <w:rsid w:val="00A2270B"/>
    <w:rsid w:val="00A23B89"/>
    <w:rsid w:val="00A2496E"/>
    <w:rsid w:val="00A258B7"/>
    <w:rsid w:val="00A32743"/>
    <w:rsid w:val="00A414A9"/>
    <w:rsid w:val="00A44D75"/>
    <w:rsid w:val="00A47CF1"/>
    <w:rsid w:val="00A50418"/>
    <w:rsid w:val="00A56D26"/>
    <w:rsid w:val="00A608FB"/>
    <w:rsid w:val="00A65C78"/>
    <w:rsid w:val="00A70E7B"/>
    <w:rsid w:val="00A73B84"/>
    <w:rsid w:val="00A7411D"/>
    <w:rsid w:val="00A76094"/>
    <w:rsid w:val="00A768E2"/>
    <w:rsid w:val="00A82C52"/>
    <w:rsid w:val="00A86CB6"/>
    <w:rsid w:val="00A90D55"/>
    <w:rsid w:val="00A961EE"/>
    <w:rsid w:val="00AA04B3"/>
    <w:rsid w:val="00AA493E"/>
    <w:rsid w:val="00AA73AF"/>
    <w:rsid w:val="00AB1754"/>
    <w:rsid w:val="00AC439D"/>
    <w:rsid w:val="00AD067E"/>
    <w:rsid w:val="00AD68C5"/>
    <w:rsid w:val="00AE1273"/>
    <w:rsid w:val="00AE2D29"/>
    <w:rsid w:val="00AE4624"/>
    <w:rsid w:val="00AE5E14"/>
    <w:rsid w:val="00AF4FA5"/>
    <w:rsid w:val="00B15D30"/>
    <w:rsid w:val="00B23436"/>
    <w:rsid w:val="00B32179"/>
    <w:rsid w:val="00B331A9"/>
    <w:rsid w:val="00B40A3E"/>
    <w:rsid w:val="00B50227"/>
    <w:rsid w:val="00B522CD"/>
    <w:rsid w:val="00B55917"/>
    <w:rsid w:val="00B64DD6"/>
    <w:rsid w:val="00B72303"/>
    <w:rsid w:val="00B82277"/>
    <w:rsid w:val="00B85C36"/>
    <w:rsid w:val="00B91676"/>
    <w:rsid w:val="00B95833"/>
    <w:rsid w:val="00BA2D98"/>
    <w:rsid w:val="00BA30D1"/>
    <w:rsid w:val="00BA4609"/>
    <w:rsid w:val="00BA5BE2"/>
    <w:rsid w:val="00BA7F46"/>
    <w:rsid w:val="00BB02F8"/>
    <w:rsid w:val="00BB0A0A"/>
    <w:rsid w:val="00BB45B5"/>
    <w:rsid w:val="00BB6064"/>
    <w:rsid w:val="00BC09D1"/>
    <w:rsid w:val="00BD40AB"/>
    <w:rsid w:val="00BD6806"/>
    <w:rsid w:val="00BD7433"/>
    <w:rsid w:val="00BD7831"/>
    <w:rsid w:val="00BD7C10"/>
    <w:rsid w:val="00BE0DEB"/>
    <w:rsid w:val="00BE2FC1"/>
    <w:rsid w:val="00BE6365"/>
    <w:rsid w:val="00BF0B7F"/>
    <w:rsid w:val="00BF4720"/>
    <w:rsid w:val="00C038EC"/>
    <w:rsid w:val="00C07FE1"/>
    <w:rsid w:val="00C129B7"/>
    <w:rsid w:val="00C13B34"/>
    <w:rsid w:val="00C1713D"/>
    <w:rsid w:val="00C177F1"/>
    <w:rsid w:val="00C25978"/>
    <w:rsid w:val="00C261C6"/>
    <w:rsid w:val="00C30A97"/>
    <w:rsid w:val="00C31DDC"/>
    <w:rsid w:val="00C34326"/>
    <w:rsid w:val="00C36201"/>
    <w:rsid w:val="00C368E8"/>
    <w:rsid w:val="00C42443"/>
    <w:rsid w:val="00C42CBA"/>
    <w:rsid w:val="00C5019E"/>
    <w:rsid w:val="00C53E8A"/>
    <w:rsid w:val="00C54DF3"/>
    <w:rsid w:val="00C560A7"/>
    <w:rsid w:val="00C56FC8"/>
    <w:rsid w:val="00C60F23"/>
    <w:rsid w:val="00C62EB2"/>
    <w:rsid w:val="00C710A0"/>
    <w:rsid w:val="00C71BEC"/>
    <w:rsid w:val="00C74D3A"/>
    <w:rsid w:val="00C80511"/>
    <w:rsid w:val="00C826F5"/>
    <w:rsid w:val="00C83740"/>
    <w:rsid w:val="00C84AD1"/>
    <w:rsid w:val="00C85579"/>
    <w:rsid w:val="00C863E5"/>
    <w:rsid w:val="00C931FC"/>
    <w:rsid w:val="00C932C5"/>
    <w:rsid w:val="00C93E9B"/>
    <w:rsid w:val="00C9650E"/>
    <w:rsid w:val="00CA068D"/>
    <w:rsid w:val="00CA282D"/>
    <w:rsid w:val="00CA4670"/>
    <w:rsid w:val="00CA6B1A"/>
    <w:rsid w:val="00CB20DC"/>
    <w:rsid w:val="00CB23DC"/>
    <w:rsid w:val="00CB28E2"/>
    <w:rsid w:val="00CB7FF7"/>
    <w:rsid w:val="00CC19B3"/>
    <w:rsid w:val="00CC2044"/>
    <w:rsid w:val="00CC69EC"/>
    <w:rsid w:val="00CD15BE"/>
    <w:rsid w:val="00CD34C7"/>
    <w:rsid w:val="00CD63C8"/>
    <w:rsid w:val="00CF158D"/>
    <w:rsid w:val="00CF4394"/>
    <w:rsid w:val="00D10577"/>
    <w:rsid w:val="00D14BAE"/>
    <w:rsid w:val="00D1648B"/>
    <w:rsid w:val="00D16819"/>
    <w:rsid w:val="00D20AC0"/>
    <w:rsid w:val="00D336C8"/>
    <w:rsid w:val="00D339E8"/>
    <w:rsid w:val="00D35FB3"/>
    <w:rsid w:val="00D40B1F"/>
    <w:rsid w:val="00D40D75"/>
    <w:rsid w:val="00D50C8C"/>
    <w:rsid w:val="00D52393"/>
    <w:rsid w:val="00D53F14"/>
    <w:rsid w:val="00D54BE4"/>
    <w:rsid w:val="00D57BD3"/>
    <w:rsid w:val="00D60483"/>
    <w:rsid w:val="00D63577"/>
    <w:rsid w:val="00D67FD7"/>
    <w:rsid w:val="00D74261"/>
    <w:rsid w:val="00D76AB2"/>
    <w:rsid w:val="00D80490"/>
    <w:rsid w:val="00D829AD"/>
    <w:rsid w:val="00D82EE2"/>
    <w:rsid w:val="00D8545C"/>
    <w:rsid w:val="00D87788"/>
    <w:rsid w:val="00D877C8"/>
    <w:rsid w:val="00D910C2"/>
    <w:rsid w:val="00D9168C"/>
    <w:rsid w:val="00D9189B"/>
    <w:rsid w:val="00D91DA6"/>
    <w:rsid w:val="00D972D4"/>
    <w:rsid w:val="00DA195B"/>
    <w:rsid w:val="00DA1EFB"/>
    <w:rsid w:val="00DB0015"/>
    <w:rsid w:val="00DB2AAD"/>
    <w:rsid w:val="00DB626D"/>
    <w:rsid w:val="00DB6365"/>
    <w:rsid w:val="00DC0BF1"/>
    <w:rsid w:val="00DC41C3"/>
    <w:rsid w:val="00DD3593"/>
    <w:rsid w:val="00DE6952"/>
    <w:rsid w:val="00DE7E74"/>
    <w:rsid w:val="00DF692B"/>
    <w:rsid w:val="00E00A69"/>
    <w:rsid w:val="00E017F0"/>
    <w:rsid w:val="00E01A0E"/>
    <w:rsid w:val="00E041E4"/>
    <w:rsid w:val="00E103C8"/>
    <w:rsid w:val="00E1085B"/>
    <w:rsid w:val="00E14581"/>
    <w:rsid w:val="00E15539"/>
    <w:rsid w:val="00E16541"/>
    <w:rsid w:val="00E22A8E"/>
    <w:rsid w:val="00E2632B"/>
    <w:rsid w:val="00E3369B"/>
    <w:rsid w:val="00E405EA"/>
    <w:rsid w:val="00E408B7"/>
    <w:rsid w:val="00E42789"/>
    <w:rsid w:val="00E43F59"/>
    <w:rsid w:val="00E464F0"/>
    <w:rsid w:val="00E50BEB"/>
    <w:rsid w:val="00E6092F"/>
    <w:rsid w:val="00E629DA"/>
    <w:rsid w:val="00E67FAC"/>
    <w:rsid w:val="00E738CB"/>
    <w:rsid w:val="00E74437"/>
    <w:rsid w:val="00E81C3E"/>
    <w:rsid w:val="00E82B6D"/>
    <w:rsid w:val="00EA1177"/>
    <w:rsid w:val="00EA11B6"/>
    <w:rsid w:val="00EA2181"/>
    <w:rsid w:val="00EA2DD8"/>
    <w:rsid w:val="00EA4475"/>
    <w:rsid w:val="00EA681F"/>
    <w:rsid w:val="00EB3823"/>
    <w:rsid w:val="00EB47D8"/>
    <w:rsid w:val="00EB76E4"/>
    <w:rsid w:val="00EC0E65"/>
    <w:rsid w:val="00EC50C9"/>
    <w:rsid w:val="00EC5BB2"/>
    <w:rsid w:val="00ED664B"/>
    <w:rsid w:val="00EE0B44"/>
    <w:rsid w:val="00EE704A"/>
    <w:rsid w:val="00EF4C74"/>
    <w:rsid w:val="00EF5268"/>
    <w:rsid w:val="00EF608E"/>
    <w:rsid w:val="00F05807"/>
    <w:rsid w:val="00F07052"/>
    <w:rsid w:val="00F0706C"/>
    <w:rsid w:val="00F11EBE"/>
    <w:rsid w:val="00F130D0"/>
    <w:rsid w:val="00F1375F"/>
    <w:rsid w:val="00F1516A"/>
    <w:rsid w:val="00F22A26"/>
    <w:rsid w:val="00F24072"/>
    <w:rsid w:val="00F26432"/>
    <w:rsid w:val="00F26A5F"/>
    <w:rsid w:val="00F3197A"/>
    <w:rsid w:val="00F32139"/>
    <w:rsid w:val="00F33D56"/>
    <w:rsid w:val="00F34E08"/>
    <w:rsid w:val="00F41D91"/>
    <w:rsid w:val="00F42363"/>
    <w:rsid w:val="00F46964"/>
    <w:rsid w:val="00F5126A"/>
    <w:rsid w:val="00F718A8"/>
    <w:rsid w:val="00F72183"/>
    <w:rsid w:val="00F76D01"/>
    <w:rsid w:val="00F81C35"/>
    <w:rsid w:val="00F82981"/>
    <w:rsid w:val="00F8311F"/>
    <w:rsid w:val="00F83248"/>
    <w:rsid w:val="00F853AE"/>
    <w:rsid w:val="00F93DCC"/>
    <w:rsid w:val="00F9435D"/>
    <w:rsid w:val="00FA1E8A"/>
    <w:rsid w:val="00FB593A"/>
    <w:rsid w:val="00FB6E82"/>
    <w:rsid w:val="00FC2A13"/>
    <w:rsid w:val="00FC4576"/>
    <w:rsid w:val="00FC7DBC"/>
    <w:rsid w:val="00FD076A"/>
    <w:rsid w:val="00FD0AA0"/>
    <w:rsid w:val="00FD1D5A"/>
    <w:rsid w:val="00FD5059"/>
    <w:rsid w:val="00FD554D"/>
    <w:rsid w:val="00FE72D9"/>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251B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1C59-67CE-49CA-A079-81AB527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6</cp:revision>
  <cp:lastPrinted>2010-04-13T15:12:00Z</cp:lastPrinted>
  <dcterms:created xsi:type="dcterms:W3CDTF">2010-04-09T17:53:00Z</dcterms:created>
  <dcterms:modified xsi:type="dcterms:W3CDTF">2012-02-01T15:38:00Z</dcterms:modified>
</cp:coreProperties>
</file>