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190E48">
      <w:pPr>
        <w:tabs>
          <w:tab w:val="left" w:pos="288"/>
          <w:tab w:val="left" w:pos="4752"/>
        </w:tabs>
        <w:spacing w:line="240" w:lineRule="exact"/>
        <w:jc w:val="both"/>
        <w:rPr>
          <w:rFonts w:asciiTheme="minorHAnsi" w:hAnsiTheme="minorHAnsi"/>
          <w:caps/>
          <w:color w:val="auto"/>
        </w:rPr>
      </w:pPr>
    </w:p>
    <w:p w:rsidR="00540BEF" w:rsidRPr="00B20624" w:rsidRDefault="00540BEF" w:rsidP="00A336B1">
      <w:pPr>
        <w:tabs>
          <w:tab w:val="left" w:pos="288"/>
          <w:tab w:val="left" w:pos="6300"/>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F26581">
        <w:rPr>
          <w:rFonts w:asciiTheme="minorHAnsi" w:hAnsiTheme="minorHAnsi"/>
          <w:caps/>
          <w:color w:val="auto"/>
        </w:rPr>
        <w:t xml:space="preserve"> </w:t>
      </w:r>
      <w:r w:rsidR="00A336B1">
        <w:rPr>
          <w:rFonts w:asciiTheme="minorHAnsi" w:hAnsiTheme="minorHAnsi"/>
          <w:caps/>
          <w:color w:val="auto"/>
        </w:rPr>
        <w:t xml:space="preserve"> </w:t>
      </w:r>
      <w:r w:rsidR="00A336B1">
        <w:rPr>
          <w:rFonts w:asciiTheme="minorHAnsi" w:hAnsiTheme="minorHAnsi"/>
          <w:caps/>
          <w:color w:val="auto"/>
        </w:rPr>
        <w:tab/>
      </w:r>
      <w:r w:rsidRPr="00B20624">
        <w:rPr>
          <w:rFonts w:asciiTheme="minorHAnsi" w:hAnsiTheme="minorHAnsi"/>
          <w:caps/>
          <w:color w:val="auto"/>
        </w:rPr>
        <w:t xml:space="preserve">BRANCH OF SERVICE: </w:t>
      </w:r>
      <w:r w:rsidR="00A336B1">
        <w:rPr>
          <w:rFonts w:asciiTheme="minorHAnsi" w:hAnsiTheme="minorHAnsi"/>
          <w:caps/>
          <w:color w:val="auto"/>
        </w:rPr>
        <w:t xml:space="preserve"> </w:t>
      </w:r>
      <w:r w:rsidR="000E0993" w:rsidRPr="00F26581">
        <w:rPr>
          <w:rFonts w:asciiTheme="minorHAnsi" w:hAnsiTheme="minorHAnsi"/>
          <w:caps/>
          <w:color w:val="auto"/>
        </w:rPr>
        <w:t>ARMY</w:t>
      </w:r>
    </w:p>
    <w:p w:rsidR="00540BEF" w:rsidRPr="00B20624" w:rsidRDefault="00540BEF" w:rsidP="00A336B1">
      <w:pPr>
        <w:tabs>
          <w:tab w:val="left" w:pos="288"/>
          <w:tab w:val="left" w:pos="6300"/>
        </w:tabs>
        <w:spacing w:line="240" w:lineRule="exact"/>
        <w:ind w:right="-900"/>
        <w:jc w:val="both"/>
        <w:rPr>
          <w:rFonts w:asciiTheme="minorHAnsi" w:hAnsiTheme="minorHAnsi"/>
          <w:caps/>
          <w:color w:val="auto"/>
        </w:rPr>
      </w:pPr>
      <w:r w:rsidRPr="00B20624">
        <w:rPr>
          <w:rFonts w:asciiTheme="minorHAnsi" w:hAnsiTheme="minorHAnsi"/>
          <w:caps/>
          <w:color w:val="auto"/>
        </w:rPr>
        <w:t>CASE NUMBER:  PD</w:t>
      </w:r>
      <w:r w:rsidR="00A16040" w:rsidRPr="00F26581">
        <w:rPr>
          <w:rFonts w:asciiTheme="minorHAnsi" w:hAnsiTheme="minorHAnsi"/>
          <w:caps/>
          <w:color w:val="auto"/>
        </w:rPr>
        <w:t>09</w:t>
      </w:r>
      <w:r w:rsidR="00F26581">
        <w:rPr>
          <w:rFonts w:asciiTheme="minorHAnsi" w:hAnsiTheme="minorHAnsi"/>
          <w:caps/>
          <w:color w:val="auto"/>
        </w:rPr>
        <w:t>00234</w:t>
      </w:r>
      <w:r w:rsidR="00A336B1">
        <w:rPr>
          <w:rFonts w:asciiTheme="minorHAnsi" w:hAnsiTheme="minorHAnsi"/>
          <w:caps/>
          <w:color w:val="auto"/>
        </w:rPr>
        <w:tab/>
      </w:r>
      <w:r w:rsidR="00C22F3A" w:rsidRPr="00F26581">
        <w:rPr>
          <w:rFonts w:asciiTheme="minorHAnsi" w:hAnsiTheme="minorHAnsi"/>
          <w:caps/>
          <w:color w:val="auto"/>
        </w:rPr>
        <w:t xml:space="preserve">SEPARATION DATE: </w:t>
      </w:r>
      <w:r w:rsidR="00A336B1">
        <w:rPr>
          <w:rFonts w:asciiTheme="minorHAnsi" w:hAnsiTheme="minorHAnsi"/>
          <w:caps/>
          <w:color w:val="auto"/>
        </w:rPr>
        <w:t xml:space="preserve"> </w:t>
      </w:r>
      <w:r w:rsidR="00F26581" w:rsidRPr="00F26581">
        <w:rPr>
          <w:rFonts w:asciiTheme="minorHAnsi" w:hAnsiTheme="minorHAnsi"/>
          <w:caps/>
          <w:color w:val="auto"/>
        </w:rPr>
        <w:t>20071128</w:t>
      </w:r>
    </w:p>
    <w:p w:rsidR="00A043E8" w:rsidRPr="00A336B1" w:rsidRDefault="00540BEF" w:rsidP="00A043E8">
      <w:pPr>
        <w:pBdr>
          <w:bottom w:val="single" w:sz="12" w:space="1" w:color="auto"/>
        </w:pBd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 xml:space="preserve">BOARD DATE: </w:t>
      </w:r>
      <w:r w:rsidR="00A336B1">
        <w:rPr>
          <w:rFonts w:asciiTheme="minorHAnsi" w:hAnsiTheme="minorHAnsi"/>
          <w:caps/>
          <w:color w:val="auto"/>
        </w:rPr>
        <w:t xml:space="preserve"> </w:t>
      </w:r>
      <w:r w:rsidR="000F02BE" w:rsidRPr="00A336B1">
        <w:rPr>
          <w:rFonts w:asciiTheme="minorHAnsi" w:hAnsiTheme="minorHAnsi"/>
          <w:caps/>
          <w:color w:val="auto"/>
        </w:rPr>
        <w:t>201</w:t>
      </w:r>
      <w:r w:rsidR="00DB5498" w:rsidRPr="00A336B1">
        <w:rPr>
          <w:rFonts w:asciiTheme="minorHAnsi" w:hAnsiTheme="minorHAnsi"/>
          <w:caps/>
          <w:color w:val="auto"/>
        </w:rPr>
        <w:t>1</w:t>
      </w:r>
      <w:r w:rsidR="00A336B1" w:rsidRPr="00A336B1">
        <w:rPr>
          <w:rFonts w:asciiTheme="minorHAnsi" w:hAnsiTheme="minorHAnsi"/>
          <w:caps/>
          <w:color w:val="auto"/>
        </w:rPr>
        <w:t>01</w:t>
      </w:r>
      <w:r w:rsidR="00A336B1">
        <w:rPr>
          <w:rFonts w:asciiTheme="minorHAnsi" w:hAnsiTheme="minorHAnsi"/>
          <w:caps/>
          <w:color w:val="auto"/>
        </w:rPr>
        <w:t>25</w:t>
      </w:r>
    </w:p>
    <w:p w:rsidR="00A043E8" w:rsidRPr="00CD5BD7" w:rsidRDefault="00540BEF" w:rsidP="00A043E8">
      <w:pPr>
        <w:pBdr>
          <w:bottom w:val="single" w:sz="12" w:space="1" w:color="auto"/>
        </w:pBdr>
        <w:tabs>
          <w:tab w:val="left" w:pos="288"/>
          <w:tab w:val="left" w:pos="4752"/>
        </w:tabs>
        <w:spacing w:line="240" w:lineRule="exact"/>
        <w:jc w:val="both"/>
        <w:rPr>
          <w:rFonts w:ascii="Calibri" w:hAnsi="Calibri"/>
          <w:color w:val="auto"/>
          <w:szCs w:val="24"/>
        </w:rPr>
      </w:pPr>
      <w:r w:rsidRPr="00B20624">
        <w:rPr>
          <w:rFonts w:asciiTheme="minorHAnsi" w:hAnsiTheme="minorHAnsi"/>
          <w:caps/>
          <w:color w:val="auto"/>
        </w:rPr>
        <w:tab/>
      </w:r>
    </w:p>
    <w:p w:rsidR="00A043E8" w:rsidRPr="00CD5BD7" w:rsidRDefault="00A043E8" w:rsidP="00A043E8">
      <w:pPr>
        <w:tabs>
          <w:tab w:val="left" w:pos="288"/>
          <w:tab w:val="left" w:pos="4752"/>
        </w:tabs>
        <w:spacing w:line="240" w:lineRule="exact"/>
        <w:jc w:val="both"/>
        <w:rPr>
          <w:rFonts w:ascii="Calibri" w:hAnsi="Calibri"/>
          <w:color w:val="auto"/>
          <w:szCs w:val="24"/>
          <w:u w:val="single"/>
        </w:rPr>
      </w:pPr>
    </w:p>
    <w:p w:rsidR="00E26D30" w:rsidRPr="00E26D30" w:rsidRDefault="002C6E5B" w:rsidP="00E26D30">
      <w:pPr>
        <w:tabs>
          <w:tab w:val="left" w:pos="288"/>
          <w:tab w:val="left" w:pos="4752"/>
        </w:tabs>
        <w:spacing w:line="240" w:lineRule="exact"/>
        <w:jc w:val="both"/>
        <w:rPr>
          <w:rFonts w:ascii="Calibri" w:hAnsi="Calibri"/>
          <w:szCs w:val="24"/>
        </w:rPr>
      </w:pPr>
      <w:r w:rsidRPr="00542C9A">
        <w:rPr>
          <w:rFonts w:ascii="Calibri" w:hAnsi="Calibri"/>
          <w:color w:val="auto"/>
          <w:u w:val="single"/>
        </w:rPr>
        <w:t>SUMMARY OF CASE</w:t>
      </w:r>
      <w:r w:rsidRPr="00542C9A">
        <w:rPr>
          <w:rFonts w:ascii="Calibri" w:hAnsi="Calibri"/>
          <w:color w:val="auto"/>
        </w:rPr>
        <w:t xml:space="preserve">:  </w:t>
      </w:r>
      <w:r w:rsidR="0090735D">
        <w:rPr>
          <w:rFonts w:ascii="Calibri" w:hAnsi="Calibri"/>
          <w:color w:val="auto"/>
          <w:szCs w:val="24"/>
        </w:rPr>
        <w:t>Data extracted from the available evidence of record reflects that t</w:t>
      </w:r>
      <w:r w:rsidRPr="00542C9A">
        <w:rPr>
          <w:rFonts w:ascii="Calibri" w:hAnsi="Calibri"/>
          <w:color w:val="auto"/>
          <w:szCs w:val="24"/>
        </w:rPr>
        <w:t>h</w:t>
      </w:r>
      <w:r w:rsidRPr="00AE3316">
        <w:rPr>
          <w:rFonts w:ascii="Calibri" w:hAnsi="Calibri"/>
          <w:color w:val="auto"/>
          <w:szCs w:val="24"/>
        </w:rPr>
        <w:t xml:space="preserve">is covered individual (CI) was </w:t>
      </w:r>
      <w:r w:rsidR="00E322F7">
        <w:rPr>
          <w:rFonts w:ascii="Calibri" w:hAnsi="Calibri"/>
          <w:color w:val="auto"/>
          <w:szCs w:val="24"/>
        </w:rPr>
        <w:t>a</w:t>
      </w:r>
      <w:r w:rsidR="00BB6D7C">
        <w:rPr>
          <w:rFonts w:ascii="Calibri" w:hAnsi="Calibri"/>
          <w:color w:val="auto"/>
          <w:szCs w:val="24"/>
        </w:rPr>
        <w:t xml:space="preserve"> R</w:t>
      </w:r>
      <w:r w:rsidR="006D4E0E" w:rsidRPr="009857DA">
        <w:rPr>
          <w:rFonts w:ascii="Calibri" w:hAnsi="Calibri"/>
          <w:color w:val="auto"/>
          <w:szCs w:val="24"/>
        </w:rPr>
        <w:t xml:space="preserve">eserve </w:t>
      </w:r>
      <w:r w:rsidR="00BB6D7C">
        <w:rPr>
          <w:rFonts w:ascii="Calibri" w:hAnsi="Calibri"/>
          <w:color w:val="auto"/>
          <w:szCs w:val="24"/>
        </w:rPr>
        <w:t>SPC</w:t>
      </w:r>
      <w:r w:rsidR="00344938" w:rsidRPr="00344938">
        <w:rPr>
          <w:rFonts w:ascii="Calibri" w:hAnsi="Calibri"/>
          <w:color w:val="auto"/>
          <w:szCs w:val="24"/>
        </w:rPr>
        <w:t xml:space="preserve"> (</w:t>
      </w:r>
      <w:r w:rsidR="00C62355">
        <w:rPr>
          <w:rFonts w:ascii="Calibri" w:hAnsi="Calibri"/>
          <w:color w:val="auto"/>
          <w:szCs w:val="24"/>
        </w:rPr>
        <w:t>Basic Trainee/91G</w:t>
      </w:r>
      <w:r w:rsidR="00344938" w:rsidRPr="00344938">
        <w:rPr>
          <w:rFonts w:ascii="Calibri" w:hAnsi="Calibri"/>
          <w:color w:val="auto"/>
          <w:szCs w:val="24"/>
        </w:rPr>
        <w:t>) medically separate</w:t>
      </w:r>
      <w:r w:rsidR="001F30FA">
        <w:rPr>
          <w:rFonts w:ascii="Calibri" w:hAnsi="Calibri"/>
          <w:color w:val="auto"/>
          <w:szCs w:val="24"/>
        </w:rPr>
        <w:t>d from the Army in 2007 after 10</w:t>
      </w:r>
      <w:r w:rsidR="00344938" w:rsidRPr="00344938">
        <w:rPr>
          <w:rFonts w:ascii="Calibri" w:hAnsi="Calibri"/>
          <w:color w:val="auto"/>
          <w:szCs w:val="24"/>
        </w:rPr>
        <w:t xml:space="preserve"> months of service</w:t>
      </w:r>
      <w:r w:rsidRPr="00AE3316">
        <w:rPr>
          <w:rFonts w:ascii="Calibri" w:hAnsi="Calibri"/>
          <w:color w:val="auto"/>
          <w:szCs w:val="24"/>
        </w:rPr>
        <w:t xml:space="preserve">.  The medical basis for the separation was </w:t>
      </w:r>
      <w:r w:rsidR="00DB3B87">
        <w:rPr>
          <w:rFonts w:ascii="Calibri" w:hAnsi="Calibri"/>
          <w:color w:val="auto"/>
          <w:szCs w:val="24"/>
        </w:rPr>
        <w:t>f</w:t>
      </w:r>
      <w:r w:rsidR="009A0260">
        <w:rPr>
          <w:rFonts w:ascii="Calibri" w:hAnsi="Calibri"/>
          <w:color w:val="auto"/>
          <w:szCs w:val="24"/>
        </w:rPr>
        <w:t>ibromyalgia</w:t>
      </w:r>
      <w:r w:rsidR="000F4FB7" w:rsidRPr="000F4FB7">
        <w:rPr>
          <w:rFonts w:ascii="Calibri" w:hAnsi="Calibri"/>
          <w:color w:val="auto"/>
          <w:szCs w:val="24"/>
        </w:rPr>
        <w:t>.</w:t>
      </w:r>
      <w:r w:rsidR="00BB6D7C">
        <w:rPr>
          <w:rFonts w:ascii="Calibri" w:hAnsi="Calibri"/>
          <w:color w:val="auto"/>
          <w:szCs w:val="24"/>
        </w:rPr>
        <w:t xml:space="preserve">  The condition began as widespread musculoskeletal complaints after two falls on an obstacle course </w:t>
      </w:r>
      <w:r w:rsidR="00AE4E42">
        <w:rPr>
          <w:rFonts w:ascii="Calibri" w:hAnsi="Calibri"/>
          <w:color w:val="auto"/>
          <w:szCs w:val="24"/>
        </w:rPr>
        <w:t>during basic t</w:t>
      </w:r>
      <w:r w:rsidR="00BB6D7C">
        <w:rPr>
          <w:rFonts w:ascii="Calibri" w:hAnsi="Calibri"/>
          <w:color w:val="auto"/>
          <w:szCs w:val="24"/>
        </w:rPr>
        <w:t xml:space="preserve">raining.  An extensive orthopedic evaluation was positive only for cervical disc disease </w:t>
      </w:r>
      <w:r w:rsidR="00780449">
        <w:rPr>
          <w:rFonts w:ascii="Calibri" w:hAnsi="Calibri"/>
          <w:color w:val="auto"/>
          <w:szCs w:val="24"/>
        </w:rPr>
        <w:t>(C4/5) with local spinal stenosis</w:t>
      </w:r>
      <w:r w:rsidR="00BB6D7C">
        <w:rPr>
          <w:rFonts w:ascii="Calibri" w:hAnsi="Calibri"/>
          <w:color w:val="auto"/>
          <w:szCs w:val="24"/>
        </w:rPr>
        <w:t xml:space="preserve">, but this correlated poorly with the overall symptom complex.  </w:t>
      </w:r>
      <w:r w:rsidR="00C35BB3">
        <w:rPr>
          <w:rFonts w:ascii="Calibri" w:hAnsi="Calibri"/>
          <w:color w:val="auto"/>
          <w:szCs w:val="24"/>
        </w:rPr>
        <w:t xml:space="preserve">She received a diagnosis of fibromyalgia by a </w:t>
      </w:r>
      <w:r w:rsidR="00C35BB3" w:rsidRPr="00AE4E42">
        <w:rPr>
          <w:rFonts w:ascii="Calibri" w:hAnsi="Calibri"/>
          <w:color w:val="auto"/>
          <w:szCs w:val="24"/>
        </w:rPr>
        <w:t xml:space="preserve">rheumatologist.  </w:t>
      </w:r>
      <w:r w:rsidR="00AE4E42" w:rsidRPr="00AE4E42">
        <w:rPr>
          <w:rFonts w:ascii="Calibri" w:hAnsi="Calibri"/>
          <w:color w:val="auto"/>
          <w:szCs w:val="24"/>
        </w:rPr>
        <w:t xml:space="preserve">A psychiatric addendum to the narrative summary (NARSUM) yielded an Axis I diagnosis of </w:t>
      </w:r>
      <w:r w:rsidR="00AE4E42">
        <w:rPr>
          <w:rFonts w:ascii="Calibri" w:hAnsi="Calibri"/>
          <w:color w:val="auto"/>
          <w:szCs w:val="24"/>
        </w:rPr>
        <w:t>“</w:t>
      </w:r>
      <w:r w:rsidR="00AE4E42" w:rsidRPr="00AE4E42">
        <w:rPr>
          <w:rFonts w:asciiTheme="minorHAnsi" w:hAnsiTheme="minorHAnsi"/>
          <w:color w:val="auto"/>
          <w:szCs w:val="24"/>
        </w:rPr>
        <w:t>pain disorder associated with both psychological factors and a general medical condition</w:t>
      </w:r>
      <w:r w:rsidR="00AE4E42">
        <w:rPr>
          <w:rFonts w:asciiTheme="minorHAnsi" w:hAnsiTheme="minorHAnsi"/>
          <w:color w:val="auto"/>
          <w:szCs w:val="24"/>
        </w:rPr>
        <w:t xml:space="preserve">”.  The psychiatric condition was complicated by the serious situational stressor of the death of her child </w:t>
      </w:r>
      <w:r w:rsidR="00DB3B87">
        <w:rPr>
          <w:rFonts w:asciiTheme="minorHAnsi" w:hAnsiTheme="minorHAnsi"/>
          <w:color w:val="auto"/>
          <w:szCs w:val="24"/>
        </w:rPr>
        <w:t>shortly prior to basic training</w:t>
      </w:r>
      <w:r w:rsidR="00AE4E42">
        <w:rPr>
          <w:rFonts w:asciiTheme="minorHAnsi" w:hAnsiTheme="minorHAnsi"/>
          <w:color w:val="auto"/>
          <w:szCs w:val="24"/>
        </w:rPr>
        <w:t xml:space="preserve">.  After an eight month course of evaluation and treatment, the CI was unable to complete the </w:t>
      </w:r>
      <w:r w:rsidR="00DB3B87">
        <w:rPr>
          <w:rFonts w:asciiTheme="minorHAnsi" w:hAnsiTheme="minorHAnsi"/>
          <w:color w:val="auto"/>
          <w:szCs w:val="24"/>
        </w:rPr>
        <w:t xml:space="preserve">training </w:t>
      </w:r>
      <w:r w:rsidR="00AE4E42">
        <w:rPr>
          <w:rFonts w:asciiTheme="minorHAnsi" w:hAnsiTheme="minorHAnsi"/>
          <w:color w:val="auto"/>
          <w:szCs w:val="24"/>
        </w:rPr>
        <w:t xml:space="preserve">requirements or physical fitness standards.  She </w:t>
      </w:r>
      <w:r w:rsidR="00AE4E42">
        <w:rPr>
          <w:rFonts w:ascii="Calibri" w:hAnsi="Calibri"/>
          <w:color w:val="auto"/>
          <w:szCs w:val="24"/>
        </w:rPr>
        <w:t xml:space="preserve">was consequently issued permanent U-3, L-3 and S-3 profiles and underwent a Medical Evaluation Board (MEB).  </w:t>
      </w:r>
      <w:r w:rsidR="00E90CB0">
        <w:rPr>
          <w:rFonts w:ascii="Calibri" w:hAnsi="Calibri"/>
          <w:color w:val="auto"/>
          <w:szCs w:val="24"/>
        </w:rPr>
        <w:t xml:space="preserve">The </w:t>
      </w:r>
      <w:r w:rsidR="0070617D">
        <w:rPr>
          <w:rFonts w:ascii="Calibri" w:hAnsi="Calibri"/>
          <w:color w:val="auto"/>
          <w:szCs w:val="24"/>
        </w:rPr>
        <w:t>M</w:t>
      </w:r>
      <w:r w:rsidR="00AE5E14" w:rsidRPr="00AE5062">
        <w:rPr>
          <w:rFonts w:ascii="Calibri" w:hAnsi="Calibri"/>
          <w:color w:val="auto"/>
          <w:szCs w:val="24"/>
        </w:rPr>
        <w:t xml:space="preserve">EB </w:t>
      </w:r>
      <w:r w:rsidR="00AE4E42">
        <w:rPr>
          <w:rFonts w:ascii="Calibri" w:hAnsi="Calibri"/>
          <w:color w:val="auto"/>
          <w:szCs w:val="24"/>
        </w:rPr>
        <w:t>forward</w:t>
      </w:r>
      <w:r w:rsidR="00780449">
        <w:rPr>
          <w:rFonts w:ascii="Calibri" w:hAnsi="Calibri"/>
          <w:color w:val="auto"/>
          <w:szCs w:val="24"/>
        </w:rPr>
        <w:t xml:space="preserve">ed the psychiatric diagnosis </w:t>
      </w:r>
      <w:r w:rsidR="00AE4E42">
        <w:rPr>
          <w:rFonts w:ascii="Calibri" w:hAnsi="Calibri"/>
          <w:color w:val="auto"/>
          <w:szCs w:val="24"/>
        </w:rPr>
        <w:t>noted above and fibromyalgia as separate conditions on the DA Form 3947</w:t>
      </w:r>
      <w:r w:rsidR="00780449">
        <w:rPr>
          <w:rFonts w:ascii="Calibri" w:hAnsi="Calibri"/>
          <w:color w:val="auto"/>
          <w:szCs w:val="24"/>
        </w:rPr>
        <w:t xml:space="preserve">, both judged to be </w:t>
      </w:r>
      <w:r w:rsidR="00780449" w:rsidRPr="00AE5062">
        <w:rPr>
          <w:rFonts w:ascii="Calibri" w:hAnsi="Calibri"/>
          <w:color w:val="auto"/>
          <w:szCs w:val="24"/>
        </w:rPr>
        <w:t xml:space="preserve">medically unacceptable IAW AR </w:t>
      </w:r>
      <w:r w:rsidR="00780449">
        <w:rPr>
          <w:rFonts w:ascii="Calibri" w:hAnsi="Calibri"/>
          <w:color w:val="auto"/>
          <w:szCs w:val="24"/>
        </w:rPr>
        <w:t xml:space="preserve">40-501.  The cervical disorder was forwarded separately as a medically acceptable </w:t>
      </w:r>
      <w:r w:rsidR="00780449" w:rsidRPr="00E26D30">
        <w:rPr>
          <w:rFonts w:ascii="Calibri" w:hAnsi="Calibri"/>
          <w:color w:val="auto"/>
          <w:szCs w:val="24"/>
        </w:rPr>
        <w:t xml:space="preserve">condition.  </w:t>
      </w:r>
      <w:r w:rsidR="00E26D30" w:rsidRPr="00E26D30">
        <w:rPr>
          <w:rFonts w:ascii="Calibri" w:hAnsi="Calibri"/>
          <w:color w:val="auto"/>
          <w:szCs w:val="24"/>
        </w:rPr>
        <w:t xml:space="preserve">Additional conditions supported in the Disability Evaluation System (DES) file are discussed below, but were not forwarded for </w:t>
      </w:r>
      <w:r w:rsidR="0090735D">
        <w:rPr>
          <w:rFonts w:ascii="Calibri" w:hAnsi="Calibri"/>
          <w:color w:val="auto"/>
          <w:szCs w:val="24"/>
        </w:rPr>
        <w:t>a</w:t>
      </w:r>
      <w:r w:rsidR="00E26D30" w:rsidRPr="00E26D30">
        <w:rPr>
          <w:rFonts w:ascii="Calibri" w:hAnsi="Calibri"/>
          <w:color w:val="auto"/>
          <w:szCs w:val="24"/>
        </w:rPr>
        <w:t xml:space="preserve">djudication.  </w:t>
      </w:r>
      <w:r w:rsidR="00780449" w:rsidRPr="00E26D30">
        <w:rPr>
          <w:rFonts w:ascii="Calibri" w:hAnsi="Calibri"/>
          <w:color w:val="auto"/>
          <w:szCs w:val="24"/>
        </w:rPr>
        <w:t xml:space="preserve">The </w:t>
      </w:r>
      <w:r w:rsidR="0090735D">
        <w:rPr>
          <w:rFonts w:ascii="Calibri" w:hAnsi="Calibri"/>
          <w:color w:val="auto"/>
          <w:szCs w:val="24"/>
        </w:rPr>
        <w:t>I</w:t>
      </w:r>
      <w:r w:rsidR="00E26D30" w:rsidRPr="00E26D30">
        <w:rPr>
          <w:rFonts w:ascii="Calibri" w:hAnsi="Calibri"/>
          <w:color w:val="auto"/>
          <w:szCs w:val="24"/>
        </w:rPr>
        <w:t>nformal Physical Evaluation Board (</w:t>
      </w:r>
      <w:r w:rsidR="0090735D">
        <w:rPr>
          <w:rFonts w:ascii="Calibri" w:hAnsi="Calibri"/>
          <w:color w:val="auto"/>
          <w:szCs w:val="24"/>
        </w:rPr>
        <w:t>I</w:t>
      </w:r>
      <w:r w:rsidR="00E26D30" w:rsidRPr="00E26D30">
        <w:rPr>
          <w:rFonts w:ascii="Calibri" w:hAnsi="Calibri"/>
          <w:color w:val="auto"/>
          <w:szCs w:val="24"/>
        </w:rPr>
        <w:t>PEB)</w:t>
      </w:r>
      <w:r w:rsidR="00E26D30">
        <w:rPr>
          <w:rFonts w:ascii="Calibri" w:hAnsi="Calibri"/>
          <w:szCs w:val="24"/>
        </w:rPr>
        <w:t xml:space="preserve"> </w:t>
      </w:r>
      <w:r w:rsidR="00780449">
        <w:rPr>
          <w:rFonts w:ascii="Calibri" w:hAnsi="Calibri"/>
          <w:color w:val="auto"/>
          <w:szCs w:val="24"/>
        </w:rPr>
        <w:t xml:space="preserve">combined the psychiatric diagnosis and fibromyalgia as a single unfitting condition, rated 20% under the fibromyalgia code </w:t>
      </w:r>
      <w:r w:rsidR="00780449" w:rsidRPr="00780449">
        <w:rPr>
          <w:rFonts w:ascii="Calibri" w:hAnsi="Calibri"/>
          <w:color w:val="auto"/>
          <w:szCs w:val="24"/>
        </w:rPr>
        <w:t>IAW the Veterans Administration Schedule for Rating Disabilities (VASRD)</w:t>
      </w:r>
      <w:r w:rsidR="00780449">
        <w:rPr>
          <w:rFonts w:ascii="Calibri" w:hAnsi="Calibri"/>
          <w:color w:val="auto"/>
          <w:szCs w:val="24"/>
        </w:rPr>
        <w:t xml:space="preserve">.  The cervical condition was adjudicated as not unfitting.  </w:t>
      </w:r>
      <w:r w:rsidR="00E26D30" w:rsidRPr="00861D5C">
        <w:rPr>
          <w:rFonts w:asciiTheme="minorHAnsi" w:hAnsiTheme="minorHAnsi"/>
          <w:color w:val="auto"/>
        </w:rPr>
        <w:t xml:space="preserve">The CI made </w:t>
      </w:r>
      <w:r w:rsidR="00E26D30" w:rsidRPr="00002C6A">
        <w:rPr>
          <w:rFonts w:asciiTheme="minorHAnsi" w:hAnsiTheme="minorHAnsi"/>
          <w:color w:val="auto"/>
        </w:rPr>
        <w:t>no appeals,</w:t>
      </w:r>
      <w:r w:rsidR="00E26D30" w:rsidRPr="00861D5C">
        <w:rPr>
          <w:rFonts w:asciiTheme="minorHAnsi" w:hAnsiTheme="minorHAnsi"/>
          <w:color w:val="auto"/>
        </w:rPr>
        <w:t xml:space="preserve"> and was th</w:t>
      </w:r>
      <w:r w:rsidR="00E26D30">
        <w:rPr>
          <w:rFonts w:asciiTheme="minorHAnsi" w:hAnsiTheme="minorHAnsi"/>
          <w:color w:val="auto"/>
        </w:rPr>
        <w:t>us medically separated with a 20</w:t>
      </w:r>
      <w:r w:rsidR="00E26D30" w:rsidRPr="00861D5C">
        <w:rPr>
          <w:rFonts w:asciiTheme="minorHAnsi" w:hAnsiTheme="minorHAnsi"/>
          <w:color w:val="auto"/>
        </w:rPr>
        <w:t xml:space="preserve">% disability rating.  </w:t>
      </w:r>
    </w:p>
    <w:p w:rsidR="00A043E8" w:rsidRPr="00CD5BD7" w:rsidRDefault="00A043E8" w:rsidP="00A043E8">
      <w:pPr>
        <w:pBdr>
          <w:bottom w:val="single" w:sz="12" w:space="1" w:color="auto"/>
        </w:pBdr>
        <w:tabs>
          <w:tab w:val="left" w:pos="288"/>
          <w:tab w:val="left" w:pos="4752"/>
        </w:tabs>
        <w:spacing w:line="240" w:lineRule="exact"/>
        <w:jc w:val="both"/>
        <w:rPr>
          <w:rFonts w:ascii="Calibri" w:hAnsi="Calibri"/>
          <w:color w:val="auto"/>
          <w:szCs w:val="24"/>
        </w:rPr>
      </w:pPr>
    </w:p>
    <w:p w:rsidR="00A043E8" w:rsidRPr="00CD5BD7" w:rsidRDefault="00A043E8" w:rsidP="00A043E8">
      <w:pPr>
        <w:tabs>
          <w:tab w:val="left" w:pos="288"/>
          <w:tab w:val="left" w:pos="4752"/>
        </w:tabs>
        <w:spacing w:line="240" w:lineRule="exact"/>
        <w:jc w:val="both"/>
        <w:rPr>
          <w:rFonts w:ascii="Calibri" w:hAnsi="Calibri"/>
          <w:color w:val="auto"/>
          <w:szCs w:val="24"/>
          <w:u w:val="single"/>
        </w:rPr>
      </w:pPr>
    </w:p>
    <w:p w:rsidR="00E26D30" w:rsidRPr="00E26D30" w:rsidRDefault="002C6E5B" w:rsidP="00E26D30">
      <w:pPr>
        <w:tabs>
          <w:tab w:val="left" w:pos="288"/>
          <w:tab w:val="left" w:pos="4752"/>
        </w:tabs>
        <w:spacing w:line="240" w:lineRule="exact"/>
        <w:jc w:val="both"/>
        <w:rPr>
          <w:rFonts w:ascii="Calibri" w:hAnsi="Calibri"/>
          <w:color w:val="auto"/>
          <w:szCs w:val="24"/>
        </w:rPr>
      </w:pPr>
      <w:r w:rsidRPr="00542C9A">
        <w:rPr>
          <w:rFonts w:ascii="Calibri" w:hAnsi="Calibri"/>
          <w:color w:val="auto"/>
          <w:u w:val="single"/>
        </w:rPr>
        <w:t>CI CONTENTION</w:t>
      </w:r>
      <w:r w:rsidRPr="00542C9A">
        <w:rPr>
          <w:rFonts w:ascii="Calibri" w:hAnsi="Calibri"/>
          <w:color w:val="auto"/>
        </w:rPr>
        <w:t>:</w:t>
      </w:r>
      <w:r w:rsidRPr="00AE3316">
        <w:rPr>
          <w:rFonts w:ascii="Calibri" w:hAnsi="Calibri"/>
          <w:color w:val="000080"/>
        </w:rPr>
        <w:t xml:space="preserve">  </w:t>
      </w:r>
      <w:r w:rsidR="0088138A" w:rsidRPr="0088138A">
        <w:rPr>
          <w:rFonts w:ascii="Calibri" w:hAnsi="Calibri"/>
          <w:color w:val="auto"/>
          <w:szCs w:val="24"/>
        </w:rPr>
        <w:t>The CI states: ‘’The mili</w:t>
      </w:r>
      <w:r w:rsidR="00D742F7">
        <w:rPr>
          <w:rFonts w:ascii="Calibri" w:hAnsi="Calibri"/>
          <w:color w:val="auto"/>
          <w:szCs w:val="24"/>
        </w:rPr>
        <w:t>tary only addressed 1 condition--</w:t>
      </w:r>
      <w:r w:rsidR="0088138A" w:rsidRPr="0088138A">
        <w:rPr>
          <w:rFonts w:ascii="Calibri" w:hAnsi="Calibri"/>
          <w:color w:val="auto"/>
          <w:szCs w:val="24"/>
        </w:rPr>
        <w:t>fibromyalgia.  Additional secondary conditions should h</w:t>
      </w:r>
      <w:r w:rsidR="00E26D30">
        <w:rPr>
          <w:rFonts w:ascii="Calibri" w:hAnsi="Calibri"/>
          <w:color w:val="auto"/>
          <w:szCs w:val="24"/>
        </w:rPr>
        <w:t xml:space="preserve">ave been considered and rated.”  The application refers in turn to the VA rated conditions detailed in the chart </w:t>
      </w:r>
      <w:r w:rsidR="00E26D30" w:rsidRPr="00E26D30">
        <w:rPr>
          <w:rFonts w:ascii="Calibri" w:hAnsi="Calibri"/>
          <w:color w:val="auto"/>
          <w:szCs w:val="24"/>
        </w:rPr>
        <w:t xml:space="preserve">below.  As a matter of policy, all service conditions are reviewed by the Board for their potential contribution to its rating recommendations. </w:t>
      </w:r>
    </w:p>
    <w:p w:rsidR="00A043E8" w:rsidRPr="00CD5BD7" w:rsidRDefault="00A043E8" w:rsidP="00A043E8">
      <w:pPr>
        <w:pBdr>
          <w:bottom w:val="single" w:sz="12" w:space="1" w:color="auto"/>
        </w:pBdr>
        <w:tabs>
          <w:tab w:val="left" w:pos="288"/>
          <w:tab w:val="left" w:pos="4752"/>
        </w:tabs>
        <w:spacing w:line="240" w:lineRule="exact"/>
        <w:jc w:val="both"/>
        <w:rPr>
          <w:rFonts w:ascii="Calibri" w:hAnsi="Calibri"/>
          <w:color w:val="auto"/>
          <w:szCs w:val="24"/>
        </w:rPr>
      </w:pPr>
    </w:p>
    <w:p w:rsidR="00A043E8" w:rsidRPr="00CD5BD7" w:rsidRDefault="00A043E8" w:rsidP="00A043E8">
      <w:pPr>
        <w:tabs>
          <w:tab w:val="left" w:pos="288"/>
          <w:tab w:val="left" w:pos="4752"/>
        </w:tabs>
        <w:spacing w:line="240" w:lineRule="exact"/>
        <w:jc w:val="both"/>
        <w:rPr>
          <w:rFonts w:ascii="Calibri" w:hAnsi="Calibri"/>
          <w:color w:val="auto"/>
          <w:szCs w:val="24"/>
          <w:u w:val="single"/>
        </w:rPr>
      </w:pPr>
    </w:p>
    <w:p w:rsidR="002338CA" w:rsidRDefault="003F30B3" w:rsidP="00190E48">
      <w:pPr>
        <w:spacing w:line="240" w:lineRule="exact"/>
        <w:jc w:val="both"/>
        <w:rPr>
          <w:rFonts w:ascii="Calibri" w:hAnsi="Calibri"/>
          <w:color w:val="auto"/>
        </w:rPr>
      </w:pPr>
      <w:r>
        <w:rPr>
          <w:rFonts w:ascii="Calibri" w:hAnsi="Calibri"/>
          <w:color w:val="auto"/>
          <w:u w:val="single"/>
        </w:rPr>
        <w:t>R</w:t>
      </w:r>
      <w:r w:rsidR="002C6E5B" w:rsidRPr="00542C9A">
        <w:rPr>
          <w:rFonts w:ascii="Calibri" w:hAnsi="Calibri"/>
          <w:color w:val="auto"/>
          <w:u w:val="single"/>
        </w:rPr>
        <w:t>ATING COMPARISON</w:t>
      </w:r>
      <w:r w:rsidR="002C6E5B" w:rsidRPr="00542C9A">
        <w:rPr>
          <w:rFonts w:ascii="Calibri" w:hAnsi="Calibri"/>
          <w:color w:val="auto"/>
        </w:rPr>
        <w:t>:</w:t>
      </w:r>
    </w:p>
    <w:p w:rsidR="00A043E8" w:rsidRDefault="00A043E8" w:rsidP="00190E48">
      <w:pPr>
        <w:spacing w:line="240" w:lineRule="exact"/>
        <w:jc w:val="both"/>
        <w:rPr>
          <w:rFonts w:ascii="Calibri" w:hAnsi="Calibri"/>
          <w:color w:val="auto"/>
        </w:rPr>
      </w:pPr>
    </w:p>
    <w:tbl>
      <w:tblPr>
        <w:tblStyle w:val="TableGrid"/>
        <w:tblW w:w="9245" w:type="dxa"/>
        <w:tblInd w:w="108" w:type="dxa"/>
        <w:tblLayout w:type="fixed"/>
        <w:tblLook w:val="04A0"/>
      </w:tblPr>
      <w:tblGrid>
        <w:gridCol w:w="2860"/>
        <w:gridCol w:w="663"/>
        <w:gridCol w:w="756"/>
        <w:gridCol w:w="2111"/>
        <w:gridCol w:w="360"/>
        <w:gridCol w:w="720"/>
        <w:gridCol w:w="810"/>
        <w:gridCol w:w="965"/>
      </w:tblGrid>
      <w:tr w:rsidR="000F5043" w:rsidRPr="00473D5C" w:rsidTr="009B171B">
        <w:trPr>
          <w:trHeight w:hRule="exact" w:val="288"/>
          <w:tblHeader/>
        </w:trPr>
        <w:tc>
          <w:tcPr>
            <w:tcW w:w="4279"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D9D9D9" w:themeFill="background1" w:themeFillShade="D9"/>
            <w:hideMark/>
          </w:tcPr>
          <w:p w:rsidR="000F5043" w:rsidRPr="00473D5C" w:rsidRDefault="000F5043" w:rsidP="000F5043">
            <w:pPr>
              <w:pStyle w:val="ListParagraph"/>
              <w:ind w:left="0"/>
              <w:jc w:val="center"/>
              <w:rPr>
                <w:rFonts w:cs="Times New Roman"/>
                <w:b/>
                <w:sz w:val="20"/>
                <w:szCs w:val="20"/>
              </w:rPr>
            </w:pPr>
            <w:r w:rsidRPr="00473D5C">
              <w:rPr>
                <w:rFonts w:cs="Times New Roman"/>
                <w:b/>
                <w:sz w:val="20"/>
                <w:szCs w:val="20"/>
              </w:rPr>
              <w:t>Service PEB</w:t>
            </w:r>
            <w:r>
              <w:rPr>
                <w:rFonts w:cs="Times New Roman"/>
                <w:b/>
                <w:sz w:val="20"/>
                <w:szCs w:val="20"/>
              </w:rPr>
              <w:t xml:space="preserve"> 20071030</w:t>
            </w:r>
          </w:p>
        </w:tc>
        <w:tc>
          <w:tcPr>
            <w:tcW w:w="4966"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F5043" w:rsidRPr="00473D5C" w:rsidRDefault="000F5043" w:rsidP="000F5043">
            <w:pPr>
              <w:pStyle w:val="ListParagraph"/>
              <w:ind w:left="0"/>
              <w:jc w:val="center"/>
              <w:rPr>
                <w:rFonts w:cs="Times New Roman"/>
                <w:b/>
                <w:sz w:val="20"/>
                <w:szCs w:val="20"/>
              </w:rPr>
            </w:pPr>
            <w:r w:rsidRPr="00473D5C">
              <w:rPr>
                <w:rFonts w:cs="Times New Roman"/>
                <w:b/>
                <w:sz w:val="20"/>
                <w:szCs w:val="20"/>
              </w:rPr>
              <w:t>VA (</w:t>
            </w:r>
            <w:r>
              <w:rPr>
                <w:rFonts w:cs="Times New Roman"/>
                <w:b/>
                <w:sz w:val="20"/>
                <w:szCs w:val="20"/>
              </w:rPr>
              <w:t>4</w:t>
            </w:r>
            <w:r w:rsidRPr="00D479D6">
              <w:rPr>
                <w:rFonts w:cs="Times New Roman"/>
                <w:b/>
                <w:sz w:val="20"/>
                <w:szCs w:val="20"/>
              </w:rPr>
              <w:t xml:space="preserve"> </w:t>
            </w:r>
            <w:r>
              <w:rPr>
                <w:rFonts w:cs="Times New Roman"/>
                <w:b/>
                <w:sz w:val="20"/>
                <w:szCs w:val="20"/>
              </w:rPr>
              <w:t>months</w:t>
            </w:r>
            <w:r w:rsidRPr="00D479D6">
              <w:rPr>
                <w:rFonts w:cs="Times New Roman"/>
                <w:b/>
                <w:sz w:val="20"/>
                <w:szCs w:val="20"/>
              </w:rPr>
              <w:t xml:space="preserve"> after Separation</w:t>
            </w:r>
            <w:r w:rsidRPr="00473D5C">
              <w:rPr>
                <w:rFonts w:cs="Times New Roman"/>
                <w:b/>
                <w:sz w:val="20"/>
                <w:szCs w:val="20"/>
              </w:rPr>
              <w:t>)</w:t>
            </w:r>
            <w:r>
              <w:rPr>
                <w:rFonts w:cs="Times New Roman"/>
                <w:b/>
                <w:sz w:val="20"/>
                <w:szCs w:val="20"/>
              </w:rPr>
              <w:t xml:space="preserve"> </w:t>
            </w:r>
            <w:r w:rsidRPr="00396779">
              <w:rPr>
                <w:rFonts w:cs="Times New Roman"/>
                <w:b/>
                <w:sz w:val="20"/>
                <w:szCs w:val="20"/>
              </w:rPr>
              <w:t>– All Effective</w:t>
            </w:r>
            <w:r>
              <w:rPr>
                <w:rFonts w:cs="Times New Roman"/>
                <w:b/>
                <w:sz w:val="20"/>
                <w:szCs w:val="20"/>
              </w:rPr>
              <w:t xml:space="preserve"> 20071129</w:t>
            </w:r>
          </w:p>
        </w:tc>
      </w:tr>
      <w:tr w:rsidR="000F5043" w:rsidRPr="00473D5C" w:rsidTr="00E26D30">
        <w:trPr>
          <w:trHeight w:hRule="exact" w:val="235"/>
          <w:tblHeader/>
        </w:trPr>
        <w:tc>
          <w:tcPr>
            <w:tcW w:w="2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F5043" w:rsidRPr="00473D5C" w:rsidRDefault="000F5043" w:rsidP="009B171B">
            <w:pPr>
              <w:pStyle w:val="ListParagraph"/>
              <w:ind w:left="0"/>
              <w:rPr>
                <w:rFonts w:cs="Times New Roman"/>
                <w:b/>
                <w:sz w:val="20"/>
                <w:szCs w:val="20"/>
              </w:rPr>
            </w:pPr>
            <w:r w:rsidRPr="00473D5C">
              <w:rPr>
                <w:rFonts w:cs="Times New Roman"/>
                <w:b/>
                <w:sz w:val="20"/>
                <w:szCs w:val="20"/>
              </w:rPr>
              <w:t>Condition</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F5043" w:rsidRPr="00473D5C" w:rsidRDefault="000F5043" w:rsidP="009B171B">
            <w:pPr>
              <w:pStyle w:val="ListParagraph"/>
              <w:ind w:left="0"/>
              <w:jc w:val="center"/>
              <w:rPr>
                <w:rFonts w:cs="Times New Roman"/>
                <w:b/>
                <w:sz w:val="20"/>
                <w:szCs w:val="20"/>
              </w:rPr>
            </w:pPr>
            <w:r w:rsidRPr="00473D5C">
              <w:rPr>
                <w:rFonts w:cs="Times New Roman"/>
                <w:b/>
                <w:sz w:val="20"/>
                <w:szCs w:val="20"/>
              </w:rPr>
              <w:t>Code</w:t>
            </w:r>
          </w:p>
        </w:tc>
        <w:tc>
          <w:tcPr>
            <w:tcW w:w="756" w:type="dxa"/>
            <w:tcBorders>
              <w:top w:val="single" w:sz="4" w:space="0" w:color="000000" w:themeColor="text1"/>
              <w:left w:val="single" w:sz="4" w:space="0" w:color="000000" w:themeColor="text1"/>
              <w:bottom w:val="single" w:sz="4" w:space="0" w:color="auto"/>
              <w:right w:val="thinThickThinSmallGap" w:sz="24" w:space="0" w:color="000000" w:themeColor="text1"/>
            </w:tcBorders>
            <w:shd w:val="clear" w:color="auto" w:fill="D9D9D9" w:themeFill="background1" w:themeFillShade="D9"/>
            <w:hideMark/>
          </w:tcPr>
          <w:p w:rsidR="000F5043" w:rsidRPr="00473D5C" w:rsidRDefault="000F5043" w:rsidP="009B171B">
            <w:pPr>
              <w:pStyle w:val="ListParagraph"/>
              <w:ind w:left="0"/>
              <w:jc w:val="center"/>
              <w:rPr>
                <w:rFonts w:cs="Times New Roman"/>
                <w:b/>
                <w:sz w:val="20"/>
                <w:szCs w:val="20"/>
              </w:rPr>
            </w:pPr>
            <w:r w:rsidRPr="00473D5C">
              <w:rPr>
                <w:rFonts w:cs="Times New Roman"/>
                <w:b/>
                <w:sz w:val="20"/>
                <w:szCs w:val="20"/>
              </w:rPr>
              <w:t>Rating</w:t>
            </w:r>
          </w:p>
        </w:tc>
        <w:tc>
          <w:tcPr>
            <w:tcW w:w="2471" w:type="dxa"/>
            <w:gridSpan w:val="2"/>
            <w:tcBorders>
              <w:top w:val="single" w:sz="4" w:space="0" w:color="000000" w:themeColor="text1"/>
              <w:left w:val="thinThickThinSmallGap" w:sz="24" w:space="0" w:color="000000" w:themeColor="text1"/>
              <w:bottom w:val="single" w:sz="4" w:space="0" w:color="auto"/>
              <w:right w:val="single" w:sz="4" w:space="0" w:color="000000" w:themeColor="text1"/>
            </w:tcBorders>
            <w:shd w:val="clear" w:color="auto" w:fill="D9D9D9" w:themeFill="background1" w:themeFillShade="D9"/>
            <w:hideMark/>
          </w:tcPr>
          <w:p w:rsidR="000F5043" w:rsidRPr="00473D5C" w:rsidRDefault="000F5043" w:rsidP="009B171B">
            <w:pPr>
              <w:pStyle w:val="ListParagraph"/>
              <w:ind w:left="0"/>
              <w:rPr>
                <w:rFonts w:cs="Times New Roman"/>
                <w:b/>
                <w:sz w:val="20"/>
                <w:szCs w:val="20"/>
              </w:rPr>
            </w:pPr>
            <w:r w:rsidRPr="00473D5C">
              <w:rPr>
                <w:rFonts w:cs="Times New Roman"/>
                <w:b/>
                <w:sz w:val="20"/>
                <w:szCs w:val="20"/>
              </w:rPr>
              <w:t>Condition</w:t>
            </w: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hideMark/>
          </w:tcPr>
          <w:p w:rsidR="000F5043" w:rsidRPr="00473D5C" w:rsidRDefault="000F5043" w:rsidP="009B171B">
            <w:pPr>
              <w:pStyle w:val="ListParagraph"/>
              <w:ind w:left="0"/>
              <w:jc w:val="center"/>
              <w:rPr>
                <w:rFonts w:cs="Times New Roman"/>
                <w:b/>
                <w:sz w:val="20"/>
                <w:szCs w:val="20"/>
              </w:rPr>
            </w:pPr>
            <w:r w:rsidRPr="00473D5C">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hideMark/>
          </w:tcPr>
          <w:p w:rsidR="000F5043" w:rsidRPr="00473D5C" w:rsidRDefault="000F5043" w:rsidP="009B171B">
            <w:pPr>
              <w:pStyle w:val="ListParagraph"/>
              <w:ind w:left="0"/>
              <w:jc w:val="center"/>
              <w:rPr>
                <w:rFonts w:cs="Times New Roman"/>
                <w:b/>
                <w:sz w:val="20"/>
                <w:szCs w:val="20"/>
              </w:rPr>
            </w:pPr>
            <w:r w:rsidRPr="00473D5C">
              <w:rPr>
                <w:rFonts w:cs="Times New Roman"/>
                <w:b/>
                <w:sz w:val="20"/>
                <w:szCs w:val="20"/>
              </w:rPr>
              <w:t>Rating</w:t>
            </w:r>
          </w:p>
        </w:tc>
        <w:tc>
          <w:tcPr>
            <w:tcW w:w="96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hideMark/>
          </w:tcPr>
          <w:p w:rsidR="000F5043" w:rsidRPr="00473D5C" w:rsidRDefault="000F5043" w:rsidP="009B171B">
            <w:pPr>
              <w:pStyle w:val="ListParagraph"/>
              <w:ind w:left="0"/>
              <w:jc w:val="center"/>
              <w:rPr>
                <w:rFonts w:cs="Times New Roman"/>
                <w:b/>
                <w:sz w:val="20"/>
                <w:szCs w:val="20"/>
              </w:rPr>
            </w:pPr>
            <w:r w:rsidRPr="00473D5C">
              <w:rPr>
                <w:rFonts w:cs="Times New Roman"/>
                <w:b/>
                <w:sz w:val="20"/>
                <w:szCs w:val="20"/>
              </w:rPr>
              <w:t>Exam</w:t>
            </w:r>
          </w:p>
        </w:tc>
      </w:tr>
      <w:tr w:rsidR="000F5043" w:rsidRPr="00473D5C" w:rsidTr="00E26D30">
        <w:trPr>
          <w:trHeight w:hRule="exact" w:val="244"/>
          <w:tblHeader/>
        </w:trPr>
        <w:tc>
          <w:tcPr>
            <w:tcW w:w="2860" w:type="dxa"/>
            <w:vMerge w:val="restart"/>
            <w:tcBorders>
              <w:top w:val="single" w:sz="4" w:space="0" w:color="000000" w:themeColor="text1"/>
              <w:left w:val="single" w:sz="4" w:space="0" w:color="000000" w:themeColor="text1"/>
              <w:right w:val="single" w:sz="4" w:space="0" w:color="000000" w:themeColor="text1"/>
            </w:tcBorders>
            <w:hideMark/>
          </w:tcPr>
          <w:p w:rsidR="000F5043" w:rsidRPr="00473D5C" w:rsidRDefault="000F5043" w:rsidP="009B171B">
            <w:pPr>
              <w:pStyle w:val="ListParagraph"/>
              <w:ind w:left="0"/>
              <w:rPr>
                <w:rFonts w:cs="Times New Roman"/>
                <w:sz w:val="18"/>
                <w:szCs w:val="18"/>
              </w:rPr>
            </w:pPr>
            <w:r>
              <w:rPr>
                <w:rFonts w:cs="Times New Roman"/>
                <w:sz w:val="18"/>
                <w:szCs w:val="18"/>
              </w:rPr>
              <w:t>Fibromyalgia…Depression</w:t>
            </w:r>
          </w:p>
        </w:tc>
        <w:tc>
          <w:tcPr>
            <w:tcW w:w="663" w:type="dxa"/>
            <w:vMerge w:val="restart"/>
            <w:tcBorders>
              <w:top w:val="single" w:sz="4" w:space="0" w:color="000000" w:themeColor="text1"/>
              <w:left w:val="single" w:sz="4" w:space="0" w:color="000000" w:themeColor="text1"/>
              <w:right w:val="single" w:sz="4" w:space="0" w:color="000000" w:themeColor="text1"/>
            </w:tcBorders>
            <w:hideMark/>
          </w:tcPr>
          <w:p w:rsidR="000F5043" w:rsidRPr="00473D5C" w:rsidRDefault="000F5043" w:rsidP="009B171B">
            <w:pPr>
              <w:pStyle w:val="ListParagraph"/>
              <w:ind w:left="0"/>
              <w:jc w:val="center"/>
              <w:rPr>
                <w:rFonts w:cs="Times New Roman"/>
                <w:sz w:val="18"/>
                <w:szCs w:val="18"/>
              </w:rPr>
            </w:pPr>
            <w:r>
              <w:rPr>
                <w:rFonts w:cs="Times New Roman"/>
                <w:sz w:val="18"/>
                <w:szCs w:val="18"/>
              </w:rPr>
              <w:t>5025</w:t>
            </w:r>
          </w:p>
        </w:tc>
        <w:tc>
          <w:tcPr>
            <w:tcW w:w="756" w:type="dxa"/>
            <w:vMerge w:val="restart"/>
            <w:tcBorders>
              <w:top w:val="single" w:sz="4" w:space="0" w:color="000000" w:themeColor="text1"/>
              <w:left w:val="single" w:sz="4" w:space="0" w:color="000000" w:themeColor="text1"/>
              <w:right w:val="thinThickThinSmallGap" w:sz="24" w:space="0" w:color="000000" w:themeColor="text1"/>
            </w:tcBorders>
            <w:hideMark/>
          </w:tcPr>
          <w:p w:rsidR="000F5043" w:rsidRPr="00473D5C" w:rsidRDefault="000F5043" w:rsidP="009B171B">
            <w:pPr>
              <w:pStyle w:val="ListParagraph"/>
              <w:ind w:left="0"/>
              <w:jc w:val="center"/>
              <w:rPr>
                <w:rFonts w:cs="Times New Roman"/>
                <w:sz w:val="18"/>
                <w:szCs w:val="18"/>
              </w:rPr>
            </w:pPr>
            <w:r>
              <w:rPr>
                <w:rFonts w:cs="Times New Roman"/>
                <w:sz w:val="18"/>
                <w:szCs w:val="18"/>
              </w:rPr>
              <w:t>20%</w:t>
            </w:r>
          </w:p>
        </w:tc>
        <w:tc>
          <w:tcPr>
            <w:tcW w:w="2471" w:type="dxa"/>
            <w:gridSpan w:val="2"/>
            <w:tcBorders>
              <w:top w:val="single" w:sz="4" w:space="0" w:color="auto"/>
              <w:left w:val="thinThickThinSmallGap" w:sz="24" w:space="0" w:color="000000" w:themeColor="text1"/>
              <w:bottom w:val="single" w:sz="4" w:space="0" w:color="auto"/>
              <w:right w:val="single" w:sz="4" w:space="0" w:color="000000" w:themeColor="text1"/>
            </w:tcBorders>
            <w:hideMark/>
          </w:tcPr>
          <w:p w:rsidR="000F5043" w:rsidRDefault="00E26D30" w:rsidP="009B171B">
            <w:pPr>
              <w:pStyle w:val="ListParagraph"/>
              <w:spacing w:line="240" w:lineRule="exact"/>
              <w:ind w:left="0"/>
              <w:rPr>
                <w:rFonts w:cs="Times New Roman"/>
                <w:sz w:val="18"/>
                <w:szCs w:val="18"/>
              </w:rPr>
            </w:pPr>
            <w:r>
              <w:rPr>
                <w:rFonts w:cs="Times New Roman"/>
                <w:sz w:val="18"/>
                <w:szCs w:val="18"/>
              </w:rPr>
              <w:t>Fibromyalgia … Headache</w:t>
            </w:r>
          </w:p>
          <w:p w:rsidR="000F5043" w:rsidRPr="00473D5C" w:rsidRDefault="000F5043" w:rsidP="009B171B">
            <w:pPr>
              <w:pStyle w:val="ListParagraph"/>
              <w:spacing w:line="240" w:lineRule="exact"/>
              <w:ind w:left="0"/>
              <w:rPr>
                <w:rFonts w:cs="Times New Roman"/>
                <w:sz w:val="18"/>
                <w:szCs w:val="18"/>
              </w:rPr>
            </w:pPr>
          </w:p>
        </w:tc>
        <w:tc>
          <w:tcPr>
            <w:tcW w:w="72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F5043" w:rsidRPr="00473D5C" w:rsidRDefault="000F5043" w:rsidP="009B171B">
            <w:pPr>
              <w:pStyle w:val="ListParagraph"/>
              <w:ind w:left="0"/>
              <w:jc w:val="center"/>
              <w:rPr>
                <w:rFonts w:cs="Times New Roman"/>
                <w:sz w:val="18"/>
                <w:szCs w:val="18"/>
              </w:rPr>
            </w:pPr>
            <w:r>
              <w:rPr>
                <w:rFonts w:cs="Times New Roman"/>
                <w:sz w:val="18"/>
                <w:szCs w:val="18"/>
              </w:rPr>
              <w:t>5025</w:t>
            </w:r>
          </w:p>
        </w:tc>
        <w:tc>
          <w:tcPr>
            <w:tcW w:w="81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F5043" w:rsidRPr="00473D5C" w:rsidRDefault="000F5043" w:rsidP="009B171B">
            <w:pPr>
              <w:pStyle w:val="ListParagraph"/>
              <w:ind w:left="0"/>
              <w:jc w:val="center"/>
              <w:rPr>
                <w:rFonts w:cs="Times New Roman"/>
                <w:sz w:val="18"/>
                <w:szCs w:val="18"/>
              </w:rPr>
            </w:pPr>
            <w:r>
              <w:rPr>
                <w:rFonts w:cs="Times New Roman"/>
                <w:sz w:val="18"/>
                <w:szCs w:val="18"/>
              </w:rPr>
              <w:t>20%</w:t>
            </w:r>
          </w:p>
        </w:tc>
        <w:tc>
          <w:tcPr>
            <w:tcW w:w="96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F5043" w:rsidRPr="00473D5C" w:rsidRDefault="00DB5498" w:rsidP="009B171B">
            <w:pPr>
              <w:pStyle w:val="ListParagraph"/>
              <w:spacing w:line="240" w:lineRule="exact"/>
              <w:ind w:left="0"/>
              <w:jc w:val="center"/>
              <w:rPr>
                <w:rFonts w:cs="Times New Roman"/>
                <w:sz w:val="18"/>
                <w:szCs w:val="18"/>
              </w:rPr>
            </w:pPr>
            <w:r>
              <w:rPr>
                <w:rFonts w:cs="Times New Roman"/>
                <w:sz w:val="18"/>
                <w:szCs w:val="18"/>
              </w:rPr>
              <w:t>20080324</w:t>
            </w:r>
          </w:p>
        </w:tc>
      </w:tr>
      <w:tr w:rsidR="00E26D30" w:rsidRPr="00473D5C" w:rsidTr="00E26D30">
        <w:trPr>
          <w:trHeight w:hRule="exact" w:val="244"/>
          <w:tblHeader/>
        </w:trPr>
        <w:tc>
          <w:tcPr>
            <w:tcW w:w="2860" w:type="dxa"/>
            <w:vMerge/>
            <w:tcBorders>
              <w:left w:val="single" w:sz="4" w:space="0" w:color="000000" w:themeColor="text1"/>
              <w:bottom w:val="single" w:sz="4" w:space="0" w:color="000000" w:themeColor="text1"/>
              <w:right w:val="single" w:sz="4" w:space="0" w:color="000000" w:themeColor="text1"/>
            </w:tcBorders>
            <w:hideMark/>
          </w:tcPr>
          <w:p w:rsidR="00E26D30" w:rsidRDefault="00E26D30" w:rsidP="009B171B">
            <w:pPr>
              <w:pStyle w:val="ListParagraph"/>
              <w:ind w:left="0"/>
              <w:rPr>
                <w:rFonts w:cs="Times New Roman"/>
                <w:sz w:val="18"/>
                <w:szCs w:val="18"/>
              </w:rPr>
            </w:pPr>
          </w:p>
        </w:tc>
        <w:tc>
          <w:tcPr>
            <w:tcW w:w="663" w:type="dxa"/>
            <w:vMerge/>
            <w:tcBorders>
              <w:left w:val="single" w:sz="4" w:space="0" w:color="000000" w:themeColor="text1"/>
              <w:bottom w:val="single" w:sz="4" w:space="0" w:color="000000" w:themeColor="text1"/>
              <w:right w:val="single" w:sz="4" w:space="0" w:color="000000" w:themeColor="text1"/>
            </w:tcBorders>
            <w:hideMark/>
          </w:tcPr>
          <w:p w:rsidR="00E26D30" w:rsidRDefault="00E26D30" w:rsidP="009B171B">
            <w:pPr>
              <w:pStyle w:val="ListParagraph"/>
              <w:ind w:left="0"/>
              <w:jc w:val="center"/>
              <w:rPr>
                <w:rFonts w:cs="Times New Roman"/>
                <w:sz w:val="18"/>
                <w:szCs w:val="18"/>
              </w:rPr>
            </w:pPr>
          </w:p>
        </w:tc>
        <w:tc>
          <w:tcPr>
            <w:tcW w:w="756" w:type="dxa"/>
            <w:vMerge/>
            <w:tcBorders>
              <w:left w:val="single" w:sz="4" w:space="0" w:color="000000" w:themeColor="text1"/>
              <w:bottom w:val="single" w:sz="4" w:space="0" w:color="000000" w:themeColor="text1"/>
              <w:right w:val="thinThickThinSmallGap" w:sz="24" w:space="0" w:color="000000" w:themeColor="text1"/>
            </w:tcBorders>
            <w:hideMark/>
          </w:tcPr>
          <w:p w:rsidR="00E26D30" w:rsidRDefault="00E26D30" w:rsidP="009B171B">
            <w:pPr>
              <w:pStyle w:val="ListParagraph"/>
              <w:ind w:left="0"/>
              <w:jc w:val="center"/>
              <w:rPr>
                <w:rFonts w:cs="Times New Roman"/>
                <w:sz w:val="18"/>
                <w:szCs w:val="18"/>
              </w:rPr>
            </w:pPr>
          </w:p>
        </w:tc>
        <w:tc>
          <w:tcPr>
            <w:tcW w:w="2111" w:type="dxa"/>
            <w:tcBorders>
              <w:top w:val="single" w:sz="4" w:space="0" w:color="auto"/>
              <w:left w:val="thinThickThinSmallGap" w:sz="24" w:space="0" w:color="000000" w:themeColor="text1"/>
              <w:bottom w:val="single" w:sz="4" w:space="0" w:color="auto"/>
              <w:right w:val="single" w:sz="4" w:space="0" w:color="auto"/>
            </w:tcBorders>
            <w:hideMark/>
          </w:tcPr>
          <w:p w:rsidR="00E26D30" w:rsidRDefault="00E26D30" w:rsidP="009B171B">
            <w:pPr>
              <w:pStyle w:val="ListParagraph"/>
              <w:spacing w:line="240" w:lineRule="exact"/>
              <w:ind w:left="0"/>
              <w:rPr>
                <w:rFonts w:cs="Times New Roman"/>
                <w:sz w:val="18"/>
                <w:szCs w:val="18"/>
              </w:rPr>
            </w:pPr>
            <w:r>
              <w:rPr>
                <w:rFonts w:cs="Times New Roman"/>
                <w:sz w:val="18"/>
                <w:szCs w:val="18"/>
              </w:rPr>
              <w:t>Major Depression</w:t>
            </w:r>
          </w:p>
        </w:tc>
        <w:tc>
          <w:tcPr>
            <w:tcW w:w="1080" w:type="dxa"/>
            <w:gridSpan w:val="2"/>
            <w:tcBorders>
              <w:top w:val="single" w:sz="4" w:space="0" w:color="auto"/>
              <w:left w:val="single" w:sz="4" w:space="0" w:color="auto"/>
              <w:bottom w:val="single" w:sz="4" w:space="0" w:color="auto"/>
              <w:right w:val="single" w:sz="4" w:space="0" w:color="000000" w:themeColor="text1"/>
            </w:tcBorders>
          </w:tcPr>
          <w:p w:rsidR="00E26D30" w:rsidRPr="00D479D6" w:rsidRDefault="00E26D30" w:rsidP="009B171B">
            <w:pPr>
              <w:pStyle w:val="ListParagraph"/>
              <w:spacing w:after="0" w:line="240" w:lineRule="auto"/>
              <w:ind w:left="0"/>
              <w:jc w:val="center"/>
              <w:rPr>
                <w:rFonts w:cs="Times New Roman"/>
                <w:sz w:val="18"/>
                <w:szCs w:val="18"/>
              </w:rPr>
            </w:pPr>
            <w:r>
              <w:rPr>
                <w:rFonts w:cs="Times New Roman"/>
                <w:sz w:val="18"/>
                <w:szCs w:val="18"/>
              </w:rPr>
              <w:t>9434- 9422</w:t>
            </w:r>
          </w:p>
        </w:tc>
        <w:tc>
          <w:tcPr>
            <w:tcW w:w="81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26D30" w:rsidRPr="00D479D6" w:rsidRDefault="00E26D30" w:rsidP="009B171B">
            <w:pPr>
              <w:pStyle w:val="ListParagraph"/>
              <w:spacing w:after="0" w:line="240" w:lineRule="auto"/>
              <w:ind w:left="0"/>
              <w:jc w:val="center"/>
              <w:rPr>
                <w:rFonts w:cs="Times New Roman"/>
                <w:sz w:val="18"/>
                <w:szCs w:val="18"/>
              </w:rPr>
            </w:pPr>
            <w:r>
              <w:rPr>
                <w:rFonts w:cs="Times New Roman"/>
                <w:sz w:val="18"/>
                <w:szCs w:val="18"/>
              </w:rPr>
              <w:t>70%</w:t>
            </w:r>
          </w:p>
        </w:tc>
        <w:tc>
          <w:tcPr>
            <w:tcW w:w="96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26D30" w:rsidRPr="00D479D6" w:rsidRDefault="00E26D30" w:rsidP="009B171B">
            <w:pPr>
              <w:pStyle w:val="ListParagraph"/>
              <w:spacing w:after="0" w:line="240" w:lineRule="auto"/>
              <w:ind w:left="0"/>
              <w:jc w:val="center"/>
              <w:rPr>
                <w:rFonts w:cs="Times New Roman"/>
                <w:sz w:val="18"/>
                <w:szCs w:val="18"/>
              </w:rPr>
            </w:pPr>
            <w:r>
              <w:rPr>
                <w:rFonts w:cs="Times New Roman"/>
                <w:sz w:val="18"/>
                <w:szCs w:val="18"/>
              </w:rPr>
              <w:t>20080324</w:t>
            </w:r>
          </w:p>
        </w:tc>
      </w:tr>
      <w:tr w:rsidR="000F5043" w:rsidRPr="00473D5C" w:rsidTr="00E26D30">
        <w:trPr>
          <w:trHeight w:hRule="exact" w:val="271"/>
          <w:tblHeader/>
        </w:trPr>
        <w:tc>
          <w:tcPr>
            <w:tcW w:w="2860" w:type="dxa"/>
            <w:tcBorders>
              <w:top w:val="single" w:sz="4" w:space="0" w:color="auto"/>
              <w:left w:val="single" w:sz="4" w:space="0" w:color="000000" w:themeColor="text1"/>
              <w:right w:val="single" w:sz="4" w:space="0" w:color="000000" w:themeColor="text1"/>
            </w:tcBorders>
            <w:hideMark/>
          </w:tcPr>
          <w:p w:rsidR="000F5043" w:rsidRPr="00F84086" w:rsidRDefault="000F5043" w:rsidP="009B171B">
            <w:pPr>
              <w:pStyle w:val="ListParagraph"/>
              <w:spacing w:line="240" w:lineRule="exact"/>
              <w:ind w:left="0"/>
              <w:rPr>
                <w:rFonts w:cs="Times New Roman"/>
                <w:sz w:val="18"/>
                <w:szCs w:val="18"/>
              </w:rPr>
            </w:pPr>
            <w:r w:rsidRPr="00D82973">
              <w:rPr>
                <w:sz w:val="18"/>
                <w:szCs w:val="18"/>
              </w:rPr>
              <w:t>Cervical Spinal Stenosis</w:t>
            </w:r>
          </w:p>
        </w:tc>
        <w:tc>
          <w:tcPr>
            <w:tcW w:w="1419" w:type="dxa"/>
            <w:gridSpan w:val="2"/>
            <w:tcBorders>
              <w:top w:val="single" w:sz="4" w:space="0" w:color="auto"/>
              <w:left w:val="single" w:sz="4" w:space="0" w:color="000000" w:themeColor="text1"/>
              <w:right w:val="thinThickThinSmallGap" w:sz="24" w:space="0" w:color="000000" w:themeColor="text1"/>
            </w:tcBorders>
          </w:tcPr>
          <w:p w:rsidR="000F5043" w:rsidRPr="00F84086" w:rsidRDefault="000F5043" w:rsidP="009B171B">
            <w:pPr>
              <w:pStyle w:val="ListParagraph"/>
              <w:spacing w:line="240" w:lineRule="exact"/>
              <w:ind w:left="0"/>
              <w:jc w:val="center"/>
              <w:rPr>
                <w:rFonts w:cs="Times New Roman"/>
                <w:sz w:val="18"/>
                <w:szCs w:val="18"/>
              </w:rPr>
            </w:pPr>
            <w:r>
              <w:rPr>
                <w:rFonts w:cs="Times New Roman"/>
                <w:sz w:val="18"/>
                <w:szCs w:val="18"/>
              </w:rPr>
              <w:t>Not Unfitting</w:t>
            </w:r>
          </w:p>
        </w:tc>
        <w:tc>
          <w:tcPr>
            <w:tcW w:w="2471" w:type="dxa"/>
            <w:gridSpan w:val="2"/>
            <w:tcBorders>
              <w:top w:val="single" w:sz="4" w:space="0" w:color="auto"/>
              <w:left w:val="thinThickThinSmallGap" w:sz="24" w:space="0" w:color="000000" w:themeColor="text1"/>
              <w:bottom w:val="single" w:sz="4" w:space="0" w:color="auto"/>
              <w:right w:val="single" w:sz="4" w:space="0" w:color="000000" w:themeColor="text1"/>
            </w:tcBorders>
          </w:tcPr>
          <w:p w:rsidR="000F5043" w:rsidRPr="00473D5C" w:rsidRDefault="000F5043" w:rsidP="009B171B">
            <w:pPr>
              <w:pStyle w:val="ListParagraph"/>
              <w:spacing w:line="240" w:lineRule="exact"/>
              <w:ind w:left="0"/>
              <w:rPr>
                <w:rFonts w:cs="Times New Roman"/>
                <w:sz w:val="18"/>
                <w:szCs w:val="18"/>
              </w:rPr>
            </w:pPr>
            <w:r>
              <w:rPr>
                <w:rFonts w:cs="Times New Roman"/>
                <w:sz w:val="18"/>
                <w:szCs w:val="18"/>
              </w:rPr>
              <w:t>Cervical Deg. Disc</w:t>
            </w:r>
          </w:p>
        </w:tc>
        <w:tc>
          <w:tcPr>
            <w:tcW w:w="720" w:type="dxa"/>
            <w:tcBorders>
              <w:top w:val="single" w:sz="4" w:space="0" w:color="auto"/>
              <w:left w:val="single" w:sz="4" w:space="0" w:color="000000" w:themeColor="text1"/>
              <w:bottom w:val="single" w:sz="4" w:space="0" w:color="auto"/>
              <w:right w:val="single" w:sz="4" w:space="0" w:color="000000" w:themeColor="text1"/>
            </w:tcBorders>
          </w:tcPr>
          <w:p w:rsidR="000F5043" w:rsidRPr="00D479D6" w:rsidRDefault="000F5043" w:rsidP="009B171B">
            <w:pPr>
              <w:pStyle w:val="ListParagraph"/>
              <w:spacing w:after="0" w:line="240" w:lineRule="auto"/>
              <w:ind w:left="0"/>
              <w:jc w:val="center"/>
              <w:rPr>
                <w:rFonts w:cs="Times New Roman"/>
                <w:sz w:val="18"/>
                <w:szCs w:val="18"/>
              </w:rPr>
            </w:pPr>
            <w:r>
              <w:rPr>
                <w:rFonts w:cs="Times New Roman"/>
                <w:sz w:val="18"/>
                <w:szCs w:val="18"/>
              </w:rPr>
              <w:t>5242</w:t>
            </w:r>
          </w:p>
        </w:tc>
        <w:tc>
          <w:tcPr>
            <w:tcW w:w="810" w:type="dxa"/>
            <w:tcBorders>
              <w:top w:val="single" w:sz="4" w:space="0" w:color="auto"/>
              <w:left w:val="single" w:sz="4" w:space="0" w:color="000000" w:themeColor="text1"/>
              <w:bottom w:val="single" w:sz="4" w:space="0" w:color="auto"/>
              <w:right w:val="single" w:sz="4" w:space="0" w:color="000000" w:themeColor="text1"/>
            </w:tcBorders>
          </w:tcPr>
          <w:p w:rsidR="000F5043" w:rsidRPr="00D479D6" w:rsidRDefault="000F5043" w:rsidP="009B171B">
            <w:pPr>
              <w:pStyle w:val="ListParagraph"/>
              <w:spacing w:after="0" w:line="240" w:lineRule="auto"/>
              <w:ind w:left="0"/>
              <w:jc w:val="center"/>
              <w:rPr>
                <w:rFonts w:cs="Times New Roman"/>
                <w:sz w:val="18"/>
                <w:szCs w:val="18"/>
              </w:rPr>
            </w:pPr>
            <w:r>
              <w:rPr>
                <w:rFonts w:cs="Times New Roman"/>
                <w:sz w:val="18"/>
                <w:szCs w:val="18"/>
              </w:rPr>
              <w:t>10%</w:t>
            </w:r>
          </w:p>
        </w:tc>
        <w:tc>
          <w:tcPr>
            <w:tcW w:w="965" w:type="dxa"/>
            <w:tcBorders>
              <w:top w:val="single" w:sz="4" w:space="0" w:color="auto"/>
              <w:left w:val="single" w:sz="4" w:space="0" w:color="000000" w:themeColor="text1"/>
              <w:bottom w:val="single" w:sz="4" w:space="0" w:color="auto"/>
              <w:right w:val="single" w:sz="4" w:space="0" w:color="000000" w:themeColor="text1"/>
            </w:tcBorders>
          </w:tcPr>
          <w:p w:rsidR="000F5043" w:rsidRPr="00D479D6" w:rsidRDefault="000F5043" w:rsidP="009B171B">
            <w:pPr>
              <w:pStyle w:val="ListParagraph"/>
              <w:spacing w:after="0" w:line="240" w:lineRule="auto"/>
              <w:ind w:left="0"/>
              <w:jc w:val="center"/>
              <w:rPr>
                <w:rFonts w:cs="Times New Roman"/>
                <w:sz w:val="18"/>
                <w:szCs w:val="18"/>
              </w:rPr>
            </w:pPr>
            <w:r>
              <w:rPr>
                <w:rFonts w:cs="Times New Roman"/>
                <w:sz w:val="18"/>
                <w:szCs w:val="18"/>
              </w:rPr>
              <w:t>20080324</w:t>
            </w:r>
          </w:p>
        </w:tc>
      </w:tr>
      <w:tr w:rsidR="000F5043" w:rsidRPr="00473D5C" w:rsidTr="00E26D30">
        <w:trPr>
          <w:trHeight w:hRule="exact" w:val="280"/>
          <w:tblHeader/>
        </w:trPr>
        <w:tc>
          <w:tcPr>
            <w:tcW w:w="4279" w:type="dxa"/>
            <w:gridSpan w:val="3"/>
            <w:vMerge w:val="restart"/>
            <w:tcBorders>
              <w:left w:val="single" w:sz="4" w:space="0" w:color="000000" w:themeColor="text1"/>
              <w:right w:val="thinThickThinSmallGap" w:sz="24" w:space="0" w:color="000000" w:themeColor="text1"/>
            </w:tcBorders>
            <w:hideMark/>
          </w:tcPr>
          <w:p w:rsidR="000F5043" w:rsidRDefault="000F5043" w:rsidP="009B171B">
            <w:pPr>
              <w:pStyle w:val="ListParagraph"/>
              <w:spacing w:line="240" w:lineRule="exact"/>
              <w:ind w:left="0"/>
              <w:jc w:val="center"/>
              <w:rPr>
                <w:rFonts w:cs="Times New Roman"/>
                <w:sz w:val="18"/>
                <w:szCs w:val="18"/>
              </w:rPr>
            </w:pPr>
            <w:r>
              <w:rPr>
                <w:rFonts w:cs="Times New Roman"/>
                <w:sz w:val="18"/>
                <w:szCs w:val="18"/>
              </w:rPr>
              <w:t>↓</w:t>
            </w:r>
            <w:r w:rsidRPr="009D1115">
              <w:rPr>
                <w:rFonts w:cs="Times New Roman"/>
                <w:sz w:val="18"/>
                <w:szCs w:val="18"/>
              </w:rPr>
              <w:t xml:space="preserve">No Additional </w:t>
            </w:r>
            <w:r>
              <w:rPr>
                <w:rFonts w:cs="Times New Roman"/>
                <w:sz w:val="18"/>
                <w:szCs w:val="18"/>
              </w:rPr>
              <w:t xml:space="preserve">MEB </w:t>
            </w:r>
            <w:r w:rsidRPr="009D1115">
              <w:rPr>
                <w:rFonts w:cs="Times New Roman"/>
                <w:sz w:val="18"/>
                <w:szCs w:val="18"/>
              </w:rPr>
              <w:t>Entries</w:t>
            </w:r>
            <w:r>
              <w:rPr>
                <w:rFonts w:cs="Times New Roman"/>
                <w:sz w:val="18"/>
                <w:szCs w:val="18"/>
              </w:rPr>
              <w:t>.↓</w:t>
            </w:r>
          </w:p>
          <w:p w:rsidR="000F5043" w:rsidRDefault="000F5043" w:rsidP="009B171B">
            <w:pPr>
              <w:pStyle w:val="ListParagraph"/>
              <w:spacing w:line="240" w:lineRule="exact"/>
              <w:ind w:left="0"/>
              <w:jc w:val="center"/>
              <w:rPr>
                <w:rFonts w:cs="Times New Roman"/>
                <w:sz w:val="18"/>
                <w:szCs w:val="18"/>
              </w:rPr>
            </w:pPr>
          </w:p>
          <w:p w:rsidR="000F5043" w:rsidRPr="00F84086" w:rsidRDefault="000F5043" w:rsidP="009B171B">
            <w:pPr>
              <w:pStyle w:val="ListParagraph"/>
              <w:spacing w:line="240" w:lineRule="exact"/>
              <w:ind w:left="0"/>
              <w:jc w:val="center"/>
              <w:rPr>
                <w:rFonts w:cs="Times New Roman"/>
                <w:sz w:val="18"/>
                <w:szCs w:val="18"/>
              </w:rPr>
            </w:pPr>
          </w:p>
        </w:tc>
        <w:tc>
          <w:tcPr>
            <w:tcW w:w="2471" w:type="dxa"/>
            <w:gridSpan w:val="2"/>
            <w:tcBorders>
              <w:top w:val="single" w:sz="4" w:space="0" w:color="auto"/>
              <w:left w:val="thinThickThinSmallGap" w:sz="24" w:space="0" w:color="000000" w:themeColor="text1"/>
              <w:bottom w:val="nil"/>
              <w:right w:val="single" w:sz="4" w:space="0" w:color="auto"/>
            </w:tcBorders>
          </w:tcPr>
          <w:p w:rsidR="000F5043" w:rsidRPr="00473D5C" w:rsidRDefault="000F5043" w:rsidP="009B171B">
            <w:pPr>
              <w:pStyle w:val="ListParagraph"/>
              <w:spacing w:line="240" w:lineRule="exact"/>
              <w:ind w:left="0"/>
              <w:rPr>
                <w:rFonts w:cs="Times New Roman"/>
                <w:sz w:val="18"/>
                <w:szCs w:val="18"/>
              </w:rPr>
            </w:pPr>
            <w:r>
              <w:rPr>
                <w:rFonts w:cs="Times New Roman"/>
                <w:sz w:val="18"/>
                <w:szCs w:val="18"/>
              </w:rPr>
              <w:t>Lumbar/Thoracic</w:t>
            </w:r>
            <w:r w:rsidR="00E26D30">
              <w:rPr>
                <w:rFonts w:cs="Times New Roman"/>
                <w:sz w:val="18"/>
                <w:szCs w:val="18"/>
              </w:rPr>
              <w:t>…</w:t>
            </w:r>
          </w:p>
        </w:tc>
        <w:tc>
          <w:tcPr>
            <w:tcW w:w="720" w:type="dxa"/>
            <w:tcBorders>
              <w:top w:val="single" w:sz="4" w:space="0" w:color="auto"/>
              <w:left w:val="single" w:sz="4" w:space="0" w:color="auto"/>
              <w:bottom w:val="nil"/>
              <w:right w:val="single" w:sz="4" w:space="0" w:color="auto"/>
            </w:tcBorders>
          </w:tcPr>
          <w:p w:rsidR="000F5043" w:rsidRPr="00D479D6" w:rsidRDefault="000F5043" w:rsidP="009B171B">
            <w:pPr>
              <w:pStyle w:val="ListParagraph"/>
              <w:spacing w:after="0" w:line="240" w:lineRule="auto"/>
              <w:ind w:left="0"/>
              <w:jc w:val="center"/>
              <w:rPr>
                <w:rFonts w:cs="Times New Roman"/>
                <w:sz w:val="18"/>
                <w:szCs w:val="18"/>
              </w:rPr>
            </w:pPr>
            <w:r>
              <w:rPr>
                <w:rFonts w:cs="Times New Roman"/>
                <w:sz w:val="18"/>
                <w:szCs w:val="18"/>
              </w:rPr>
              <w:t>5237</w:t>
            </w:r>
          </w:p>
        </w:tc>
        <w:tc>
          <w:tcPr>
            <w:tcW w:w="810" w:type="dxa"/>
            <w:tcBorders>
              <w:top w:val="single" w:sz="4" w:space="0" w:color="auto"/>
              <w:left w:val="single" w:sz="4" w:space="0" w:color="auto"/>
              <w:bottom w:val="nil"/>
              <w:right w:val="single" w:sz="4" w:space="0" w:color="auto"/>
            </w:tcBorders>
          </w:tcPr>
          <w:p w:rsidR="000F5043" w:rsidRPr="00D479D6" w:rsidRDefault="000F5043" w:rsidP="009B171B">
            <w:pPr>
              <w:pStyle w:val="ListParagraph"/>
              <w:spacing w:after="0" w:line="240" w:lineRule="auto"/>
              <w:ind w:left="0"/>
              <w:jc w:val="center"/>
              <w:rPr>
                <w:rFonts w:cs="Times New Roman"/>
                <w:sz w:val="18"/>
                <w:szCs w:val="18"/>
              </w:rPr>
            </w:pPr>
            <w:r>
              <w:rPr>
                <w:rFonts w:cs="Times New Roman"/>
                <w:sz w:val="18"/>
                <w:szCs w:val="18"/>
              </w:rPr>
              <w:t>10%</w:t>
            </w:r>
          </w:p>
        </w:tc>
        <w:tc>
          <w:tcPr>
            <w:tcW w:w="965" w:type="dxa"/>
            <w:tcBorders>
              <w:top w:val="single" w:sz="4" w:space="0" w:color="auto"/>
              <w:left w:val="single" w:sz="4" w:space="0" w:color="auto"/>
              <w:right w:val="single" w:sz="4" w:space="0" w:color="000000" w:themeColor="text1"/>
            </w:tcBorders>
          </w:tcPr>
          <w:p w:rsidR="000F5043" w:rsidRPr="00D479D6" w:rsidRDefault="000F5043" w:rsidP="009B171B">
            <w:pPr>
              <w:pStyle w:val="ListParagraph"/>
              <w:spacing w:after="0" w:line="240" w:lineRule="auto"/>
              <w:ind w:left="0"/>
              <w:jc w:val="center"/>
              <w:rPr>
                <w:rFonts w:cs="Times New Roman"/>
                <w:sz w:val="18"/>
                <w:szCs w:val="18"/>
              </w:rPr>
            </w:pPr>
            <w:r>
              <w:rPr>
                <w:rFonts w:cs="Times New Roman"/>
                <w:sz w:val="18"/>
                <w:szCs w:val="18"/>
              </w:rPr>
              <w:t>20080324</w:t>
            </w:r>
          </w:p>
        </w:tc>
      </w:tr>
      <w:tr w:rsidR="000F5043" w:rsidRPr="00473D5C" w:rsidTr="009B171B">
        <w:trPr>
          <w:trHeight w:hRule="exact" w:val="280"/>
          <w:tblHeader/>
        </w:trPr>
        <w:tc>
          <w:tcPr>
            <w:tcW w:w="4279" w:type="dxa"/>
            <w:gridSpan w:val="3"/>
            <w:vMerge/>
            <w:tcBorders>
              <w:left w:val="single" w:sz="4" w:space="0" w:color="000000" w:themeColor="text1"/>
              <w:bottom w:val="nil"/>
              <w:right w:val="thinThickThinSmallGap" w:sz="24" w:space="0" w:color="000000" w:themeColor="text1"/>
            </w:tcBorders>
            <w:hideMark/>
          </w:tcPr>
          <w:p w:rsidR="000F5043" w:rsidRDefault="000F5043" w:rsidP="009B171B">
            <w:pPr>
              <w:pStyle w:val="ListParagraph"/>
              <w:spacing w:line="240" w:lineRule="exact"/>
              <w:ind w:left="0"/>
              <w:jc w:val="center"/>
              <w:rPr>
                <w:rFonts w:cs="Times New Roman"/>
                <w:sz w:val="18"/>
                <w:szCs w:val="18"/>
              </w:rPr>
            </w:pPr>
          </w:p>
        </w:tc>
        <w:tc>
          <w:tcPr>
            <w:tcW w:w="4001" w:type="dxa"/>
            <w:gridSpan w:val="4"/>
            <w:tcBorders>
              <w:top w:val="single" w:sz="4" w:space="0" w:color="auto"/>
              <w:left w:val="thinThickThinSmallGap" w:sz="24" w:space="0" w:color="000000" w:themeColor="text1"/>
              <w:bottom w:val="nil"/>
              <w:right w:val="single" w:sz="4" w:space="0" w:color="auto"/>
            </w:tcBorders>
          </w:tcPr>
          <w:p w:rsidR="000F5043" w:rsidRDefault="00DB5498" w:rsidP="009B171B">
            <w:pPr>
              <w:pStyle w:val="ListParagraph"/>
              <w:spacing w:line="240" w:lineRule="exact"/>
              <w:ind w:left="0"/>
              <w:jc w:val="center"/>
              <w:rPr>
                <w:rFonts w:cs="Times New Roman"/>
                <w:sz w:val="18"/>
                <w:szCs w:val="18"/>
              </w:rPr>
            </w:pPr>
            <w:r>
              <w:rPr>
                <w:rFonts w:cs="Times New Roman"/>
                <w:sz w:val="18"/>
                <w:szCs w:val="18"/>
              </w:rPr>
              <w:t xml:space="preserve">       0% X 1 / Not Service Connected X 1</w:t>
            </w:r>
          </w:p>
          <w:p w:rsidR="000F5043" w:rsidRPr="00473D5C" w:rsidRDefault="000F5043" w:rsidP="009B171B">
            <w:pPr>
              <w:pStyle w:val="ListParagraph"/>
              <w:spacing w:line="240" w:lineRule="exact"/>
              <w:ind w:left="0"/>
              <w:jc w:val="center"/>
              <w:rPr>
                <w:rFonts w:cs="Times New Roman"/>
                <w:sz w:val="18"/>
                <w:szCs w:val="18"/>
              </w:rPr>
            </w:pPr>
          </w:p>
        </w:tc>
        <w:tc>
          <w:tcPr>
            <w:tcW w:w="965" w:type="dxa"/>
            <w:tcBorders>
              <w:top w:val="single" w:sz="4" w:space="0" w:color="auto"/>
              <w:left w:val="single" w:sz="4" w:space="0" w:color="auto"/>
              <w:right w:val="single" w:sz="4" w:space="0" w:color="000000" w:themeColor="text1"/>
            </w:tcBorders>
          </w:tcPr>
          <w:p w:rsidR="000F5043" w:rsidRDefault="00DB5498" w:rsidP="009B171B">
            <w:pPr>
              <w:pStyle w:val="ListParagraph"/>
              <w:spacing w:line="240" w:lineRule="exact"/>
              <w:ind w:left="0"/>
              <w:jc w:val="center"/>
              <w:rPr>
                <w:rFonts w:cs="Times New Roman"/>
                <w:sz w:val="18"/>
                <w:szCs w:val="18"/>
              </w:rPr>
            </w:pPr>
            <w:r>
              <w:rPr>
                <w:rFonts w:cs="Times New Roman"/>
                <w:sz w:val="18"/>
                <w:szCs w:val="18"/>
              </w:rPr>
              <w:t>20080324</w:t>
            </w:r>
          </w:p>
          <w:p w:rsidR="000F5043" w:rsidRPr="00473D5C" w:rsidRDefault="000F5043" w:rsidP="009B171B">
            <w:pPr>
              <w:pStyle w:val="ListParagraph"/>
              <w:spacing w:line="240" w:lineRule="exact"/>
              <w:ind w:left="0"/>
              <w:jc w:val="center"/>
              <w:rPr>
                <w:rFonts w:cs="Times New Roman"/>
                <w:sz w:val="18"/>
                <w:szCs w:val="18"/>
              </w:rPr>
            </w:pPr>
          </w:p>
        </w:tc>
      </w:tr>
      <w:tr w:rsidR="000F5043" w:rsidRPr="00473D5C" w:rsidTr="000F5043">
        <w:trPr>
          <w:trHeight w:hRule="exact" w:val="217"/>
          <w:tblHeader/>
        </w:trPr>
        <w:tc>
          <w:tcPr>
            <w:tcW w:w="4279"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D9D9D9" w:themeFill="background1" w:themeFillShade="D9"/>
            <w:hideMark/>
          </w:tcPr>
          <w:p w:rsidR="000F5043" w:rsidRPr="00473D5C" w:rsidRDefault="000F5043" w:rsidP="009B171B">
            <w:pPr>
              <w:pStyle w:val="ListParagraph"/>
              <w:ind w:left="0"/>
              <w:jc w:val="center"/>
              <w:rPr>
                <w:rFonts w:cs="Times New Roman"/>
                <w:b/>
                <w:sz w:val="20"/>
                <w:szCs w:val="20"/>
              </w:rPr>
            </w:pPr>
            <w:r w:rsidRPr="00473D5C">
              <w:rPr>
                <w:rFonts w:cs="Times New Roman"/>
                <w:b/>
                <w:sz w:val="20"/>
                <w:szCs w:val="20"/>
              </w:rPr>
              <w:t xml:space="preserve">TOTAL Combined:  </w:t>
            </w:r>
            <w:r w:rsidR="00DB5498">
              <w:rPr>
                <w:rFonts w:cs="Times New Roman"/>
                <w:b/>
                <w:sz w:val="20"/>
                <w:szCs w:val="20"/>
              </w:rPr>
              <w:t>2</w:t>
            </w:r>
            <w:r w:rsidRPr="00473D5C">
              <w:rPr>
                <w:rFonts w:cs="Times New Roman"/>
                <w:b/>
                <w:sz w:val="20"/>
                <w:szCs w:val="20"/>
              </w:rPr>
              <w:t>0%</w:t>
            </w:r>
          </w:p>
        </w:tc>
        <w:tc>
          <w:tcPr>
            <w:tcW w:w="4966"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F5043" w:rsidRPr="00473D5C" w:rsidRDefault="000F5043" w:rsidP="009B171B">
            <w:pPr>
              <w:pStyle w:val="ListParagraph"/>
              <w:ind w:left="0"/>
              <w:jc w:val="center"/>
              <w:rPr>
                <w:rFonts w:cs="Times New Roman"/>
                <w:b/>
                <w:sz w:val="20"/>
                <w:szCs w:val="20"/>
              </w:rPr>
            </w:pPr>
            <w:r w:rsidRPr="00473D5C">
              <w:rPr>
                <w:rFonts w:cs="Times New Roman"/>
                <w:b/>
                <w:sz w:val="20"/>
                <w:szCs w:val="20"/>
              </w:rPr>
              <w:t>TOTAL Combined</w:t>
            </w:r>
            <w:r>
              <w:rPr>
                <w:rFonts w:cs="Times New Roman"/>
                <w:b/>
                <w:sz w:val="20"/>
                <w:szCs w:val="20"/>
              </w:rPr>
              <w:t xml:space="preserve">: </w:t>
            </w:r>
            <w:r w:rsidRPr="00473D5C">
              <w:rPr>
                <w:rFonts w:cs="Times New Roman"/>
                <w:b/>
                <w:sz w:val="20"/>
                <w:szCs w:val="20"/>
              </w:rPr>
              <w:t xml:space="preserve"> </w:t>
            </w:r>
            <w:r w:rsidR="00DB5498">
              <w:rPr>
                <w:rFonts w:cs="Times New Roman"/>
                <w:b/>
                <w:sz w:val="20"/>
                <w:szCs w:val="20"/>
              </w:rPr>
              <w:t>8</w:t>
            </w:r>
            <w:r>
              <w:rPr>
                <w:rFonts w:cs="Times New Roman"/>
                <w:b/>
                <w:sz w:val="20"/>
                <w:szCs w:val="20"/>
              </w:rPr>
              <w:t>0%</w:t>
            </w:r>
            <w:r w:rsidRPr="00473D5C">
              <w:rPr>
                <w:rFonts w:cs="Times New Roman"/>
                <w:b/>
                <w:sz w:val="20"/>
                <w:szCs w:val="20"/>
              </w:rPr>
              <w:t xml:space="preserve">   </w:t>
            </w:r>
          </w:p>
          <w:p w:rsidR="000F5043" w:rsidRPr="00473D5C" w:rsidRDefault="000F5043" w:rsidP="009B171B">
            <w:pPr>
              <w:pStyle w:val="ListParagraph"/>
              <w:ind w:left="0"/>
              <w:jc w:val="center"/>
              <w:rPr>
                <w:rFonts w:cs="Times New Roman"/>
                <w:b/>
                <w:sz w:val="20"/>
                <w:szCs w:val="20"/>
              </w:rPr>
            </w:pPr>
            <w:r w:rsidRPr="00473D5C">
              <w:rPr>
                <w:rFonts w:cs="Times New Roman"/>
                <w:sz w:val="20"/>
                <w:szCs w:val="20"/>
              </w:rPr>
              <w:t xml:space="preserve"> </w:t>
            </w:r>
          </w:p>
        </w:tc>
      </w:tr>
    </w:tbl>
    <w:p w:rsidR="00A043E8" w:rsidRPr="00CD5BD7" w:rsidRDefault="00A043E8" w:rsidP="00A043E8">
      <w:pPr>
        <w:pBdr>
          <w:bottom w:val="single" w:sz="12" w:space="1" w:color="auto"/>
        </w:pBdr>
        <w:tabs>
          <w:tab w:val="left" w:pos="288"/>
          <w:tab w:val="left" w:pos="4752"/>
        </w:tabs>
        <w:spacing w:line="240" w:lineRule="exact"/>
        <w:jc w:val="both"/>
        <w:rPr>
          <w:rFonts w:ascii="Calibri" w:hAnsi="Calibri"/>
          <w:color w:val="auto"/>
          <w:szCs w:val="24"/>
        </w:rPr>
      </w:pPr>
    </w:p>
    <w:p w:rsidR="00A043E8" w:rsidRPr="00CD5BD7" w:rsidRDefault="00A043E8" w:rsidP="00A043E8">
      <w:pPr>
        <w:tabs>
          <w:tab w:val="left" w:pos="288"/>
          <w:tab w:val="left" w:pos="4752"/>
        </w:tabs>
        <w:spacing w:line="240" w:lineRule="exact"/>
        <w:jc w:val="both"/>
        <w:rPr>
          <w:rFonts w:ascii="Calibri" w:hAnsi="Calibri"/>
          <w:color w:val="auto"/>
          <w:szCs w:val="24"/>
          <w:u w:val="single"/>
        </w:rPr>
      </w:pPr>
    </w:p>
    <w:p w:rsidR="00DB3B87" w:rsidRDefault="00DB3B87">
      <w:pPr>
        <w:rPr>
          <w:rFonts w:asciiTheme="minorHAnsi" w:hAnsiTheme="minorHAnsi"/>
          <w:color w:val="auto"/>
          <w:szCs w:val="24"/>
          <w:u w:val="single"/>
        </w:rPr>
      </w:pPr>
      <w:r>
        <w:rPr>
          <w:rFonts w:asciiTheme="minorHAnsi" w:hAnsiTheme="minorHAnsi"/>
          <w:color w:val="auto"/>
          <w:szCs w:val="24"/>
          <w:u w:val="single"/>
        </w:rPr>
        <w:br w:type="page"/>
      </w:r>
    </w:p>
    <w:p w:rsidR="002C6E5B" w:rsidRDefault="002C6E5B" w:rsidP="00005E01">
      <w:pPr>
        <w:rPr>
          <w:rFonts w:asciiTheme="minorHAnsi" w:hAnsiTheme="minorHAnsi"/>
          <w:color w:val="auto"/>
          <w:szCs w:val="24"/>
        </w:rPr>
      </w:pPr>
      <w:r w:rsidRPr="00542C9A">
        <w:rPr>
          <w:rFonts w:asciiTheme="minorHAnsi" w:hAnsiTheme="minorHAnsi"/>
          <w:color w:val="auto"/>
          <w:szCs w:val="24"/>
          <w:u w:val="single"/>
        </w:rPr>
        <w:lastRenderedPageBreak/>
        <w:t>ANALYSIS SUMMARY</w:t>
      </w:r>
      <w:r w:rsidRPr="00542C9A">
        <w:rPr>
          <w:rFonts w:asciiTheme="minorHAnsi" w:hAnsiTheme="minorHAnsi"/>
          <w:color w:val="auto"/>
          <w:szCs w:val="24"/>
        </w:rPr>
        <w:t>:</w:t>
      </w:r>
    </w:p>
    <w:p w:rsidR="00005E01" w:rsidRDefault="00005E01" w:rsidP="00005E01">
      <w:pPr>
        <w:rPr>
          <w:rFonts w:asciiTheme="minorHAnsi" w:hAnsiTheme="minorHAnsi"/>
          <w:color w:val="auto"/>
          <w:szCs w:val="24"/>
        </w:rPr>
      </w:pPr>
    </w:p>
    <w:p w:rsidR="00905CD3" w:rsidRDefault="00C477A8" w:rsidP="00DB5498">
      <w:pPr>
        <w:tabs>
          <w:tab w:val="left" w:pos="288"/>
          <w:tab w:val="left" w:pos="4752"/>
        </w:tabs>
        <w:spacing w:line="240" w:lineRule="exact"/>
        <w:jc w:val="both"/>
        <w:rPr>
          <w:rFonts w:ascii="Calibri" w:hAnsi="Calibri"/>
          <w:color w:val="auto"/>
          <w:szCs w:val="24"/>
        </w:rPr>
      </w:pPr>
      <w:r>
        <w:rPr>
          <w:rFonts w:ascii="Calibri" w:hAnsi="Calibri"/>
          <w:color w:val="auto"/>
          <w:szCs w:val="24"/>
          <w:u w:val="single"/>
        </w:rPr>
        <w:t xml:space="preserve">Combined Rating </w:t>
      </w:r>
      <w:r w:rsidR="00005E01" w:rsidRPr="00DB5498">
        <w:rPr>
          <w:rFonts w:ascii="Calibri" w:hAnsi="Calibri"/>
          <w:color w:val="auto"/>
          <w:szCs w:val="24"/>
          <w:u w:val="single"/>
        </w:rPr>
        <w:t xml:space="preserve">Fibromyalgia </w:t>
      </w:r>
      <w:r w:rsidR="00142782">
        <w:rPr>
          <w:rFonts w:ascii="Calibri" w:hAnsi="Calibri"/>
          <w:color w:val="auto"/>
          <w:szCs w:val="24"/>
          <w:u w:val="single"/>
        </w:rPr>
        <w:t xml:space="preserve">and Psychiatric </w:t>
      </w:r>
      <w:r w:rsidR="00040034" w:rsidRPr="00DB5498">
        <w:rPr>
          <w:rFonts w:ascii="Calibri" w:hAnsi="Calibri"/>
          <w:color w:val="auto"/>
          <w:szCs w:val="24"/>
          <w:u w:val="single"/>
        </w:rPr>
        <w:t>Condition</w:t>
      </w:r>
      <w:r w:rsidR="00142782">
        <w:rPr>
          <w:rFonts w:ascii="Calibri" w:hAnsi="Calibri"/>
          <w:color w:val="auto"/>
          <w:szCs w:val="24"/>
          <w:u w:val="single"/>
        </w:rPr>
        <w:t>s</w:t>
      </w:r>
      <w:r w:rsidR="00005E01" w:rsidRPr="00DB5498">
        <w:rPr>
          <w:rFonts w:ascii="Calibri" w:hAnsi="Calibri"/>
          <w:color w:val="auto"/>
          <w:szCs w:val="24"/>
        </w:rPr>
        <w:t xml:space="preserve">.  </w:t>
      </w:r>
      <w:r w:rsidR="00D062D3">
        <w:rPr>
          <w:rFonts w:ascii="Calibri" w:hAnsi="Calibri"/>
          <w:color w:val="auto"/>
          <w:szCs w:val="24"/>
        </w:rPr>
        <w:t>A significant component</w:t>
      </w:r>
      <w:r w:rsidR="00142782">
        <w:rPr>
          <w:rFonts w:ascii="Calibri" w:hAnsi="Calibri"/>
          <w:color w:val="auto"/>
          <w:szCs w:val="24"/>
        </w:rPr>
        <w:t xml:space="preserve"> of the Board’s decision regarding the PEB’s adjudication of this case is whether there was indeed a separately unfitting and separately ratable </w:t>
      </w:r>
      <w:r>
        <w:rPr>
          <w:rFonts w:ascii="Calibri" w:hAnsi="Calibri"/>
          <w:color w:val="auto"/>
          <w:szCs w:val="24"/>
        </w:rPr>
        <w:t xml:space="preserve">psychiatric condition at separation.  </w:t>
      </w:r>
      <w:r w:rsidR="00D062D3">
        <w:rPr>
          <w:rFonts w:ascii="Calibri" w:hAnsi="Calibri"/>
          <w:color w:val="auto"/>
          <w:szCs w:val="24"/>
        </w:rPr>
        <w:t xml:space="preserve">VASRD §4.71a in regards to the 5025 (fibromyalgia) rating states that the code is applied “with or without associated fatigue, sleep disturbance, stiffness, paresthesias, headache, irritable bowel symptoms, depression, anxiety, or Raynaud’s-like symptoms”.  </w:t>
      </w:r>
      <w:r w:rsidR="00E07D58">
        <w:rPr>
          <w:rFonts w:ascii="Calibri" w:hAnsi="Calibri"/>
          <w:color w:val="auto"/>
          <w:szCs w:val="24"/>
        </w:rPr>
        <w:t>The VASRD does not specify whether or not the component symptoms which it elaborates under 5025 may be separately rated</w:t>
      </w:r>
      <w:r w:rsidR="00905CD3">
        <w:rPr>
          <w:rFonts w:ascii="Calibri" w:hAnsi="Calibri"/>
          <w:color w:val="auto"/>
          <w:szCs w:val="24"/>
        </w:rPr>
        <w:t>;</w:t>
      </w:r>
      <w:r w:rsidR="005012B0">
        <w:rPr>
          <w:rFonts w:ascii="Calibri" w:hAnsi="Calibri"/>
          <w:color w:val="auto"/>
          <w:szCs w:val="24"/>
        </w:rPr>
        <w:t xml:space="preserve"> although</w:t>
      </w:r>
      <w:r w:rsidR="00905CD3">
        <w:rPr>
          <w:rFonts w:ascii="Calibri" w:hAnsi="Calibri"/>
          <w:color w:val="auto"/>
          <w:szCs w:val="24"/>
        </w:rPr>
        <w:t>,</w:t>
      </w:r>
      <w:r w:rsidR="005012B0">
        <w:rPr>
          <w:rFonts w:ascii="Calibri" w:hAnsi="Calibri"/>
          <w:color w:val="auto"/>
          <w:szCs w:val="24"/>
        </w:rPr>
        <w:t xml:space="preserve"> </w:t>
      </w:r>
      <w:r w:rsidR="005012B0" w:rsidRPr="005012B0">
        <w:rPr>
          <w:rFonts w:ascii="Calibri" w:hAnsi="Calibri"/>
          <w:color w:val="auto"/>
          <w:szCs w:val="24"/>
        </w:rPr>
        <w:t>§4.14 (avoidance of pyramiding)</w:t>
      </w:r>
      <w:r w:rsidR="005012B0">
        <w:rPr>
          <w:rFonts w:ascii="Calibri" w:hAnsi="Calibri"/>
          <w:color w:val="auto"/>
          <w:szCs w:val="24"/>
        </w:rPr>
        <w:t xml:space="preserve"> makes it clear that </w:t>
      </w:r>
      <w:r w:rsidR="00905CD3">
        <w:rPr>
          <w:rFonts w:ascii="Calibri" w:hAnsi="Calibri"/>
          <w:color w:val="auto"/>
          <w:szCs w:val="24"/>
        </w:rPr>
        <w:t xml:space="preserve">any included condition cannot be separately rated unless its contribution to the disability for a 5025 rating can be identified and </w:t>
      </w:r>
      <w:r w:rsidR="00DB3B87">
        <w:rPr>
          <w:rFonts w:ascii="Calibri" w:hAnsi="Calibri"/>
          <w:color w:val="auto"/>
          <w:szCs w:val="24"/>
        </w:rPr>
        <w:t>separated from</w:t>
      </w:r>
      <w:r w:rsidR="00905CD3">
        <w:rPr>
          <w:rFonts w:ascii="Calibri" w:hAnsi="Calibri"/>
          <w:color w:val="auto"/>
          <w:szCs w:val="24"/>
        </w:rPr>
        <w:t xml:space="preserve"> the rating.   The VA rating decision was silent regarding how the </w:t>
      </w:r>
      <w:r w:rsidR="00905CD3" w:rsidRPr="005012B0">
        <w:rPr>
          <w:rFonts w:ascii="Calibri" w:hAnsi="Calibri"/>
          <w:color w:val="auto"/>
          <w:szCs w:val="24"/>
        </w:rPr>
        <w:t>§4.14</w:t>
      </w:r>
      <w:r w:rsidR="00905CD3">
        <w:rPr>
          <w:rFonts w:ascii="Calibri" w:hAnsi="Calibri"/>
          <w:color w:val="auto"/>
          <w:szCs w:val="24"/>
        </w:rPr>
        <w:t xml:space="preserve"> proscription was avoided in the separate ratings it </w:t>
      </w:r>
      <w:r w:rsidR="00651ACB">
        <w:rPr>
          <w:rFonts w:ascii="Calibri" w:hAnsi="Calibri"/>
          <w:color w:val="auto"/>
          <w:szCs w:val="24"/>
        </w:rPr>
        <w:t xml:space="preserve">conveyed.  The PEB’s DA Form 199 specified that its rationale for not providing separate ratings was grounded in </w:t>
      </w:r>
      <w:r w:rsidR="00651ACB" w:rsidRPr="005012B0">
        <w:rPr>
          <w:rFonts w:ascii="Calibri" w:hAnsi="Calibri"/>
          <w:color w:val="auto"/>
          <w:szCs w:val="24"/>
        </w:rPr>
        <w:t>§4.14</w:t>
      </w:r>
      <w:r w:rsidR="00651ACB">
        <w:rPr>
          <w:rFonts w:ascii="Calibri" w:hAnsi="Calibri"/>
          <w:color w:val="auto"/>
          <w:szCs w:val="24"/>
        </w:rPr>
        <w:t xml:space="preserve">, stating that the pain disorder “cannot be separately rated due to overlapping symptoms, and is included in this rating”.  Both the MEB and VA psychiatrists made it clear that the pain disorder was integral to the associated depression.  </w:t>
      </w:r>
      <w:r w:rsidR="00EB2BEC">
        <w:rPr>
          <w:rFonts w:ascii="Calibri" w:hAnsi="Calibri"/>
          <w:color w:val="auto"/>
          <w:szCs w:val="24"/>
        </w:rPr>
        <w:t xml:space="preserve">Both expressed an opinion that a repressed grief reaction to her child’s death could be a significant contribution to (if not the cause for) the somatic pain symptoms.  </w:t>
      </w:r>
      <w:r w:rsidR="0014518E">
        <w:rPr>
          <w:rFonts w:ascii="Calibri" w:hAnsi="Calibri"/>
          <w:color w:val="auto"/>
          <w:szCs w:val="24"/>
        </w:rPr>
        <w:t xml:space="preserve">Separating pain disorder and </w:t>
      </w:r>
      <w:r w:rsidR="0014518E" w:rsidRPr="00DB3B87">
        <w:rPr>
          <w:rFonts w:ascii="Calibri" w:hAnsi="Calibri"/>
          <w:color w:val="auto"/>
          <w:szCs w:val="24"/>
        </w:rPr>
        <w:t xml:space="preserve">depression in this case is </w:t>
      </w:r>
      <w:r w:rsidR="00EB2BEC" w:rsidRPr="00DB3B87">
        <w:rPr>
          <w:rFonts w:ascii="Calibri" w:hAnsi="Calibri"/>
          <w:color w:val="auto"/>
          <w:szCs w:val="24"/>
        </w:rPr>
        <w:t xml:space="preserve">thus </w:t>
      </w:r>
      <w:r w:rsidR="0014518E" w:rsidRPr="00DB3B87">
        <w:rPr>
          <w:rFonts w:ascii="Calibri" w:hAnsi="Calibri"/>
          <w:color w:val="auto"/>
          <w:szCs w:val="24"/>
        </w:rPr>
        <w:t xml:space="preserve">clinically impossible and devolves into a futile ‘chicken </w:t>
      </w:r>
      <w:r w:rsidR="00DB3B87">
        <w:rPr>
          <w:rFonts w:ascii="Calibri" w:hAnsi="Calibri"/>
          <w:color w:val="auto"/>
          <w:szCs w:val="24"/>
        </w:rPr>
        <w:t>or</w:t>
      </w:r>
      <w:r w:rsidR="0014518E" w:rsidRPr="00DB3B87">
        <w:rPr>
          <w:rFonts w:ascii="Calibri" w:hAnsi="Calibri"/>
          <w:color w:val="auto"/>
          <w:szCs w:val="24"/>
        </w:rPr>
        <w:t xml:space="preserve"> egg’ deliberation.  The Board must also take into account that to recommend separate conditions as ratable, it must concede that both conditions are individually unfitting.  </w:t>
      </w:r>
      <w:r w:rsidR="00EB2BEC" w:rsidRPr="00DB3B87">
        <w:rPr>
          <w:rFonts w:ascii="Calibri" w:hAnsi="Calibri"/>
          <w:color w:val="auto"/>
          <w:szCs w:val="24"/>
        </w:rPr>
        <w:t xml:space="preserve">Neither of the psychiatric examiners noted serious vegetative symptoms such as incapacitating fatigue or cognitive symptoms which could be directly correlated with performance.  </w:t>
      </w:r>
      <w:r w:rsidR="000A318F" w:rsidRPr="00DB3B87">
        <w:rPr>
          <w:rFonts w:ascii="Calibri" w:hAnsi="Calibri"/>
          <w:color w:val="auto"/>
          <w:szCs w:val="24"/>
        </w:rPr>
        <w:t>The MEB psychiatrist, although opining that the overall disorder did not meet retention standards, stated that the “degree</w:t>
      </w:r>
      <w:r w:rsidR="000A318F">
        <w:rPr>
          <w:rFonts w:ascii="Calibri" w:hAnsi="Calibri"/>
          <w:color w:val="auto"/>
          <w:szCs w:val="24"/>
        </w:rPr>
        <w:t xml:space="preserve"> of military psychiatric impairment” was “minimal” and that social/industrial impairment was “minor”.  All of the impairments cited in the NARSUM were physical.  The Commander’s statement unfortunately was cursory and did not elaborate specific impairments.  I</w:t>
      </w:r>
      <w:r w:rsidR="00EB2BEC">
        <w:rPr>
          <w:rFonts w:ascii="Calibri" w:hAnsi="Calibri"/>
          <w:color w:val="auto"/>
          <w:szCs w:val="24"/>
        </w:rPr>
        <w:t>t is easily argued that there was unfitting pain</w:t>
      </w:r>
      <w:r w:rsidR="000A318F">
        <w:rPr>
          <w:rFonts w:ascii="Calibri" w:hAnsi="Calibri"/>
          <w:color w:val="auto"/>
          <w:szCs w:val="24"/>
        </w:rPr>
        <w:t xml:space="preserve"> in this case, but difficult to argue that there was unfitting purely psychiatric impairment.  After due deliberation, the Board agreed that there was not reasonable doubt favoring a recommendation for </w:t>
      </w:r>
      <w:r w:rsidR="00156E1F">
        <w:rPr>
          <w:rFonts w:ascii="Calibri" w:hAnsi="Calibri"/>
          <w:color w:val="auto"/>
          <w:szCs w:val="24"/>
        </w:rPr>
        <w:t xml:space="preserve">a </w:t>
      </w:r>
      <w:r w:rsidR="000A318F">
        <w:rPr>
          <w:rFonts w:ascii="Calibri" w:hAnsi="Calibri"/>
          <w:color w:val="auto"/>
          <w:szCs w:val="24"/>
        </w:rPr>
        <w:t xml:space="preserve">separate </w:t>
      </w:r>
      <w:r w:rsidR="00156E1F">
        <w:rPr>
          <w:rFonts w:ascii="Calibri" w:hAnsi="Calibri"/>
          <w:color w:val="auto"/>
          <w:szCs w:val="24"/>
        </w:rPr>
        <w:t>§4.130 psychiatric rating in this case.  The Board acknowledges the psychiatric contribution to the etiology of the unfitting condition; but, it cannot overcome the requirement to avoid pyramiding if separate ratings are granted, and it cannot adequately justify the requisite conclusion that there was separately unfitting psychiatric impairment.</w:t>
      </w:r>
      <w:r w:rsidR="00104743">
        <w:rPr>
          <w:rFonts w:ascii="Calibri" w:hAnsi="Calibri"/>
          <w:color w:val="auto"/>
          <w:szCs w:val="24"/>
        </w:rPr>
        <w:t xml:space="preserve">  The disability attendant to depression will be included in the Board’s 5025 rating recommendation as addressed in the following discussion.</w:t>
      </w:r>
    </w:p>
    <w:p w:rsidR="00E271E6" w:rsidRDefault="00E271E6" w:rsidP="00DB5498">
      <w:pPr>
        <w:tabs>
          <w:tab w:val="left" w:pos="288"/>
          <w:tab w:val="left" w:pos="4752"/>
        </w:tabs>
        <w:spacing w:line="240" w:lineRule="exact"/>
        <w:jc w:val="both"/>
        <w:rPr>
          <w:rFonts w:ascii="Calibri" w:hAnsi="Calibri"/>
          <w:color w:val="auto"/>
          <w:szCs w:val="24"/>
        </w:rPr>
      </w:pPr>
    </w:p>
    <w:p w:rsidR="0033676C" w:rsidRDefault="00D062D3" w:rsidP="0033676C">
      <w:pPr>
        <w:tabs>
          <w:tab w:val="left" w:pos="288"/>
          <w:tab w:val="left" w:pos="4752"/>
        </w:tabs>
        <w:spacing w:line="240" w:lineRule="exact"/>
        <w:jc w:val="both"/>
        <w:rPr>
          <w:rFonts w:ascii="Calibri" w:hAnsi="Calibri"/>
          <w:color w:val="auto"/>
          <w:szCs w:val="24"/>
        </w:rPr>
      </w:pPr>
      <w:r w:rsidRPr="00D062D3">
        <w:rPr>
          <w:rFonts w:ascii="Calibri" w:hAnsi="Calibri"/>
          <w:color w:val="auto"/>
          <w:szCs w:val="24"/>
          <w:u w:val="single"/>
        </w:rPr>
        <w:t>Fibromyalgia Rating</w:t>
      </w:r>
      <w:r>
        <w:rPr>
          <w:rFonts w:ascii="Calibri" w:hAnsi="Calibri"/>
          <w:color w:val="auto"/>
          <w:szCs w:val="24"/>
        </w:rPr>
        <w:t xml:space="preserve">.  </w:t>
      </w:r>
      <w:r w:rsidR="00104743">
        <w:rPr>
          <w:rFonts w:ascii="Calibri" w:hAnsi="Calibri"/>
          <w:color w:val="auto"/>
          <w:szCs w:val="24"/>
        </w:rPr>
        <w:t xml:space="preserve">The highest rating offered under 5025 is 40% for symptoms </w:t>
      </w:r>
      <w:r w:rsidR="00104743" w:rsidRPr="0033676C">
        <w:rPr>
          <w:rFonts w:ascii="Calibri" w:hAnsi="Calibri"/>
          <w:color w:val="auto"/>
          <w:szCs w:val="24"/>
        </w:rPr>
        <w:t xml:space="preserve">"that are constant, or nearly so, and refractory to therapy".  The next lower 20% rating </w:t>
      </w:r>
      <w:r w:rsidR="0033676C" w:rsidRPr="0033676C">
        <w:rPr>
          <w:rFonts w:ascii="Calibri" w:hAnsi="Calibri"/>
          <w:color w:val="auto"/>
          <w:szCs w:val="24"/>
        </w:rPr>
        <w:t xml:space="preserve">is </w:t>
      </w:r>
      <w:r w:rsidR="0033676C">
        <w:rPr>
          <w:rFonts w:ascii="Calibri" w:hAnsi="Calibri"/>
          <w:color w:val="auto"/>
          <w:szCs w:val="24"/>
        </w:rPr>
        <w:t>for symptoms “t</w:t>
      </w:r>
      <w:r w:rsidR="0033676C" w:rsidRPr="0033676C">
        <w:rPr>
          <w:rFonts w:ascii="Calibri" w:hAnsi="Calibri"/>
          <w:color w:val="auto"/>
          <w:szCs w:val="24"/>
        </w:rPr>
        <w:t>hat are episodic, with exacerbations often precipitated by environmental or emotional stress or by overexertion, but that are present more than one-third of the time</w:t>
      </w:r>
      <w:r w:rsidR="0033676C">
        <w:rPr>
          <w:rFonts w:ascii="Calibri" w:hAnsi="Calibri"/>
          <w:color w:val="auto"/>
          <w:szCs w:val="24"/>
        </w:rPr>
        <w:t xml:space="preserve">”.  </w:t>
      </w:r>
      <w:r w:rsidR="00BF3959">
        <w:rPr>
          <w:rFonts w:ascii="Calibri" w:hAnsi="Calibri"/>
          <w:color w:val="auto"/>
          <w:szCs w:val="24"/>
        </w:rPr>
        <w:t xml:space="preserve">Neither the NARSUM nor the VA examination use the descriptor ‘constant’ in characterizing the frequency and duration of pain.  Both exams differentiate different types and location of pain and both specify various triggers to exacerbation of the </w:t>
      </w:r>
      <w:r w:rsidR="002F4EA2">
        <w:rPr>
          <w:rFonts w:ascii="Calibri" w:hAnsi="Calibri"/>
          <w:color w:val="auto"/>
          <w:szCs w:val="24"/>
        </w:rPr>
        <w:t>different types of pain.  The NARSUM describes “daily intermittent pain in her neck, back and hips”.  The VA exam describes flares of back pain “once a week” lasting “about 5 minutes” and flares in neck pain “daily” but “she is not sure how long the flares last”.  Both examiners documented the ongoing use of pain medications, but neither provided a clear description of the effectiveness.  Neither exam would support a conclusion that the pain was ‘refractory’ but it can be surmised that relief was transient at best.</w:t>
      </w:r>
      <w:r w:rsidR="00C6667A">
        <w:rPr>
          <w:rFonts w:ascii="Calibri" w:hAnsi="Calibri"/>
          <w:color w:val="auto"/>
          <w:szCs w:val="24"/>
        </w:rPr>
        <w:t xml:space="preserve">  It was documented by the VA examiner that the prescribed antidepressant was helpful for </w:t>
      </w:r>
      <w:r w:rsidR="002605C8">
        <w:rPr>
          <w:rFonts w:ascii="Calibri" w:hAnsi="Calibri"/>
          <w:color w:val="auto"/>
          <w:szCs w:val="24"/>
        </w:rPr>
        <w:t>the depression component, and the service record documents a favorable response to chiropractic intervention</w:t>
      </w:r>
      <w:r w:rsidR="00C6667A">
        <w:rPr>
          <w:rFonts w:ascii="Calibri" w:hAnsi="Calibri"/>
          <w:color w:val="auto"/>
          <w:szCs w:val="24"/>
        </w:rPr>
        <w:t xml:space="preserve">.  It is noted that CI walked with the use of a cane and that her daily activities were severely restricted by pain.  There was no objective evidence from a very thorough medical </w:t>
      </w:r>
      <w:r w:rsidR="00C6667A">
        <w:rPr>
          <w:rFonts w:ascii="Calibri" w:hAnsi="Calibri"/>
          <w:color w:val="auto"/>
          <w:szCs w:val="24"/>
        </w:rPr>
        <w:lastRenderedPageBreak/>
        <w:t>investigation that there was muscular weakness, neurological disease or other clinical indication for assistive devices or physical impairments not attributable to the pain symptoms.</w:t>
      </w:r>
      <w:r w:rsidR="00BF498E">
        <w:rPr>
          <w:rFonts w:ascii="Calibri" w:hAnsi="Calibri"/>
          <w:color w:val="auto"/>
          <w:szCs w:val="24"/>
        </w:rPr>
        <w:t xml:space="preserve">  The 5025 rating comes down to the duration of disabling symptoms, not the severity.  The Board takes note that both the PEB and the VA conclude</w:t>
      </w:r>
      <w:r w:rsidR="0042390C">
        <w:rPr>
          <w:rFonts w:ascii="Calibri" w:hAnsi="Calibri"/>
          <w:color w:val="auto"/>
          <w:szCs w:val="24"/>
        </w:rPr>
        <w:t>d</w:t>
      </w:r>
      <w:r w:rsidR="00BF498E">
        <w:rPr>
          <w:rFonts w:ascii="Calibri" w:hAnsi="Calibri"/>
          <w:color w:val="auto"/>
          <w:szCs w:val="24"/>
        </w:rPr>
        <w:t xml:space="preserve"> that the 40% threshold was </w:t>
      </w:r>
      <w:r w:rsidR="0042390C">
        <w:rPr>
          <w:rFonts w:ascii="Calibri" w:hAnsi="Calibri"/>
          <w:color w:val="auto"/>
          <w:szCs w:val="24"/>
        </w:rPr>
        <w:t xml:space="preserve">not </w:t>
      </w:r>
      <w:r w:rsidR="00BF498E">
        <w:rPr>
          <w:rFonts w:ascii="Calibri" w:hAnsi="Calibri"/>
          <w:color w:val="auto"/>
          <w:szCs w:val="24"/>
        </w:rPr>
        <w:t xml:space="preserve">met under the code; it notes that there is not conclusive evidence that can be invoked in support of near constant and refractory symptomatology; but, likewise notes that there is no conclusive evidence that would refute the VASRD §4.71a description of a </w:t>
      </w:r>
      <w:r w:rsidR="0042390C">
        <w:rPr>
          <w:rFonts w:ascii="Calibri" w:hAnsi="Calibri"/>
          <w:color w:val="auto"/>
          <w:szCs w:val="24"/>
        </w:rPr>
        <w:t xml:space="preserve">40% rating for 5025.  The Board deliberated therefore whether there was adequate reasonable doubt favoring the CI in support of the higher rating.  After due deliberation and in consideration of the totality of the evidence, the Board concluded that a fair rating for the fibromyalgia condition in this case </w:t>
      </w:r>
      <w:r w:rsidR="0042390C" w:rsidRPr="002605C8">
        <w:rPr>
          <w:rFonts w:ascii="Calibri" w:hAnsi="Calibri"/>
          <w:color w:val="auto"/>
          <w:szCs w:val="24"/>
        </w:rPr>
        <w:t>is 20%.</w:t>
      </w:r>
      <w:r w:rsidR="002605C8">
        <w:rPr>
          <w:rFonts w:ascii="Calibri" w:hAnsi="Calibri"/>
          <w:color w:val="auto"/>
          <w:szCs w:val="24"/>
        </w:rPr>
        <w:t xml:space="preserve">  It cannot therefore recommend a change in the PEB adjudication.</w:t>
      </w:r>
    </w:p>
    <w:p w:rsidR="0033676C" w:rsidRPr="00DB5498" w:rsidRDefault="0033676C" w:rsidP="00DB5498">
      <w:pPr>
        <w:tabs>
          <w:tab w:val="left" w:pos="288"/>
          <w:tab w:val="left" w:pos="4752"/>
        </w:tabs>
        <w:spacing w:line="240" w:lineRule="exact"/>
        <w:jc w:val="both"/>
        <w:rPr>
          <w:rFonts w:ascii="Calibri" w:hAnsi="Calibri"/>
          <w:color w:val="auto"/>
          <w:szCs w:val="24"/>
        </w:rPr>
      </w:pPr>
    </w:p>
    <w:p w:rsidR="0042390C" w:rsidRPr="005628EE" w:rsidRDefault="00E271E6" w:rsidP="00DB5498">
      <w:pPr>
        <w:tabs>
          <w:tab w:val="left" w:pos="288"/>
          <w:tab w:val="left" w:pos="4752"/>
        </w:tabs>
        <w:spacing w:line="240" w:lineRule="exact"/>
        <w:jc w:val="both"/>
        <w:rPr>
          <w:rFonts w:ascii="Calibri" w:hAnsi="Calibri"/>
          <w:color w:val="auto"/>
          <w:szCs w:val="24"/>
        </w:rPr>
      </w:pPr>
      <w:proofErr w:type="gramStart"/>
      <w:r w:rsidRPr="00D062D3">
        <w:rPr>
          <w:rFonts w:ascii="Calibri" w:hAnsi="Calibri"/>
          <w:color w:val="auto"/>
          <w:szCs w:val="24"/>
          <w:u w:val="single"/>
        </w:rPr>
        <w:t xml:space="preserve">Cervical </w:t>
      </w:r>
      <w:r w:rsidR="00D062D3" w:rsidRPr="00D062D3">
        <w:rPr>
          <w:rFonts w:ascii="Calibri" w:hAnsi="Calibri"/>
          <w:color w:val="auto"/>
          <w:szCs w:val="24"/>
          <w:u w:val="single"/>
        </w:rPr>
        <w:t>Spine Condition</w:t>
      </w:r>
      <w:r w:rsidR="00D062D3">
        <w:rPr>
          <w:rFonts w:ascii="Calibri" w:hAnsi="Calibri"/>
          <w:color w:val="auto"/>
          <w:szCs w:val="24"/>
        </w:rPr>
        <w:t>.</w:t>
      </w:r>
      <w:proofErr w:type="gramEnd"/>
      <w:r w:rsidR="00D062D3">
        <w:rPr>
          <w:rFonts w:ascii="Calibri" w:hAnsi="Calibri"/>
          <w:color w:val="auto"/>
          <w:szCs w:val="24"/>
        </w:rPr>
        <w:t xml:space="preserve">  </w:t>
      </w:r>
      <w:r w:rsidR="0042390C">
        <w:rPr>
          <w:rFonts w:ascii="Calibri" w:hAnsi="Calibri"/>
          <w:color w:val="auto"/>
          <w:szCs w:val="24"/>
        </w:rPr>
        <w:t xml:space="preserve">Range-of-motion </w:t>
      </w:r>
      <w:r w:rsidR="00CC7FF1">
        <w:rPr>
          <w:rFonts w:ascii="Calibri" w:hAnsi="Calibri"/>
          <w:color w:val="auto"/>
          <w:szCs w:val="24"/>
        </w:rPr>
        <w:t xml:space="preserve">(ROM) </w:t>
      </w:r>
      <w:r w:rsidR="0042390C">
        <w:rPr>
          <w:rFonts w:ascii="Calibri" w:hAnsi="Calibri"/>
          <w:color w:val="auto"/>
          <w:szCs w:val="24"/>
        </w:rPr>
        <w:t xml:space="preserve">measurements for the cervical spine by both the MEB and the VA reflected modest limitations.  There was no evidence for a clinically significant radiculopathy.  There is no question that the neck symptoms played a part in the unfitting </w:t>
      </w:r>
      <w:r w:rsidR="00932C66">
        <w:rPr>
          <w:rFonts w:ascii="Calibri" w:hAnsi="Calibri"/>
          <w:color w:val="auto"/>
          <w:szCs w:val="24"/>
        </w:rPr>
        <w:t xml:space="preserve">fibromyalgia condition, but the attendant disability is rated with that </w:t>
      </w:r>
      <w:r w:rsidR="00932C66" w:rsidRPr="005628EE">
        <w:rPr>
          <w:rFonts w:ascii="Calibri" w:hAnsi="Calibri"/>
          <w:color w:val="auto"/>
          <w:szCs w:val="24"/>
        </w:rPr>
        <w:t xml:space="preserve">condition.  </w:t>
      </w:r>
      <w:r w:rsidR="005628EE" w:rsidRPr="005628EE">
        <w:rPr>
          <w:rFonts w:ascii="Calibri" w:hAnsi="Calibri"/>
          <w:color w:val="auto"/>
          <w:szCs w:val="24"/>
        </w:rPr>
        <w:t xml:space="preserve">The Board’s main charge in respect to this condition is an assessment of the appropriateness of the PEB’s fitness adjudication. </w:t>
      </w:r>
      <w:r w:rsidR="009C206B">
        <w:rPr>
          <w:rFonts w:ascii="Calibri" w:hAnsi="Calibri"/>
          <w:color w:val="auto"/>
          <w:szCs w:val="24"/>
        </w:rPr>
        <w:t xml:space="preserve"> </w:t>
      </w:r>
      <w:r w:rsidR="00932C66" w:rsidRPr="005628EE">
        <w:rPr>
          <w:rFonts w:ascii="Calibri" w:hAnsi="Calibri"/>
          <w:color w:val="auto"/>
          <w:szCs w:val="24"/>
        </w:rPr>
        <w:t xml:space="preserve">The MEB </w:t>
      </w:r>
      <w:r w:rsidR="005628EE" w:rsidRPr="005628EE">
        <w:rPr>
          <w:rFonts w:ascii="Calibri" w:hAnsi="Calibri"/>
          <w:color w:val="auto"/>
          <w:szCs w:val="24"/>
        </w:rPr>
        <w:t>examiner judged that the cervical condition</w:t>
      </w:r>
      <w:r w:rsidR="005628EE">
        <w:rPr>
          <w:rFonts w:ascii="Calibri" w:hAnsi="Calibri"/>
          <w:color w:val="auto"/>
          <w:szCs w:val="24"/>
        </w:rPr>
        <w:t xml:space="preserve"> met AR 40-501 retention standards and the condition was not included in the </w:t>
      </w:r>
      <w:r w:rsidR="005628EE" w:rsidRPr="005628EE">
        <w:rPr>
          <w:rFonts w:ascii="Calibri" w:hAnsi="Calibri"/>
          <w:color w:val="auto"/>
          <w:szCs w:val="24"/>
        </w:rPr>
        <w:t>physical profile.  There was no documentation of any specific impairments directly attributable to the cervical spine.  The Board’s threshold for countering DES fitness determinations is higher than the VASRD §4.3 reasonable doubt standard used for its rating recommendations; but, remains adherent to the DoDI 6040.44 “fair and equitable” standard.  Af</w:t>
      </w:r>
      <w:r w:rsidR="005628EE">
        <w:rPr>
          <w:rFonts w:ascii="Calibri" w:hAnsi="Calibri"/>
          <w:color w:val="auto"/>
          <w:szCs w:val="24"/>
        </w:rPr>
        <w:t>ter due deliberation</w:t>
      </w:r>
      <w:r w:rsidR="005628EE" w:rsidRPr="005628EE">
        <w:rPr>
          <w:rFonts w:ascii="Calibri" w:hAnsi="Calibri"/>
          <w:color w:val="auto"/>
          <w:szCs w:val="24"/>
        </w:rPr>
        <w:t xml:space="preserve"> and in consideration of the totality of the evidence, the Board cannot find adequate justification for recommending the </w:t>
      </w:r>
      <w:r w:rsidR="005628EE">
        <w:rPr>
          <w:rFonts w:ascii="Calibri" w:hAnsi="Calibri"/>
          <w:color w:val="auto"/>
          <w:szCs w:val="24"/>
        </w:rPr>
        <w:t>cervical spine</w:t>
      </w:r>
      <w:r w:rsidR="005628EE" w:rsidRPr="005628EE">
        <w:rPr>
          <w:rFonts w:ascii="Calibri" w:hAnsi="Calibri"/>
          <w:color w:val="auto"/>
          <w:szCs w:val="24"/>
        </w:rPr>
        <w:t xml:space="preserve"> condition as additionally unfitting for separation rating.  </w:t>
      </w:r>
    </w:p>
    <w:p w:rsidR="00040034" w:rsidRPr="00DB5498" w:rsidRDefault="00040034" w:rsidP="00DB5498">
      <w:pPr>
        <w:tabs>
          <w:tab w:val="left" w:pos="288"/>
          <w:tab w:val="left" w:pos="4752"/>
        </w:tabs>
        <w:spacing w:line="240" w:lineRule="exact"/>
        <w:jc w:val="both"/>
        <w:rPr>
          <w:rFonts w:ascii="Calibri" w:hAnsi="Calibri"/>
          <w:color w:val="auto"/>
          <w:szCs w:val="24"/>
        </w:rPr>
      </w:pPr>
    </w:p>
    <w:p w:rsidR="00106BD2" w:rsidRPr="00106BD2" w:rsidRDefault="00D062D3" w:rsidP="00106BD2">
      <w:pPr>
        <w:tabs>
          <w:tab w:val="left" w:pos="288"/>
          <w:tab w:val="left" w:pos="4752"/>
        </w:tabs>
        <w:spacing w:line="240" w:lineRule="exact"/>
        <w:jc w:val="both"/>
        <w:rPr>
          <w:rFonts w:ascii="Calibri" w:hAnsi="Calibri"/>
          <w:color w:val="auto"/>
          <w:szCs w:val="24"/>
        </w:rPr>
      </w:pPr>
      <w:r>
        <w:rPr>
          <w:rFonts w:ascii="Calibri" w:hAnsi="Calibri"/>
          <w:color w:val="auto"/>
          <w:szCs w:val="24"/>
          <w:u w:val="single"/>
        </w:rPr>
        <w:t xml:space="preserve">Contended Thoracolumbar Spine </w:t>
      </w:r>
      <w:r w:rsidR="0042390C">
        <w:rPr>
          <w:rFonts w:ascii="Calibri" w:hAnsi="Calibri"/>
          <w:color w:val="auto"/>
          <w:szCs w:val="24"/>
          <w:u w:val="single"/>
        </w:rPr>
        <w:t>Condi</w:t>
      </w:r>
      <w:r>
        <w:rPr>
          <w:rFonts w:ascii="Calibri" w:hAnsi="Calibri"/>
          <w:color w:val="auto"/>
          <w:szCs w:val="24"/>
          <w:u w:val="single"/>
        </w:rPr>
        <w:t xml:space="preserve">tion and </w:t>
      </w:r>
      <w:r w:rsidR="00040034" w:rsidRPr="00D062D3">
        <w:rPr>
          <w:rFonts w:ascii="Calibri" w:hAnsi="Calibri"/>
          <w:color w:val="auto"/>
          <w:szCs w:val="24"/>
          <w:u w:val="single"/>
        </w:rPr>
        <w:t>Remaining Conditions</w:t>
      </w:r>
      <w:r w:rsidR="00040034" w:rsidRPr="00DB5498">
        <w:rPr>
          <w:rFonts w:ascii="Calibri" w:hAnsi="Calibri"/>
          <w:color w:val="auto"/>
          <w:szCs w:val="24"/>
        </w:rPr>
        <w:t>.</w:t>
      </w:r>
      <w:r w:rsidR="00C477A8">
        <w:rPr>
          <w:rFonts w:ascii="Calibri" w:hAnsi="Calibri"/>
          <w:color w:val="auto"/>
          <w:szCs w:val="24"/>
        </w:rPr>
        <w:t xml:space="preserve">  </w:t>
      </w:r>
      <w:r w:rsidR="00CC7FF1">
        <w:rPr>
          <w:rFonts w:ascii="Calibri" w:hAnsi="Calibri"/>
          <w:color w:val="auto"/>
          <w:szCs w:val="24"/>
        </w:rPr>
        <w:t>The NARSUM identified the thoracolumbar condition in the context of back pain following the falls in basic training and as a component of overall musculoskeletal complaints.  It provided a specific examination of the thoracolumbar spine which included ROM measurements (Flexion 90⁰).  S</w:t>
      </w:r>
      <w:r w:rsidR="00723B86">
        <w:rPr>
          <w:rFonts w:ascii="Calibri" w:hAnsi="Calibri"/>
          <w:color w:val="auto"/>
          <w:szCs w:val="24"/>
        </w:rPr>
        <w:t>ince (</w:t>
      </w:r>
      <w:r w:rsidR="00CC7FF1">
        <w:rPr>
          <w:rFonts w:ascii="Calibri" w:hAnsi="Calibri"/>
          <w:color w:val="auto"/>
          <w:szCs w:val="24"/>
        </w:rPr>
        <w:t>unlike the abnormal imaging findings with the cervical spine</w:t>
      </w:r>
      <w:r w:rsidR="00723B86">
        <w:rPr>
          <w:rFonts w:ascii="Calibri" w:hAnsi="Calibri"/>
          <w:color w:val="auto"/>
          <w:szCs w:val="24"/>
        </w:rPr>
        <w:t xml:space="preserve">) there was no objective evidence of specific pathology, the back complaint was justifiably not treated as a separate condition but as a component of the overall pain disorder.  As with the depression, in fact, the separate VA thoracolumbar rating in addition to the 5025 rating is subject to a </w:t>
      </w:r>
      <w:r w:rsidR="00723B86" w:rsidRPr="005012B0">
        <w:rPr>
          <w:rFonts w:ascii="Calibri" w:hAnsi="Calibri"/>
          <w:color w:val="auto"/>
          <w:szCs w:val="24"/>
        </w:rPr>
        <w:t>§4.14</w:t>
      </w:r>
      <w:r w:rsidR="00723B86">
        <w:rPr>
          <w:rFonts w:ascii="Calibri" w:hAnsi="Calibri"/>
          <w:color w:val="auto"/>
          <w:szCs w:val="24"/>
        </w:rPr>
        <w:t xml:space="preserve"> challenge.  On the same grounds as those described above for the cervical spine condition, the Board cannot find reasonable doubt in the CI’s favor for recommending thoracolumbar strain as a separately unfitting and ratable condition.  </w:t>
      </w:r>
      <w:r w:rsidR="00106BD2">
        <w:rPr>
          <w:rFonts w:ascii="Calibri" w:hAnsi="Calibri"/>
          <w:color w:val="auto"/>
          <w:szCs w:val="24"/>
        </w:rPr>
        <w:t>Hypertension and dizziness with subjective pre-syncope were additional conditions captured in the DES file and noted by the VA.  Both</w:t>
      </w:r>
      <w:r w:rsidR="00106BD2" w:rsidRPr="00106BD2">
        <w:rPr>
          <w:rFonts w:ascii="Calibri" w:hAnsi="Calibri"/>
          <w:color w:val="auto"/>
          <w:szCs w:val="24"/>
        </w:rPr>
        <w:t xml:space="preserve"> of the</w:t>
      </w:r>
      <w:r w:rsidR="00106BD2">
        <w:rPr>
          <w:rFonts w:ascii="Calibri" w:hAnsi="Calibri"/>
          <w:color w:val="auto"/>
          <w:szCs w:val="24"/>
        </w:rPr>
        <w:t>se</w:t>
      </w:r>
      <w:r w:rsidR="00106BD2" w:rsidRPr="00106BD2">
        <w:rPr>
          <w:rFonts w:ascii="Calibri" w:hAnsi="Calibri"/>
          <w:color w:val="auto"/>
          <w:szCs w:val="24"/>
        </w:rPr>
        <w:t xml:space="preserve"> conditions were reviewed by the Action Officer and considered by the Board.  It was determined that </w:t>
      </w:r>
      <w:r w:rsidR="00106BD2">
        <w:rPr>
          <w:rFonts w:ascii="Calibri" w:hAnsi="Calibri"/>
          <w:color w:val="auto"/>
          <w:szCs w:val="24"/>
        </w:rPr>
        <w:t>neither</w:t>
      </w:r>
      <w:r w:rsidR="00106BD2" w:rsidRPr="00106BD2">
        <w:rPr>
          <w:rFonts w:ascii="Calibri" w:hAnsi="Calibri"/>
          <w:color w:val="auto"/>
          <w:szCs w:val="24"/>
        </w:rPr>
        <w:t xml:space="preserve"> of them could be argued as unfitting and subject to separation rating.  No other conditions were service connected with a compensable rating by the VA within twelve months of separation or contended by the CI.  The Board, therefore, has no reasonable basis for recommending any additional unfitting conditions for separation rating.  </w:t>
      </w:r>
    </w:p>
    <w:p w:rsidR="00A043E8" w:rsidRPr="00CD5BD7" w:rsidRDefault="00A043E8" w:rsidP="00A043E8">
      <w:pPr>
        <w:pBdr>
          <w:bottom w:val="single" w:sz="12" w:space="1" w:color="auto"/>
        </w:pBdr>
        <w:tabs>
          <w:tab w:val="left" w:pos="288"/>
          <w:tab w:val="left" w:pos="4752"/>
        </w:tabs>
        <w:spacing w:line="240" w:lineRule="exact"/>
        <w:jc w:val="both"/>
        <w:rPr>
          <w:rFonts w:ascii="Calibri" w:hAnsi="Calibri"/>
          <w:color w:val="auto"/>
          <w:szCs w:val="24"/>
        </w:rPr>
      </w:pPr>
    </w:p>
    <w:p w:rsidR="00A043E8" w:rsidRPr="00A90D55" w:rsidRDefault="00A043E8" w:rsidP="00D42939">
      <w:pPr>
        <w:tabs>
          <w:tab w:val="left" w:pos="288"/>
          <w:tab w:val="left" w:pos="4752"/>
        </w:tabs>
        <w:spacing w:line="240" w:lineRule="exact"/>
        <w:jc w:val="both"/>
        <w:rPr>
          <w:color w:val="000080"/>
        </w:rPr>
      </w:pPr>
    </w:p>
    <w:p w:rsidR="00412658" w:rsidRPr="0002620A" w:rsidRDefault="00C56FC8" w:rsidP="00D42939">
      <w:pPr>
        <w:spacing w:line="240" w:lineRule="exact"/>
        <w:jc w:val="both"/>
        <w:rPr>
          <w:rFonts w:ascii="Calibri" w:hAnsi="Calibri"/>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with the VASRD </w:t>
      </w:r>
      <w:r w:rsidRPr="002605C8">
        <w:rPr>
          <w:rFonts w:asciiTheme="minorHAnsi" w:eastAsiaTheme="minorHAnsi" w:hAnsiTheme="minorHAnsi"/>
          <w:color w:val="auto"/>
          <w:szCs w:val="24"/>
        </w:rPr>
        <w:t xml:space="preserve">in effect at the time of the adjudication. </w:t>
      </w:r>
      <w:r w:rsidR="001D68CF" w:rsidRPr="002605C8">
        <w:rPr>
          <w:rFonts w:asciiTheme="minorHAnsi" w:eastAsiaTheme="minorHAnsi" w:hAnsiTheme="minorHAnsi"/>
          <w:color w:val="auto"/>
          <w:szCs w:val="24"/>
        </w:rPr>
        <w:t xml:space="preserve"> </w:t>
      </w:r>
      <w:r w:rsidRPr="002605C8">
        <w:rPr>
          <w:rFonts w:asciiTheme="minorHAnsi" w:eastAsiaTheme="minorHAnsi" w:hAnsiTheme="minorHAnsi"/>
          <w:color w:val="auto"/>
          <w:szCs w:val="24"/>
        </w:rPr>
        <w:t>The Board did not surmise from the record or PEB ruling in this case that any prerogatives outside the VASRD were exercised.</w:t>
      </w:r>
      <w:r w:rsidR="0008642D" w:rsidRPr="002605C8">
        <w:rPr>
          <w:rFonts w:asciiTheme="minorHAnsi" w:eastAsiaTheme="minorHAnsi" w:hAnsiTheme="minorHAnsi"/>
          <w:color w:val="auto"/>
          <w:szCs w:val="24"/>
        </w:rPr>
        <w:t xml:space="preserve">  </w:t>
      </w:r>
      <w:r w:rsidR="00106BD2" w:rsidRPr="002605C8">
        <w:rPr>
          <w:rFonts w:asciiTheme="minorHAnsi" w:eastAsiaTheme="minorHAnsi" w:hAnsiTheme="minorHAnsi"/>
          <w:color w:val="auto"/>
          <w:szCs w:val="24"/>
        </w:rPr>
        <w:t xml:space="preserve">In the matter of the pain disorder with psychological factors/major depression psychiatric condition, the Board unanimously agrees that it is properly rated as a component of fibromyalgia and not as a separately unfitting condition.  </w:t>
      </w:r>
      <w:r w:rsidR="00412658" w:rsidRPr="002605C8">
        <w:rPr>
          <w:rFonts w:asciiTheme="minorHAnsi" w:eastAsiaTheme="minorHAnsi" w:hAnsiTheme="minorHAnsi"/>
          <w:color w:val="auto"/>
          <w:szCs w:val="24"/>
        </w:rPr>
        <w:t xml:space="preserve">In the matter of </w:t>
      </w:r>
      <w:r w:rsidR="0002620A" w:rsidRPr="002605C8">
        <w:rPr>
          <w:rFonts w:asciiTheme="minorHAnsi" w:eastAsiaTheme="minorHAnsi" w:hAnsiTheme="minorHAnsi"/>
          <w:color w:val="auto"/>
          <w:szCs w:val="24"/>
        </w:rPr>
        <w:t>the f</w:t>
      </w:r>
      <w:r w:rsidR="0008642D" w:rsidRPr="002605C8">
        <w:rPr>
          <w:rFonts w:asciiTheme="minorHAnsi" w:eastAsiaTheme="minorHAnsi" w:hAnsiTheme="minorHAnsi"/>
          <w:color w:val="auto"/>
          <w:szCs w:val="24"/>
        </w:rPr>
        <w:t>ibromyalgia</w:t>
      </w:r>
      <w:r w:rsidR="00412658" w:rsidRPr="002605C8">
        <w:rPr>
          <w:rFonts w:asciiTheme="minorHAnsi" w:eastAsiaTheme="minorHAnsi" w:hAnsiTheme="minorHAnsi"/>
          <w:color w:val="auto"/>
          <w:szCs w:val="24"/>
        </w:rPr>
        <w:t xml:space="preserve"> </w:t>
      </w:r>
      <w:r w:rsidR="0002620A" w:rsidRPr="002605C8">
        <w:rPr>
          <w:rFonts w:asciiTheme="minorHAnsi" w:eastAsiaTheme="minorHAnsi" w:hAnsiTheme="minorHAnsi"/>
          <w:color w:val="auto"/>
          <w:szCs w:val="24"/>
        </w:rPr>
        <w:t>and</w:t>
      </w:r>
      <w:r w:rsidR="0008642D" w:rsidRPr="002605C8">
        <w:rPr>
          <w:rFonts w:asciiTheme="minorHAnsi" w:eastAsiaTheme="minorHAnsi" w:hAnsiTheme="minorHAnsi"/>
          <w:color w:val="auto"/>
          <w:szCs w:val="24"/>
        </w:rPr>
        <w:t xml:space="preserve"> associated conditions</w:t>
      </w:r>
      <w:r w:rsidR="0002620A" w:rsidRPr="002605C8">
        <w:rPr>
          <w:rFonts w:asciiTheme="minorHAnsi" w:eastAsiaTheme="minorHAnsi" w:hAnsiTheme="minorHAnsi"/>
          <w:color w:val="auto"/>
          <w:szCs w:val="24"/>
        </w:rPr>
        <w:t>,</w:t>
      </w:r>
      <w:r w:rsidR="0008642D" w:rsidRPr="002605C8">
        <w:rPr>
          <w:rFonts w:asciiTheme="minorHAnsi" w:eastAsiaTheme="minorHAnsi" w:hAnsiTheme="minorHAnsi"/>
          <w:color w:val="auto"/>
          <w:szCs w:val="24"/>
        </w:rPr>
        <w:t xml:space="preserve"> </w:t>
      </w:r>
      <w:r w:rsidR="00412658" w:rsidRPr="002605C8">
        <w:rPr>
          <w:rFonts w:asciiTheme="minorHAnsi" w:eastAsiaTheme="minorHAnsi" w:hAnsiTheme="minorHAnsi"/>
          <w:color w:val="auto"/>
          <w:szCs w:val="24"/>
        </w:rPr>
        <w:t xml:space="preserve">and </w:t>
      </w:r>
      <w:r w:rsidR="00412658" w:rsidRPr="002605C8">
        <w:rPr>
          <w:rFonts w:asciiTheme="minorHAnsi" w:hAnsiTheme="minorHAnsi"/>
          <w:color w:val="auto"/>
          <w:szCs w:val="24"/>
        </w:rPr>
        <w:t>IAW VASRD §4.71a</w:t>
      </w:r>
      <w:r w:rsidR="00412658" w:rsidRPr="002605C8">
        <w:rPr>
          <w:rFonts w:asciiTheme="minorHAnsi" w:eastAsiaTheme="minorHAnsi" w:hAnsiTheme="minorHAnsi"/>
          <w:color w:val="auto"/>
          <w:szCs w:val="24"/>
        </w:rPr>
        <w:t xml:space="preserve">, the Board unanimously recommends no change </w:t>
      </w:r>
      <w:r w:rsidR="00412658" w:rsidRPr="002605C8">
        <w:rPr>
          <w:rFonts w:asciiTheme="minorHAnsi" w:eastAsiaTheme="minorHAnsi" w:hAnsiTheme="minorHAnsi"/>
          <w:color w:val="auto"/>
          <w:szCs w:val="24"/>
        </w:rPr>
        <w:lastRenderedPageBreak/>
        <w:t>in the PEB adjudication</w:t>
      </w:r>
      <w:r w:rsidR="0002620A" w:rsidRPr="002605C8">
        <w:rPr>
          <w:rFonts w:asciiTheme="minorHAnsi" w:hAnsiTheme="minorHAnsi"/>
          <w:color w:val="auto"/>
          <w:szCs w:val="24"/>
        </w:rPr>
        <w:t xml:space="preserve">.  </w:t>
      </w:r>
      <w:r w:rsidR="00412658" w:rsidRPr="002605C8">
        <w:rPr>
          <w:rFonts w:asciiTheme="minorHAnsi" w:hAnsiTheme="minorHAnsi"/>
          <w:color w:val="auto"/>
          <w:szCs w:val="24"/>
        </w:rPr>
        <w:t xml:space="preserve">In the matter of the </w:t>
      </w:r>
      <w:r w:rsidR="0002620A" w:rsidRPr="002605C8">
        <w:rPr>
          <w:rFonts w:asciiTheme="minorHAnsi" w:hAnsiTheme="minorHAnsi"/>
          <w:color w:val="auto"/>
          <w:szCs w:val="24"/>
        </w:rPr>
        <w:t>cervical spine</w:t>
      </w:r>
      <w:r w:rsidR="0008642D" w:rsidRPr="002605C8">
        <w:rPr>
          <w:rFonts w:asciiTheme="minorHAnsi" w:hAnsiTheme="minorHAnsi"/>
          <w:color w:val="auto"/>
          <w:szCs w:val="24"/>
        </w:rPr>
        <w:t xml:space="preserve"> </w:t>
      </w:r>
      <w:r w:rsidR="00412658" w:rsidRPr="002605C8">
        <w:rPr>
          <w:rFonts w:asciiTheme="minorHAnsi" w:hAnsiTheme="minorHAnsi"/>
          <w:color w:val="auto"/>
          <w:szCs w:val="24"/>
        </w:rPr>
        <w:t xml:space="preserve">condition, </w:t>
      </w:r>
      <w:r w:rsidR="0002620A" w:rsidRPr="002605C8">
        <w:rPr>
          <w:rFonts w:asciiTheme="minorHAnsi" w:hAnsiTheme="minorHAnsi"/>
          <w:color w:val="auto"/>
          <w:szCs w:val="24"/>
        </w:rPr>
        <w:t>the Board unanimously recommends no recharacterization of the PEB adjudication as not unfitting</w:t>
      </w:r>
      <w:r w:rsidR="00F53BD3" w:rsidRPr="002605C8">
        <w:rPr>
          <w:rFonts w:asciiTheme="minorHAnsi" w:hAnsiTheme="minorHAnsi"/>
          <w:color w:val="auto"/>
          <w:szCs w:val="24"/>
        </w:rPr>
        <w:t xml:space="preserve">.  </w:t>
      </w:r>
      <w:r w:rsidR="0002620A" w:rsidRPr="002605C8">
        <w:rPr>
          <w:rFonts w:asciiTheme="minorHAnsi" w:hAnsiTheme="minorHAnsi"/>
          <w:color w:val="auto"/>
          <w:szCs w:val="24"/>
        </w:rPr>
        <w:t xml:space="preserve">In the matter of contended thoracolumbar spine condition, the Board unanimously agrees that it cannot recommend a finding of unfit for additional rating at separation.  </w:t>
      </w:r>
      <w:r w:rsidR="00412658" w:rsidRPr="002605C8">
        <w:rPr>
          <w:rFonts w:asciiTheme="minorHAnsi" w:hAnsiTheme="minorHAnsi"/>
          <w:color w:val="auto"/>
          <w:szCs w:val="24"/>
        </w:rPr>
        <w:t>The Board unanimously agrees that there were no other conditions eligible for Board consideration which c</w:t>
      </w:r>
      <w:r w:rsidR="00412658">
        <w:rPr>
          <w:rFonts w:asciiTheme="minorHAnsi" w:hAnsiTheme="minorHAnsi"/>
          <w:color w:val="auto"/>
          <w:szCs w:val="24"/>
        </w:rPr>
        <w:t>ould be recommended</w:t>
      </w:r>
      <w:r w:rsidR="00412658" w:rsidRPr="00CD15BE">
        <w:rPr>
          <w:rFonts w:asciiTheme="minorHAnsi" w:hAnsiTheme="minorHAnsi"/>
          <w:color w:val="auto"/>
          <w:szCs w:val="24"/>
        </w:rPr>
        <w:t xml:space="preserve"> as additionally unfitting</w:t>
      </w:r>
      <w:r w:rsidR="00412658">
        <w:rPr>
          <w:rFonts w:asciiTheme="minorHAnsi" w:hAnsiTheme="minorHAnsi"/>
          <w:color w:val="auto"/>
          <w:szCs w:val="24"/>
        </w:rPr>
        <w:t xml:space="preserve"> for rating at separation</w:t>
      </w:r>
      <w:r w:rsidR="00412658" w:rsidRPr="00CD15BE">
        <w:rPr>
          <w:rFonts w:asciiTheme="minorHAnsi" w:hAnsiTheme="minorHAnsi"/>
          <w:color w:val="auto"/>
          <w:szCs w:val="24"/>
        </w:rPr>
        <w:t>.</w:t>
      </w:r>
    </w:p>
    <w:p w:rsidR="00A043E8" w:rsidRPr="00CD5BD7" w:rsidRDefault="00A043E8" w:rsidP="00A043E8">
      <w:pPr>
        <w:pBdr>
          <w:bottom w:val="single" w:sz="12" w:space="1" w:color="auto"/>
        </w:pBdr>
        <w:tabs>
          <w:tab w:val="left" w:pos="288"/>
          <w:tab w:val="left" w:pos="4752"/>
        </w:tabs>
        <w:spacing w:line="240" w:lineRule="exact"/>
        <w:jc w:val="both"/>
        <w:rPr>
          <w:rFonts w:ascii="Calibri" w:hAnsi="Calibri"/>
          <w:color w:val="auto"/>
          <w:szCs w:val="24"/>
        </w:rPr>
      </w:pPr>
    </w:p>
    <w:p w:rsidR="00A043E8" w:rsidRPr="00CD5BD7" w:rsidRDefault="00A043E8" w:rsidP="00A043E8">
      <w:pPr>
        <w:tabs>
          <w:tab w:val="left" w:pos="288"/>
          <w:tab w:val="left" w:pos="4752"/>
        </w:tabs>
        <w:spacing w:line="240" w:lineRule="exact"/>
        <w:jc w:val="both"/>
        <w:rPr>
          <w:rFonts w:ascii="Calibri" w:hAnsi="Calibri"/>
          <w:color w:val="auto"/>
          <w:szCs w:val="24"/>
          <w:u w:val="single"/>
        </w:rPr>
      </w:pPr>
    </w:p>
    <w:p w:rsidR="00C56FC8" w:rsidRDefault="00C56FC8" w:rsidP="006B1D71">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Pr="00AE3316">
        <w:rPr>
          <w:rFonts w:asciiTheme="minorHAnsi" w:hAnsiTheme="minorHAnsi"/>
          <w:color w:val="000080"/>
          <w:szCs w:val="24"/>
        </w:rPr>
        <w:t xml:space="preserve"> </w:t>
      </w:r>
      <w:r w:rsidR="006B1D71">
        <w:rPr>
          <w:rFonts w:asciiTheme="minorHAnsi" w:hAnsiTheme="minorHAnsi"/>
          <w:color w:val="000080"/>
          <w:szCs w:val="24"/>
        </w:rPr>
        <w:t xml:space="preserve"> </w:t>
      </w:r>
      <w:r w:rsidRPr="00B95833">
        <w:rPr>
          <w:rFonts w:asciiTheme="minorHAnsi" w:hAnsiTheme="minorHAnsi"/>
          <w:color w:val="auto"/>
          <w:szCs w:val="24"/>
        </w:rPr>
        <w:t>The Board therefore recommends that there be no recharacterization of the CI’s disability and separation determination.</w:t>
      </w:r>
    </w:p>
    <w:p w:rsidR="00B158C5" w:rsidRDefault="00B158C5" w:rsidP="00B158C5">
      <w:pPr>
        <w:pBdr>
          <w:bottom w:val="single" w:sz="12" w:space="1" w:color="auto"/>
        </w:pBdr>
        <w:tabs>
          <w:tab w:val="left" w:pos="288"/>
          <w:tab w:val="left" w:pos="4752"/>
        </w:tabs>
        <w:spacing w:line="240" w:lineRule="exact"/>
        <w:jc w:val="both"/>
        <w:rPr>
          <w:rFonts w:asciiTheme="minorHAnsi" w:hAnsiTheme="minorHAnsi"/>
          <w:color w:val="auto"/>
          <w:szCs w:val="24"/>
        </w:rPr>
      </w:pPr>
    </w:p>
    <w:p w:rsidR="00BD60E3" w:rsidRDefault="00BD60E3" w:rsidP="00BD60E3">
      <w:pPr>
        <w:tabs>
          <w:tab w:val="left" w:pos="288"/>
          <w:tab w:val="left" w:pos="4752"/>
        </w:tabs>
        <w:spacing w:line="240" w:lineRule="exact"/>
        <w:jc w:val="both"/>
        <w:rPr>
          <w:rFonts w:asciiTheme="minorHAnsi" w:hAnsiTheme="minorHAnsi"/>
          <w:color w:val="auto"/>
        </w:rPr>
      </w:pPr>
    </w:p>
    <w:p w:rsidR="00BD60E3" w:rsidRPr="0085089F" w:rsidRDefault="00BD60E3" w:rsidP="00BD60E3">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BD60E3" w:rsidRPr="0085089F" w:rsidRDefault="00BD60E3" w:rsidP="00BD60E3">
      <w:pPr>
        <w:tabs>
          <w:tab w:val="left" w:pos="288"/>
          <w:tab w:val="left" w:pos="4752"/>
        </w:tabs>
        <w:spacing w:line="240" w:lineRule="exact"/>
        <w:jc w:val="both"/>
        <w:rPr>
          <w:rFonts w:asciiTheme="minorHAnsi" w:hAnsiTheme="minorHAnsi"/>
          <w:color w:val="auto"/>
        </w:rPr>
      </w:pPr>
    </w:p>
    <w:p w:rsidR="00BD60E3" w:rsidRPr="0085089F" w:rsidRDefault="00BD60E3" w:rsidP="00BD60E3">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Pr="004C08DD">
        <w:rPr>
          <w:rFonts w:asciiTheme="minorHAnsi" w:hAnsiTheme="minorHAnsi"/>
          <w:color w:val="auto"/>
        </w:rPr>
        <w:t>20090818</w:t>
      </w:r>
      <w:r w:rsidRPr="0085089F">
        <w:rPr>
          <w:rFonts w:asciiTheme="minorHAnsi" w:hAnsiTheme="minorHAnsi"/>
          <w:color w:val="auto"/>
        </w:rPr>
        <w:t>, w/atchs.</w:t>
      </w:r>
    </w:p>
    <w:p w:rsidR="00BD60E3" w:rsidRPr="0085089F" w:rsidRDefault="00BD60E3" w:rsidP="00BD60E3">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BD60E3" w:rsidRPr="0085089F" w:rsidRDefault="00BD60E3" w:rsidP="00BD60E3">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 Affairs Treatment Record.</w:t>
      </w:r>
      <w:proofErr w:type="gramEnd"/>
    </w:p>
    <w:p w:rsidR="00BD60E3" w:rsidRPr="0085089F" w:rsidRDefault="00BD60E3" w:rsidP="00BD60E3">
      <w:pPr>
        <w:tabs>
          <w:tab w:val="left" w:pos="288"/>
          <w:tab w:val="left" w:pos="4752"/>
        </w:tabs>
        <w:spacing w:line="240" w:lineRule="exact"/>
        <w:jc w:val="both"/>
        <w:rPr>
          <w:rFonts w:asciiTheme="minorHAnsi" w:hAnsiTheme="minorHAnsi"/>
          <w:color w:val="auto"/>
        </w:rPr>
      </w:pPr>
    </w:p>
    <w:p w:rsidR="00BD60E3" w:rsidRPr="0085089F" w:rsidRDefault="00BD60E3" w:rsidP="00BD60E3">
      <w:pPr>
        <w:tabs>
          <w:tab w:val="left" w:pos="288"/>
          <w:tab w:val="left" w:pos="4752"/>
        </w:tabs>
        <w:spacing w:line="240" w:lineRule="exact"/>
        <w:jc w:val="both"/>
        <w:rPr>
          <w:rFonts w:asciiTheme="minorHAnsi" w:hAnsiTheme="minorHAnsi"/>
          <w:color w:val="auto"/>
        </w:rPr>
      </w:pPr>
    </w:p>
    <w:p w:rsidR="00BD60E3" w:rsidRDefault="00BD60E3" w:rsidP="00BD60E3">
      <w:pPr>
        <w:tabs>
          <w:tab w:val="left" w:pos="288"/>
          <w:tab w:val="left" w:pos="4752"/>
        </w:tabs>
        <w:spacing w:line="240" w:lineRule="exact"/>
        <w:jc w:val="both"/>
        <w:rPr>
          <w:rFonts w:asciiTheme="minorHAnsi" w:hAnsiTheme="minorHAnsi"/>
          <w:color w:val="auto"/>
        </w:rPr>
      </w:pPr>
    </w:p>
    <w:p w:rsidR="000A71B6" w:rsidRDefault="000A71B6">
      <w:pPr>
        <w:rPr>
          <w:rFonts w:asciiTheme="minorHAnsi" w:hAnsiTheme="minorHAnsi"/>
          <w:color w:val="auto"/>
        </w:rPr>
      </w:pPr>
      <w:r>
        <w:rPr>
          <w:rFonts w:asciiTheme="minorHAnsi" w:hAnsiTheme="minorHAnsi"/>
          <w:color w:val="auto"/>
        </w:rPr>
        <w:br w:type="page"/>
      </w:r>
    </w:p>
    <w:p w:rsidR="000A71B6" w:rsidRDefault="000A71B6" w:rsidP="000A71B6">
      <w:pPr>
        <w:pStyle w:val="Default"/>
        <w:framePr w:w="15610" w:wrap="auto" w:vAnchor="page" w:hAnchor="page" w:x="1" w:y="1"/>
      </w:pPr>
      <w:r>
        <w:rPr>
          <w:noProof/>
        </w:rPr>
        <w:lastRenderedPageBreak/>
        <w:drawing>
          <wp:inline distT="0" distB="0" distL="0" distR="0">
            <wp:extent cx="7746365" cy="10032365"/>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746365" cy="10032365"/>
                    </a:xfrm>
                    <a:prstGeom prst="rect">
                      <a:avLst/>
                    </a:prstGeom>
                    <a:noFill/>
                    <a:ln w="9525">
                      <a:noFill/>
                      <a:miter lim="800000"/>
                      <a:headEnd/>
                      <a:tailEnd/>
                    </a:ln>
                  </pic:spPr>
                </pic:pic>
              </a:graphicData>
            </a:graphic>
          </wp:inline>
        </w:drawing>
      </w:r>
    </w:p>
    <w:p w:rsidR="00BD60E3" w:rsidRDefault="00BD60E3" w:rsidP="00BD60E3">
      <w:pPr>
        <w:tabs>
          <w:tab w:val="left" w:pos="288"/>
          <w:tab w:val="left" w:pos="4752"/>
        </w:tabs>
        <w:spacing w:line="240" w:lineRule="exact"/>
        <w:jc w:val="both"/>
        <w:rPr>
          <w:rFonts w:asciiTheme="minorHAnsi" w:hAnsiTheme="minorHAnsi"/>
          <w:color w:val="auto"/>
        </w:rPr>
      </w:pPr>
    </w:p>
    <w:sectPr w:rsidR="00BD60E3"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D6B" w:rsidRDefault="00717D6B">
      <w:r>
        <w:separator/>
      </w:r>
    </w:p>
  </w:endnote>
  <w:endnote w:type="continuationSeparator" w:id="0">
    <w:p w:rsidR="00717D6B" w:rsidRDefault="00717D6B">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88E" w:rsidRDefault="001A32CD">
    <w:pPr>
      <w:pStyle w:val="Footer"/>
      <w:framePr w:wrap="around" w:vAnchor="text" w:hAnchor="margin" w:xAlign="center" w:y="1"/>
      <w:rPr>
        <w:rStyle w:val="PageNumber"/>
      </w:rPr>
    </w:pPr>
    <w:r>
      <w:rPr>
        <w:rStyle w:val="PageNumber"/>
      </w:rPr>
      <w:fldChar w:fldCharType="begin"/>
    </w:r>
    <w:r w:rsidR="0093488E">
      <w:rPr>
        <w:rStyle w:val="PageNumber"/>
      </w:rPr>
      <w:instrText xml:space="preserve">PAGE  </w:instrText>
    </w:r>
    <w:r>
      <w:rPr>
        <w:rStyle w:val="PageNumber"/>
      </w:rPr>
      <w:fldChar w:fldCharType="separate"/>
    </w:r>
    <w:r w:rsidR="0093488E">
      <w:rPr>
        <w:rStyle w:val="PageNumber"/>
        <w:noProof/>
      </w:rPr>
      <w:t>2</w:t>
    </w:r>
    <w:r>
      <w:rPr>
        <w:rStyle w:val="PageNumber"/>
      </w:rPr>
      <w:fldChar w:fldCharType="end"/>
    </w:r>
  </w:p>
  <w:p w:rsidR="0093488E" w:rsidRDefault="0093488E"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88E" w:rsidRPr="00AC713F" w:rsidRDefault="001A32CD">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93488E"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0A71B6">
      <w:rPr>
        <w:rStyle w:val="PageNumber"/>
        <w:rFonts w:asciiTheme="minorHAnsi" w:hAnsiTheme="minorHAnsi"/>
        <w:noProof/>
        <w:color w:val="auto"/>
      </w:rPr>
      <w:t>6</w:t>
    </w:r>
    <w:r w:rsidRPr="00AC713F">
      <w:rPr>
        <w:rStyle w:val="PageNumber"/>
        <w:rFonts w:asciiTheme="minorHAnsi" w:hAnsiTheme="minorHAnsi"/>
        <w:color w:val="auto"/>
      </w:rPr>
      <w:fldChar w:fldCharType="end"/>
    </w:r>
  </w:p>
  <w:p w:rsidR="0093488E" w:rsidRPr="00AC713F" w:rsidRDefault="0093488E" w:rsidP="002B0749">
    <w:pPr>
      <w:pStyle w:val="Footer"/>
      <w:jc w:val="right"/>
      <w:rPr>
        <w:rFonts w:asciiTheme="minorHAnsi" w:hAnsiTheme="minorHAnsi"/>
      </w:rPr>
    </w:pPr>
    <w:r>
      <w:tab/>
    </w:r>
    <w:r>
      <w:tab/>
    </w:r>
    <w:r w:rsidRPr="00AC713F">
      <w:rPr>
        <w:rFonts w:asciiTheme="minorHAnsi" w:hAnsiTheme="minorHAnsi"/>
        <w:caps/>
        <w:color w:val="000080"/>
      </w:rPr>
      <w:t>PD</w:t>
    </w:r>
    <w:r>
      <w:rPr>
        <w:rFonts w:asciiTheme="minorHAnsi" w:hAnsiTheme="minorHAnsi"/>
        <w:caps/>
        <w:color w:val="000080"/>
      </w:rPr>
      <w:t>0900234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D6B" w:rsidRDefault="00717D6B">
      <w:r>
        <w:separator/>
      </w:r>
    </w:p>
  </w:footnote>
  <w:footnote w:type="continuationSeparator" w:id="0">
    <w:p w:rsidR="00717D6B" w:rsidRDefault="00717D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13377"/>
  </w:hdrShapeDefaults>
  <w:footnotePr>
    <w:numRestart w:val="eachSect"/>
    <w:footnote w:id="-1"/>
    <w:footnote w:id="0"/>
  </w:footnotePr>
  <w:endnotePr>
    <w:endnote w:id="-1"/>
    <w:endnote w:id="0"/>
  </w:endnotePr>
  <w:compat/>
  <w:rsids>
    <w:rsidRoot w:val="001C28D1"/>
    <w:rsid w:val="00001E73"/>
    <w:rsid w:val="00002C6A"/>
    <w:rsid w:val="000050DF"/>
    <w:rsid w:val="000059FA"/>
    <w:rsid w:val="00005E01"/>
    <w:rsid w:val="00006F87"/>
    <w:rsid w:val="00010ABA"/>
    <w:rsid w:val="00012428"/>
    <w:rsid w:val="00013417"/>
    <w:rsid w:val="000145C2"/>
    <w:rsid w:val="0001473F"/>
    <w:rsid w:val="00014A9E"/>
    <w:rsid w:val="000212FC"/>
    <w:rsid w:val="00021361"/>
    <w:rsid w:val="00023913"/>
    <w:rsid w:val="00023D43"/>
    <w:rsid w:val="00024B1F"/>
    <w:rsid w:val="0002620A"/>
    <w:rsid w:val="00032E07"/>
    <w:rsid w:val="000332CA"/>
    <w:rsid w:val="0003374E"/>
    <w:rsid w:val="0003432A"/>
    <w:rsid w:val="000344E6"/>
    <w:rsid w:val="00035C3A"/>
    <w:rsid w:val="00036E4B"/>
    <w:rsid w:val="00037589"/>
    <w:rsid w:val="000379D0"/>
    <w:rsid w:val="00040034"/>
    <w:rsid w:val="00040FC4"/>
    <w:rsid w:val="000416F8"/>
    <w:rsid w:val="00042C26"/>
    <w:rsid w:val="00043382"/>
    <w:rsid w:val="00046C6F"/>
    <w:rsid w:val="00051622"/>
    <w:rsid w:val="00052234"/>
    <w:rsid w:val="00053D7C"/>
    <w:rsid w:val="00055B41"/>
    <w:rsid w:val="000577C9"/>
    <w:rsid w:val="0006431E"/>
    <w:rsid w:val="00065D55"/>
    <w:rsid w:val="00072433"/>
    <w:rsid w:val="00075702"/>
    <w:rsid w:val="000775C2"/>
    <w:rsid w:val="000806AD"/>
    <w:rsid w:val="00082482"/>
    <w:rsid w:val="00082B3C"/>
    <w:rsid w:val="0008348F"/>
    <w:rsid w:val="0008642D"/>
    <w:rsid w:val="0008708B"/>
    <w:rsid w:val="00092619"/>
    <w:rsid w:val="00092ADB"/>
    <w:rsid w:val="00092C66"/>
    <w:rsid w:val="00094E4F"/>
    <w:rsid w:val="00096F2F"/>
    <w:rsid w:val="000972EF"/>
    <w:rsid w:val="000A2BCE"/>
    <w:rsid w:val="000A318F"/>
    <w:rsid w:val="000A41E3"/>
    <w:rsid w:val="000A4BBA"/>
    <w:rsid w:val="000A5071"/>
    <w:rsid w:val="000A71B6"/>
    <w:rsid w:val="000B2271"/>
    <w:rsid w:val="000B3A6B"/>
    <w:rsid w:val="000B4C99"/>
    <w:rsid w:val="000C06F6"/>
    <w:rsid w:val="000C1D34"/>
    <w:rsid w:val="000C2362"/>
    <w:rsid w:val="000C2B0A"/>
    <w:rsid w:val="000C3C13"/>
    <w:rsid w:val="000C53F9"/>
    <w:rsid w:val="000C5813"/>
    <w:rsid w:val="000C75CF"/>
    <w:rsid w:val="000C7DB4"/>
    <w:rsid w:val="000C7DE4"/>
    <w:rsid w:val="000D15E7"/>
    <w:rsid w:val="000D17EC"/>
    <w:rsid w:val="000D1A24"/>
    <w:rsid w:val="000D21C7"/>
    <w:rsid w:val="000D248A"/>
    <w:rsid w:val="000D35D8"/>
    <w:rsid w:val="000D43D1"/>
    <w:rsid w:val="000D43F9"/>
    <w:rsid w:val="000D445B"/>
    <w:rsid w:val="000D4717"/>
    <w:rsid w:val="000D5F5B"/>
    <w:rsid w:val="000D6457"/>
    <w:rsid w:val="000D7D55"/>
    <w:rsid w:val="000E0993"/>
    <w:rsid w:val="000E37E0"/>
    <w:rsid w:val="000F02BE"/>
    <w:rsid w:val="000F427B"/>
    <w:rsid w:val="000F4FB7"/>
    <w:rsid w:val="000F5043"/>
    <w:rsid w:val="000F7181"/>
    <w:rsid w:val="001008C1"/>
    <w:rsid w:val="001023DB"/>
    <w:rsid w:val="00103CCF"/>
    <w:rsid w:val="0010417F"/>
    <w:rsid w:val="001042D2"/>
    <w:rsid w:val="00104743"/>
    <w:rsid w:val="00104986"/>
    <w:rsid w:val="00104F7B"/>
    <w:rsid w:val="0010530E"/>
    <w:rsid w:val="00105C07"/>
    <w:rsid w:val="00106BD2"/>
    <w:rsid w:val="00107EC5"/>
    <w:rsid w:val="001103CD"/>
    <w:rsid w:val="0011237E"/>
    <w:rsid w:val="00114F20"/>
    <w:rsid w:val="001166C1"/>
    <w:rsid w:val="00120D58"/>
    <w:rsid w:val="001211AF"/>
    <w:rsid w:val="001219DF"/>
    <w:rsid w:val="001231DC"/>
    <w:rsid w:val="00126AE4"/>
    <w:rsid w:val="00126D93"/>
    <w:rsid w:val="001272AE"/>
    <w:rsid w:val="001315DD"/>
    <w:rsid w:val="00135385"/>
    <w:rsid w:val="001364D1"/>
    <w:rsid w:val="00142782"/>
    <w:rsid w:val="00142EBA"/>
    <w:rsid w:val="00143B79"/>
    <w:rsid w:val="0014518E"/>
    <w:rsid w:val="00150B8A"/>
    <w:rsid w:val="00150DCB"/>
    <w:rsid w:val="00151912"/>
    <w:rsid w:val="00152A19"/>
    <w:rsid w:val="00153740"/>
    <w:rsid w:val="001541C5"/>
    <w:rsid w:val="00155803"/>
    <w:rsid w:val="0015623F"/>
    <w:rsid w:val="00156585"/>
    <w:rsid w:val="00156BA9"/>
    <w:rsid w:val="00156E1F"/>
    <w:rsid w:val="00161761"/>
    <w:rsid w:val="0016521F"/>
    <w:rsid w:val="00166182"/>
    <w:rsid w:val="001741AE"/>
    <w:rsid w:val="001745DD"/>
    <w:rsid w:val="00177659"/>
    <w:rsid w:val="00177870"/>
    <w:rsid w:val="001779E5"/>
    <w:rsid w:val="00182A4C"/>
    <w:rsid w:val="00183F77"/>
    <w:rsid w:val="001859C0"/>
    <w:rsid w:val="00185DA8"/>
    <w:rsid w:val="00185ECB"/>
    <w:rsid w:val="001865E0"/>
    <w:rsid w:val="0018668E"/>
    <w:rsid w:val="001870F0"/>
    <w:rsid w:val="00190E48"/>
    <w:rsid w:val="0019273F"/>
    <w:rsid w:val="00193814"/>
    <w:rsid w:val="00193AD5"/>
    <w:rsid w:val="00194930"/>
    <w:rsid w:val="001A08CD"/>
    <w:rsid w:val="001A29D5"/>
    <w:rsid w:val="001A32CD"/>
    <w:rsid w:val="001A3C74"/>
    <w:rsid w:val="001A5320"/>
    <w:rsid w:val="001A5E62"/>
    <w:rsid w:val="001A7538"/>
    <w:rsid w:val="001B0B1A"/>
    <w:rsid w:val="001B135F"/>
    <w:rsid w:val="001B4EC2"/>
    <w:rsid w:val="001B5B59"/>
    <w:rsid w:val="001B60E0"/>
    <w:rsid w:val="001B7C8C"/>
    <w:rsid w:val="001C0E0D"/>
    <w:rsid w:val="001C181A"/>
    <w:rsid w:val="001C1877"/>
    <w:rsid w:val="001C2053"/>
    <w:rsid w:val="001C252F"/>
    <w:rsid w:val="001C28D1"/>
    <w:rsid w:val="001C5CFC"/>
    <w:rsid w:val="001C7418"/>
    <w:rsid w:val="001D0051"/>
    <w:rsid w:val="001D2224"/>
    <w:rsid w:val="001D4F88"/>
    <w:rsid w:val="001D6699"/>
    <w:rsid w:val="001D68CF"/>
    <w:rsid w:val="001D6A8C"/>
    <w:rsid w:val="001D7A56"/>
    <w:rsid w:val="001E02BD"/>
    <w:rsid w:val="001E15C0"/>
    <w:rsid w:val="001E18E0"/>
    <w:rsid w:val="001E18E2"/>
    <w:rsid w:val="001E19D0"/>
    <w:rsid w:val="001E1C62"/>
    <w:rsid w:val="001E2A30"/>
    <w:rsid w:val="001E4E61"/>
    <w:rsid w:val="001F30FA"/>
    <w:rsid w:val="001F5E8D"/>
    <w:rsid w:val="00200211"/>
    <w:rsid w:val="00200AA0"/>
    <w:rsid w:val="00202325"/>
    <w:rsid w:val="00202736"/>
    <w:rsid w:val="00203652"/>
    <w:rsid w:val="002060B6"/>
    <w:rsid w:val="002066B5"/>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3FF1"/>
    <w:rsid w:val="00234B3B"/>
    <w:rsid w:val="0023630C"/>
    <w:rsid w:val="0024174E"/>
    <w:rsid w:val="0024227D"/>
    <w:rsid w:val="00242D14"/>
    <w:rsid w:val="00243440"/>
    <w:rsid w:val="00244E1C"/>
    <w:rsid w:val="00246860"/>
    <w:rsid w:val="00246DFF"/>
    <w:rsid w:val="00246E89"/>
    <w:rsid w:val="0025183C"/>
    <w:rsid w:val="002528EC"/>
    <w:rsid w:val="00255049"/>
    <w:rsid w:val="00257DE5"/>
    <w:rsid w:val="00260531"/>
    <w:rsid w:val="002605C8"/>
    <w:rsid w:val="0026318D"/>
    <w:rsid w:val="00270864"/>
    <w:rsid w:val="002712F7"/>
    <w:rsid w:val="0027159C"/>
    <w:rsid w:val="00274549"/>
    <w:rsid w:val="00274751"/>
    <w:rsid w:val="00274E46"/>
    <w:rsid w:val="00276C86"/>
    <w:rsid w:val="002810A4"/>
    <w:rsid w:val="00281871"/>
    <w:rsid w:val="00281A89"/>
    <w:rsid w:val="00284A26"/>
    <w:rsid w:val="00287006"/>
    <w:rsid w:val="00294437"/>
    <w:rsid w:val="002A3237"/>
    <w:rsid w:val="002A58B7"/>
    <w:rsid w:val="002A685E"/>
    <w:rsid w:val="002A72C7"/>
    <w:rsid w:val="002B03B2"/>
    <w:rsid w:val="002B0749"/>
    <w:rsid w:val="002B2645"/>
    <w:rsid w:val="002B6FA0"/>
    <w:rsid w:val="002C5F10"/>
    <w:rsid w:val="002C6E5B"/>
    <w:rsid w:val="002D0BF1"/>
    <w:rsid w:val="002D18B4"/>
    <w:rsid w:val="002D231A"/>
    <w:rsid w:val="002E1877"/>
    <w:rsid w:val="002E1C31"/>
    <w:rsid w:val="002E2451"/>
    <w:rsid w:val="002E333A"/>
    <w:rsid w:val="002E3474"/>
    <w:rsid w:val="002E39A4"/>
    <w:rsid w:val="002E400C"/>
    <w:rsid w:val="002E49C3"/>
    <w:rsid w:val="002E5114"/>
    <w:rsid w:val="002E7570"/>
    <w:rsid w:val="002E764B"/>
    <w:rsid w:val="002F0E28"/>
    <w:rsid w:val="002F287E"/>
    <w:rsid w:val="002F2D63"/>
    <w:rsid w:val="002F4EA2"/>
    <w:rsid w:val="002F6E72"/>
    <w:rsid w:val="002F7F81"/>
    <w:rsid w:val="003006D0"/>
    <w:rsid w:val="00300A36"/>
    <w:rsid w:val="0030678B"/>
    <w:rsid w:val="00310C5B"/>
    <w:rsid w:val="00310CD7"/>
    <w:rsid w:val="00316120"/>
    <w:rsid w:val="0032136A"/>
    <w:rsid w:val="003232A2"/>
    <w:rsid w:val="00323E70"/>
    <w:rsid w:val="00325BA2"/>
    <w:rsid w:val="00326ADC"/>
    <w:rsid w:val="00326F7F"/>
    <w:rsid w:val="00327DB8"/>
    <w:rsid w:val="003311EA"/>
    <w:rsid w:val="003320E8"/>
    <w:rsid w:val="0033555E"/>
    <w:rsid w:val="0033676C"/>
    <w:rsid w:val="00336805"/>
    <w:rsid w:val="00337351"/>
    <w:rsid w:val="00341A54"/>
    <w:rsid w:val="00344938"/>
    <w:rsid w:val="0034669F"/>
    <w:rsid w:val="00350189"/>
    <w:rsid w:val="00351498"/>
    <w:rsid w:val="00352B22"/>
    <w:rsid w:val="00354547"/>
    <w:rsid w:val="003567DE"/>
    <w:rsid w:val="003574F3"/>
    <w:rsid w:val="0036319E"/>
    <w:rsid w:val="003632A4"/>
    <w:rsid w:val="00363362"/>
    <w:rsid w:val="00363A6D"/>
    <w:rsid w:val="00367D4F"/>
    <w:rsid w:val="00370743"/>
    <w:rsid w:val="00370EF5"/>
    <w:rsid w:val="0037135B"/>
    <w:rsid w:val="0037176E"/>
    <w:rsid w:val="0037223A"/>
    <w:rsid w:val="00372251"/>
    <w:rsid w:val="0037520D"/>
    <w:rsid w:val="00375809"/>
    <w:rsid w:val="0037628C"/>
    <w:rsid w:val="003764B7"/>
    <w:rsid w:val="00376B81"/>
    <w:rsid w:val="00377BD2"/>
    <w:rsid w:val="003821E1"/>
    <w:rsid w:val="00384866"/>
    <w:rsid w:val="003857D4"/>
    <w:rsid w:val="00385C04"/>
    <w:rsid w:val="00385D6F"/>
    <w:rsid w:val="00387095"/>
    <w:rsid w:val="00390092"/>
    <w:rsid w:val="00393651"/>
    <w:rsid w:val="00393838"/>
    <w:rsid w:val="00394358"/>
    <w:rsid w:val="00394C17"/>
    <w:rsid w:val="00395E12"/>
    <w:rsid w:val="00397DB7"/>
    <w:rsid w:val="003A0E16"/>
    <w:rsid w:val="003A27B2"/>
    <w:rsid w:val="003A40B4"/>
    <w:rsid w:val="003A41BA"/>
    <w:rsid w:val="003A6A99"/>
    <w:rsid w:val="003A7FF8"/>
    <w:rsid w:val="003B17AC"/>
    <w:rsid w:val="003B227A"/>
    <w:rsid w:val="003B3B2A"/>
    <w:rsid w:val="003B5854"/>
    <w:rsid w:val="003B6764"/>
    <w:rsid w:val="003C4792"/>
    <w:rsid w:val="003C4E79"/>
    <w:rsid w:val="003C5419"/>
    <w:rsid w:val="003C6068"/>
    <w:rsid w:val="003C7CE7"/>
    <w:rsid w:val="003D19BD"/>
    <w:rsid w:val="003D21DD"/>
    <w:rsid w:val="003D2BA3"/>
    <w:rsid w:val="003D3C22"/>
    <w:rsid w:val="003D4A69"/>
    <w:rsid w:val="003D7089"/>
    <w:rsid w:val="003D70C1"/>
    <w:rsid w:val="003D7DDB"/>
    <w:rsid w:val="003E02C7"/>
    <w:rsid w:val="003E0543"/>
    <w:rsid w:val="003E0B5A"/>
    <w:rsid w:val="003E31E3"/>
    <w:rsid w:val="003E3A1F"/>
    <w:rsid w:val="003E46D1"/>
    <w:rsid w:val="003E62E6"/>
    <w:rsid w:val="003F30B3"/>
    <w:rsid w:val="003F4D8B"/>
    <w:rsid w:val="003F58B0"/>
    <w:rsid w:val="004007E9"/>
    <w:rsid w:val="00401825"/>
    <w:rsid w:val="00401BBC"/>
    <w:rsid w:val="00403BFB"/>
    <w:rsid w:val="00404B45"/>
    <w:rsid w:val="00406CC5"/>
    <w:rsid w:val="004074A4"/>
    <w:rsid w:val="004101B2"/>
    <w:rsid w:val="004123D7"/>
    <w:rsid w:val="004125C3"/>
    <w:rsid w:val="00412658"/>
    <w:rsid w:val="004172DB"/>
    <w:rsid w:val="00421485"/>
    <w:rsid w:val="00422B75"/>
    <w:rsid w:val="0042390C"/>
    <w:rsid w:val="00424018"/>
    <w:rsid w:val="0042419B"/>
    <w:rsid w:val="00427AEC"/>
    <w:rsid w:val="00433F36"/>
    <w:rsid w:val="0043503A"/>
    <w:rsid w:val="00442C2A"/>
    <w:rsid w:val="0044384F"/>
    <w:rsid w:val="00444F80"/>
    <w:rsid w:val="00446018"/>
    <w:rsid w:val="004543BC"/>
    <w:rsid w:val="004560AB"/>
    <w:rsid w:val="0045645D"/>
    <w:rsid w:val="004574C6"/>
    <w:rsid w:val="00457BCF"/>
    <w:rsid w:val="00457DCE"/>
    <w:rsid w:val="0046093C"/>
    <w:rsid w:val="00460E3F"/>
    <w:rsid w:val="00466CED"/>
    <w:rsid w:val="00467592"/>
    <w:rsid w:val="00467690"/>
    <w:rsid w:val="004711E6"/>
    <w:rsid w:val="004718E7"/>
    <w:rsid w:val="00472059"/>
    <w:rsid w:val="00472535"/>
    <w:rsid w:val="004761CC"/>
    <w:rsid w:val="0047777D"/>
    <w:rsid w:val="00480358"/>
    <w:rsid w:val="00480D4A"/>
    <w:rsid w:val="00481DA1"/>
    <w:rsid w:val="00482759"/>
    <w:rsid w:val="0049255F"/>
    <w:rsid w:val="00492B5E"/>
    <w:rsid w:val="0049445D"/>
    <w:rsid w:val="00495350"/>
    <w:rsid w:val="00497040"/>
    <w:rsid w:val="00497156"/>
    <w:rsid w:val="004A24D2"/>
    <w:rsid w:val="004A3214"/>
    <w:rsid w:val="004A4136"/>
    <w:rsid w:val="004A417B"/>
    <w:rsid w:val="004B03F3"/>
    <w:rsid w:val="004B2536"/>
    <w:rsid w:val="004B6AF3"/>
    <w:rsid w:val="004B715E"/>
    <w:rsid w:val="004B7169"/>
    <w:rsid w:val="004B79C9"/>
    <w:rsid w:val="004C17FF"/>
    <w:rsid w:val="004C2A3F"/>
    <w:rsid w:val="004C4C3F"/>
    <w:rsid w:val="004C5E33"/>
    <w:rsid w:val="004C6CDA"/>
    <w:rsid w:val="004D10D4"/>
    <w:rsid w:val="004D16BD"/>
    <w:rsid w:val="004D2AAB"/>
    <w:rsid w:val="004D6F2B"/>
    <w:rsid w:val="004E0248"/>
    <w:rsid w:val="004E21A3"/>
    <w:rsid w:val="004E2409"/>
    <w:rsid w:val="004E32EA"/>
    <w:rsid w:val="004E5503"/>
    <w:rsid w:val="004E6222"/>
    <w:rsid w:val="004E6866"/>
    <w:rsid w:val="004F3222"/>
    <w:rsid w:val="004F3BFA"/>
    <w:rsid w:val="004F7148"/>
    <w:rsid w:val="005000AB"/>
    <w:rsid w:val="005012B0"/>
    <w:rsid w:val="005025EE"/>
    <w:rsid w:val="00505765"/>
    <w:rsid w:val="00510588"/>
    <w:rsid w:val="0051146C"/>
    <w:rsid w:val="00514449"/>
    <w:rsid w:val="005169CE"/>
    <w:rsid w:val="0052012C"/>
    <w:rsid w:val="005222E7"/>
    <w:rsid w:val="00522413"/>
    <w:rsid w:val="0052399D"/>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50D18"/>
    <w:rsid w:val="00552629"/>
    <w:rsid w:val="0055288D"/>
    <w:rsid w:val="0055388D"/>
    <w:rsid w:val="00554229"/>
    <w:rsid w:val="00555259"/>
    <w:rsid w:val="00560D57"/>
    <w:rsid w:val="005628EE"/>
    <w:rsid w:val="00562A94"/>
    <w:rsid w:val="00564CEB"/>
    <w:rsid w:val="005709F7"/>
    <w:rsid w:val="005710A9"/>
    <w:rsid w:val="00571D1B"/>
    <w:rsid w:val="00573911"/>
    <w:rsid w:val="00582B12"/>
    <w:rsid w:val="00583D94"/>
    <w:rsid w:val="005856C8"/>
    <w:rsid w:val="005922DD"/>
    <w:rsid w:val="00593043"/>
    <w:rsid w:val="005935EE"/>
    <w:rsid w:val="005940C3"/>
    <w:rsid w:val="00595BF0"/>
    <w:rsid w:val="005A1846"/>
    <w:rsid w:val="005A258C"/>
    <w:rsid w:val="005A3560"/>
    <w:rsid w:val="005A3C57"/>
    <w:rsid w:val="005A4DBC"/>
    <w:rsid w:val="005A6C99"/>
    <w:rsid w:val="005A7CE2"/>
    <w:rsid w:val="005A7D5D"/>
    <w:rsid w:val="005B011A"/>
    <w:rsid w:val="005B1D8F"/>
    <w:rsid w:val="005B1E94"/>
    <w:rsid w:val="005B5B3D"/>
    <w:rsid w:val="005C16F3"/>
    <w:rsid w:val="005C3758"/>
    <w:rsid w:val="005D2158"/>
    <w:rsid w:val="005E0803"/>
    <w:rsid w:val="005E2C73"/>
    <w:rsid w:val="005E3064"/>
    <w:rsid w:val="005E72B2"/>
    <w:rsid w:val="005F1115"/>
    <w:rsid w:val="005F1895"/>
    <w:rsid w:val="005F1AB6"/>
    <w:rsid w:val="005F27F2"/>
    <w:rsid w:val="005F3AFE"/>
    <w:rsid w:val="005F424D"/>
    <w:rsid w:val="005F5FBB"/>
    <w:rsid w:val="005F60D2"/>
    <w:rsid w:val="005F6B6D"/>
    <w:rsid w:val="00605AAB"/>
    <w:rsid w:val="00606A2B"/>
    <w:rsid w:val="00606BEB"/>
    <w:rsid w:val="0061014A"/>
    <w:rsid w:val="0061054B"/>
    <w:rsid w:val="00613E26"/>
    <w:rsid w:val="006144B6"/>
    <w:rsid w:val="00615641"/>
    <w:rsid w:val="00616959"/>
    <w:rsid w:val="006204A5"/>
    <w:rsid w:val="006211D0"/>
    <w:rsid w:val="00624935"/>
    <w:rsid w:val="00624D0C"/>
    <w:rsid w:val="006259C5"/>
    <w:rsid w:val="006307BA"/>
    <w:rsid w:val="00630CC7"/>
    <w:rsid w:val="006315BA"/>
    <w:rsid w:val="00634C4A"/>
    <w:rsid w:val="0063532E"/>
    <w:rsid w:val="00637BDC"/>
    <w:rsid w:val="006418C9"/>
    <w:rsid w:val="006429F9"/>
    <w:rsid w:val="00642BD6"/>
    <w:rsid w:val="00645046"/>
    <w:rsid w:val="0064527A"/>
    <w:rsid w:val="00645EA2"/>
    <w:rsid w:val="00651ACB"/>
    <w:rsid w:val="00655D72"/>
    <w:rsid w:val="006573F2"/>
    <w:rsid w:val="00657D76"/>
    <w:rsid w:val="00661EAA"/>
    <w:rsid w:val="00662F08"/>
    <w:rsid w:val="00663589"/>
    <w:rsid w:val="0066462C"/>
    <w:rsid w:val="006708E3"/>
    <w:rsid w:val="00670DDC"/>
    <w:rsid w:val="00671EB4"/>
    <w:rsid w:val="0067443B"/>
    <w:rsid w:val="00683EBC"/>
    <w:rsid w:val="00684E2B"/>
    <w:rsid w:val="00690FDA"/>
    <w:rsid w:val="00691E61"/>
    <w:rsid w:val="00693288"/>
    <w:rsid w:val="00693C5E"/>
    <w:rsid w:val="00694EEA"/>
    <w:rsid w:val="006955B4"/>
    <w:rsid w:val="00696476"/>
    <w:rsid w:val="00696E1D"/>
    <w:rsid w:val="006A10FA"/>
    <w:rsid w:val="006A132E"/>
    <w:rsid w:val="006A2DB8"/>
    <w:rsid w:val="006A40E6"/>
    <w:rsid w:val="006A5C07"/>
    <w:rsid w:val="006A75FA"/>
    <w:rsid w:val="006B0652"/>
    <w:rsid w:val="006B07D5"/>
    <w:rsid w:val="006B1309"/>
    <w:rsid w:val="006B1D71"/>
    <w:rsid w:val="006B3923"/>
    <w:rsid w:val="006B3F3E"/>
    <w:rsid w:val="006B5923"/>
    <w:rsid w:val="006B5D34"/>
    <w:rsid w:val="006B67D9"/>
    <w:rsid w:val="006B6C14"/>
    <w:rsid w:val="006B715E"/>
    <w:rsid w:val="006C1D6E"/>
    <w:rsid w:val="006C3A68"/>
    <w:rsid w:val="006C42DA"/>
    <w:rsid w:val="006C58F2"/>
    <w:rsid w:val="006C6AB1"/>
    <w:rsid w:val="006C78CB"/>
    <w:rsid w:val="006D2D39"/>
    <w:rsid w:val="006D4E0E"/>
    <w:rsid w:val="006D5CE2"/>
    <w:rsid w:val="006D6627"/>
    <w:rsid w:val="006E06D1"/>
    <w:rsid w:val="006E1313"/>
    <w:rsid w:val="006E1523"/>
    <w:rsid w:val="006E285C"/>
    <w:rsid w:val="006E2DC8"/>
    <w:rsid w:val="006E7356"/>
    <w:rsid w:val="006E77C8"/>
    <w:rsid w:val="006F149D"/>
    <w:rsid w:val="006F1A46"/>
    <w:rsid w:val="006F5A4E"/>
    <w:rsid w:val="00703B6C"/>
    <w:rsid w:val="00704BC1"/>
    <w:rsid w:val="00705C40"/>
    <w:rsid w:val="0070617D"/>
    <w:rsid w:val="00706482"/>
    <w:rsid w:val="00706BEF"/>
    <w:rsid w:val="00707FAA"/>
    <w:rsid w:val="0071166B"/>
    <w:rsid w:val="007116BC"/>
    <w:rsid w:val="00715F5A"/>
    <w:rsid w:val="007165CE"/>
    <w:rsid w:val="00717D6B"/>
    <w:rsid w:val="00720968"/>
    <w:rsid w:val="00721D12"/>
    <w:rsid w:val="00721F8B"/>
    <w:rsid w:val="007237CE"/>
    <w:rsid w:val="00723B86"/>
    <w:rsid w:val="00724688"/>
    <w:rsid w:val="00725880"/>
    <w:rsid w:val="007261B0"/>
    <w:rsid w:val="0073062D"/>
    <w:rsid w:val="0073254D"/>
    <w:rsid w:val="00732592"/>
    <w:rsid w:val="00733F4A"/>
    <w:rsid w:val="00736A49"/>
    <w:rsid w:val="00743B71"/>
    <w:rsid w:val="00743C2D"/>
    <w:rsid w:val="00743E36"/>
    <w:rsid w:val="007446F7"/>
    <w:rsid w:val="00744EBB"/>
    <w:rsid w:val="00745B0A"/>
    <w:rsid w:val="007468AC"/>
    <w:rsid w:val="00746917"/>
    <w:rsid w:val="00746AE2"/>
    <w:rsid w:val="00750C82"/>
    <w:rsid w:val="00751C6C"/>
    <w:rsid w:val="007558A0"/>
    <w:rsid w:val="0076100C"/>
    <w:rsid w:val="007651ED"/>
    <w:rsid w:val="00766C87"/>
    <w:rsid w:val="00780449"/>
    <w:rsid w:val="007810D4"/>
    <w:rsid w:val="00781BD4"/>
    <w:rsid w:val="007836B5"/>
    <w:rsid w:val="00784832"/>
    <w:rsid w:val="00785D77"/>
    <w:rsid w:val="00786111"/>
    <w:rsid w:val="0078729B"/>
    <w:rsid w:val="00791F1E"/>
    <w:rsid w:val="00793BEB"/>
    <w:rsid w:val="00794F3D"/>
    <w:rsid w:val="0079579F"/>
    <w:rsid w:val="00796045"/>
    <w:rsid w:val="00796895"/>
    <w:rsid w:val="007968AC"/>
    <w:rsid w:val="007969AB"/>
    <w:rsid w:val="007A0B39"/>
    <w:rsid w:val="007A14A4"/>
    <w:rsid w:val="007A168F"/>
    <w:rsid w:val="007A28E4"/>
    <w:rsid w:val="007A3360"/>
    <w:rsid w:val="007A3BB3"/>
    <w:rsid w:val="007A5AD1"/>
    <w:rsid w:val="007A5B7B"/>
    <w:rsid w:val="007A7DAF"/>
    <w:rsid w:val="007A7E31"/>
    <w:rsid w:val="007B0A06"/>
    <w:rsid w:val="007B5C5C"/>
    <w:rsid w:val="007B7B37"/>
    <w:rsid w:val="007B7C41"/>
    <w:rsid w:val="007C433E"/>
    <w:rsid w:val="007C4452"/>
    <w:rsid w:val="007C4B3C"/>
    <w:rsid w:val="007C4DB1"/>
    <w:rsid w:val="007C6046"/>
    <w:rsid w:val="007D0292"/>
    <w:rsid w:val="007D1B09"/>
    <w:rsid w:val="007D21AC"/>
    <w:rsid w:val="007D2C56"/>
    <w:rsid w:val="007D3882"/>
    <w:rsid w:val="007D568A"/>
    <w:rsid w:val="007D574E"/>
    <w:rsid w:val="007D6BFE"/>
    <w:rsid w:val="007E1567"/>
    <w:rsid w:val="007E2046"/>
    <w:rsid w:val="007E25A9"/>
    <w:rsid w:val="007E3883"/>
    <w:rsid w:val="007E4FBB"/>
    <w:rsid w:val="007E55BF"/>
    <w:rsid w:val="007E71B1"/>
    <w:rsid w:val="007E7B4E"/>
    <w:rsid w:val="007F0CE2"/>
    <w:rsid w:val="007F0EFF"/>
    <w:rsid w:val="007F1375"/>
    <w:rsid w:val="00803850"/>
    <w:rsid w:val="00804385"/>
    <w:rsid w:val="00805AFD"/>
    <w:rsid w:val="008078D8"/>
    <w:rsid w:val="00811D5B"/>
    <w:rsid w:val="008168AE"/>
    <w:rsid w:val="00817713"/>
    <w:rsid w:val="008220F1"/>
    <w:rsid w:val="0082340B"/>
    <w:rsid w:val="00827DB6"/>
    <w:rsid w:val="008304B2"/>
    <w:rsid w:val="00830999"/>
    <w:rsid w:val="00830D5E"/>
    <w:rsid w:val="00830F69"/>
    <w:rsid w:val="00833418"/>
    <w:rsid w:val="0083405E"/>
    <w:rsid w:val="00834458"/>
    <w:rsid w:val="00835841"/>
    <w:rsid w:val="00837465"/>
    <w:rsid w:val="00841243"/>
    <w:rsid w:val="00841457"/>
    <w:rsid w:val="008436D2"/>
    <w:rsid w:val="0084374E"/>
    <w:rsid w:val="00844842"/>
    <w:rsid w:val="00844DD0"/>
    <w:rsid w:val="0085089F"/>
    <w:rsid w:val="0085206E"/>
    <w:rsid w:val="00852AD4"/>
    <w:rsid w:val="00852BA8"/>
    <w:rsid w:val="00853718"/>
    <w:rsid w:val="008541EF"/>
    <w:rsid w:val="00856AC7"/>
    <w:rsid w:val="00856FA4"/>
    <w:rsid w:val="00857EF9"/>
    <w:rsid w:val="0086162B"/>
    <w:rsid w:val="00861D5C"/>
    <w:rsid w:val="00861F8B"/>
    <w:rsid w:val="00863D9B"/>
    <w:rsid w:val="00865207"/>
    <w:rsid w:val="008656A7"/>
    <w:rsid w:val="0087119F"/>
    <w:rsid w:val="00871262"/>
    <w:rsid w:val="00871D4E"/>
    <w:rsid w:val="00871E7B"/>
    <w:rsid w:val="00875B51"/>
    <w:rsid w:val="00875F2D"/>
    <w:rsid w:val="008764DC"/>
    <w:rsid w:val="00876C15"/>
    <w:rsid w:val="0088138A"/>
    <w:rsid w:val="00882CC2"/>
    <w:rsid w:val="00883930"/>
    <w:rsid w:val="00887396"/>
    <w:rsid w:val="00896535"/>
    <w:rsid w:val="00896683"/>
    <w:rsid w:val="00897589"/>
    <w:rsid w:val="008A0169"/>
    <w:rsid w:val="008A016D"/>
    <w:rsid w:val="008A49A2"/>
    <w:rsid w:val="008A63A9"/>
    <w:rsid w:val="008A7F7E"/>
    <w:rsid w:val="008B04DB"/>
    <w:rsid w:val="008B27FD"/>
    <w:rsid w:val="008B3AF2"/>
    <w:rsid w:val="008B515D"/>
    <w:rsid w:val="008B5D31"/>
    <w:rsid w:val="008B6705"/>
    <w:rsid w:val="008C22F3"/>
    <w:rsid w:val="008C3D74"/>
    <w:rsid w:val="008C4E61"/>
    <w:rsid w:val="008D4E15"/>
    <w:rsid w:val="008D795D"/>
    <w:rsid w:val="008D7B07"/>
    <w:rsid w:val="008E1E94"/>
    <w:rsid w:val="008E2D99"/>
    <w:rsid w:val="008E4A60"/>
    <w:rsid w:val="008E744D"/>
    <w:rsid w:val="008F1E08"/>
    <w:rsid w:val="008F47AA"/>
    <w:rsid w:val="00900D8F"/>
    <w:rsid w:val="009014E3"/>
    <w:rsid w:val="009026E8"/>
    <w:rsid w:val="00904C53"/>
    <w:rsid w:val="00905CD3"/>
    <w:rsid w:val="00906EB7"/>
    <w:rsid w:val="0090735D"/>
    <w:rsid w:val="009102BF"/>
    <w:rsid w:val="009115F2"/>
    <w:rsid w:val="00914ADB"/>
    <w:rsid w:val="00916328"/>
    <w:rsid w:val="00917BE7"/>
    <w:rsid w:val="00923B25"/>
    <w:rsid w:val="0092402E"/>
    <w:rsid w:val="009259BA"/>
    <w:rsid w:val="00926FCB"/>
    <w:rsid w:val="00932C66"/>
    <w:rsid w:val="0093311A"/>
    <w:rsid w:val="0093488E"/>
    <w:rsid w:val="00937FBF"/>
    <w:rsid w:val="0094243A"/>
    <w:rsid w:val="00942645"/>
    <w:rsid w:val="00946C96"/>
    <w:rsid w:val="00947C66"/>
    <w:rsid w:val="009506D2"/>
    <w:rsid w:val="00950A3A"/>
    <w:rsid w:val="00951968"/>
    <w:rsid w:val="0095340A"/>
    <w:rsid w:val="00954581"/>
    <w:rsid w:val="0095466C"/>
    <w:rsid w:val="00954E5B"/>
    <w:rsid w:val="00955413"/>
    <w:rsid w:val="009576BC"/>
    <w:rsid w:val="0096017F"/>
    <w:rsid w:val="00960357"/>
    <w:rsid w:val="0096168C"/>
    <w:rsid w:val="00961840"/>
    <w:rsid w:val="009620ED"/>
    <w:rsid w:val="00962F2D"/>
    <w:rsid w:val="009672CD"/>
    <w:rsid w:val="00967B40"/>
    <w:rsid w:val="00972996"/>
    <w:rsid w:val="009732B8"/>
    <w:rsid w:val="00975C72"/>
    <w:rsid w:val="00976869"/>
    <w:rsid w:val="00977740"/>
    <w:rsid w:val="00977CB4"/>
    <w:rsid w:val="009809B8"/>
    <w:rsid w:val="00981868"/>
    <w:rsid w:val="0098222D"/>
    <w:rsid w:val="00985099"/>
    <w:rsid w:val="009857DA"/>
    <w:rsid w:val="00985FD6"/>
    <w:rsid w:val="00986187"/>
    <w:rsid w:val="009933E9"/>
    <w:rsid w:val="0099421F"/>
    <w:rsid w:val="0099489D"/>
    <w:rsid w:val="00994E85"/>
    <w:rsid w:val="009976D6"/>
    <w:rsid w:val="009979F4"/>
    <w:rsid w:val="009A0260"/>
    <w:rsid w:val="009A0DE3"/>
    <w:rsid w:val="009A1643"/>
    <w:rsid w:val="009A215A"/>
    <w:rsid w:val="009A3CD7"/>
    <w:rsid w:val="009A4F1B"/>
    <w:rsid w:val="009A51F8"/>
    <w:rsid w:val="009A66C5"/>
    <w:rsid w:val="009A79BA"/>
    <w:rsid w:val="009B14D1"/>
    <w:rsid w:val="009B1534"/>
    <w:rsid w:val="009B235A"/>
    <w:rsid w:val="009B4A3B"/>
    <w:rsid w:val="009B5910"/>
    <w:rsid w:val="009B69D3"/>
    <w:rsid w:val="009B7BA7"/>
    <w:rsid w:val="009C0938"/>
    <w:rsid w:val="009C206B"/>
    <w:rsid w:val="009C22C8"/>
    <w:rsid w:val="009C3F82"/>
    <w:rsid w:val="009C72DD"/>
    <w:rsid w:val="009C7DF5"/>
    <w:rsid w:val="009D056C"/>
    <w:rsid w:val="009D060F"/>
    <w:rsid w:val="009D1ADE"/>
    <w:rsid w:val="009D50E6"/>
    <w:rsid w:val="009E09D0"/>
    <w:rsid w:val="009E1283"/>
    <w:rsid w:val="009E21AE"/>
    <w:rsid w:val="009E3A7F"/>
    <w:rsid w:val="009E57B1"/>
    <w:rsid w:val="009E58C1"/>
    <w:rsid w:val="009E6379"/>
    <w:rsid w:val="009E70F8"/>
    <w:rsid w:val="009F01BC"/>
    <w:rsid w:val="009F0369"/>
    <w:rsid w:val="009F1146"/>
    <w:rsid w:val="009F7809"/>
    <w:rsid w:val="009F7AF5"/>
    <w:rsid w:val="00A00D14"/>
    <w:rsid w:val="00A01408"/>
    <w:rsid w:val="00A019FA"/>
    <w:rsid w:val="00A02457"/>
    <w:rsid w:val="00A03190"/>
    <w:rsid w:val="00A0404B"/>
    <w:rsid w:val="00A043E8"/>
    <w:rsid w:val="00A0798C"/>
    <w:rsid w:val="00A07BDD"/>
    <w:rsid w:val="00A106F9"/>
    <w:rsid w:val="00A1105B"/>
    <w:rsid w:val="00A11CC7"/>
    <w:rsid w:val="00A159F7"/>
    <w:rsid w:val="00A15B6B"/>
    <w:rsid w:val="00A15EB4"/>
    <w:rsid w:val="00A16040"/>
    <w:rsid w:val="00A16876"/>
    <w:rsid w:val="00A17C60"/>
    <w:rsid w:val="00A200AA"/>
    <w:rsid w:val="00A20558"/>
    <w:rsid w:val="00A2186F"/>
    <w:rsid w:val="00A2270B"/>
    <w:rsid w:val="00A238CC"/>
    <w:rsid w:val="00A23B89"/>
    <w:rsid w:val="00A23FE3"/>
    <w:rsid w:val="00A248C3"/>
    <w:rsid w:val="00A2496E"/>
    <w:rsid w:val="00A258B7"/>
    <w:rsid w:val="00A32743"/>
    <w:rsid w:val="00A328FF"/>
    <w:rsid w:val="00A331EA"/>
    <w:rsid w:val="00A336B1"/>
    <w:rsid w:val="00A4039D"/>
    <w:rsid w:val="00A414A9"/>
    <w:rsid w:val="00A44CCA"/>
    <w:rsid w:val="00A44D75"/>
    <w:rsid w:val="00A47CF1"/>
    <w:rsid w:val="00A50418"/>
    <w:rsid w:val="00A54A47"/>
    <w:rsid w:val="00A559C3"/>
    <w:rsid w:val="00A56D26"/>
    <w:rsid w:val="00A571A7"/>
    <w:rsid w:val="00A605CF"/>
    <w:rsid w:val="00A608FB"/>
    <w:rsid w:val="00A60D83"/>
    <w:rsid w:val="00A60F68"/>
    <w:rsid w:val="00A63DF3"/>
    <w:rsid w:val="00A65C78"/>
    <w:rsid w:val="00A660A8"/>
    <w:rsid w:val="00A67591"/>
    <w:rsid w:val="00A67CA6"/>
    <w:rsid w:val="00A70E7B"/>
    <w:rsid w:val="00A719E0"/>
    <w:rsid w:val="00A73B84"/>
    <w:rsid w:val="00A7411D"/>
    <w:rsid w:val="00A76094"/>
    <w:rsid w:val="00A768E2"/>
    <w:rsid w:val="00A82C52"/>
    <w:rsid w:val="00A82D14"/>
    <w:rsid w:val="00A86CB6"/>
    <w:rsid w:val="00A90D55"/>
    <w:rsid w:val="00A944D8"/>
    <w:rsid w:val="00A94B8B"/>
    <w:rsid w:val="00A959E7"/>
    <w:rsid w:val="00A95BBA"/>
    <w:rsid w:val="00A961EE"/>
    <w:rsid w:val="00AA04B3"/>
    <w:rsid w:val="00AA09CB"/>
    <w:rsid w:val="00AA1253"/>
    <w:rsid w:val="00AA28EF"/>
    <w:rsid w:val="00AA3080"/>
    <w:rsid w:val="00AA493E"/>
    <w:rsid w:val="00AA5E99"/>
    <w:rsid w:val="00AA73AF"/>
    <w:rsid w:val="00AB1754"/>
    <w:rsid w:val="00AB20D7"/>
    <w:rsid w:val="00AB27DD"/>
    <w:rsid w:val="00AB2AAD"/>
    <w:rsid w:val="00AB4A0A"/>
    <w:rsid w:val="00AC439D"/>
    <w:rsid w:val="00AC6066"/>
    <w:rsid w:val="00AC6893"/>
    <w:rsid w:val="00AC713F"/>
    <w:rsid w:val="00AC78AD"/>
    <w:rsid w:val="00AD067E"/>
    <w:rsid w:val="00AD229A"/>
    <w:rsid w:val="00AD2801"/>
    <w:rsid w:val="00AD2ACF"/>
    <w:rsid w:val="00AD6870"/>
    <w:rsid w:val="00AD68C5"/>
    <w:rsid w:val="00AD6AF9"/>
    <w:rsid w:val="00AE1273"/>
    <w:rsid w:val="00AE22EE"/>
    <w:rsid w:val="00AE2D29"/>
    <w:rsid w:val="00AE4624"/>
    <w:rsid w:val="00AE4E42"/>
    <w:rsid w:val="00AE5062"/>
    <w:rsid w:val="00AE55F2"/>
    <w:rsid w:val="00AE5E14"/>
    <w:rsid w:val="00AE6115"/>
    <w:rsid w:val="00AE625B"/>
    <w:rsid w:val="00AF0E2E"/>
    <w:rsid w:val="00AF1668"/>
    <w:rsid w:val="00AF1ED4"/>
    <w:rsid w:val="00AF4387"/>
    <w:rsid w:val="00AF4FA5"/>
    <w:rsid w:val="00AF53AF"/>
    <w:rsid w:val="00AF7760"/>
    <w:rsid w:val="00B01D66"/>
    <w:rsid w:val="00B062E1"/>
    <w:rsid w:val="00B07955"/>
    <w:rsid w:val="00B14FAA"/>
    <w:rsid w:val="00B158C5"/>
    <w:rsid w:val="00B15D30"/>
    <w:rsid w:val="00B17D2A"/>
    <w:rsid w:val="00B20624"/>
    <w:rsid w:val="00B23436"/>
    <w:rsid w:val="00B23629"/>
    <w:rsid w:val="00B25A52"/>
    <w:rsid w:val="00B26354"/>
    <w:rsid w:val="00B26CA0"/>
    <w:rsid w:val="00B32179"/>
    <w:rsid w:val="00B331A9"/>
    <w:rsid w:val="00B34242"/>
    <w:rsid w:val="00B343BD"/>
    <w:rsid w:val="00B36569"/>
    <w:rsid w:val="00B3730E"/>
    <w:rsid w:val="00B40192"/>
    <w:rsid w:val="00B40A05"/>
    <w:rsid w:val="00B40A3E"/>
    <w:rsid w:val="00B42261"/>
    <w:rsid w:val="00B4474E"/>
    <w:rsid w:val="00B50227"/>
    <w:rsid w:val="00B50510"/>
    <w:rsid w:val="00B522CD"/>
    <w:rsid w:val="00B53166"/>
    <w:rsid w:val="00B535C8"/>
    <w:rsid w:val="00B55143"/>
    <w:rsid w:val="00B55917"/>
    <w:rsid w:val="00B643A6"/>
    <w:rsid w:val="00B64DD6"/>
    <w:rsid w:val="00B6710C"/>
    <w:rsid w:val="00B72076"/>
    <w:rsid w:val="00B72303"/>
    <w:rsid w:val="00B74DC0"/>
    <w:rsid w:val="00B82277"/>
    <w:rsid w:val="00B91676"/>
    <w:rsid w:val="00B95833"/>
    <w:rsid w:val="00BA1824"/>
    <w:rsid w:val="00BA2D98"/>
    <w:rsid w:val="00BA30D1"/>
    <w:rsid w:val="00BA4609"/>
    <w:rsid w:val="00BA5BE2"/>
    <w:rsid w:val="00BA7F46"/>
    <w:rsid w:val="00BB0A0A"/>
    <w:rsid w:val="00BB31FD"/>
    <w:rsid w:val="00BB45B5"/>
    <w:rsid w:val="00BB583E"/>
    <w:rsid w:val="00BB5FF4"/>
    <w:rsid w:val="00BB6064"/>
    <w:rsid w:val="00BB6D7C"/>
    <w:rsid w:val="00BC09D1"/>
    <w:rsid w:val="00BC1CF3"/>
    <w:rsid w:val="00BC5F81"/>
    <w:rsid w:val="00BC7F82"/>
    <w:rsid w:val="00BD40AB"/>
    <w:rsid w:val="00BD60E3"/>
    <w:rsid w:val="00BD6297"/>
    <w:rsid w:val="00BD6806"/>
    <w:rsid w:val="00BD7433"/>
    <w:rsid w:val="00BD7831"/>
    <w:rsid w:val="00BD7C10"/>
    <w:rsid w:val="00BE046F"/>
    <w:rsid w:val="00BE0DEB"/>
    <w:rsid w:val="00BE2FC1"/>
    <w:rsid w:val="00BE3046"/>
    <w:rsid w:val="00BE6365"/>
    <w:rsid w:val="00BF0B7F"/>
    <w:rsid w:val="00BF3959"/>
    <w:rsid w:val="00BF4720"/>
    <w:rsid w:val="00BF498E"/>
    <w:rsid w:val="00BF7B63"/>
    <w:rsid w:val="00C00822"/>
    <w:rsid w:val="00C038EC"/>
    <w:rsid w:val="00C04A82"/>
    <w:rsid w:val="00C05C6D"/>
    <w:rsid w:val="00C1122B"/>
    <w:rsid w:val="00C12D00"/>
    <w:rsid w:val="00C13B34"/>
    <w:rsid w:val="00C13F26"/>
    <w:rsid w:val="00C15985"/>
    <w:rsid w:val="00C15B3D"/>
    <w:rsid w:val="00C16E9F"/>
    <w:rsid w:val="00C1713D"/>
    <w:rsid w:val="00C177F1"/>
    <w:rsid w:val="00C22F3A"/>
    <w:rsid w:val="00C25978"/>
    <w:rsid w:val="00C261C6"/>
    <w:rsid w:val="00C26E7C"/>
    <w:rsid w:val="00C27CB2"/>
    <w:rsid w:val="00C30A97"/>
    <w:rsid w:val="00C31DDC"/>
    <w:rsid w:val="00C32A7D"/>
    <w:rsid w:val="00C34326"/>
    <w:rsid w:val="00C35BB3"/>
    <w:rsid w:val="00C36201"/>
    <w:rsid w:val="00C368E8"/>
    <w:rsid w:val="00C36C3D"/>
    <w:rsid w:val="00C372C7"/>
    <w:rsid w:val="00C37EC5"/>
    <w:rsid w:val="00C42443"/>
    <w:rsid w:val="00C42CBA"/>
    <w:rsid w:val="00C477A8"/>
    <w:rsid w:val="00C5019E"/>
    <w:rsid w:val="00C5377C"/>
    <w:rsid w:val="00C53E8A"/>
    <w:rsid w:val="00C54739"/>
    <w:rsid w:val="00C54DF3"/>
    <w:rsid w:val="00C560A7"/>
    <w:rsid w:val="00C56FC8"/>
    <w:rsid w:val="00C60F23"/>
    <w:rsid w:val="00C62355"/>
    <w:rsid w:val="00C62EB2"/>
    <w:rsid w:val="00C6667A"/>
    <w:rsid w:val="00C71BEC"/>
    <w:rsid w:val="00C74C8C"/>
    <w:rsid w:val="00C74D3A"/>
    <w:rsid w:val="00C74EDA"/>
    <w:rsid w:val="00C75583"/>
    <w:rsid w:val="00C75BCA"/>
    <w:rsid w:val="00C77938"/>
    <w:rsid w:val="00C80511"/>
    <w:rsid w:val="00C826F5"/>
    <w:rsid w:val="00C83740"/>
    <w:rsid w:val="00C84AD1"/>
    <w:rsid w:val="00C85579"/>
    <w:rsid w:val="00C863E5"/>
    <w:rsid w:val="00C866AA"/>
    <w:rsid w:val="00C931FC"/>
    <w:rsid w:val="00C932C5"/>
    <w:rsid w:val="00C9650E"/>
    <w:rsid w:val="00CA068D"/>
    <w:rsid w:val="00CA1228"/>
    <w:rsid w:val="00CA282D"/>
    <w:rsid w:val="00CA4670"/>
    <w:rsid w:val="00CA6B1A"/>
    <w:rsid w:val="00CA7CE0"/>
    <w:rsid w:val="00CB20DC"/>
    <w:rsid w:val="00CB23DC"/>
    <w:rsid w:val="00CB2487"/>
    <w:rsid w:val="00CB28E2"/>
    <w:rsid w:val="00CB6924"/>
    <w:rsid w:val="00CB7A3E"/>
    <w:rsid w:val="00CB7FF7"/>
    <w:rsid w:val="00CC0D0E"/>
    <w:rsid w:val="00CC19B3"/>
    <w:rsid w:val="00CC2044"/>
    <w:rsid w:val="00CC39D2"/>
    <w:rsid w:val="00CC69EC"/>
    <w:rsid w:val="00CC7FF1"/>
    <w:rsid w:val="00CD0A90"/>
    <w:rsid w:val="00CD0E70"/>
    <w:rsid w:val="00CD15BE"/>
    <w:rsid w:val="00CD1EF2"/>
    <w:rsid w:val="00CD2813"/>
    <w:rsid w:val="00CD32BD"/>
    <w:rsid w:val="00CD34C7"/>
    <w:rsid w:val="00CD5653"/>
    <w:rsid w:val="00CD5E6D"/>
    <w:rsid w:val="00CD63C8"/>
    <w:rsid w:val="00CF158D"/>
    <w:rsid w:val="00CF4394"/>
    <w:rsid w:val="00D000A9"/>
    <w:rsid w:val="00D005DB"/>
    <w:rsid w:val="00D0064E"/>
    <w:rsid w:val="00D00981"/>
    <w:rsid w:val="00D0280D"/>
    <w:rsid w:val="00D05B31"/>
    <w:rsid w:val="00D062D3"/>
    <w:rsid w:val="00D07001"/>
    <w:rsid w:val="00D07A72"/>
    <w:rsid w:val="00D10577"/>
    <w:rsid w:val="00D1323B"/>
    <w:rsid w:val="00D14BAE"/>
    <w:rsid w:val="00D1648B"/>
    <w:rsid w:val="00D16819"/>
    <w:rsid w:val="00D20AC0"/>
    <w:rsid w:val="00D2321B"/>
    <w:rsid w:val="00D23DE4"/>
    <w:rsid w:val="00D24CDD"/>
    <w:rsid w:val="00D26873"/>
    <w:rsid w:val="00D31683"/>
    <w:rsid w:val="00D326A8"/>
    <w:rsid w:val="00D336C8"/>
    <w:rsid w:val="00D339E8"/>
    <w:rsid w:val="00D355CE"/>
    <w:rsid w:val="00D3662E"/>
    <w:rsid w:val="00D40B1F"/>
    <w:rsid w:val="00D40D75"/>
    <w:rsid w:val="00D412FC"/>
    <w:rsid w:val="00D4146A"/>
    <w:rsid w:val="00D425A4"/>
    <w:rsid w:val="00D42939"/>
    <w:rsid w:val="00D449F0"/>
    <w:rsid w:val="00D50C8C"/>
    <w:rsid w:val="00D52393"/>
    <w:rsid w:val="00D523E4"/>
    <w:rsid w:val="00D5279D"/>
    <w:rsid w:val="00D52A1B"/>
    <w:rsid w:val="00D53F14"/>
    <w:rsid w:val="00D54BE4"/>
    <w:rsid w:val="00D60483"/>
    <w:rsid w:val="00D61ABB"/>
    <w:rsid w:val="00D6235E"/>
    <w:rsid w:val="00D63577"/>
    <w:rsid w:val="00D67FD7"/>
    <w:rsid w:val="00D708CC"/>
    <w:rsid w:val="00D74261"/>
    <w:rsid w:val="00D742F7"/>
    <w:rsid w:val="00D7441B"/>
    <w:rsid w:val="00D748C2"/>
    <w:rsid w:val="00D75B17"/>
    <w:rsid w:val="00D76AB2"/>
    <w:rsid w:val="00D80490"/>
    <w:rsid w:val="00D829AD"/>
    <w:rsid w:val="00D82EE2"/>
    <w:rsid w:val="00D8545C"/>
    <w:rsid w:val="00D87788"/>
    <w:rsid w:val="00D877C8"/>
    <w:rsid w:val="00D910C2"/>
    <w:rsid w:val="00D9168C"/>
    <w:rsid w:val="00D9189B"/>
    <w:rsid w:val="00D91DA6"/>
    <w:rsid w:val="00D958AF"/>
    <w:rsid w:val="00D9706F"/>
    <w:rsid w:val="00D972D4"/>
    <w:rsid w:val="00DA195B"/>
    <w:rsid w:val="00DA5636"/>
    <w:rsid w:val="00DA6B55"/>
    <w:rsid w:val="00DA6F9A"/>
    <w:rsid w:val="00DA7EBD"/>
    <w:rsid w:val="00DB0015"/>
    <w:rsid w:val="00DB1904"/>
    <w:rsid w:val="00DB2AAD"/>
    <w:rsid w:val="00DB3B87"/>
    <w:rsid w:val="00DB5498"/>
    <w:rsid w:val="00DB626D"/>
    <w:rsid w:val="00DB6365"/>
    <w:rsid w:val="00DC09AE"/>
    <w:rsid w:val="00DC0BF1"/>
    <w:rsid w:val="00DC41C3"/>
    <w:rsid w:val="00DD3593"/>
    <w:rsid w:val="00DD53BF"/>
    <w:rsid w:val="00DD7BE9"/>
    <w:rsid w:val="00DE0C67"/>
    <w:rsid w:val="00DE6952"/>
    <w:rsid w:val="00DE7E74"/>
    <w:rsid w:val="00DF3703"/>
    <w:rsid w:val="00DF5B97"/>
    <w:rsid w:val="00DF6EF8"/>
    <w:rsid w:val="00E00583"/>
    <w:rsid w:val="00E00A69"/>
    <w:rsid w:val="00E017F0"/>
    <w:rsid w:val="00E01A0E"/>
    <w:rsid w:val="00E041E4"/>
    <w:rsid w:val="00E07D58"/>
    <w:rsid w:val="00E1012B"/>
    <w:rsid w:val="00E103C8"/>
    <w:rsid w:val="00E1085B"/>
    <w:rsid w:val="00E10B2F"/>
    <w:rsid w:val="00E1308B"/>
    <w:rsid w:val="00E14581"/>
    <w:rsid w:val="00E15539"/>
    <w:rsid w:val="00E16541"/>
    <w:rsid w:val="00E2536E"/>
    <w:rsid w:val="00E25B8A"/>
    <w:rsid w:val="00E262C7"/>
    <w:rsid w:val="00E2632B"/>
    <w:rsid w:val="00E26D30"/>
    <w:rsid w:val="00E271E6"/>
    <w:rsid w:val="00E27D0E"/>
    <w:rsid w:val="00E27FF0"/>
    <w:rsid w:val="00E322F7"/>
    <w:rsid w:val="00E3369B"/>
    <w:rsid w:val="00E36D76"/>
    <w:rsid w:val="00E405EA"/>
    <w:rsid w:val="00E408B7"/>
    <w:rsid w:val="00E410E9"/>
    <w:rsid w:val="00E41559"/>
    <w:rsid w:val="00E41637"/>
    <w:rsid w:val="00E42789"/>
    <w:rsid w:val="00E43F59"/>
    <w:rsid w:val="00E464F0"/>
    <w:rsid w:val="00E50BEB"/>
    <w:rsid w:val="00E548FA"/>
    <w:rsid w:val="00E568E0"/>
    <w:rsid w:val="00E6092F"/>
    <w:rsid w:val="00E60D5C"/>
    <w:rsid w:val="00E61634"/>
    <w:rsid w:val="00E62049"/>
    <w:rsid w:val="00E629DA"/>
    <w:rsid w:val="00E62B54"/>
    <w:rsid w:val="00E62D0C"/>
    <w:rsid w:val="00E63ECA"/>
    <w:rsid w:val="00E6469F"/>
    <w:rsid w:val="00E661AB"/>
    <w:rsid w:val="00E67FAC"/>
    <w:rsid w:val="00E7200B"/>
    <w:rsid w:val="00E738CB"/>
    <w:rsid w:val="00E73C88"/>
    <w:rsid w:val="00E74437"/>
    <w:rsid w:val="00E7443D"/>
    <w:rsid w:val="00E75513"/>
    <w:rsid w:val="00E806BB"/>
    <w:rsid w:val="00E81C3E"/>
    <w:rsid w:val="00E82B6D"/>
    <w:rsid w:val="00E869B6"/>
    <w:rsid w:val="00E871EB"/>
    <w:rsid w:val="00E90CB0"/>
    <w:rsid w:val="00E9512E"/>
    <w:rsid w:val="00EA0E64"/>
    <w:rsid w:val="00EA1177"/>
    <w:rsid w:val="00EA118B"/>
    <w:rsid w:val="00EA11B6"/>
    <w:rsid w:val="00EA2181"/>
    <w:rsid w:val="00EA2DD8"/>
    <w:rsid w:val="00EA4475"/>
    <w:rsid w:val="00EA681F"/>
    <w:rsid w:val="00EB13E4"/>
    <w:rsid w:val="00EB2BEC"/>
    <w:rsid w:val="00EB3823"/>
    <w:rsid w:val="00EB47D8"/>
    <w:rsid w:val="00EB57D3"/>
    <w:rsid w:val="00EB5EFD"/>
    <w:rsid w:val="00EB628A"/>
    <w:rsid w:val="00EB6375"/>
    <w:rsid w:val="00EB679F"/>
    <w:rsid w:val="00EB76E4"/>
    <w:rsid w:val="00EC0E65"/>
    <w:rsid w:val="00EC2938"/>
    <w:rsid w:val="00EC50C9"/>
    <w:rsid w:val="00EC5698"/>
    <w:rsid w:val="00EC58B4"/>
    <w:rsid w:val="00EC5BB2"/>
    <w:rsid w:val="00ED12F0"/>
    <w:rsid w:val="00ED4773"/>
    <w:rsid w:val="00ED664B"/>
    <w:rsid w:val="00ED6A61"/>
    <w:rsid w:val="00EE03BB"/>
    <w:rsid w:val="00EE0B44"/>
    <w:rsid w:val="00EE6FE0"/>
    <w:rsid w:val="00EE704A"/>
    <w:rsid w:val="00EE7721"/>
    <w:rsid w:val="00EE7840"/>
    <w:rsid w:val="00EF4C74"/>
    <w:rsid w:val="00EF5268"/>
    <w:rsid w:val="00EF608E"/>
    <w:rsid w:val="00F0044B"/>
    <w:rsid w:val="00F04957"/>
    <w:rsid w:val="00F05807"/>
    <w:rsid w:val="00F05C73"/>
    <w:rsid w:val="00F07052"/>
    <w:rsid w:val="00F0706C"/>
    <w:rsid w:val="00F11EBE"/>
    <w:rsid w:val="00F12BA8"/>
    <w:rsid w:val="00F130D0"/>
    <w:rsid w:val="00F14933"/>
    <w:rsid w:val="00F1516A"/>
    <w:rsid w:val="00F159DC"/>
    <w:rsid w:val="00F22A26"/>
    <w:rsid w:val="00F24072"/>
    <w:rsid w:val="00F26432"/>
    <w:rsid w:val="00F26581"/>
    <w:rsid w:val="00F3197A"/>
    <w:rsid w:val="00F32139"/>
    <w:rsid w:val="00F33D56"/>
    <w:rsid w:val="00F34E08"/>
    <w:rsid w:val="00F358EB"/>
    <w:rsid w:val="00F41D91"/>
    <w:rsid w:val="00F42363"/>
    <w:rsid w:val="00F46964"/>
    <w:rsid w:val="00F46F9A"/>
    <w:rsid w:val="00F5126A"/>
    <w:rsid w:val="00F51452"/>
    <w:rsid w:val="00F53BD3"/>
    <w:rsid w:val="00F6636A"/>
    <w:rsid w:val="00F667C5"/>
    <w:rsid w:val="00F67E31"/>
    <w:rsid w:val="00F718A8"/>
    <w:rsid w:val="00F72183"/>
    <w:rsid w:val="00F76D01"/>
    <w:rsid w:val="00F81C35"/>
    <w:rsid w:val="00F82981"/>
    <w:rsid w:val="00F8311F"/>
    <w:rsid w:val="00F83248"/>
    <w:rsid w:val="00F83376"/>
    <w:rsid w:val="00F853AE"/>
    <w:rsid w:val="00F93C74"/>
    <w:rsid w:val="00F93DCC"/>
    <w:rsid w:val="00F9435D"/>
    <w:rsid w:val="00F97740"/>
    <w:rsid w:val="00FA2F7B"/>
    <w:rsid w:val="00FA6DB0"/>
    <w:rsid w:val="00FB09FE"/>
    <w:rsid w:val="00FB593A"/>
    <w:rsid w:val="00FB6410"/>
    <w:rsid w:val="00FB6E82"/>
    <w:rsid w:val="00FC0042"/>
    <w:rsid w:val="00FC2A13"/>
    <w:rsid w:val="00FC4284"/>
    <w:rsid w:val="00FC4576"/>
    <w:rsid w:val="00FC60EC"/>
    <w:rsid w:val="00FC7427"/>
    <w:rsid w:val="00FC7DBC"/>
    <w:rsid w:val="00FD076A"/>
    <w:rsid w:val="00FD0AA0"/>
    <w:rsid w:val="00FD1D5A"/>
    <w:rsid w:val="00FD5059"/>
    <w:rsid w:val="00FD5390"/>
    <w:rsid w:val="00FD554D"/>
    <w:rsid w:val="00FD7F6C"/>
    <w:rsid w:val="00FE6469"/>
    <w:rsid w:val="00FE7166"/>
    <w:rsid w:val="00FF0FF7"/>
    <w:rsid w:val="00FF1438"/>
    <w:rsid w:val="00FF3A38"/>
    <w:rsid w:val="00FF3C25"/>
    <w:rsid w:val="00FF4CA1"/>
    <w:rsid w:val="00FF61BD"/>
    <w:rsid w:val="00FF7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33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0A71B6"/>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9635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EF040-A280-4BD1-A977-02BAFBF21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8</cp:revision>
  <cp:lastPrinted>2011-02-01T15:35:00Z</cp:lastPrinted>
  <dcterms:created xsi:type="dcterms:W3CDTF">2011-01-26T22:51:00Z</dcterms:created>
  <dcterms:modified xsi:type="dcterms:W3CDTF">2012-02-01T15:37:00Z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