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Default="00540BEF" w:rsidP="00540BEF">
      <w:pPr>
        <w:tabs>
          <w:tab w:val="left" w:pos="288"/>
          <w:tab w:val="left" w:pos="4752"/>
        </w:tabs>
        <w:spacing w:line="240" w:lineRule="exact"/>
        <w:jc w:val="center"/>
        <w:rPr>
          <w:color w:val="000080"/>
        </w:rPr>
      </w:pPr>
      <w:r w:rsidRPr="00D91DA6">
        <w:rPr>
          <w:color w:val="000080"/>
        </w:rPr>
        <w:t>RECORD OF PROCEEDINGS</w:t>
      </w:r>
      <w:r>
        <w:rPr>
          <w:color w:val="000080"/>
        </w:rPr>
        <w:t xml:space="preserve"> </w:t>
      </w:r>
    </w:p>
    <w:p w:rsidR="00540BEF" w:rsidRPr="00D91DA6" w:rsidRDefault="00540BEF" w:rsidP="00540BEF">
      <w:pPr>
        <w:tabs>
          <w:tab w:val="left" w:pos="288"/>
          <w:tab w:val="left" w:pos="4752"/>
        </w:tabs>
        <w:spacing w:line="240" w:lineRule="exact"/>
        <w:jc w:val="center"/>
        <w:rPr>
          <w:color w:val="000080"/>
        </w:rPr>
      </w:pPr>
      <w:r w:rsidRPr="00D91DA6">
        <w:rPr>
          <w:color w:val="000080"/>
        </w:rPr>
        <w:t xml:space="preserve">PHYSICAL DISABILITY </w:t>
      </w:r>
      <w:r>
        <w:rPr>
          <w:color w:val="000080"/>
        </w:rPr>
        <w:t>BOARD OF REVIEW</w:t>
      </w:r>
    </w:p>
    <w:p w:rsidR="00540BEF" w:rsidRPr="00D91DA6" w:rsidRDefault="00540BEF" w:rsidP="00540BEF">
      <w:pPr>
        <w:tabs>
          <w:tab w:val="left" w:pos="288"/>
          <w:tab w:val="left" w:pos="4752"/>
        </w:tabs>
        <w:spacing w:line="240" w:lineRule="exact"/>
        <w:jc w:val="both"/>
        <w:rPr>
          <w:color w:val="000080"/>
        </w:rPr>
      </w:pPr>
    </w:p>
    <w:p w:rsidR="0012764E" w:rsidRPr="0012764E" w:rsidRDefault="0012764E" w:rsidP="0012764E">
      <w:pPr>
        <w:tabs>
          <w:tab w:val="left" w:pos="288"/>
          <w:tab w:val="left" w:pos="4752"/>
        </w:tabs>
        <w:spacing w:line="240" w:lineRule="exact"/>
        <w:rPr>
          <w:color w:val="000080"/>
        </w:rPr>
      </w:pPr>
      <w:r w:rsidRPr="0012764E">
        <w:rPr>
          <w:color w:val="000080"/>
        </w:rPr>
        <w:t>NAME:</w:t>
      </w:r>
      <w:r w:rsidRPr="0012764E">
        <w:rPr>
          <w:color w:val="000080"/>
        </w:rPr>
        <w:tab/>
      </w:r>
      <w:r w:rsidRPr="0012764E">
        <w:rPr>
          <w:color w:val="000080"/>
        </w:rPr>
        <w:tab/>
        <w:t>BRANCH OF SERVICE: ARMY</w:t>
      </w:r>
    </w:p>
    <w:p w:rsidR="006F75C1" w:rsidRDefault="0012764E" w:rsidP="0012764E">
      <w:pPr>
        <w:tabs>
          <w:tab w:val="left" w:pos="288"/>
          <w:tab w:val="left" w:pos="4752"/>
        </w:tabs>
        <w:spacing w:line="240" w:lineRule="exact"/>
        <w:rPr>
          <w:color w:val="000080"/>
        </w:rPr>
      </w:pPr>
      <w:r w:rsidRPr="0012764E">
        <w:rPr>
          <w:color w:val="000080"/>
        </w:rPr>
        <w:t>CASE NUMBER:  PD0900233</w:t>
      </w:r>
      <w:r w:rsidRPr="0012764E">
        <w:rPr>
          <w:color w:val="000080"/>
        </w:rPr>
        <w:tab/>
      </w:r>
      <w:r w:rsidRPr="0012764E">
        <w:rPr>
          <w:color w:val="000080"/>
        </w:rPr>
        <w:tab/>
        <w:t>BOARD DATE: 2010</w:t>
      </w:r>
      <w:r>
        <w:rPr>
          <w:color w:val="000080"/>
        </w:rPr>
        <w:t>0325</w:t>
      </w:r>
    </w:p>
    <w:p w:rsidR="00540BEF" w:rsidRDefault="0012764E" w:rsidP="0012764E">
      <w:pPr>
        <w:tabs>
          <w:tab w:val="left" w:pos="288"/>
          <w:tab w:val="left" w:pos="4752"/>
        </w:tabs>
        <w:spacing w:line="240" w:lineRule="exact"/>
        <w:rPr>
          <w:color w:val="000080"/>
        </w:rPr>
      </w:pPr>
      <w:r w:rsidRPr="0012764E">
        <w:rPr>
          <w:color w:val="000080"/>
        </w:rPr>
        <w:t>SEPARATION DATE: 20041218</w:t>
      </w:r>
    </w:p>
    <w:p w:rsidR="00540BEF" w:rsidRPr="006F75C1" w:rsidRDefault="00540BEF" w:rsidP="00540BEF">
      <w:pPr>
        <w:tabs>
          <w:tab w:val="left" w:pos="288"/>
          <w:tab w:val="left" w:pos="4752"/>
        </w:tabs>
        <w:spacing w:line="240" w:lineRule="exact"/>
        <w:jc w:val="both"/>
        <w:rPr>
          <w:color w:val="000080"/>
        </w:rPr>
      </w:pPr>
      <w:r w:rsidRPr="006F75C1">
        <w:rPr>
          <w:color w:val="000080"/>
        </w:rPr>
        <w:t>________________________________________________________________</w:t>
      </w:r>
    </w:p>
    <w:p w:rsidR="00B522CD" w:rsidRPr="00D91DA6" w:rsidRDefault="00B522CD" w:rsidP="00875F2D">
      <w:pPr>
        <w:tabs>
          <w:tab w:val="left" w:pos="288"/>
          <w:tab w:val="left" w:pos="4752"/>
        </w:tabs>
        <w:spacing w:line="240" w:lineRule="exact"/>
        <w:jc w:val="both"/>
        <w:rPr>
          <w:color w:val="000080"/>
        </w:rPr>
      </w:pPr>
    </w:p>
    <w:p w:rsidR="00D67F61" w:rsidRPr="009103ED" w:rsidRDefault="002C6E5B" w:rsidP="009103ED">
      <w:pPr>
        <w:tabs>
          <w:tab w:val="left" w:pos="288"/>
          <w:tab w:val="left" w:pos="4752"/>
        </w:tabs>
        <w:spacing w:line="240" w:lineRule="exact"/>
        <w:jc w:val="both"/>
        <w:rPr>
          <w:color w:val="000080"/>
        </w:rPr>
      </w:pPr>
      <w:r w:rsidRPr="009103ED">
        <w:rPr>
          <w:color w:val="000080"/>
          <w:u w:val="single"/>
        </w:rPr>
        <w:t>SUMMARY OF CASE</w:t>
      </w:r>
      <w:r w:rsidRPr="009103ED">
        <w:rPr>
          <w:color w:val="000080"/>
        </w:rPr>
        <w:t xml:space="preserve">:  This covered individual (CI) was </w:t>
      </w:r>
      <w:r w:rsidR="00821F0E" w:rsidRPr="009103ED">
        <w:rPr>
          <w:color w:val="000080"/>
        </w:rPr>
        <w:t xml:space="preserve">a Guard </w:t>
      </w:r>
      <w:r w:rsidR="005F2C52" w:rsidRPr="009103ED">
        <w:rPr>
          <w:color w:val="000080"/>
        </w:rPr>
        <w:t>SSG</w:t>
      </w:r>
      <w:r w:rsidRPr="009103ED">
        <w:rPr>
          <w:color w:val="000080"/>
        </w:rPr>
        <w:t xml:space="preserve"> </w:t>
      </w:r>
      <w:r w:rsidR="00821F0E" w:rsidRPr="009103ED">
        <w:rPr>
          <w:color w:val="000080"/>
        </w:rPr>
        <w:t xml:space="preserve">(Supply) </w:t>
      </w:r>
      <w:r w:rsidRPr="009103ED">
        <w:rPr>
          <w:color w:val="000080"/>
        </w:rPr>
        <w:t>medically separated from the Army</w:t>
      </w:r>
      <w:r w:rsidR="00821F0E" w:rsidRPr="009103ED">
        <w:rPr>
          <w:color w:val="000080"/>
        </w:rPr>
        <w:t xml:space="preserve"> in 2004</w:t>
      </w:r>
      <w:r w:rsidRPr="009103ED">
        <w:rPr>
          <w:color w:val="000080"/>
        </w:rPr>
        <w:t xml:space="preserve"> after </w:t>
      </w:r>
      <w:r w:rsidR="00821F0E" w:rsidRPr="009103ED">
        <w:rPr>
          <w:color w:val="000080"/>
        </w:rPr>
        <w:t>11</w:t>
      </w:r>
      <w:r w:rsidRPr="009103ED">
        <w:rPr>
          <w:color w:val="000080"/>
        </w:rPr>
        <w:t xml:space="preserve"> years of </w:t>
      </w:r>
      <w:r w:rsidR="00821F0E" w:rsidRPr="009103ED">
        <w:rPr>
          <w:color w:val="000080"/>
        </w:rPr>
        <w:t xml:space="preserve">combined </w:t>
      </w:r>
      <w:r w:rsidRPr="009103ED">
        <w:rPr>
          <w:color w:val="000080"/>
        </w:rPr>
        <w:t>service</w:t>
      </w:r>
      <w:r w:rsidR="00821F0E" w:rsidRPr="009103ED">
        <w:rPr>
          <w:color w:val="000080"/>
        </w:rPr>
        <w:t xml:space="preserve"> (8 </w:t>
      </w:r>
      <w:r w:rsidR="005F2C52" w:rsidRPr="009103ED">
        <w:rPr>
          <w:color w:val="000080"/>
        </w:rPr>
        <w:t xml:space="preserve">years </w:t>
      </w:r>
      <w:r w:rsidR="00821F0E" w:rsidRPr="009103ED">
        <w:rPr>
          <w:color w:val="000080"/>
        </w:rPr>
        <w:t>active duty).  The medical base</w:t>
      </w:r>
      <w:r w:rsidRPr="009103ED">
        <w:rPr>
          <w:color w:val="000080"/>
        </w:rPr>
        <w:t xml:space="preserve">s for the separation </w:t>
      </w:r>
      <w:r w:rsidR="00821F0E" w:rsidRPr="009103ED">
        <w:rPr>
          <w:color w:val="000080"/>
        </w:rPr>
        <w:t xml:space="preserve">were obstructive sleep apnea (OSA), a neck condition and a right great toe condition.  </w:t>
      </w:r>
      <w:r w:rsidR="007808D0" w:rsidRPr="009103ED">
        <w:rPr>
          <w:color w:val="000080"/>
        </w:rPr>
        <w:t xml:space="preserve">He developed the onset of OSA in 2002, requiring </w:t>
      </w:r>
      <w:r w:rsidR="00734D9F" w:rsidRPr="00734D9F">
        <w:rPr>
          <w:color w:val="000080"/>
        </w:rPr>
        <w:t>continuous positive airway pressure</w:t>
      </w:r>
      <w:r w:rsidR="00734D9F">
        <w:rPr>
          <w:color w:val="000080"/>
        </w:rPr>
        <w:t xml:space="preserve"> (</w:t>
      </w:r>
      <w:r w:rsidR="007808D0" w:rsidRPr="009103ED">
        <w:rPr>
          <w:color w:val="000080"/>
        </w:rPr>
        <w:t>CPAP</w:t>
      </w:r>
      <w:r w:rsidR="00734D9F">
        <w:rPr>
          <w:color w:val="000080"/>
        </w:rPr>
        <w:t>)--</w:t>
      </w:r>
      <w:r w:rsidR="007808D0" w:rsidRPr="009103ED">
        <w:rPr>
          <w:color w:val="000080"/>
        </w:rPr>
        <w:t xml:space="preserve">nocturnal breathing device.  The condition improved with CPAP, but he continued to </w:t>
      </w:r>
      <w:r w:rsidR="0077054A">
        <w:rPr>
          <w:color w:val="000080"/>
        </w:rPr>
        <w:t>complain of</w:t>
      </w:r>
      <w:r w:rsidR="007808D0" w:rsidRPr="009103ED">
        <w:rPr>
          <w:color w:val="000080"/>
        </w:rPr>
        <w:t xml:space="preserve"> fatigue and </w:t>
      </w:r>
      <w:r w:rsidR="003635E9">
        <w:rPr>
          <w:color w:val="000080"/>
        </w:rPr>
        <w:t>daytime somnolence</w:t>
      </w:r>
      <w:r w:rsidR="007808D0" w:rsidRPr="009103ED">
        <w:rPr>
          <w:color w:val="000080"/>
        </w:rPr>
        <w:t>.  He developed neck pain after a mot</w:t>
      </w:r>
      <w:r w:rsidR="00522E67">
        <w:rPr>
          <w:color w:val="000080"/>
        </w:rPr>
        <w:t>or vehicle accident in 2002.  A</w:t>
      </w:r>
      <w:r w:rsidR="007808D0" w:rsidRPr="009103ED">
        <w:rPr>
          <w:color w:val="000080"/>
        </w:rPr>
        <w:t xml:space="preserve"> </w:t>
      </w:r>
      <w:r w:rsidR="00522E67" w:rsidRPr="00522E67">
        <w:rPr>
          <w:color w:val="000080"/>
        </w:rPr>
        <w:t>Magnetic Resonance Imaging</w:t>
      </w:r>
      <w:r w:rsidR="00522E67">
        <w:rPr>
          <w:color w:val="000080"/>
        </w:rPr>
        <w:t xml:space="preserve"> (</w:t>
      </w:r>
      <w:r w:rsidR="007808D0" w:rsidRPr="009103ED">
        <w:rPr>
          <w:color w:val="000080"/>
        </w:rPr>
        <w:t>MRI</w:t>
      </w:r>
      <w:r w:rsidR="00522E67">
        <w:rPr>
          <w:color w:val="000080"/>
        </w:rPr>
        <w:t>)</w:t>
      </w:r>
      <w:r w:rsidR="007808D0" w:rsidRPr="009103ED">
        <w:rPr>
          <w:color w:val="000080"/>
        </w:rPr>
        <w:t xml:space="preserve"> diagnosed disc </w:t>
      </w:r>
      <w:proofErr w:type="spellStart"/>
      <w:r w:rsidR="007808D0" w:rsidRPr="009103ED">
        <w:rPr>
          <w:color w:val="000080"/>
        </w:rPr>
        <w:t>herniation</w:t>
      </w:r>
      <w:proofErr w:type="spellEnd"/>
      <w:r w:rsidR="007808D0" w:rsidRPr="009103ED">
        <w:rPr>
          <w:color w:val="000080"/>
        </w:rPr>
        <w:t xml:space="preserve"> at C5/6 and C6/7.  He experienced occasional radiating pain into the left arm, but did not have a clinical </w:t>
      </w:r>
      <w:proofErr w:type="spellStart"/>
      <w:r w:rsidR="007808D0" w:rsidRPr="009103ED">
        <w:rPr>
          <w:color w:val="000080"/>
        </w:rPr>
        <w:t>radiculopathy</w:t>
      </w:r>
      <w:proofErr w:type="spellEnd"/>
      <w:r w:rsidR="007808D0" w:rsidRPr="009103ED">
        <w:rPr>
          <w:color w:val="000080"/>
        </w:rPr>
        <w:t xml:space="preserve"> and was not a </w:t>
      </w:r>
      <w:r w:rsidR="00D67F61" w:rsidRPr="009103ED">
        <w:rPr>
          <w:color w:val="000080"/>
        </w:rPr>
        <w:t>surgical candidate.  Despite conservative management</w:t>
      </w:r>
      <w:r w:rsidR="007808D0" w:rsidRPr="009103ED">
        <w:rPr>
          <w:color w:val="000080"/>
        </w:rPr>
        <w:t xml:space="preserve">, including epidural injections, he continued to have pain with lifting and </w:t>
      </w:r>
      <w:r w:rsidR="005F2C52" w:rsidRPr="009103ED">
        <w:rPr>
          <w:color w:val="000080"/>
        </w:rPr>
        <w:t>wearing</w:t>
      </w:r>
      <w:r w:rsidR="007808D0" w:rsidRPr="009103ED">
        <w:rPr>
          <w:color w:val="000080"/>
        </w:rPr>
        <w:t xml:space="preserve"> Kevlar.  His toe condition was secondary to a </w:t>
      </w:r>
      <w:r w:rsidR="005F2C52" w:rsidRPr="009103ED">
        <w:rPr>
          <w:color w:val="000080"/>
        </w:rPr>
        <w:t>comminuted</w:t>
      </w:r>
      <w:r w:rsidR="007808D0" w:rsidRPr="009103ED">
        <w:rPr>
          <w:color w:val="000080"/>
        </w:rPr>
        <w:t xml:space="preserve"> fracture </w:t>
      </w:r>
      <w:r w:rsidR="005F2C52" w:rsidRPr="009103ED">
        <w:rPr>
          <w:color w:val="000080"/>
        </w:rPr>
        <w:t xml:space="preserve">of the distal phalanx </w:t>
      </w:r>
      <w:r w:rsidR="007808D0" w:rsidRPr="009103ED">
        <w:rPr>
          <w:color w:val="000080"/>
        </w:rPr>
        <w:t xml:space="preserve">sustained in 2003.  </w:t>
      </w:r>
      <w:r w:rsidR="00D67F61" w:rsidRPr="009103ED">
        <w:rPr>
          <w:color w:val="000080"/>
        </w:rPr>
        <w:t xml:space="preserve">He suffered persistent osteoarthritis which interfered with basic soldiering and </w:t>
      </w:r>
      <w:r w:rsidR="00522E67" w:rsidRPr="00522E67">
        <w:rPr>
          <w:color w:val="000080"/>
        </w:rPr>
        <w:t xml:space="preserve">Army Physical Fitness Test </w:t>
      </w:r>
      <w:r w:rsidR="00522E67">
        <w:rPr>
          <w:color w:val="000080"/>
        </w:rPr>
        <w:t>(</w:t>
      </w:r>
      <w:r w:rsidR="00D67F61" w:rsidRPr="009103ED">
        <w:rPr>
          <w:color w:val="000080"/>
        </w:rPr>
        <w:t>APFT</w:t>
      </w:r>
      <w:r w:rsidR="00522E67">
        <w:rPr>
          <w:color w:val="000080"/>
        </w:rPr>
        <w:t>)</w:t>
      </w:r>
      <w:r w:rsidR="00D67F61" w:rsidRPr="009103ED">
        <w:rPr>
          <w:color w:val="000080"/>
        </w:rPr>
        <w:t xml:space="preserve"> requirements.  He was placed on a permanent P3</w:t>
      </w:r>
      <w:r w:rsidR="00734D9F">
        <w:rPr>
          <w:color w:val="000080"/>
        </w:rPr>
        <w:t>/</w:t>
      </w:r>
      <w:r w:rsidR="00D67F61" w:rsidRPr="009103ED">
        <w:rPr>
          <w:color w:val="000080"/>
        </w:rPr>
        <w:t>U3</w:t>
      </w:r>
      <w:r w:rsidR="00734D9F">
        <w:rPr>
          <w:color w:val="000080"/>
        </w:rPr>
        <w:t>/</w:t>
      </w:r>
      <w:r w:rsidR="00D67F61" w:rsidRPr="009103ED">
        <w:rPr>
          <w:color w:val="000080"/>
        </w:rPr>
        <w:t xml:space="preserve">L3 profile for the three conditions and </w:t>
      </w:r>
      <w:proofErr w:type="gramStart"/>
      <w:r w:rsidR="00D67F61" w:rsidRPr="009103ED">
        <w:rPr>
          <w:color w:val="000080"/>
        </w:rPr>
        <w:t>underwent</w:t>
      </w:r>
      <w:proofErr w:type="gramEnd"/>
      <w:r w:rsidR="00D67F61" w:rsidRPr="009103ED">
        <w:rPr>
          <w:color w:val="000080"/>
        </w:rPr>
        <w:t xml:space="preserve"> a </w:t>
      </w:r>
      <w:r w:rsidR="00F34E3F">
        <w:rPr>
          <w:color w:val="000080"/>
        </w:rPr>
        <w:t>Medical Evaluation B</w:t>
      </w:r>
      <w:r w:rsidR="00DB550F">
        <w:rPr>
          <w:color w:val="000080"/>
        </w:rPr>
        <w:t>oard (</w:t>
      </w:r>
      <w:r w:rsidR="00D67F61" w:rsidRPr="009103ED">
        <w:rPr>
          <w:color w:val="000080"/>
        </w:rPr>
        <w:t>MEB</w:t>
      </w:r>
      <w:r w:rsidR="00DB550F">
        <w:rPr>
          <w:color w:val="000080"/>
        </w:rPr>
        <w:t>)</w:t>
      </w:r>
      <w:r w:rsidR="00D67F61" w:rsidRPr="009103ED">
        <w:rPr>
          <w:color w:val="000080"/>
        </w:rPr>
        <w:t xml:space="preserve">.  All three conditions were judged </w:t>
      </w:r>
      <w:r w:rsidR="005F2C52" w:rsidRPr="009103ED">
        <w:rPr>
          <w:color w:val="000080"/>
        </w:rPr>
        <w:t xml:space="preserve">by the MEB </w:t>
      </w:r>
      <w:r w:rsidR="00D67F61" w:rsidRPr="009103ED">
        <w:rPr>
          <w:color w:val="000080"/>
        </w:rPr>
        <w:t xml:space="preserve">to be medically unacceptable IAW AR-40-501 and forwarded to the </w:t>
      </w:r>
      <w:r w:rsidR="00DB550F">
        <w:rPr>
          <w:color w:val="000080"/>
        </w:rPr>
        <w:t>Physical Evaluation Board (</w:t>
      </w:r>
      <w:r w:rsidR="00D67F61" w:rsidRPr="009103ED">
        <w:rPr>
          <w:color w:val="000080"/>
        </w:rPr>
        <w:t>PEB</w:t>
      </w:r>
      <w:r w:rsidR="00DB550F">
        <w:rPr>
          <w:color w:val="000080"/>
        </w:rPr>
        <w:t>)</w:t>
      </w:r>
      <w:r w:rsidR="00D67F61" w:rsidRPr="009103ED">
        <w:rPr>
          <w:color w:val="000080"/>
        </w:rPr>
        <w:t xml:space="preserve">.  Additional conditions supported in the </w:t>
      </w:r>
      <w:r w:rsidR="00DB550F">
        <w:rPr>
          <w:color w:val="000080"/>
        </w:rPr>
        <w:t>Disability Evaluation System (</w:t>
      </w:r>
      <w:r w:rsidR="00D67F61" w:rsidRPr="009103ED">
        <w:rPr>
          <w:color w:val="000080"/>
        </w:rPr>
        <w:t>DES</w:t>
      </w:r>
      <w:r w:rsidR="00DB550F">
        <w:rPr>
          <w:color w:val="000080"/>
        </w:rPr>
        <w:t>)</w:t>
      </w:r>
      <w:r w:rsidR="00D67F61" w:rsidRPr="009103ED">
        <w:rPr>
          <w:color w:val="000080"/>
        </w:rPr>
        <w:t xml:space="preserve"> packet are discussed below, but were not forwarded for PEB adjudication on the DA </w:t>
      </w:r>
      <w:r w:rsidR="00DB550F">
        <w:rPr>
          <w:color w:val="000080"/>
        </w:rPr>
        <w:t xml:space="preserve">Form </w:t>
      </w:r>
      <w:r w:rsidR="00D67F61" w:rsidRPr="009103ED">
        <w:rPr>
          <w:color w:val="000080"/>
        </w:rPr>
        <w:t xml:space="preserve">3947.  </w:t>
      </w:r>
      <w:r w:rsidR="00E446D5" w:rsidRPr="009103ED">
        <w:rPr>
          <w:color w:val="000080"/>
        </w:rPr>
        <w:t xml:space="preserve">The PEB found the CI unfit for OSA, the neck condition and the toe condition.  Each was rated 0%.  These findings were upheld by the </w:t>
      </w:r>
      <w:r w:rsidR="00DB550F">
        <w:rPr>
          <w:color w:val="000080"/>
        </w:rPr>
        <w:t>U.S. Army Physical Disability Agency (</w:t>
      </w:r>
      <w:r w:rsidR="00E446D5" w:rsidRPr="009103ED">
        <w:rPr>
          <w:color w:val="000080"/>
        </w:rPr>
        <w:t>USAPDA</w:t>
      </w:r>
      <w:r w:rsidR="00DB550F">
        <w:rPr>
          <w:color w:val="000080"/>
        </w:rPr>
        <w:t>)</w:t>
      </w:r>
      <w:r w:rsidR="00E446D5" w:rsidRPr="009103ED">
        <w:rPr>
          <w:color w:val="000080"/>
        </w:rPr>
        <w:t xml:space="preserve"> on appeal and the CI was separated with a 0% disability rating.</w:t>
      </w:r>
    </w:p>
    <w:p w:rsidR="00923B25" w:rsidRPr="006F75C1" w:rsidRDefault="008B5D31" w:rsidP="00875F2D">
      <w:pPr>
        <w:tabs>
          <w:tab w:val="left" w:pos="288"/>
          <w:tab w:val="left" w:pos="4752"/>
        </w:tabs>
        <w:spacing w:line="240" w:lineRule="exact"/>
        <w:jc w:val="both"/>
        <w:rPr>
          <w:color w:val="000080"/>
        </w:rPr>
      </w:pPr>
      <w:r w:rsidRPr="006F75C1">
        <w:rPr>
          <w:color w:val="000080"/>
        </w:rPr>
        <w:t>________________________________________________________________</w:t>
      </w:r>
    </w:p>
    <w:p w:rsidR="00923B25" w:rsidRPr="00D91DA6" w:rsidRDefault="00923B25" w:rsidP="00875F2D">
      <w:pPr>
        <w:tabs>
          <w:tab w:val="left" w:pos="288"/>
          <w:tab w:val="left" w:pos="4752"/>
        </w:tabs>
        <w:spacing w:line="240" w:lineRule="exact"/>
        <w:jc w:val="both"/>
        <w:rPr>
          <w:color w:val="000080"/>
        </w:rPr>
      </w:pPr>
    </w:p>
    <w:p w:rsidR="00A90D55" w:rsidRPr="009103ED" w:rsidRDefault="002C6E5B" w:rsidP="009103ED">
      <w:pPr>
        <w:tabs>
          <w:tab w:val="left" w:pos="288"/>
          <w:tab w:val="left" w:pos="4752"/>
        </w:tabs>
        <w:spacing w:line="240" w:lineRule="exact"/>
        <w:jc w:val="both"/>
        <w:rPr>
          <w:color w:val="000080"/>
        </w:rPr>
      </w:pPr>
      <w:r w:rsidRPr="009103ED">
        <w:rPr>
          <w:color w:val="000080"/>
          <w:u w:val="single"/>
        </w:rPr>
        <w:t>CI CONTENTION</w:t>
      </w:r>
      <w:r w:rsidRPr="009103ED">
        <w:rPr>
          <w:color w:val="000080"/>
        </w:rPr>
        <w:t xml:space="preserve">:  </w:t>
      </w:r>
      <w:r w:rsidR="00E446D5" w:rsidRPr="009103ED">
        <w:rPr>
          <w:color w:val="000080"/>
        </w:rPr>
        <w:t>The CI’s application simply s</w:t>
      </w:r>
      <w:r w:rsidRPr="009103ED">
        <w:rPr>
          <w:color w:val="000080"/>
        </w:rPr>
        <w:t>tates:</w:t>
      </w:r>
      <w:r w:rsidR="00E446D5" w:rsidRPr="009103ED">
        <w:rPr>
          <w:color w:val="000080"/>
        </w:rPr>
        <w:t xml:space="preserve"> ‘Level of sleep apnea &amp; disc </w:t>
      </w:r>
      <w:proofErr w:type="spellStart"/>
      <w:r w:rsidR="00E446D5" w:rsidRPr="009103ED">
        <w:rPr>
          <w:color w:val="000080"/>
        </w:rPr>
        <w:t>herniation</w:t>
      </w:r>
      <w:proofErr w:type="spellEnd"/>
      <w:r w:rsidR="00DB550F">
        <w:rPr>
          <w:color w:val="000080"/>
        </w:rPr>
        <w:t xml:space="preserve"> a</w:t>
      </w:r>
      <w:r w:rsidR="00E446D5" w:rsidRPr="009103ED">
        <w:rPr>
          <w:color w:val="000080"/>
        </w:rPr>
        <w:t xml:space="preserve">nxiety award (subsequent)’.  </w:t>
      </w:r>
      <w:r w:rsidR="00FF1699" w:rsidRPr="009103ED">
        <w:rPr>
          <w:color w:val="000080"/>
        </w:rPr>
        <w:t>He does not elaborate specific contentions</w:t>
      </w:r>
    </w:p>
    <w:p w:rsidR="00A90D55" w:rsidRPr="006F75C1" w:rsidRDefault="008B5D31" w:rsidP="00875F2D">
      <w:pPr>
        <w:tabs>
          <w:tab w:val="left" w:pos="288"/>
          <w:tab w:val="left" w:pos="4752"/>
        </w:tabs>
        <w:spacing w:line="240" w:lineRule="exact"/>
        <w:jc w:val="both"/>
        <w:rPr>
          <w:color w:val="000080"/>
        </w:rPr>
      </w:pPr>
      <w:r w:rsidRPr="006F75C1">
        <w:rPr>
          <w:color w:val="000080"/>
        </w:rPr>
        <w:t>________________________________________________________________</w:t>
      </w:r>
    </w:p>
    <w:p w:rsidR="00660EE1" w:rsidRDefault="00660EE1">
      <w:pPr>
        <w:rPr>
          <w:color w:val="000080"/>
        </w:rPr>
      </w:pPr>
      <w:r>
        <w:rPr>
          <w:color w:val="000080"/>
        </w:rPr>
        <w:br w:type="page"/>
      </w:r>
    </w:p>
    <w:p w:rsidR="001C181A" w:rsidRDefault="001C181A" w:rsidP="00875F2D">
      <w:pPr>
        <w:tabs>
          <w:tab w:val="left" w:pos="288"/>
          <w:tab w:val="left" w:pos="4752"/>
        </w:tabs>
        <w:spacing w:line="240" w:lineRule="exact"/>
        <w:jc w:val="both"/>
        <w:rPr>
          <w:color w:val="000080"/>
        </w:rPr>
      </w:pPr>
    </w:p>
    <w:p w:rsidR="002338CA" w:rsidRPr="009103ED" w:rsidRDefault="002C6E5B" w:rsidP="00875F2D">
      <w:pPr>
        <w:tabs>
          <w:tab w:val="left" w:pos="288"/>
          <w:tab w:val="left" w:pos="4752"/>
        </w:tabs>
        <w:spacing w:line="240" w:lineRule="exact"/>
        <w:jc w:val="both"/>
        <w:rPr>
          <w:color w:val="000080"/>
        </w:rPr>
      </w:pPr>
      <w:r w:rsidRPr="009103ED">
        <w:rPr>
          <w:color w:val="000080"/>
          <w:u w:val="single"/>
        </w:rPr>
        <w:t>RATING COMPARISON</w:t>
      </w:r>
      <w:r w:rsidRPr="009103ED">
        <w:rPr>
          <w:color w:val="000080"/>
        </w:rPr>
        <w:t>:</w:t>
      </w:r>
    </w:p>
    <w:p w:rsidR="00F82981" w:rsidRDefault="00F82981" w:rsidP="00875F2D">
      <w:pPr>
        <w:tabs>
          <w:tab w:val="left" w:pos="288"/>
          <w:tab w:val="left" w:pos="4752"/>
        </w:tabs>
        <w:spacing w:line="240" w:lineRule="exact"/>
        <w:jc w:val="both"/>
        <w:rPr>
          <w:color w:val="000080"/>
        </w:rPr>
      </w:pPr>
    </w:p>
    <w:tbl>
      <w:tblPr>
        <w:tblStyle w:val="TableGrid"/>
        <w:tblW w:w="9900" w:type="dxa"/>
        <w:tblInd w:w="-162" w:type="dxa"/>
        <w:tblLayout w:type="fixed"/>
        <w:tblLook w:val="04A0"/>
      </w:tblPr>
      <w:tblGrid>
        <w:gridCol w:w="1890"/>
        <w:gridCol w:w="364"/>
        <w:gridCol w:w="720"/>
        <w:gridCol w:w="810"/>
        <w:gridCol w:w="990"/>
        <w:gridCol w:w="2246"/>
        <w:gridCol w:w="364"/>
        <w:gridCol w:w="720"/>
        <w:gridCol w:w="810"/>
        <w:gridCol w:w="986"/>
      </w:tblGrid>
      <w:tr w:rsidR="00684E2B" w:rsidTr="00DE644D">
        <w:trPr>
          <w:trHeight w:val="233"/>
        </w:trPr>
        <w:tc>
          <w:tcPr>
            <w:tcW w:w="4774" w:type="dxa"/>
            <w:gridSpan w:val="5"/>
            <w:tcBorders>
              <w:right w:val="thinThickThinSmallGap" w:sz="24" w:space="0" w:color="auto"/>
            </w:tcBorders>
            <w:shd w:val="clear" w:color="auto" w:fill="C6D9F1" w:themeFill="text2" w:themeFillTint="33"/>
          </w:tcPr>
          <w:p w:rsidR="00684E2B" w:rsidRPr="009103ED" w:rsidRDefault="00684E2B" w:rsidP="00531C15">
            <w:pPr>
              <w:pStyle w:val="ListParagraph"/>
              <w:spacing w:after="0" w:line="240" w:lineRule="auto"/>
              <w:ind w:left="0"/>
              <w:jc w:val="center"/>
              <w:rPr>
                <w:rFonts w:cs="Times New Roman"/>
                <w:b/>
                <w:color w:val="002060"/>
                <w:sz w:val="20"/>
                <w:szCs w:val="20"/>
              </w:rPr>
            </w:pPr>
            <w:r w:rsidRPr="009103ED">
              <w:rPr>
                <w:rFonts w:cs="Times New Roman"/>
                <w:b/>
                <w:color w:val="002060"/>
                <w:sz w:val="20"/>
                <w:szCs w:val="20"/>
              </w:rPr>
              <w:t>Service PEB</w:t>
            </w:r>
          </w:p>
        </w:tc>
        <w:tc>
          <w:tcPr>
            <w:tcW w:w="5126" w:type="dxa"/>
            <w:gridSpan w:val="5"/>
            <w:tcBorders>
              <w:left w:val="thinThickThinSmallGap" w:sz="24" w:space="0" w:color="auto"/>
            </w:tcBorders>
            <w:shd w:val="clear" w:color="auto" w:fill="C6D9F1" w:themeFill="text2" w:themeFillTint="33"/>
          </w:tcPr>
          <w:p w:rsidR="00684E2B" w:rsidRPr="009103ED" w:rsidRDefault="00684E2B" w:rsidP="00272A0B">
            <w:pPr>
              <w:pStyle w:val="ListParagraph"/>
              <w:spacing w:after="0" w:line="240" w:lineRule="auto"/>
              <w:ind w:left="0"/>
              <w:jc w:val="center"/>
              <w:rPr>
                <w:rFonts w:cs="Times New Roman"/>
                <w:b/>
                <w:color w:val="002060"/>
                <w:sz w:val="20"/>
                <w:szCs w:val="20"/>
              </w:rPr>
            </w:pPr>
            <w:r w:rsidRPr="009103ED">
              <w:rPr>
                <w:rFonts w:cs="Times New Roman"/>
                <w:b/>
                <w:color w:val="002060"/>
                <w:sz w:val="20"/>
                <w:szCs w:val="20"/>
              </w:rPr>
              <w:t>VA (</w:t>
            </w:r>
            <w:r w:rsidR="00272A0B" w:rsidRPr="009103ED">
              <w:rPr>
                <w:rFonts w:cs="Times New Roman"/>
                <w:b/>
                <w:color w:val="002060"/>
                <w:sz w:val="20"/>
                <w:szCs w:val="20"/>
              </w:rPr>
              <w:t>~1</w:t>
            </w:r>
            <w:r w:rsidRPr="009103ED">
              <w:rPr>
                <w:rFonts w:cs="Times New Roman"/>
                <w:b/>
                <w:color w:val="002060"/>
                <w:sz w:val="20"/>
                <w:szCs w:val="20"/>
              </w:rPr>
              <w:t xml:space="preserve"> Mo. after Separation)</w:t>
            </w:r>
            <w:r w:rsidR="000C3C13" w:rsidRPr="009103ED">
              <w:rPr>
                <w:rFonts w:cs="Times New Roman"/>
                <w:b/>
                <w:color w:val="002060"/>
                <w:sz w:val="20"/>
                <w:szCs w:val="20"/>
              </w:rPr>
              <w:t xml:space="preserve"> – All Effective </w:t>
            </w:r>
            <w:r w:rsidR="00272A0B" w:rsidRPr="009103ED">
              <w:rPr>
                <w:rFonts w:cs="Times New Roman"/>
                <w:b/>
                <w:color w:val="002060"/>
                <w:sz w:val="20"/>
                <w:szCs w:val="20"/>
              </w:rPr>
              <w:t>20041219</w:t>
            </w:r>
          </w:p>
        </w:tc>
      </w:tr>
      <w:tr w:rsidR="000C3C13" w:rsidTr="00DE644D">
        <w:trPr>
          <w:trHeight w:val="233"/>
        </w:trPr>
        <w:tc>
          <w:tcPr>
            <w:tcW w:w="2254" w:type="dxa"/>
            <w:gridSpan w:val="2"/>
            <w:tcBorders>
              <w:bottom w:val="single" w:sz="4" w:space="0" w:color="000000" w:themeColor="text1"/>
            </w:tcBorders>
            <w:shd w:val="clear" w:color="auto" w:fill="C6D9F1" w:themeFill="text2" w:themeFillTint="33"/>
          </w:tcPr>
          <w:p w:rsidR="000C3C13" w:rsidRPr="009103ED" w:rsidRDefault="000C3C13" w:rsidP="00531C15">
            <w:pPr>
              <w:pStyle w:val="ListParagraph"/>
              <w:spacing w:after="0" w:line="240" w:lineRule="auto"/>
              <w:ind w:left="0"/>
              <w:jc w:val="center"/>
              <w:rPr>
                <w:rFonts w:cs="Times New Roman"/>
                <w:b/>
                <w:color w:val="002060"/>
                <w:sz w:val="20"/>
                <w:szCs w:val="20"/>
              </w:rPr>
            </w:pPr>
            <w:r w:rsidRPr="009103ED">
              <w:rPr>
                <w:rFonts w:cs="Times New Roman"/>
                <w:b/>
                <w:color w:val="002060"/>
                <w:sz w:val="20"/>
                <w:szCs w:val="20"/>
              </w:rPr>
              <w:t>Condition</w:t>
            </w:r>
          </w:p>
        </w:tc>
        <w:tc>
          <w:tcPr>
            <w:tcW w:w="720" w:type="dxa"/>
            <w:tcBorders>
              <w:bottom w:val="single" w:sz="4" w:space="0" w:color="000000" w:themeColor="text1"/>
            </w:tcBorders>
            <w:shd w:val="clear" w:color="auto" w:fill="C6D9F1" w:themeFill="text2" w:themeFillTint="33"/>
          </w:tcPr>
          <w:p w:rsidR="000C3C13" w:rsidRPr="009103ED" w:rsidRDefault="000C3C13" w:rsidP="00531C15">
            <w:pPr>
              <w:pStyle w:val="ListParagraph"/>
              <w:spacing w:after="0" w:line="240" w:lineRule="auto"/>
              <w:ind w:left="0"/>
              <w:jc w:val="center"/>
              <w:rPr>
                <w:rFonts w:cs="Times New Roman"/>
                <w:b/>
                <w:color w:val="002060"/>
                <w:sz w:val="20"/>
                <w:szCs w:val="20"/>
              </w:rPr>
            </w:pPr>
            <w:r w:rsidRPr="009103ED">
              <w:rPr>
                <w:rFonts w:cs="Times New Roman"/>
                <w:b/>
                <w:color w:val="002060"/>
                <w:sz w:val="20"/>
                <w:szCs w:val="20"/>
              </w:rPr>
              <w:t>Code</w:t>
            </w:r>
          </w:p>
        </w:tc>
        <w:tc>
          <w:tcPr>
            <w:tcW w:w="810" w:type="dxa"/>
            <w:tcBorders>
              <w:bottom w:val="single" w:sz="4" w:space="0" w:color="000000" w:themeColor="text1"/>
            </w:tcBorders>
            <w:shd w:val="clear" w:color="auto" w:fill="C6D9F1" w:themeFill="text2" w:themeFillTint="33"/>
          </w:tcPr>
          <w:p w:rsidR="000C3C13" w:rsidRPr="009103ED" w:rsidRDefault="000C3C13" w:rsidP="00531C15">
            <w:pPr>
              <w:pStyle w:val="ListParagraph"/>
              <w:spacing w:after="0" w:line="240" w:lineRule="auto"/>
              <w:ind w:left="0"/>
              <w:jc w:val="center"/>
              <w:rPr>
                <w:rFonts w:cs="Times New Roman"/>
                <w:b/>
                <w:color w:val="002060"/>
                <w:sz w:val="20"/>
                <w:szCs w:val="20"/>
              </w:rPr>
            </w:pPr>
            <w:r w:rsidRPr="009103ED">
              <w:rPr>
                <w:rFonts w:cs="Times New Roman"/>
                <w:b/>
                <w:color w:val="002060"/>
                <w:sz w:val="20"/>
                <w:szCs w:val="20"/>
              </w:rPr>
              <w:t>Rating</w:t>
            </w:r>
          </w:p>
        </w:tc>
        <w:tc>
          <w:tcPr>
            <w:tcW w:w="990" w:type="dxa"/>
            <w:tcBorders>
              <w:bottom w:val="single" w:sz="4" w:space="0" w:color="000000" w:themeColor="text1"/>
              <w:right w:val="thinThickThinSmallGap" w:sz="24" w:space="0" w:color="auto"/>
            </w:tcBorders>
            <w:shd w:val="clear" w:color="auto" w:fill="C6D9F1" w:themeFill="text2" w:themeFillTint="33"/>
          </w:tcPr>
          <w:p w:rsidR="000C3C13" w:rsidRPr="009103ED" w:rsidRDefault="000C3C13" w:rsidP="00531C15">
            <w:pPr>
              <w:pStyle w:val="ListParagraph"/>
              <w:spacing w:after="0" w:line="240" w:lineRule="auto"/>
              <w:ind w:left="0"/>
              <w:jc w:val="center"/>
              <w:rPr>
                <w:rFonts w:cs="Times New Roman"/>
                <w:b/>
                <w:color w:val="002060"/>
                <w:sz w:val="20"/>
                <w:szCs w:val="20"/>
              </w:rPr>
            </w:pPr>
            <w:r w:rsidRPr="009103ED">
              <w:rPr>
                <w:rFonts w:cs="Times New Roman"/>
                <w:b/>
                <w:color w:val="002060"/>
                <w:sz w:val="20"/>
                <w:szCs w:val="20"/>
              </w:rPr>
              <w:t>Date</w:t>
            </w:r>
          </w:p>
        </w:tc>
        <w:tc>
          <w:tcPr>
            <w:tcW w:w="2610" w:type="dxa"/>
            <w:gridSpan w:val="2"/>
            <w:tcBorders>
              <w:left w:val="thinThickThinSmallGap" w:sz="24" w:space="0" w:color="auto"/>
              <w:bottom w:val="single" w:sz="4" w:space="0" w:color="000000" w:themeColor="text1"/>
            </w:tcBorders>
            <w:shd w:val="clear" w:color="auto" w:fill="C6D9F1" w:themeFill="text2" w:themeFillTint="33"/>
          </w:tcPr>
          <w:p w:rsidR="000C3C13" w:rsidRPr="009103ED" w:rsidRDefault="000C3C13" w:rsidP="00531C15">
            <w:pPr>
              <w:pStyle w:val="ListParagraph"/>
              <w:spacing w:after="0" w:line="240" w:lineRule="auto"/>
              <w:ind w:left="0"/>
              <w:jc w:val="center"/>
              <w:rPr>
                <w:rFonts w:cs="Times New Roman"/>
                <w:b/>
                <w:color w:val="002060"/>
                <w:sz w:val="20"/>
                <w:szCs w:val="20"/>
              </w:rPr>
            </w:pPr>
            <w:r w:rsidRPr="009103ED">
              <w:rPr>
                <w:rFonts w:cs="Times New Roman"/>
                <w:b/>
                <w:color w:val="002060"/>
                <w:sz w:val="20"/>
                <w:szCs w:val="20"/>
              </w:rPr>
              <w:t>Condition</w:t>
            </w:r>
          </w:p>
        </w:tc>
        <w:tc>
          <w:tcPr>
            <w:tcW w:w="720" w:type="dxa"/>
            <w:tcBorders>
              <w:bottom w:val="single" w:sz="4" w:space="0" w:color="000000" w:themeColor="text1"/>
            </w:tcBorders>
            <w:shd w:val="clear" w:color="auto" w:fill="C6D9F1" w:themeFill="text2" w:themeFillTint="33"/>
          </w:tcPr>
          <w:p w:rsidR="000C3C13" w:rsidRPr="009103ED" w:rsidRDefault="000C3C13" w:rsidP="00531C15">
            <w:pPr>
              <w:pStyle w:val="ListParagraph"/>
              <w:spacing w:after="0" w:line="240" w:lineRule="auto"/>
              <w:ind w:left="0"/>
              <w:jc w:val="center"/>
              <w:rPr>
                <w:rFonts w:cs="Times New Roman"/>
                <w:b/>
                <w:color w:val="002060"/>
                <w:sz w:val="20"/>
                <w:szCs w:val="20"/>
              </w:rPr>
            </w:pPr>
            <w:r w:rsidRPr="009103ED">
              <w:rPr>
                <w:rFonts w:cs="Times New Roman"/>
                <w:b/>
                <w:color w:val="002060"/>
                <w:sz w:val="20"/>
                <w:szCs w:val="20"/>
              </w:rPr>
              <w:t>Code</w:t>
            </w:r>
          </w:p>
        </w:tc>
        <w:tc>
          <w:tcPr>
            <w:tcW w:w="810" w:type="dxa"/>
            <w:tcBorders>
              <w:bottom w:val="single" w:sz="4" w:space="0" w:color="000000" w:themeColor="text1"/>
            </w:tcBorders>
            <w:shd w:val="clear" w:color="auto" w:fill="C6D9F1" w:themeFill="text2" w:themeFillTint="33"/>
          </w:tcPr>
          <w:p w:rsidR="000C3C13" w:rsidRPr="009103ED" w:rsidRDefault="000C3C13" w:rsidP="00531C15">
            <w:pPr>
              <w:pStyle w:val="ListParagraph"/>
              <w:spacing w:after="0" w:line="240" w:lineRule="auto"/>
              <w:ind w:left="0"/>
              <w:jc w:val="center"/>
              <w:rPr>
                <w:rFonts w:cs="Times New Roman"/>
                <w:b/>
                <w:color w:val="002060"/>
                <w:sz w:val="20"/>
                <w:szCs w:val="20"/>
              </w:rPr>
            </w:pPr>
            <w:r w:rsidRPr="009103ED">
              <w:rPr>
                <w:rFonts w:cs="Times New Roman"/>
                <w:b/>
                <w:color w:val="002060"/>
                <w:sz w:val="20"/>
                <w:szCs w:val="20"/>
              </w:rPr>
              <w:t>Rating</w:t>
            </w:r>
          </w:p>
        </w:tc>
        <w:tc>
          <w:tcPr>
            <w:tcW w:w="986" w:type="dxa"/>
            <w:tcBorders>
              <w:bottom w:val="single" w:sz="4" w:space="0" w:color="000000" w:themeColor="text1"/>
            </w:tcBorders>
            <w:shd w:val="clear" w:color="auto" w:fill="C6D9F1" w:themeFill="text2" w:themeFillTint="33"/>
          </w:tcPr>
          <w:p w:rsidR="000C3C13" w:rsidRPr="009103ED" w:rsidRDefault="000C3C13" w:rsidP="00531C15">
            <w:pPr>
              <w:pStyle w:val="ListParagraph"/>
              <w:spacing w:after="0" w:line="240" w:lineRule="auto"/>
              <w:ind w:left="0"/>
              <w:jc w:val="center"/>
              <w:rPr>
                <w:rFonts w:cs="Times New Roman"/>
                <w:b/>
                <w:color w:val="002060"/>
                <w:sz w:val="20"/>
                <w:szCs w:val="20"/>
              </w:rPr>
            </w:pPr>
            <w:r w:rsidRPr="009103ED">
              <w:rPr>
                <w:rFonts w:cs="Times New Roman"/>
                <w:b/>
                <w:color w:val="002060"/>
                <w:sz w:val="20"/>
                <w:szCs w:val="20"/>
              </w:rPr>
              <w:t>Exam</w:t>
            </w:r>
          </w:p>
        </w:tc>
      </w:tr>
      <w:tr w:rsidR="00272A0B" w:rsidTr="00DE644D">
        <w:trPr>
          <w:trHeight w:val="152"/>
        </w:trPr>
        <w:tc>
          <w:tcPr>
            <w:tcW w:w="2254" w:type="dxa"/>
            <w:gridSpan w:val="2"/>
            <w:shd w:val="clear" w:color="auto" w:fill="FFFFFF" w:themeFill="background1"/>
          </w:tcPr>
          <w:p w:rsidR="00272A0B" w:rsidRPr="009103ED" w:rsidRDefault="00272A0B" w:rsidP="00531C15">
            <w:pPr>
              <w:tabs>
                <w:tab w:val="left" w:pos="288"/>
                <w:tab w:val="left" w:pos="4752"/>
              </w:tabs>
              <w:spacing w:line="240" w:lineRule="exact"/>
              <w:jc w:val="both"/>
              <w:rPr>
                <w:rFonts w:ascii="Calibri" w:hAnsi="Calibri"/>
                <w:color w:val="002060"/>
                <w:sz w:val="18"/>
                <w:szCs w:val="18"/>
              </w:rPr>
            </w:pPr>
            <w:r w:rsidRPr="009103ED">
              <w:rPr>
                <w:rFonts w:ascii="Calibri" w:hAnsi="Calibri"/>
                <w:color w:val="002060"/>
                <w:sz w:val="18"/>
                <w:szCs w:val="18"/>
              </w:rPr>
              <w:t>OSA</w:t>
            </w:r>
          </w:p>
        </w:tc>
        <w:tc>
          <w:tcPr>
            <w:tcW w:w="720" w:type="dxa"/>
            <w:shd w:val="clear" w:color="auto" w:fill="FFFFFF" w:themeFill="background1"/>
          </w:tcPr>
          <w:p w:rsidR="00272A0B" w:rsidRPr="009103ED" w:rsidRDefault="00272A0B" w:rsidP="00531C15">
            <w:pPr>
              <w:pStyle w:val="ListParagraph"/>
              <w:spacing w:after="0" w:line="240" w:lineRule="exact"/>
              <w:ind w:left="0"/>
              <w:jc w:val="center"/>
              <w:rPr>
                <w:rFonts w:cs="Times New Roman"/>
                <w:color w:val="002060"/>
                <w:sz w:val="18"/>
                <w:szCs w:val="18"/>
              </w:rPr>
            </w:pPr>
            <w:r w:rsidRPr="009103ED">
              <w:rPr>
                <w:rFonts w:cs="Times New Roman"/>
                <w:color w:val="002060"/>
                <w:sz w:val="18"/>
                <w:szCs w:val="18"/>
              </w:rPr>
              <w:t>6847</w:t>
            </w:r>
          </w:p>
        </w:tc>
        <w:tc>
          <w:tcPr>
            <w:tcW w:w="810" w:type="dxa"/>
            <w:shd w:val="clear" w:color="auto" w:fill="FFFFFF" w:themeFill="background1"/>
          </w:tcPr>
          <w:p w:rsidR="00272A0B" w:rsidRPr="009103ED" w:rsidRDefault="00272A0B" w:rsidP="00531C15">
            <w:pPr>
              <w:pStyle w:val="ListParagraph"/>
              <w:spacing w:after="0" w:line="240" w:lineRule="exact"/>
              <w:ind w:left="0"/>
              <w:jc w:val="center"/>
              <w:rPr>
                <w:rFonts w:cs="Times New Roman"/>
                <w:color w:val="002060"/>
                <w:sz w:val="18"/>
                <w:szCs w:val="18"/>
              </w:rPr>
            </w:pPr>
            <w:r w:rsidRPr="009103ED">
              <w:rPr>
                <w:rFonts w:cs="Times New Roman"/>
                <w:color w:val="002060"/>
                <w:sz w:val="18"/>
                <w:szCs w:val="18"/>
              </w:rPr>
              <w:t>0%</w:t>
            </w:r>
          </w:p>
        </w:tc>
        <w:tc>
          <w:tcPr>
            <w:tcW w:w="990" w:type="dxa"/>
            <w:tcBorders>
              <w:right w:val="thinThickThinSmallGap" w:sz="24" w:space="0" w:color="auto"/>
            </w:tcBorders>
            <w:shd w:val="clear" w:color="auto" w:fill="FFFFFF" w:themeFill="background1"/>
          </w:tcPr>
          <w:p w:rsidR="00272A0B" w:rsidRPr="009103ED" w:rsidRDefault="00272A0B" w:rsidP="00531C15">
            <w:pPr>
              <w:pStyle w:val="ListParagraph"/>
              <w:tabs>
                <w:tab w:val="left" w:pos="451"/>
              </w:tabs>
              <w:spacing w:after="0" w:line="240" w:lineRule="exact"/>
              <w:ind w:left="0"/>
              <w:rPr>
                <w:rFonts w:cs="Times New Roman"/>
                <w:color w:val="002060"/>
                <w:sz w:val="18"/>
                <w:szCs w:val="18"/>
              </w:rPr>
            </w:pPr>
            <w:r w:rsidRPr="009103ED">
              <w:rPr>
                <w:rFonts w:cs="Times New Roman"/>
                <w:color w:val="002060"/>
                <w:sz w:val="18"/>
                <w:szCs w:val="18"/>
              </w:rPr>
              <w:t>20040917</w:t>
            </w:r>
          </w:p>
        </w:tc>
        <w:tc>
          <w:tcPr>
            <w:tcW w:w="2610" w:type="dxa"/>
            <w:gridSpan w:val="2"/>
            <w:tcBorders>
              <w:left w:val="thinThickThinSmallGap" w:sz="24" w:space="0" w:color="auto"/>
            </w:tcBorders>
            <w:shd w:val="clear" w:color="auto" w:fill="FFFFFF" w:themeFill="background1"/>
          </w:tcPr>
          <w:p w:rsidR="00272A0B" w:rsidRPr="009103ED" w:rsidRDefault="00272A0B" w:rsidP="00531C15">
            <w:pPr>
              <w:pStyle w:val="ListParagraph"/>
              <w:spacing w:after="0" w:line="240" w:lineRule="auto"/>
              <w:ind w:left="0"/>
              <w:rPr>
                <w:rFonts w:cs="Times New Roman"/>
                <w:color w:val="002060"/>
                <w:sz w:val="18"/>
                <w:szCs w:val="18"/>
              </w:rPr>
            </w:pPr>
            <w:r w:rsidRPr="009103ED">
              <w:rPr>
                <w:rFonts w:cs="Times New Roman"/>
                <w:color w:val="002060"/>
                <w:sz w:val="18"/>
                <w:szCs w:val="18"/>
              </w:rPr>
              <w:t>OSA</w:t>
            </w:r>
          </w:p>
        </w:tc>
        <w:tc>
          <w:tcPr>
            <w:tcW w:w="720" w:type="dxa"/>
            <w:shd w:val="clear" w:color="auto" w:fill="FFFFFF" w:themeFill="background1"/>
          </w:tcPr>
          <w:p w:rsidR="00272A0B" w:rsidRPr="009103ED" w:rsidRDefault="00272A0B" w:rsidP="00531C15">
            <w:pPr>
              <w:spacing w:line="240" w:lineRule="exact"/>
              <w:jc w:val="center"/>
              <w:rPr>
                <w:rFonts w:eastAsiaTheme="minorEastAsia"/>
                <w:color w:val="002060"/>
                <w:sz w:val="18"/>
                <w:szCs w:val="18"/>
              </w:rPr>
            </w:pPr>
            <w:r w:rsidRPr="009103ED">
              <w:rPr>
                <w:rFonts w:eastAsiaTheme="minorEastAsia"/>
                <w:color w:val="002060"/>
                <w:sz w:val="18"/>
                <w:szCs w:val="18"/>
              </w:rPr>
              <w:t>6847</w:t>
            </w:r>
          </w:p>
        </w:tc>
        <w:tc>
          <w:tcPr>
            <w:tcW w:w="810" w:type="dxa"/>
            <w:shd w:val="clear" w:color="auto" w:fill="FFFFFF" w:themeFill="background1"/>
          </w:tcPr>
          <w:p w:rsidR="00272A0B" w:rsidRPr="009103ED" w:rsidRDefault="00272A0B" w:rsidP="00531C15">
            <w:pPr>
              <w:spacing w:line="240" w:lineRule="exact"/>
              <w:jc w:val="center"/>
              <w:rPr>
                <w:rFonts w:eastAsiaTheme="minorEastAsia"/>
                <w:color w:val="002060"/>
                <w:sz w:val="18"/>
                <w:szCs w:val="18"/>
              </w:rPr>
            </w:pPr>
            <w:r w:rsidRPr="009103ED">
              <w:rPr>
                <w:rFonts w:eastAsiaTheme="minorEastAsia"/>
                <w:color w:val="002060"/>
                <w:sz w:val="18"/>
                <w:szCs w:val="18"/>
              </w:rPr>
              <w:t>50%</w:t>
            </w:r>
          </w:p>
        </w:tc>
        <w:tc>
          <w:tcPr>
            <w:tcW w:w="986" w:type="dxa"/>
            <w:shd w:val="clear" w:color="auto" w:fill="FFFFFF" w:themeFill="background1"/>
          </w:tcPr>
          <w:p w:rsidR="00272A0B" w:rsidRPr="009103ED" w:rsidRDefault="00272A0B" w:rsidP="00531C15">
            <w:pPr>
              <w:spacing w:line="240" w:lineRule="exact"/>
              <w:jc w:val="center"/>
              <w:rPr>
                <w:rFonts w:eastAsiaTheme="minorEastAsia"/>
                <w:color w:val="002060"/>
                <w:sz w:val="18"/>
                <w:szCs w:val="18"/>
                <w:highlight w:val="yellow"/>
              </w:rPr>
            </w:pPr>
            <w:r w:rsidRPr="009103ED">
              <w:rPr>
                <w:rFonts w:eastAsiaTheme="minorEastAsia"/>
                <w:color w:val="002060"/>
                <w:sz w:val="18"/>
                <w:szCs w:val="18"/>
              </w:rPr>
              <w:t>20050127</w:t>
            </w:r>
          </w:p>
        </w:tc>
      </w:tr>
      <w:tr w:rsidR="00272A0B" w:rsidTr="00DE644D">
        <w:trPr>
          <w:trHeight w:val="125"/>
        </w:trPr>
        <w:tc>
          <w:tcPr>
            <w:tcW w:w="2254" w:type="dxa"/>
            <w:gridSpan w:val="2"/>
            <w:shd w:val="clear" w:color="auto" w:fill="FFFFFF" w:themeFill="background1"/>
          </w:tcPr>
          <w:p w:rsidR="00272A0B" w:rsidRPr="009103ED" w:rsidRDefault="00272A0B" w:rsidP="00531C15">
            <w:pPr>
              <w:pStyle w:val="ListParagraph"/>
              <w:spacing w:after="0" w:line="240" w:lineRule="exact"/>
              <w:ind w:left="0"/>
              <w:rPr>
                <w:rFonts w:cs="Times New Roman"/>
                <w:color w:val="002060"/>
                <w:sz w:val="18"/>
                <w:szCs w:val="18"/>
              </w:rPr>
            </w:pPr>
            <w:r w:rsidRPr="009103ED">
              <w:rPr>
                <w:rFonts w:ascii="Calibri" w:hAnsi="Calibri"/>
                <w:color w:val="002060"/>
                <w:sz w:val="18"/>
                <w:szCs w:val="18"/>
              </w:rPr>
              <w:t>Chronic Neck Pain</w:t>
            </w:r>
          </w:p>
        </w:tc>
        <w:tc>
          <w:tcPr>
            <w:tcW w:w="720" w:type="dxa"/>
            <w:shd w:val="clear" w:color="auto" w:fill="FFFFFF" w:themeFill="background1"/>
          </w:tcPr>
          <w:p w:rsidR="00272A0B" w:rsidRPr="009103ED" w:rsidRDefault="00272A0B" w:rsidP="00531C15">
            <w:pPr>
              <w:pStyle w:val="ListParagraph"/>
              <w:spacing w:after="0" w:line="240" w:lineRule="exact"/>
              <w:ind w:left="0"/>
              <w:jc w:val="center"/>
              <w:rPr>
                <w:rFonts w:cs="Times New Roman"/>
                <w:color w:val="002060"/>
                <w:sz w:val="18"/>
                <w:szCs w:val="18"/>
              </w:rPr>
            </w:pPr>
            <w:r w:rsidRPr="009103ED">
              <w:rPr>
                <w:rFonts w:cs="Times New Roman"/>
                <w:color w:val="002060"/>
                <w:sz w:val="18"/>
                <w:szCs w:val="18"/>
              </w:rPr>
              <w:t>5243</w:t>
            </w:r>
          </w:p>
        </w:tc>
        <w:tc>
          <w:tcPr>
            <w:tcW w:w="810" w:type="dxa"/>
            <w:shd w:val="clear" w:color="auto" w:fill="FFFFFF" w:themeFill="background1"/>
          </w:tcPr>
          <w:p w:rsidR="00272A0B" w:rsidRPr="009103ED" w:rsidRDefault="00272A0B" w:rsidP="00531C15">
            <w:pPr>
              <w:pStyle w:val="ListParagraph"/>
              <w:spacing w:after="0" w:line="240" w:lineRule="exact"/>
              <w:ind w:left="0"/>
              <w:jc w:val="center"/>
              <w:rPr>
                <w:rFonts w:cs="Times New Roman"/>
                <w:color w:val="002060"/>
                <w:sz w:val="18"/>
                <w:szCs w:val="18"/>
              </w:rPr>
            </w:pPr>
            <w:r w:rsidRPr="009103ED">
              <w:rPr>
                <w:rFonts w:cs="Times New Roman"/>
                <w:color w:val="002060"/>
                <w:sz w:val="18"/>
                <w:szCs w:val="18"/>
              </w:rPr>
              <w:t>0%</w:t>
            </w:r>
          </w:p>
        </w:tc>
        <w:tc>
          <w:tcPr>
            <w:tcW w:w="990" w:type="dxa"/>
            <w:tcBorders>
              <w:right w:val="thinThickThinSmallGap" w:sz="24" w:space="0" w:color="auto"/>
            </w:tcBorders>
            <w:shd w:val="clear" w:color="auto" w:fill="FFFFFF" w:themeFill="background1"/>
          </w:tcPr>
          <w:p w:rsidR="00272A0B" w:rsidRPr="009103ED" w:rsidRDefault="00272A0B" w:rsidP="00531C15">
            <w:pPr>
              <w:spacing w:line="240" w:lineRule="exact"/>
              <w:rPr>
                <w:color w:val="002060"/>
                <w:sz w:val="18"/>
                <w:szCs w:val="18"/>
              </w:rPr>
            </w:pPr>
            <w:r w:rsidRPr="009103ED">
              <w:rPr>
                <w:rFonts w:cs="Times New Roman"/>
                <w:color w:val="002060"/>
                <w:sz w:val="18"/>
                <w:szCs w:val="18"/>
              </w:rPr>
              <w:t>20040917</w:t>
            </w:r>
          </w:p>
        </w:tc>
        <w:tc>
          <w:tcPr>
            <w:tcW w:w="2610" w:type="dxa"/>
            <w:gridSpan w:val="2"/>
            <w:tcBorders>
              <w:left w:val="thinThickThinSmallGap" w:sz="24" w:space="0" w:color="auto"/>
            </w:tcBorders>
            <w:shd w:val="clear" w:color="auto" w:fill="FFFFFF" w:themeFill="background1"/>
          </w:tcPr>
          <w:p w:rsidR="00272A0B" w:rsidRPr="009103ED" w:rsidRDefault="00272A0B" w:rsidP="00272A0B">
            <w:pPr>
              <w:pStyle w:val="ListParagraph"/>
              <w:spacing w:after="0" w:line="240" w:lineRule="exact"/>
              <w:ind w:left="0"/>
              <w:rPr>
                <w:rFonts w:cs="Times New Roman"/>
                <w:color w:val="002060"/>
                <w:sz w:val="18"/>
                <w:szCs w:val="18"/>
              </w:rPr>
            </w:pPr>
            <w:r w:rsidRPr="009103ED">
              <w:rPr>
                <w:rFonts w:cs="Times New Roman"/>
                <w:color w:val="002060"/>
                <w:sz w:val="18"/>
                <w:szCs w:val="18"/>
              </w:rPr>
              <w:t xml:space="preserve">Cervical Spine, </w:t>
            </w:r>
            <w:proofErr w:type="spellStart"/>
            <w:r w:rsidRPr="009103ED">
              <w:rPr>
                <w:rFonts w:cs="Times New Roman"/>
                <w:color w:val="002060"/>
                <w:sz w:val="18"/>
                <w:szCs w:val="18"/>
              </w:rPr>
              <w:t>Herniation</w:t>
            </w:r>
            <w:proofErr w:type="spellEnd"/>
            <w:r w:rsidRPr="009103ED">
              <w:rPr>
                <w:rFonts w:cs="Times New Roman"/>
                <w:color w:val="002060"/>
                <w:sz w:val="18"/>
                <w:szCs w:val="18"/>
              </w:rPr>
              <w:t>…</w:t>
            </w:r>
          </w:p>
        </w:tc>
        <w:tc>
          <w:tcPr>
            <w:tcW w:w="720" w:type="dxa"/>
            <w:shd w:val="clear" w:color="auto" w:fill="FFFFFF" w:themeFill="background1"/>
          </w:tcPr>
          <w:p w:rsidR="00272A0B" w:rsidRPr="009103ED" w:rsidRDefault="00272A0B" w:rsidP="00531C15">
            <w:pPr>
              <w:spacing w:line="240" w:lineRule="exact"/>
              <w:jc w:val="center"/>
              <w:rPr>
                <w:rFonts w:eastAsiaTheme="minorEastAsia"/>
                <w:color w:val="002060"/>
                <w:sz w:val="18"/>
                <w:szCs w:val="18"/>
              </w:rPr>
            </w:pPr>
            <w:r w:rsidRPr="009103ED">
              <w:rPr>
                <w:color w:val="002060"/>
                <w:sz w:val="18"/>
                <w:szCs w:val="18"/>
              </w:rPr>
              <w:t>5237</w:t>
            </w:r>
          </w:p>
        </w:tc>
        <w:tc>
          <w:tcPr>
            <w:tcW w:w="810" w:type="dxa"/>
            <w:shd w:val="clear" w:color="auto" w:fill="FFFFFF" w:themeFill="background1"/>
          </w:tcPr>
          <w:p w:rsidR="00272A0B" w:rsidRPr="009103ED" w:rsidRDefault="00272A0B" w:rsidP="00531C15">
            <w:pPr>
              <w:spacing w:line="240" w:lineRule="exact"/>
              <w:jc w:val="center"/>
              <w:rPr>
                <w:rFonts w:eastAsiaTheme="minorEastAsia"/>
                <w:color w:val="002060"/>
                <w:sz w:val="18"/>
                <w:szCs w:val="18"/>
              </w:rPr>
            </w:pPr>
            <w:r w:rsidRPr="009103ED">
              <w:rPr>
                <w:color w:val="002060"/>
                <w:sz w:val="18"/>
                <w:szCs w:val="18"/>
              </w:rPr>
              <w:t>10%</w:t>
            </w:r>
          </w:p>
        </w:tc>
        <w:tc>
          <w:tcPr>
            <w:tcW w:w="986" w:type="dxa"/>
            <w:shd w:val="clear" w:color="auto" w:fill="FFFFFF" w:themeFill="background1"/>
          </w:tcPr>
          <w:p w:rsidR="00272A0B" w:rsidRPr="009103ED" w:rsidRDefault="00272A0B" w:rsidP="00531C15">
            <w:pPr>
              <w:spacing w:line="240" w:lineRule="exact"/>
              <w:jc w:val="center"/>
              <w:rPr>
                <w:rFonts w:eastAsiaTheme="minorEastAsia"/>
                <w:color w:val="002060"/>
                <w:sz w:val="18"/>
                <w:szCs w:val="18"/>
                <w:highlight w:val="yellow"/>
              </w:rPr>
            </w:pPr>
            <w:r w:rsidRPr="009103ED">
              <w:rPr>
                <w:rFonts w:eastAsiaTheme="minorEastAsia"/>
                <w:color w:val="002060"/>
                <w:sz w:val="18"/>
                <w:szCs w:val="18"/>
              </w:rPr>
              <w:t>20050127</w:t>
            </w:r>
          </w:p>
        </w:tc>
      </w:tr>
      <w:tr w:rsidR="00DE644D" w:rsidTr="00DE644D">
        <w:trPr>
          <w:trHeight w:val="125"/>
        </w:trPr>
        <w:tc>
          <w:tcPr>
            <w:tcW w:w="1890" w:type="dxa"/>
            <w:tcBorders>
              <w:right w:val="single" w:sz="4" w:space="0" w:color="auto"/>
            </w:tcBorders>
            <w:shd w:val="clear" w:color="auto" w:fill="FFFFFF" w:themeFill="background1"/>
          </w:tcPr>
          <w:p w:rsidR="00DE644D" w:rsidRPr="009103ED" w:rsidRDefault="00DE644D" w:rsidP="00531C15">
            <w:pPr>
              <w:pStyle w:val="ListParagraph"/>
              <w:spacing w:after="0" w:line="240" w:lineRule="exact"/>
              <w:ind w:left="0"/>
              <w:rPr>
                <w:rFonts w:ascii="Calibri" w:hAnsi="Calibri"/>
                <w:color w:val="002060"/>
                <w:sz w:val="18"/>
                <w:szCs w:val="18"/>
              </w:rPr>
            </w:pPr>
            <w:r w:rsidRPr="009103ED">
              <w:rPr>
                <w:rFonts w:ascii="Calibri" w:hAnsi="Calibri"/>
                <w:color w:val="002060"/>
                <w:sz w:val="18"/>
                <w:szCs w:val="18"/>
              </w:rPr>
              <w:t>Right Great Toe Pain…</w:t>
            </w:r>
          </w:p>
        </w:tc>
        <w:tc>
          <w:tcPr>
            <w:tcW w:w="1084" w:type="dxa"/>
            <w:gridSpan w:val="2"/>
            <w:tcBorders>
              <w:left w:val="single" w:sz="4" w:space="0" w:color="auto"/>
            </w:tcBorders>
            <w:shd w:val="clear" w:color="auto" w:fill="FFFFFF" w:themeFill="background1"/>
          </w:tcPr>
          <w:p w:rsidR="00DE644D" w:rsidRPr="009103ED" w:rsidRDefault="00DE644D" w:rsidP="00DE644D">
            <w:pPr>
              <w:pStyle w:val="ListParagraph"/>
              <w:spacing w:after="0" w:line="240" w:lineRule="auto"/>
              <w:ind w:left="0"/>
              <w:jc w:val="center"/>
              <w:rPr>
                <w:rFonts w:cs="Times New Roman"/>
                <w:color w:val="002060"/>
                <w:sz w:val="18"/>
                <w:szCs w:val="18"/>
              </w:rPr>
            </w:pPr>
            <w:r w:rsidRPr="009103ED">
              <w:rPr>
                <w:rFonts w:cs="Times New Roman"/>
                <w:color w:val="002060"/>
                <w:sz w:val="18"/>
                <w:szCs w:val="18"/>
              </w:rPr>
              <w:t>5299-5281</w:t>
            </w:r>
          </w:p>
        </w:tc>
        <w:tc>
          <w:tcPr>
            <w:tcW w:w="810" w:type="dxa"/>
            <w:shd w:val="clear" w:color="auto" w:fill="FFFFFF" w:themeFill="background1"/>
          </w:tcPr>
          <w:p w:rsidR="00DE644D" w:rsidRPr="009103ED" w:rsidRDefault="00DE644D" w:rsidP="00531C15">
            <w:pPr>
              <w:pStyle w:val="ListParagraph"/>
              <w:spacing w:after="0" w:line="240" w:lineRule="exact"/>
              <w:ind w:left="0"/>
              <w:jc w:val="center"/>
              <w:rPr>
                <w:rFonts w:cs="Times New Roman"/>
                <w:color w:val="002060"/>
                <w:sz w:val="18"/>
                <w:szCs w:val="18"/>
              </w:rPr>
            </w:pPr>
            <w:r w:rsidRPr="009103ED">
              <w:rPr>
                <w:rFonts w:cs="Times New Roman"/>
                <w:color w:val="002060"/>
                <w:sz w:val="18"/>
                <w:szCs w:val="18"/>
              </w:rPr>
              <w:t>0%</w:t>
            </w:r>
          </w:p>
        </w:tc>
        <w:tc>
          <w:tcPr>
            <w:tcW w:w="990" w:type="dxa"/>
            <w:tcBorders>
              <w:right w:val="thinThickThinSmallGap" w:sz="24" w:space="0" w:color="auto"/>
            </w:tcBorders>
            <w:shd w:val="clear" w:color="auto" w:fill="FFFFFF" w:themeFill="background1"/>
          </w:tcPr>
          <w:p w:rsidR="00DE644D" w:rsidRPr="009103ED" w:rsidRDefault="00DE644D" w:rsidP="00531C15">
            <w:pPr>
              <w:spacing w:line="240" w:lineRule="exact"/>
              <w:rPr>
                <w:color w:val="002060"/>
                <w:sz w:val="18"/>
                <w:szCs w:val="18"/>
              </w:rPr>
            </w:pPr>
            <w:r w:rsidRPr="009103ED">
              <w:rPr>
                <w:rFonts w:cs="Times New Roman"/>
                <w:color w:val="002060"/>
                <w:sz w:val="18"/>
                <w:szCs w:val="18"/>
              </w:rPr>
              <w:t>20040917</w:t>
            </w:r>
          </w:p>
        </w:tc>
        <w:tc>
          <w:tcPr>
            <w:tcW w:w="2246" w:type="dxa"/>
            <w:tcBorders>
              <w:left w:val="thinThickThinSmallGap" w:sz="24" w:space="0" w:color="auto"/>
              <w:right w:val="single" w:sz="4" w:space="0" w:color="auto"/>
            </w:tcBorders>
            <w:shd w:val="clear" w:color="auto" w:fill="FFFFFF" w:themeFill="background1"/>
          </w:tcPr>
          <w:p w:rsidR="00DE644D" w:rsidRPr="009103ED" w:rsidRDefault="00DE644D" w:rsidP="00272A0B">
            <w:pPr>
              <w:pStyle w:val="ListParagraph"/>
              <w:spacing w:after="0" w:line="240" w:lineRule="exact"/>
              <w:ind w:left="0"/>
              <w:rPr>
                <w:rFonts w:cs="Times New Roman"/>
                <w:color w:val="002060"/>
                <w:sz w:val="18"/>
                <w:szCs w:val="18"/>
              </w:rPr>
            </w:pPr>
            <w:r w:rsidRPr="009103ED">
              <w:rPr>
                <w:rFonts w:cs="Times New Roman"/>
                <w:color w:val="002060"/>
                <w:sz w:val="18"/>
                <w:szCs w:val="18"/>
              </w:rPr>
              <w:t xml:space="preserve">S/P </w:t>
            </w:r>
            <w:proofErr w:type="spellStart"/>
            <w:r w:rsidRPr="009103ED">
              <w:rPr>
                <w:rFonts w:cs="Times New Roman"/>
                <w:color w:val="002060"/>
                <w:sz w:val="18"/>
                <w:szCs w:val="18"/>
              </w:rPr>
              <w:t>Fx</w:t>
            </w:r>
            <w:proofErr w:type="spellEnd"/>
            <w:r w:rsidRPr="009103ED">
              <w:rPr>
                <w:rFonts w:cs="Times New Roman"/>
                <w:color w:val="002060"/>
                <w:sz w:val="18"/>
                <w:szCs w:val="18"/>
              </w:rPr>
              <w:t>…Right Great Toe</w:t>
            </w:r>
          </w:p>
        </w:tc>
        <w:tc>
          <w:tcPr>
            <w:tcW w:w="1084" w:type="dxa"/>
            <w:gridSpan w:val="2"/>
            <w:tcBorders>
              <w:left w:val="single" w:sz="4" w:space="0" w:color="auto"/>
            </w:tcBorders>
            <w:shd w:val="clear" w:color="auto" w:fill="FFFFFF" w:themeFill="background1"/>
          </w:tcPr>
          <w:p w:rsidR="00DE644D" w:rsidRPr="009103ED" w:rsidRDefault="00DE644D" w:rsidP="00DE644D">
            <w:pPr>
              <w:jc w:val="center"/>
              <w:rPr>
                <w:rFonts w:eastAsiaTheme="minorEastAsia"/>
                <w:color w:val="002060"/>
                <w:sz w:val="18"/>
                <w:szCs w:val="18"/>
              </w:rPr>
            </w:pPr>
            <w:r w:rsidRPr="009103ED">
              <w:rPr>
                <w:color w:val="002060"/>
                <w:sz w:val="18"/>
                <w:szCs w:val="18"/>
              </w:rPr>
              <w:t>5199-5171</w:t>
            </w:r>
          </w:p>
        </w:tc>
        <w:tc>
          <w:tcPr>
            <w:tcW w:w="810" w:type="dxa"/>
            <w:shd w:val="clear" w:color="auto" w:fill="FFFFFF" w:themeFill="background1"/>
          </w:tcPr>
          <w:p w:rsidR="00DE644D" w:rsidRPr="009103ED" w:rsidRDefault="00DE644D" w:rsidP="00531C15">
            <w:pPr>
              <w:spacing w:line="240" w:lineRule="exact"/>
              <w:jc w:val="center"/>
              <w:rPr>
                <w:rFonts w:eastAsiaTheme="minorEastAsia"/>
                <w:color w:val="002060"/>
                <w:sz w:val="18"/>
                <w:szCs w:val="18"/>
              </w:rPr>
            </w:pPr>
            <w:r w:rsidRPr="009103ED">
              <w:rPr>
                <w:color w:val="002060"/>
                <w:sz w:val="18"/>
                <w:szCs w:val="18"/>
              </w:rPr>
              <w:t>0%</w:t>
            </w:r>
          </w:p>
        </w:tc>
        <w:tc>
          <w:tcPr>
            <w:tcW w:w="986" w:type="dxa"/>
            <w:shd w:val="clear" w:color="auto" w:fill="FFFFFF" w:themeFill="background1"/>
          </w:tcPr>
          <w:p w:rsidR="00DE644D" w:rsidRPr="009103ED" w:rsidRDefault="00DE644D" w:rsidP="00531C15">
            <w:pPr>
              <w:spacing w:line="240" w:lineRule="exact"/>
              <w:jc w:val="center"/>
              <w:rPr>
                <w:rFonts w:eastAsiaTheme="minorEastAsia"/>
                <w:color w:val="002060"/>
                <w:sz w:val="18"/>
                <w:szCs w:val="18"/>
                <w:highlight w:val="yellow"/>
              </w:rPr>
            </w:pPr>
            <w:r w:rsidRPr="009103ED">
              <w:rPr>
                <w:rFonts w:eastAsiaTheme="minorEastAsia"/>
                <w:color w:val="002060"/>
                <w:sz w:val="18"/>
                <w:szCs w:val="18"/>
              </w:rPr>
              <w:t>20050127</w:t>
            </w:r>
          </w:p>
        </w:tc>
      </w:tr>
      <w:tr w:rsidR="00DE644D" w:rsidTr="00DE644D">
        <w:trPr>
          <w:trHeight w:val="197"/>
        </w:trPr>
        <w:tc>
          <w:tcPr>
            <w:tcW w:w="4774" w:type="dxa"/>
            <w:gridSpan w:val="5"/>
            <w:tcBorders>
              <w:right w:val="thinThickThinSmallGap" w:sz="24" w:space="0" w:color="auto"/>
            </w:tcBorders>
            <w:shd w:val="clear" w:color="auto" w:fill="FFFFFF" w:themeFill="background1"/>
          </w:tcPr>
          <w:p w:rsidR="00DE644D" w:rsidRPr="009103ED" w:rsidRDefault="00DE644D" w:rsidP="00531C15">
            <w:pPr>
              <w:pStyle w:val="ListParagraph"/>
              <w:spacing w:after="0" w:line="240" w:lineRule="auto"/>
              <w:ind w:left="0"/>
              <w:jc w:val="center"/>
              <w:rPr>
                <w:rFonts w:cs="Times New Roman"/>
                <w:b/>
                <w:color w:val="002060"/>
                <w:sz w:val="18"/>
                <w:szCs w:val="18"/>
              </w:rPr>
            </w:pPr>
            <w:r w:rsidRPr="009103ED">
              <w:rPr>
                <w:rFonts w:eastAsiaTheme="minorEastAsia"/>
                <w:color w:val="002060"/>
                <w:sz w:val="18"/>
                <w:szCs w:val="18"/>
              </w:rPr>
              <w:t xml:space="preserve">No Additional DA </w:t>
            </w:r>
            <w:r w:rsidR="00DB550F">
              <w:rPr>
                <w:rFonts w:eastAsiaTheme="minorEastAsia"/>
                <w:color w:val="002060"/>
                <w:sz w:val="18"/>
                <w:szCs w:val="18"/>
              </w:rPr>
              <w:t xml:space="preserve">Form </w:t>
            </w:r>
            <w:r w:rsidRPr="009103ED">
              <w:rPr>
                <w:rFonts w:eastAsiaTheme="minorEastAsia"/>
                <w:color w:val="002060"/>
                <w:sz w:val="18"/>
                <w:szCs w:val="18"/>
              </w:rPr>
              <w:t>3947 Entries.</w:t>
            </w:r>
          </w:p>
        </w:tc>
        <w:tc>
          <w:tcPr>
            <w:tcW w:w="4140" w:type="dxa"/>
            <w:gridSpan w:val="4"/>
            <w:tcBorders>
              <w:left w:val="thinThickThinSmallGap" w:sz="24" w:space="0" w:color="auto"/>
            </w:tcBorders>
            <w:shd w:val="clear" w:color="auto" w:fill="FFFFFF" w:themeFill="background1"/>
          </w:tcPr>
          <w:p w:rsidR="00DE644D" w:rsidRPr="009103ED" w:rsidRDefault="00DE644D" w:rsidP="00690FDA">
            <w:pPr>
              <w:pStyle w:val="ListParagraph"/>
              <w:spacing w:after="0" w:line="240" w:lineRule="auto"/>
              <w:ind w:left="0"/>
              <w:jc w:val="center"/>
              <w:rPr>
                <w:rFonts w:cs="Times New Roman"/>
                <w:color w:val="002060"/>
                <w:sz w:val="18"/>
                <w:szCs w:val="18"/>
              </w:rPr>
            </w:pPr>
            <w:r w:rsidRPr="009103ED">
              <w:rPr>
                <w:rFonts w:cs="Times New Roman"/>
                <w:color w:val="002060"/>
                <w:sz w:val="18"/>
                <w:szCs w:val="18"/>
              </w:rPr>
              <w:t>Non-PEB X  3 / NSC X 4</w:t>
            </w:r>
          </w:p>
        </w:tc>
        <w:tc>
          <w:tcPr>
            <w:tcW w:w="986" w:type="dxa"/>
            <w:shd w:val="clear" w:color="auto" w:fill="FFFFFF" w:themeFill="background1"/>
          </w:tcPr>
          <w:p w:rsidR="00DE644D" w:rsidRPr="009103ED" w:rsidRDefault="00DE644D" w:rsidP="00531C15">
            <w:pPr>
              <w:pStyle w:val="ListParagraph"/>
              <w:spacing w:after="0" w:line="240" w:lineRule="auto"/>
              <w:ind w:left="0"/>
              <w:jc w:val="center"/>
              <w:rPr>
                <w:rFonts w:cs="Times New Roman"/>
                <w:color w:val="002060"/>
                <w:sz w:val="18"/>
                <w:szCs w:val="18"/>
              </w:rPr>
            </w:pPr>
            <w:r w:rsidRPr="009103ED">
              <w:rPr>
                <w:rFonts w:eastAsiaTheme="minorEastAsia"/>
                <w:color w:val="002060"/>
                <w:sz w:val="18"/>
                <w:szCs w:val="18"/>
              </w:rPr>
              <w:t>20050127</w:t>
            </w:r>
          </w:p>
        </w:tc>
      </w:tr>
      <w:tr w:rsidR="00DE644D" w:rsidTr="00DE644D">
        <w:trPr>
          <w:trHeight w:val="242"/>
        </w:trPr>
        <w:tc>
          <w:tcPr>
            <w:tcW w:w="4774" w:type="dxa"/>
            <w:gridSpan w:val="5"/>
            <w:tcBorders>
              <w:right w:val="thinThickThinSmallGap" w:sz="24" w:space="0" w:color="auto"/>
            </w:tcBorders>
            <w:shd w:val="clear" w:color="auto" w:fill="C6D9F1" w:themeFill="text2" w:themeFillTint="33"/>
          </w:tcPr>
          <w:p w:rsidR="00DE644D" w:rsidRPr="009103ED" w:rsidRDefault="00DE644D" w:rsidP="00531C15">
            <w:pPr>
              <w:pStyle w:val="ListParagraph"/>
              <w:spacing w:after="0" w:line="240" w:lineRule="auto"/>
              <w:ind w:left="0"/>
              <w:jc w:val="center"/>
              <w:rPr>
                <w:rFonts w:cs="Times New Roman"/>
                <w:b/>
                <w:color w:val="002060"/>
                <w:sz w:val="20"/>
                <w:szCs w:val="20"/>
              </w:rPr>
            </w:pPr>
            <w:r w:rsidRPr="009103ED">
              <w:rPr>
                <w:rFonts w:cs="Times New Roman"/>
                <w:b/>
                <w:color w:val="002060"/>
                <w:sz w:val="20"/>
                <w:szCs w:val="20"/>
              </w:rPr>
              <w:t>TOTAL Combined:  0%</w:t>
            </w:r>
          </w:p>
        </w:tc>
        <w:tc>
          <w:tcPr>
            <w:tcW w:w="5126" w:type="dxa"/>
            <w:gridSpan w:val="5"/>
            <w:tcBorders>
              <w:left w:val="thinThickThinSmallGap" w:sz="24" w:space="0" w:color="auto"/>
            </w:tcBorders>
            <w:shd w:val="clear" w:color="auto" w:fill="C6D9F1" w:themeFill="text2" w:themeFillTint="33"/>
          </w:tcPr>
          <w:p w:rsidR="00DE644D" w:rsidRPr="009103ED" w:rsidRDefault="00DE644D" w:rsidP="00531C15">
            <w:pPr>
              <w:pStyle w:val="ListParagraph"/>
              <w:spacing w:after="0" w:line="240" w:lineRule="auto"/>
              <w:ind w:left="0"/>
              <w:jc w:val="center"/>
              <w:rPr>
                <w:rFonts w:cs="Times New Roman"/>
                <w:b/>
                <w:color w:val="002060"/>
                <w:sz w:val="20"/>
                <w:szCs w:val="20"/>
              </w:rPr>
            </w:pPr>
            <w:r w:rsidRPr="009103ED">
              <w:rPr>
                <w:rFonts w:cs="Times New Roman"/>
                <w:b/>
                <w:color w:val="002060"/>
                <w:sz w:val="20"/>
                <w:szCs w:val="20"/>
              </w:rPr>
              <w:t>TOTAL Combined (</w:t>
            </w:r>
            <w:r w:rsidRPr="009103ED">
              <w:rPr>
                <w:rFonts w:cs="Times New Roman"/>
                <w:b/>
                <w:i/>
                <w:color w:val="002060"/>
                <w:sz w:val="20"/>
                <w:szCs w:val="20"/>
              </w:rPr>
              <w:t>Includes Non-PEB Conditions</w:t>
            </w:r>
            <w:r w:rsidRPr="009103ED">
              <w:rPr>
                <w:rFonts w:cs="Times New Roman"/>
                <w:b/>
                <w:color w:val="002060"/>
                <w:sz w:val="20"/>
                <w:szCs w:val="20"/>
              </w:rPr>
              <w:t xml:space="preserve">):    60%                                                                         </w:t>
            </w:r>
            <w:r w:rsidRPr="009103ED">
              <w:rPr>
                <w:rFonts w:cs="Times New Roman"/>
                <w:color w:val="002060"/>
                <w:sz w:val="20"/>
                <w:szCs w:val="20"/>
              </w:rPr>
              <w:t xml:space="preserve"> </w:t>
            </w:r>
          </w:p>
        </w:tc>
      </w:tr>
    </w:tbl>
    <w:p w:rsidR="00A90D55" w:rsidRPr="00D91DA6" w:rsidRDefault="00A90D55" w:rsidP="00875F2D">
      <w:pPr>
        <w:tabs>
          <w:tab w:val="left" w:pos="288"/>
          <w:tab w:val="left" w:pos="4752"/>
        </w:tabs>
        <w:spacing w:line="240" w:lineRule="exact"/>
        <w:jc w:val="both"/>
        <w:rPr>
          <w:color w:val="000080"/>
        </w:rPr>
      </w:pPr>
    </w:p>
    <w:p w:rsidR="002C6E5B" w:rsidRPr="00E15BA1" w:rsidRDefault="002C6E5B" w:rsidP="002C6E5B">
      <w:pPr>
        <w:tabs>
          <w:tab w:val="left" w:pos="288"/>
          <w:tab w:val="left" w:pos="4752"/>
        </w:tabs>
        <w:spacing w:line="240" w:lineRule="exact"/>
        <w:jc w:val="both"/>
        <w:rPr>
          <w:color w:val="000080"/>
        </w:rPr>
      </w:pPr>
      <w:r w:rsidRPr="00E15BA1">
        <w:rPr>
          <w:color w:val="000080"/>
          <w:u w:val="single"/>
        </w:rPr>
        <w:t>ANALYSIS SUMMARY</w:t>
      </w:r>
      <w:r w:rsidRPr="00E15BA1">
        <w:rPr>
          <w:color w:val="000080"/>
        </w:rPr>
        <w:t>:</w:t>
      </w:r>
    </w:p>
    <w:p w:rsidR="002C6E5B" w:rsidRPr="00E15BA1" w:rsidRDefault="002C6E5B" w:rsidP="002C6E5B">
      <w:pPr>
        <w:tabs>
          <w:tab w:val="left" w:pos="288"/>
          <w:tab w:val="left" w:pos="4752"/>
        </w:tabs>
        <w:spacing w:line="240" w:lineRule="exact"/>
        <w:jc w:val="both"/>
        <w:rPr>
          <w:color w:val="000080"/>
        </w:rPr>
      </w:pPr>
    </w:p>
    <w:p w:rsidR="00F0357C" w:rsidRPr="00E15BA1" w:rsidRDefault="00FF1699" w:rsidP="00E15BA1">
      <w:pPr>
        <w:tabs>
          <w:tab w:val="left" w:pos="288"/>
          <w:tab w:val="left" w:pos="4752"/>
        </w:tabs>
        <w:spacing w:line="240" w:lineRule="exact"/>
        <w:jc w:val="both"/>
        <w:rPr>
          <w:color w:val="000080"/>
        </w:rPr>
      </w:pPr>
      <w:proofErr w:type="gramStart"/>
      <w:r w:rsidRPr="00E15BA1">
        <w:rPr>
          <w:color w:val="000080"/>
          <w:u w:val="single"/>
        </w:rPr>
        <w:t>OSA Requiring CPAP</w:t>
      </w:r>
      <w:r w:rsidRPr="00E15BA1">
        <w:rPr>
          <w:color w:val="000080"/>
        </w:rPr>
        <w:t>.</w:t>
      </w:r>
      <w:proofErr w:type="gramEnd"/>
      <w:r w:rsidRPr="00E15BA1">
        <w:rPr>
          <w:color w:val="000080"/>
        </w:rPr>
        <w:t xml:space="preserve">  The PEB rating was based on provisions of </w:t>
      </w:r>
      <w:proofErr w:type="spellStart"/>
      <w:r w:rsidRPr="00E15BA1">
        <w:rPr>
          <w:color w:val="000080"/>
        </w:rPr>
        <w:t>DoDI</w:t>
      </w:r>
      <w:proofErr w:type="spellEnd"/>
      <w:r w:rsidRPr="00E15BA1">
        <w:rPr>
          <w:color w:val="000080"/>
        </w:rPr>
        <w:t xml:space="preserve"> 1332.39 (E2.A1.2.21).  </w:t>
      </w:r>
      <w:r w:rsidR="009103ED" w:rsidRPr="00E15BA1">
        <w:rPr>
          <w:color w:val="000080"/>
        </w:rPr>
        <w:t>The</w:t>
      </w:r>
      <w:r w:rsidR="00E734E7" w:rsidRPr="00E15BA1">
        <w:rPr>
          <w:color w:val="000080"/>
        </w:rPr>
        <w:t xml:space="preserve"> rating IAW VASRD §4.100</w:t>
      </w:r>
      <w:r w:rsidR="009103ED" w:rsidRPr="00E15BA1">
        <w:rPr>
          <w:color w:val="000080"/>
        </w:rPr>
        <w:t xml:space="preserve"> is 50%, as applied by the VA</w:t>
      </w:r>
      <w:r w:rsidR="00E734E7" w:rsidRPr="00E15BA1">
        <w:rPr>
          <w:color w:val="000080"/>
        </w:rPr>
        <w:t xml:space="preserve">.  </w:t>
      </w:r>
      <w:r w:rsidR="00F7647D" w:rsidRPr="00E15BA1">
        <w:rPr>
          <w:color w:val="000080"/>
        </w:rPr>
        <w:t>If in agreement with the PEB conclusion that OSA was indeed unfitting</w:t>
      </w:r>
      <w:r w:rsidR="00011DDA" w:rsidRPr="00E15BA1">
        <w:rPr>
          <w:color w:val="000080"/>
        </w:rPr>
        <w:t>,</w:t>
      </w:r>
      <w:r w:rsidR="00F7647D" w:rsidRPr="00E15BA1">
        <w:rPr>
          <w:color w:val="000080"/>
        </w:rPr>
        <w:t xml:space="preserve"> the Board must base its rating recommendation on the VASRD </w:t>
      </w:r>
      <w:r w:rsidR="00011DDA" w:rsidRPr="00E15BA1">
        <w:rPr>
          <w:color w:val="000080"/>
        </w:rPr>
        <w:t xml:space="preserve">standard (IAW </w:t>
      </w:r>
      <w:proofErr w:type="spellStart"/>
      <w:r w:rsidR="00011DDA" w:rsidRPr="00E15BA1">
        <w:rPr>
          <w:color w:val="000080"/>
        </w:rPr>
        <w:t>DoDI</w:t>
      </w:r>
      <w:proofErr w:type="spellEnd"/>
      <w:r w:rsidR="00011DDA" w:rsidRPr="00E15BA1">
        <w:rPr>
          <w:color w:val="000080"/>
        </w:rPr>
        <w:t xml:space="preserve"> 6040.44).  This case, however, precipitated an extended Board discussion regarding the issue of fitness.  The </w:t>
      </w:r>
      <w:r w:rsidR="009F670F" w:rsidRPr="00E15BA1">
        <w:rPr>
          <w:color w:val="000080"/>
        </w:rPr>
        <w:t xml:space="preserve">approach to OSA </w:t>
      </w:r>
      <w:r w:rsidR="00011DDA" w:rsidRPr="00E15BA1">
        <w:rPr>
          <w:color w:val="000080"/>
        </w:rPr>
        <w:t xml:space="preserve">fitness adjudications </w:t>
      </w:r>
      <w:r w:rsidR="003635E9">
        <w:rPr>
          <w:color w:val="000080"/>
        </w:rPr>
        <w:t xml:space="preserve">by </w:t>
      </w:r>
      <w:r w:rsidR="003635E9" w:rsidRPr="00E15BA1">
        <w:rPr>
          <w:color w:val="000080"/>
        </w:rPr>
        <w:t xml:space="preserve">PEB’s </w:t>
      </w:r>
      <w:r w:rsidR="00011DDA" w:rsidRPr="00E15BA1">
        <w:rPr>
          <w:color w:val="000080"/>
        </w:rPr>
        <w:t>across the service</w:t>
      </w:r>
      <w:r w:rsidR="003635E9">
        <w:rPr>
          <w:color w:val="000080"/>
        </w:rPr>
        <w:t>s</w:t>
      </w:r>
      <w:r w:rsidR="00011DDA" w:rsidRPr="00E15BA1">
        <w:rPr>
          <w:color w:val="000080"/>
        </w:rPr>
        <w:t xml:space="preserve"> </w:t>
      </w:r>
      <w:r w:rsidR="00F0357C" w:rsidRPr="00E15BA1">
        <w:rPr>
          <w:color w:val="000080"/>
        </w:rPr>
        <w:t xml:space="preserve">has evolved since </w:t>
      </w:r>
      <w:r w:rsidR="008958D6" w:rsidRPr="00E15BA1">
        <w:rPr>
          <w:color w:val="000080"/>
        </w:rPr>
        <w:t xml:space="preserve">the PEB adjudication of </w:t>
      </w:r>
      <w:r w:rsidR="00F0357C" w:rsidRPr="00E15BA1">
        <w:rPr>
          <w:color w:val="000080"/>
        </w:rPr>
        <w:t>this case.  Members are no</w:t>
      </w:r>
      <w:r w:rsidR="008958D6" w:rsidRPr="00E15BA1">
        <w:rPr>
          <w:color w:val="000080"/>
        </w:rPr>
        <w:t xml:space="preserve"> longer </w:t>
      </w:r>
      <w:r w:rsidR="00F0357C" w:rsidRPr="00E15BA1">
        <w:rPr>
          <w:color w:val="000080"/>
        </w:rPr>
        <w:t xml:space="preserve">considered unfit solely on the basis of </w:t>
      </w:r>
      <w:r w:rsidR="00E15BA1">
        <w:rPr>
          <w:color w:val="000080"/>
        </w:rPr>
        <w:t>the need for CPAP</w:t>
      </w:r>
      <w:r w:rsidR="00F0357C" w:rsidRPr="00E15BA1">
        <w:rPr>
          <w:color w:val="000080"/>
        </w:rPr>
        <w:t xml:space="preserve">, since </w:t>
      </w:r>
      <w:r w:rsidR="002972B1" w:rsidRPr="00E15BA1">
        <w:rPr>
          <w:color w:val="000080"/>
        </w:rPr>
        <w:t xml:space="preserve">it has been demonstrated that </w:t>
      </w:r>
      <w:r w:rsidR="00F0357C" w:rsidRPr="00E15BA1">
        <w:rPr>
          <w:color w:val="000080"/>
        </w:rPr>
        <w:t xml:space="preserve">the electrical and maintenance requirements can be met even in austere deployment environments.  The standard for fitness adjudication has </w:t>
      </w:r>
      <w:r w:rsidR="003471E3" w:rsidRPr="00E15BA1">
        <w:rPr>
          <w:color w:val="000080"/>
        </w:rPr>
        <w:t>rather</w:t>
      </w:r>
      <w:r w:rsidR="00F0357C" w:rsidRPr="00E15BA1">
        <w:rPr>
          <w:color w:val="000080"/>
        </w:rPr>
        <w:t xml:space="preserve"> become whether or not the symptoms of OSA are adequately controlled so as not to impair </w:t>
      </w:r>
      <w:r w:rsidR="00DB550F" w:rsidRPr="00DB550F">
        <w:rPr>
          <w:color w:val="000080"/>
        </w:rPr>
        <w:t xml:space="preserve">Military Occupational Specialty </w:t>
      </w:r>
      <w:r w:rsidR="00DB550F">
        <w:rPr>
          <w:color w:val="000080"/>
        </w:rPr>
        <w:t>(</w:t>
      </w:r>
      <w:r w:rsidR="00F0357C" w:rsidRPr="00E15BA1">
        <w:rPr>
          <w:color w:val="000080"/>
        </w:rPr>
        <w:t>MOS</w:t>
      </w:r>
      <w:r w:rsidR="00DB550F">
        <w:rPr>
          <w:color w:val="000080"/>
        </w:rPr>
        <w:t>)</w:t>
      </w:r>
      <w:r w:rsidR="00F0357C" w:rsidRPr="00E15BA1">
        <w:rPr>
          <w:color w:val="000080"/>
        </w:rPr>
        <w:t xml:space="preserve"> performance to an unfitting extent (independently of CPAP requirement).  </w:t>
      </w:r>
      <w:r w:rsidR="003430A2" w:rsidRPr="00E15BA1">
        <w:rPr>
          <w:color w:val="000080"/>
        </w:rPr>
        <w:t xml:space="preserve">The Board is supportive of this approach since it allows many members to continue in service who would have otherwise been medically discharged, and there has been no evidence that </w:t>
      </w:r>
      <w:r w:rsidR="003471E3" w:rsidRPr="00E15BA1">
        <w:rPr>
          <w:color w:val="000080"/>
        </w:rPr>
        <w:t xml:space="preserve">it places </w:t>
      </w:r>
      <w:r w:rsidR="003430A2" w:rsidRPr="00E15BA1">
        <w:rPr>
          <w:color w:val="000080"/>
        </w:rPr>
        <w:t xml:space="preserve">members at medical risk.  </w:t>
      </w:r>
      <w:r w:rsidR="003471E3" w:rsidRPr="00E15BA1">
        <w:rPr>
          <w:color w:val="000080"/>
        </w:rPr>
        <w:t xml:space="preserve">The Board also strives to establish uniformity in its recommendations for similar cases </w:t>
      </w:r>
      <w:r w:rsidR="003471E3" w:rsidRPr="003C27E1">
        <w:rPr>
          <w:color w:val="000080"/>
        </w:rPr>
        <w:t xml:space="preserve">regardless of the applicant’s separation date.  </w:t>
      </w:r>
      <w:r w:rsidR="00457678" w:rsidRPr="003C27E1">
        <w:rPr>
          <w:color w:val="000080"/>
        </w:rPr>
        <w:t>Disparate rating recommendations are sometimes forced by changes in the VASRD over time, but the decision at hand does not involve rating.</w:t>
      </w:r>
      <w:r w:rsidR="00457678" w:rsidRPr="00E15BA1">
        <w:rPr>
          <w:color w:val="000080"/>
        </w:rPr>
        <w:t xml:space="preserve">  </w:t>
      </w:r>
      <w:r w:rsidR="003C27E1">
        <w:rPr>
          <w:color w:val="000080"/>
        </w:rPr>
        <w:t>In</w:t>
      </w:r>
      <w:r w:rsidR="00457678" w:rsidRPr="00E15BA1">
        <w:rPr>
          <w:color w:val="000080"/>
        </w:rPr>
        <w:t xml:space="preserve"> a case such as this one with other unfitting conditions as well as OSA</w:t>
      </w:r>
      <w:r w:rsidR="00F675F6" w:rsidRPr="00E15BA1">
        <w:rPr>
          <w:color w:val="000080"/>
        </w:rPr>
        <w:t xml:space="preserve">, the </w:t>
      </w:r>
      <w:r w:rsidR="00930D8C" w:rsidRPr="00E15BA1">
        <w:rPr>
          <w:color w:val="000080"/>
        </w:rPr>
        <w:t xml:space="preserve">historical </w:t>
      </w:r>
      <w:r w:rsidR="00F675F6" w:rsidRPr="00E15BA1">
        <w:rPr>
          <w:color w:val="000080"/>
        </w:rPr>
        <w:t xml:space="preserve">variance in the PEB’s fitness adjudications for OSA </w:t>
      </w:r>
      <w:r w:rsidR="00930D8C" w:rsidRPr="00E15BA1">
        <w:rPr>
          <w:color w:val="000080"/>
        </w:rPr>
        <w:t xml:space="preserve">creates a 50% rating gulf between applicants with the same severity of OSA but different separation dates.  </w:t>
      </w:r>
      <w:r w:rsidR="00074F54" w:rsidRPr="00E15BA1">
        <w:rPr>
          <w:color w:val="000080"/>
        </w:rPr>
        <w:t>The Board believes that the same ‘ruler’ should be used for all applicants and that it is unreasonable to default to the outdated practice of finding CPAP, not OSA, unfitting.</w:t>
      </w:r>
      <w:r w:rsidR="002972B1" w:rsidRPr="00E15BA1">
        <w:rPr>
          <w:color w:val="000080"/>
        </w:rPr>
        <w:t xml:space="preserve">  It would be a violation of </w:t>
      </w:r>
      <w:proofErr w:type="spellStart"/>
      <w:r w:rsidR="002972B1" w:rsidRPr="00E15BA1">
        <w:rPr>
          <w:color w:val="000080"/>
        </w:rPr>
        <w:t>DoDI</w:t>
      </w:r>
      <w:proofErr w:type="spellEnd"/>
      <w:r w:rsidR="002972B1" w:rsidRPr="00E15BA1">
        <w:rPr>
          <w:color w:val="000080"/>
        </w:rPr>
        <w:t xml:space="preserve"> 6040.4 4, however, for the Board to defend this principle at the expense of a lower combined disability rating than that already granted by the PEB.  </w:t>
      </w:r>
      <w:r w:rsidR="00947E8A" w:rsidRPr="00E15BA1">
        <w:rPr>
          <w:color w:val="000080"/>
        </w:rPr>
        <w:t>That is not a prohibitive constraint in this case.</w:t>
      </w:r>
    </w:p>
    <w:p w:rsidR="00074F54" w:rsidRPr="00E15BA1" w:rsidRDefault="00074F54" w:rsidP="00E15BA1">
      <w:pPr>
        <w:tabs>
          <w:tab w:val="left" w:pos="288"/>
          <w:tab w:val="left" w:pos="4752"/>
        </w:tabs>
        <w:spacing w:line="240" w:lineRule="exact"/>
        <w:jc w:val="both"/>
        <w:rPr>
          <w:color w:val="000080"/>
        </w:rPr>
      </w:pPr>
    </w:p>
    <w:p w:rsidR="00473281" w:rsidRPr="00E15BA1" w:rsidRDefault="009F670F" w:rsidP="00E15BA1">
      <w:pPr>
        <w:tabs>
          <w:tab w:val="left" w:pos="288"/>
          <w:tab w:val="left" w:pos="4752"/>
        </w:tabs>
        <w:spacing w:line="240" w:lineRule="exact"/>
        <w:jc w:val="both"/>
        <w:rPr>
          <w:color w:val="000080"/>
        </w:rPr>
      </w:pPr>
      <w:r w:rsidRPr="00E15BA1">
        <w:rPr>
          <w:color w:val="000080"/>
        </w:rPr>
        <w:t xml:space="preserve">The language in the PEB’s DA </w:t>
      </w:r>
      <w:r w:rsidR="00DB550F">
        <w:rPr>
          <w:color w:val="000080"/>
        </w:rPr>
        <w:t xml:space="preserve">Form </w:t>
      </w:r>
      <w:r w:rsidRPr="00E15BA1">
        <w:rPr>
          <w:color w:val="000080"/>
        </w:rPr>
        <w:t>199 makes it clear that the limitations imposed by CPAP were the main basis for its fitness determination.  It states, ‘Oc</w:t>
      </w:r>
      <w:r w:rsidR="00D51D62">
        <w:rPr>
          <w:color w:val="000080"/>
        </w:rPr>
        <w:t>casional daytime somnolence.  C</w:t>
      </w:r>
      <w:r w:rsidRPr="00E15BA1">
        <w:rPr>
          <w:color w:val="000080"/>
        </w:rPr>
        <w:t xml:space="preserve">PAP requires reliable electric power source and regular technical </w:t>
      </w:r>
      <w:r w:rsidRPr="00E15BA1">
        <w:rPr>
          <w:color w:val="000080"/>
        </w:rPr>
        <w:lastRenderedPageBreak/>
        <w:t>maintenance.  Proper operation of the machine cannot be achieved outside of a home or barracks environment.  Rated for daytime impairment mild to none</w:t>
      </w:r>
      <w:r w:rsidR="00D51D62">
        <w:rPr>
          <w:color w:val="000080"/>
        </w:rPr>
        <w:t>...</w:t>
      </w:r>
      <w:r w:rsidRPr="00E15BA1">
        <w:rPr>
          <w:color w:val="000080"/>
        </w:rPr>
        <w:t xml:space="preserve">’  </w:t>
      </w:r>
      <w:r w:rsidR="002972B1" w:rsidRPr="00E15BA1">
        <w:rPr>
          <w:color w:val="000080"/>
        </w:rPr>
        <w:t>A focus of Board deliberation was whether the severity of symptoms, not the need for CPAP, was unfitting in this case.</w:t>
      </w:r>
      <w:r w:rsidR="00947E8A" w:rsidRPr="00E15BA1">
        <w:rPr>
          <w:color w:val="000080"/>
        </w:rPr>
        <w:t xml:space="preserve">  </w:t>
      </w:r>
      <w:r w:rsidR="00397CB5" w:rsidRPr="00E15BA1">
        <w:rPr>
          <w:color w:val="000080"/>
        </w:rPr>
        <w:t xml:space="preserve">Key evidence in support of a favorable decision for the CI was the opinion expressed by the MEB physician in the </w:t>
      </w:r>
      <w:r w:rsidR="00DB550F">
        <w:rPr>
          <w:color w:val="000080"/>
        </w:rPr>
        <w:t>narrative summary (</w:t>
      </w:r>
      <w:r w:rsidR="00397CB5" w:rsidRPr="00E15BA1">
        <w:rPr>
          <w:color w:val="000080"/>
        </w:rPr>
        <w:t>NARSUM</w:t>
      </w:r>
      <w:r w:rsidR="00DB550F">
        <w:rPr>
          <w:color w:val="000080"/>
        </w:rPr>
        <w:t>)</w:t>
      </w:r>
      <w:r w:rsidR="00397CB5" w:rsidRPr="00E15BA1">
        <w:rPr>
          <w:color w:val="000080"/>
        </w:rPr>
        <w:t xml:space="preserve">.  </w:t>
      </w:r>
      <w:r w:rsidR="003635E9">
        <w:rPr>
          <w:color w:val="000080"/>
        </w:rPr>
        <w:t>It</w:t>
      </w:r>
      <w:r w:rsidR="00397CB5" w:rsidRPr="00E15BA1">
        <w:rPr>
          <w:color w:val="000080"/>
        </w:rPr>
        <w:t xml:space="preserve"> states </w:t>
      </w:r>
      <w:r w:rsidR="00D51D62">
        <w:rPr>
          <w:color w:val="000080"/>
        </w:rPr>
        <w:t>that OSA ‘...</w:t>
      </w:r>
      <w:r w:rsidR="00397CB5" w:rsidRPr="00E15BA1">
        <w:rPr>
          <w:color w:val="000080"/>
        </w:rPr>
        <w:t xml:space="preserve">significantly affects his ability to do his job.  It primarily affects his cognitive ability to do the administrative work required of his MOS.  He is also unable to drive for long distances.’  Furthermore the Commander’s letter states ‘[CI’s name] inability to focus on tasks stemming from fatigue is not conducive to an environment that deals with sensitive items and inventories.’  </w:t>
      </w:r>
      <w:r w:rsidR="001C5FA1" w:rsidRPr="00E15BA1">
        <w:rPr>
          <w:color w:val="000080"/>
        </w:rPr>
        <w:t xml:space="preserve">Regarding the probative value of these statements, the following </w:t>
      </w:r>
      <w:r w:rsidR="003F4A25" w:rsidRPr="00E15BA1">
        <w:rPr>
          <w:color w:val="000080"/>
        </w:rPr>
        <w:t>factors</w:t>
      </w:r>
      <w:r w:rsidR="001C5FA1" w:rsidRPr="00E15BA1">
        <w:rPr>
          <w:color w:val="000080"/>
        </w:rPr>
        <w:t xml:space="preserve"> were </w:t>
      </w:r>
      <w:r w:rsidR="003F4A25" w:rsidRPr="00E15BA1">
        <w:rPr>
          <w:color w:val="000080"/>
        </w:rPr>
        <w:t>discussed</w:t>
      </w:r>
      <w:r w:rsidR="001C5FA1" w:rsidRPr="00E15BA1">
        <w:rPr>
          <w:color w:val="000080"/>
        </w:rPr>
        <w:t xml:space="preserve">.  The MEB physician </w:t>
      </w:r>
      <w:r w:rsidR="003F4A25" w:rsidRPr="00E15BA1">
        <w:rPr>
          <w:color w:val="000080"/>
        </w:rPr>
        <w:t xml:space="preserve">was remote from the CI’s duty assignment and it is unlikely that the history was independently confirmed.  </w:t>
      </w:r>
      <w:r w:rsidR="00E55F9E" w:rsidRPr="00E15BA1">
        <w:rPr>
          <w:color w:val="000080"/>
        </w:rPr>
        <w:t xml:space="preserve">In that regard, the history is suspect based on </w:t>
      </w:r>
      <w:r w:rsidR="003635E9">
        <w:rPr>
          <w:color w:val="000080"/>
        </w:rPr>
        <w:t xml:space="preserve">evidence that the CI’s account of his symptoms may have been overstated.  </w:t>
      </w:r>
      <w:r w:rsidR="001070A6">
        <w:rPr>
          <w:color w:val="000080"/>
        </w:rPr>
        <w:t>A</w:t>
      </w:r>
      <w:r w:rsidR="00E55F9E" w:rsidRPr="00E15BA1">
        <w:rPr>
          <w:color w:val="000080"/>
        </w:rPr>
        <w:t xml:space="preserve"> subsequent VA examiner’s note f</w:t>
      </w:r>
      <w:r w:rsidR="001070A6">
        <w:rPr>
          <w:color w:val="000080"/>
        </w:rPr>
        <w:t>rom</w:t>
      </w:r>
      <w:r w:rsidR="00E55F9E" w:rsidRPr="00E15BA1">
        <w:rPr>
          <w:color w:val="000080"/>
        </w:rPr>
        <w:t xml:space="preserve"> a rating examination for the CI’s back condition stated, ‘The veteran's range of motion was very restricted and very guarded during range of motion trials.  However, it is noted that following his range of motion trials he was able to bend fully forward to 90 degrees to tie his shoes to get redressed from the examination.’  The rating decision </w:t>
      </w:r>
      <w:r w:rsidR="00755829">
        <w:rPr>
          <w:color w:val="000080"/>
        </w:rPr>
        <w:t>consequently</w:t>
      </w:r>
      <w:r w:rsidR="001070A6">
        <w:rPr>
          <w:color w:val="000080"/>
        </w:rPr>
        <w:t xml:space="preserve"> </w:t>
      </w:r>
      <w:r w:rsidR="00E55F9E" w:rsidRPr="00E15BA1">
        <w:rPr>
          <w:color w:val="000080"/>
        </w:rPr>
        <w:t>discounted th</w:t>
      </w:r>
      <w:r w:rsidR="001070A6">
        <w:rPr>
          <w:color w:val="000080"/>
        </w:rPr>
        <w:t>e</w:t>
      </w:r>
      <w:r w:rsidR="00E55F9E" w:rsidRPr="00E15BA1">
        <w:rPr>
          <w:color w:val="000080"/>
        </w:rPr>
        <w:t xml:space="preserve"> exam.  Such documentation cannot help but introduce a degree of skepticism </w:t>
      </w:r>
      <w:r w:rsidR="009D5F3B" w:rsidRPr="00E15BA1">
        <w:rPr>
          <w:color w:val="000080"/>
        </w:rPr>
        <w:t>in Board members for making a recommendation based solely on the CI’s statements to the MEB physician.  Regarding the Commander’s statement, it is noted that it was perfunctory and written by a Human Resources Officer</w:t>
      </w:r>
      <w:r w:rsidR="00323918">
        <w:rPr>
          <w:color w:val="000080"/>
        </w:rPr>
        <w:t>, then signed by a Warrant Officer, neither one of whom</w:t>
      </w:r>
      <w:r w:rsidR="008958D6" w:rsidRPr="00E15BA1">
        <w:rPr>
          <w:color w:val="000080"/>
        </w:rPr>
        <w:t xml:space="preserve"> was the Commanding O</w:t>
      </w:r>
      <w:r w:rsidR="009D5F3B" w:rsidRPr="00E15BA1">
        <w:rPr>
          <w:color w:val="000080"/>
        </w:rPr>
        <w:t xml:space="preserve">fficer signing the CI’s evaluations.   </w:t>
      </w:r>
    </w:p>
    <w:p w:rsidR="00473281" w:rsidRPr="00E15BA1" w:rsidRDefault="00473281" w:rsidP="00E15BA1">
      <w:pPr>
        <w:tabs>
          <w:tab w:val="left" w:pos="288"/>
          <w:tab w:val="left" w:pos="4752"/>
        </w:tabs>
        <w:spacing w:line="240" w:lineRule="exact"/>
        <w:jc w:val="both"/>
        <w:rPr>
          <w:color w:val="000080"/>
        </w:rPr>
      </w:pPr>
    </w:p>
    <w:p w:rsidR="00074F54" w:rsidRPr="00E15BA1" w:rsidRDefault="00EC4F39" w:rsidP="00E15BA1">
      <w:pPr>
        <w:tabs>
          <w:tab w:val="left" w:pos="288"/>
          <w:tab w:val="left" w:pos="4752"/>
        </w:tabs>
        <w:spacing w:line="240" w:lineRule="exact"/>
        <w:jc w:val="both"/>
        <w:rPr>
          <w:color w:val="000080"/>
        </w:rPr>
      </w:pPr>
      <w:r w:rsidRPr="00E15BA1">
        <w:rPr>
          <w:color w:val="000080"/>
        </w:rPr>
        <w:t xml:space="preserve">There is, conversely, persuasive evidence that the CI’s performance was not significantly impaired by </w:t>
      </w:r>
      <w:r w:rsidR="00F7299F" w:rsidRPr="00E15BA1">
        <w:rPr>
          <w:color w:val="000080"/>
        </w:rPr>
        <w:t xml:space="preserve">diminished </w:t>
      </w:r>
      <w:r w:rsidRPr="00E15BA1">
        <w:rPr>
          <w:color w:val="000080"/>
        </w:rPr>
        <w:t>mental faculties or fatigue issues.  Perhaps the most compelling is the VA rating examiner</w:t>
      </w:r>
      <w:r w:rsidR="0080762C" w:rsidRPr="00E15BA1">
        <w:rPr>
          <w:color w:val="000080"/>
        </w:rPr>
        <w:t>’s documentation</w:t>
      </w:r>
      <w:r w:rsidRPr="00E15BA1">
        <w:rPr>
          <w:color w:val="000080"/>
        </w:rPr>
        <w:t xml:space="preserve"> that </w:t>
      </w:r>
      <w:r w:rsidR="00D51D62">
        <w:rPr>
          <w:color w:val="000080"/>
        </w:rPr>
        <w:t>t</w:t>
      </w:r>
      <w:r w:rsidRPr="00E15BA1">
        <w:rPr>
          <w:color w:val="000080"/>
        </w:rPr>
        <w:t xml:space="preserve">he </w:t>
      </w:r>
      <w:r w:rsidR="00D51D62">
        <w:rPr>
          <w:color w:val="000080"/>
        </w:rPr>
        <w:t xml:space="preserve">CI </w:t>
      </w:r>
      <w:r w:rsidRPr="00E15BA1">
        <w:rPr>
          <w:color w:val="000080"/>
        </w:rPr>
        <w:t xml:space="preserve">was employed (commencing prior to separation) as an executive for the Department of Health and also </w:t>
      </w:r>
      <w:r w:rsidR="0080762C" w:rsidRPr="00E15BA1">
        <w:rPr>
          <w:color w:val="000080"/>
        </w:rPr>
        <w:t>doing</w:t>
      </w:r>
      <w:r w:rsidR="00F7299F" w:rsidRPr="00E15BA1">
        <w:rPr>
          <w:color w:val="000080"/>
        </w:rPr>
        <w:t xml:space="preserve"> PhD </w:t>
      </w:r>
      <w:r w:rsidR="0080762C" w:rsidRPr="00E15BA1">
        <w:rPr>
          <w:color w:val="000080"/>
        </w:rPr>
        <w:t>coursework toward a</w:t>
      </w:r>
      <w:r w:rsidR="00F7299F" w:rsidRPr="00E15BA1">
        <w:rPr>
          <w:color w:val="000080"/>
        </w:rPr>
        <w:t xml:space="preserve"> business</w:t>
      </w:r>
      <w:r w:rsidR="0080762C" w:rsidRPr="00E15BA1">
        <w:rPr>
          <w:color w:val="000080"/>
        </w:rPr>
        <w:t xml:space="preserve"> degree</w:t>
      </w:r>
      <w:r w:rsidR="00F7299F" w:rsidRPr="00E15BA1">
        <w:rPr>
          <w:color w:val="000080"/>
        </w:rPr>
        <w:t xml:space="preserve">.  This is essentially </w:t>
      </w:r>
      <w:r w:rsidR="00F7299F" w:rsidRPr="00D51D62">
        <w:rPr>
          <w:i/>
          <w:color w:val="000080"/>
        </w:rPr>
        <w:t xml:space="preserve">prima </w:t>
      </w:r>
      <w:proofErr w:type="spellStart"/>
      <w:r w:rsidR="00F7299F" w:rsidRPr="00D51D62">
        <w:rPr>
          <w:i/>
          <w:color w:val="000080"/>
        </w:rPr>
        <w:t>fascie</w:t>
      </w:r>
      <w:proofErr w:type="spellEnd"/>
      <w:r w:rsidR="00F7299F" w:rsidRPr="00E15BA1">
        <w:rPr>
          <w:color w:val="000080"/>
        </w:rPr>
        <w:t xml:space="preserve"> evidence that he was </w:t>
      </w:r>
      <w:r w:rsidR="003061A5" w:rsidRPr="00E15BA1">
        <w:rPr>
          <w:color w:val="000080"/>
        </w:rPr>
        <w:t xml:space="preserve">fit to perform in his Supply Specialist </w:t>
      </w:r>
      <w:r w:rsidR="0015079B" w:rsidRPr="00E15BA1">
        <w:rPr>
          <w:color w:val="000080"/>
        </w:rPr>
        <w:t xml:space="preserve">MOS.  His NCO evaluations </w:t>
      </w:r>
      <w:r w:rsidR="003061A5" w:rsidRPr="00E15BA1">
        <w:rPr>
          <w:color w:val="000080"/>
        </w:rPr>
        <w:t xml:space="preserve">remained strong throughout the period after he was diagnosed with OSA and placed on CPAP.  </w:t>
      </w:r>
      <w:r w:rsidR="0015079B" w:rsidRPr="00E15BA1">
        <w:rPr>
          <w:color w:val="000080"/>
        </w:rPr>
        <w:t xml:space="preserve">Reports in the pre-separation period contain such statements as </w:t>
      </w:r>
      <w:r w:rsidR="003061A5" w:rsidRPr="00E15BA1">
        <w:rPr>
          <w:color w:val="000080"/>
        </w:rPr>
        <w:t>‘</w:t>
      </w:r>
      <w:r w:rsidR="0015079B" w:rsidRPr="00E15BA1">
        <w:rPr>
          <w:color w:val="000080"/>
        </w:rPr>
        <w:t>m</w:t>
      </w:r>
      <w:r w:rsidR="003061A5" w:rsidRPr="00E15BA1">
        <w:rPr>
          <w:color w:val="000080"/>
        </w:rPr>
        <w:t>aintains without loss, accountability for over $774,000 worth of organizational and installation equipment</w:t>
      </w:r>
      <w:r w:rsidR="0015079B" w:rsidRPr="00E15BA1">
        <w:rPr>
          <w:color w:val="000080"/>
        </w:rPr>
        <w:t xml:space="preserve">’ and ‘meticulous attention to detail’.  Additionally there is clinical evidence challenging the stated severity of OSA symptoms at the time of separation.  A follow-up sleep study was </w:t>
      </w:r>
      <w:r w:rsidR="00473281" w:rsidRPr="00E15BA1">
        <w:rPr>
          <w:color w:val="000080"/>
        </w:rPr>
        <w:t xml:space="preserve">performed two months prior to separation.  This documented no awakenings, </w:t>
      </w:r>
      <w:r w:rsidR="00EB3898">
        <w:rPr>
          <w:color w:val="000080"/>
        </w:rPr>
        <w:t>near normal sleep efficiency and REM pattern with</w:t>
      </w:r>
      <w:r w:rsidR="00473281" w:rsidRPr="00E15BA1">
        <w:rPr>
          <w:color w:val="000080"/>
        </w:rPr>
        <w:t xml:space="preserve"> ‘light’ snoring.  The lowest oxygen saturation recorded was 92%</w:t>
      </w:r>
      <w:r w:rsidR="008958D6" w:rsidRPr="00E15BA1">
        <w:rPr>
          <w:color w:val="000080"/>
        </w:rPr>
        <w:t xml:space="preserve"> (normal variance)</w:t>
      </w:r>
      <w:r w:rsidR="00473281" w:rsidRPr="00E15BA1">
        <w:rPr>
          <w:color w:val="000080"/>
        </w:rPr>
        <w:t xml:space="preserve">.  It is difficult to reconcile these findings with such daytime symptoms as </w:t>
      </w:r>
      <w:proofErr w:type="spellStart"/>
      <w:r w:rsidR="00473281" w:rsidRPr="00E15BA1">
        <w:rPr>
          <w:color w:val="000080"/>
        </w:rPr>
        <w:t>hypersomnolence</w:t>
      </w:r>
      <w:proofErr w:type="spellEnd"/>
      <w:r w:rsidR="00473281" w:rsidRPr="00E15BA1">
        <w:rPr>
          <w:color w:val="000080"/>
        </w:rPr>
        <w:t xml:space="preserve">, fatigue or inability to drive long </w:t>
      </w:r>
      <w:r w:rsidR="00473281" w:rsidRPr="00E15BA1">
        <w:rPr>
          <w:color w:val="000080"/>
        </w:rPr>
        <w:lastRenderedPageBreak/>
        <w:t>distances.</w:t>
      </w:r>
      <w:r w:rsidR="00DF0524">
        <w:rPr>
          <w:color w:val="000080"/>
        </w:rPr>
        <w:t xml:space="preserve">  Although </w:t>
      </w:r>
      <w:r w:rsidR="00755829">
        <w:rPr>
          <w:color w:val="000080"/>
        </w:rPr>
        <w:t>a</w:t>
      </w:r>
      <w:r w:rsidR="00DF0524">
        <w:rPr>
          <w:color w:val="000080"/>
        </w:rPr>
        <w:t xml:space="preserve"> sleep study cannot by any stretch be considered a ‘gold standard’ for predicting </w:t>
      </w:r>
      <w:r w:rsidR="0027178F">
        <w:rPr>
          <w:color w:val="000080"/>
        </w:rPr>
        <w:t>daytime symptoms, the average patient with these results would be considered well controlled.</w:t>
      </w:r>
    </w:p>
    <w:p w:rsidR="0080762C" w:rsidRPr="00E15BA1" w:rsidRDefault="0080762C" w:rsidP="00E15BA1">
      <w:pPr>
        <w:tabs>
          <w:tab w:val="left" w:pos="288"/>
          <w:tab w:val="left" w:pos="4752"/>
        </w:tabs>
        <w:spacing w:line="240" w:lineRule="exact"/>
        <w:jc w:val="both"/>
        <w:rPr>
          <w:color w:val="000080"/>
        </w:rPr>
      </w:pPr>
    </w:p>
    <w:p w:rsidR="00011DDA" w:rsidRPr="00E15BA1" w:rsidRDefault="00B73952" w:rsidP="00E15BA1">
      <w:pPr>
        <w:tabs>
          <w:tab w:val="left" w:pos="288"/>
          <w:tab w:val="left" w:pos="4752"/>
        </w:tabs>
        <w:spacing w:line="240" w:lineRule="exact"/>
        <w:jc w:val="both"/>
        <w:rPr>
          <w:color w:val="000080"/>
        </w:rPr>
      </w:pPr>
      <w:r w:rsidRPr="00E15BA1">
        <w:rPr>
          <w:color w:val="000080"/>
        </w:rPr>
        <w:t xml:space="preserve">After lengthy deliberation, the Board </w:t>
      </w:r>
      <w:r w:rsidR="007C77AE" w:rsidRPr="00E15BA1">
        <w:rPr>
          <w:color w:val="000080"/>
        </w:rPr>
        <w:t xml:space="preserve">decided there was not convincing evidence that the CI was unfit for his MOS as a result of the medical consequences of </w:t>
      </w:r>
      <w:r w:rsidR="00D51D62">
        <w:rPr>
          <w:color w:val="000080"/>
        </w:rPr>
        <w:t>OSA</w:t>
      </w:r>
      <w:r w:rsidR="007C77AE" w:rsidRPr="00E15BA1">
        <w:rPr>
          <w:color w:val="000080"/>
        </w:rPr>
        <w:t xml:space="preserve">.  As elaborated above, the Board cannot justify a recommendation that OSA is unfitting based solely on the need for CPAP.  The Board, therefore, does not find reasonable doubt in the CI’s favor for </w:t>
      </w:r>
      <w:r w:rsidR="00A104D5" w:rsidRPr="00E15BA1">
        <w:rPr>
          <w:color w:val="000080"/>
        </w:rPr>
        <w:t>supporting the PEB’s fitness adjudication for the OSA condition.</w:t>
      </w:r>
      <w:r w:rsidR="00E55F9E" w:rsidRPr="00E15BA1">
        <w:rPr>
          <w:color w:val="000080"/>
        </w:rPr>
        <w:tab/>
      </w:r>
    </w:p>
    <w:p w:rsidR="00FF1699" w:rsidRPr="00E15BA1" w:rsidRDefault="00FF1699" w:rsidP="00E15BA1">
      <w:pPr>
        <w:tabs>
          <w:tab w:val="left" w:pos="288"/>
          <w:tab w:val="left" w:pos="4752"/>
        </w:tabs>
        <w:spacing w:line="240" w:lineRule="exact"/>
        <w:jc w:val="both"/>
        <w:rPr>
          <w:color w:val="000080"/>
        </w:rPr>
      </w:pPr>
    </w:p>
    <w:p w:rsidR="002C6E5B" w:rsidRPr="00E15BA1" w:rsidRDefault="00FF1699" w:rsidP="00E15BA1">
      <w:pPr>
        <w:tabs>
          <w:tab w:val="left" w:pos="288"/>
          <w:tab w:val="left" w:pos="4752"/>
        </w:tabs>
        <w:spacing w:line="240" w:lineRule="exact"/>
        <w:jc w:val="both"/>
        <w:rPr>
          <w:color w:val="000080"/>
        </w:rPr>
      </w:pPr>
      <w:proofErr w:type="gramStart"/>
      <w:r w:rsidRPr="00D51D62">
        <w:rPr>
          <w:color w:val="000080"/>
          <w:u w:val="single"/>
        </w:rPr>
        <w:t xml:space="preserve">Cervical </w:t>
      </w:r>
      <w:r w:rsidR="002C6E5B" w:rsidRPr="00D51D62">
        <w:rPr>
          <w:color w:val="000080"/>
          <w:u w:val="single"/>
        </w:rPr>
        <w:t>Condition</w:t>
      </w:r>
      <w:r w:rsidR="002C6E5B" w:rsidRPr="00E15BA1">
        <w:rPr>
          <w:color w:val="000080"/>
        </w:rPr>
        <w:t>.</w:t>
      </w:r>
      <w:proofErr w:type="gramEnd"/>
      <w:r w:rsidR="002C6E5B" w:rsidRPr="00E15BA1">
        <w:rPr>
          <w:color w:val="000080"/>
        </w:rPr>
        <w:t xml:space="preserve">  </w:t>
      </w:r>
      <w:r w:rsidR="00FA4E43" w:rsidRPr="00E15BA1">
        <w:rPr>
          <w:color w:val="000080"/>
        </w:rPr>
        <w:t xml:space="preserve">The NARSUM exam for the neck stated ‘Neck has full range of motion without any spinal tenderness.’  </w:t>
      </w:r>
      <w:r w:rsidR="002C6E5B" w:rsidRPr="00E15BA1">
        <w:rPr>
          <w:color w:val="000080"/>
        </w:rPr>
        <w:t>The</w:t>
      </w:r>
      <w:r w:rsidR="00FA4E43" w:rsidRPr="00E15BA1">
        <w:rPr>
          <w:color w:val="000080"/>
        </w:rPr>
        <w:t xml:space="preserve"> PEB’s DA </w:t>
      </w:r>
      <w:r w:rsidR="00290F49">
        <w:rPr>
          <w:color w:val="000080"/>
        </w:rPr>
        <w:t xml:space="preserve">Form </w:t>
      </w:r>
      <w:r w:rsidR="00FA4E43" w:rsidRPr="00E15BA1">
        <w:rPr>
          <w:color w:val="000080"/>
        </w:rPr>
        <w:t>199</w:t>
      </w:r>
      <w:r w:rsidR="004A2C78" w:rsidRPr="00E15BA1">
        <w:rPr>
          <w:color w:val="000080"/>
        </w:rPr>
        <w:t xml:space="preserve"> quoted this exam in rationale for a 0% rating, stating ‘it does not meet the criteria for even the lowest rating provided in the VASRD.’  </w:t>
      </w:r>
      <w:r w:rsidR="00C3077A" w:rsidRPr="00E15BA1">
        <w:rPr>
          <w:color w:val="000080"/>
        </w:rPr>
        <w:t xml:space="preserve">Although it referenced the VASRD and not the USAPDA pain policy for its decision, the PEB ignored the VASRD requirement for </w:t>
      </w:r>
      <w:r w:rsidR="00A104D5" w:rsidRPr="00E15BA1">
        <w:rPr>
          <w:color w:val="000080"/>
        </w:rPr>
        <w:t xml:space="preserve">goniometric </w:t>
      </w:r>
      <w:r w:rsidR="00C3077A" w:rsidRPr="00E15BA1">
        <w:rPr>
          <w:color w:val="000080"/>
        </w:rPr>
        <w:t xml:space="preserve">range-of-motion (ROM) measurements as well as consideration of VASRD §4.49 (painful motion).  </w:t>
      </w:r>
      <w:r w:rsidR="004A2C78" w:rsidRPr="00E15BA1">
        <w:rPr>
          <w:color w:val="000080"/>
        </w:rPr>
        <w:t xml:space="preserve">A full set of cervical </w:t>
      </w:r>
      <w:r w:rsidR="00C3077A" w:rsidRPr="00E15BA1">
        <w:rPr>
          <w:color w:val="000080"/>
        </w:rPr>
        <w:t>ROM</w:t>
      </w:r>
      <w:r w:rsidR="004A2C78" w:rsidRPr="00E15BA1">
        <w:rPr>
          <w:color w:val="000080"/>
        </w:rPr>
        <w:t xml:space="preserve"> measurements w</w:t>
      </w:r>
      <w:r w:rsidR="00C3077A" w:rsidRPr="00E15BA1">
        <w:rPr>
          <w:color w:val="000080"/>
        </w:rPr>
        <w:t>as</w:t>
      </w:r>
      <w:r w:rsidR="004A2C78" w:rsidRPr="00E15BA1">
        <w:rPr>
          <w:color w:val="000080"/>
        </w:rPr>
        <w:t xml:space="preserve"> provided in an orthopedic evaluation for the MEB, however.  </w:t>
      </w:r>
      <w:r w:rsidR="00C3077A" w:rsidRPr="00E15BA1">
        <w:rPr>
          <w:color w:val="000080"/>
        </w:rPr>
        <w:t xml:space="preserve">Although </w:t>
      </w:r>
      <w:r w:rsidR="004A2C78" w:rsidRPr="00E15BA1">
        <w:rPr>
          <w:color w:val="000080"/>
        </w:rPr>
        <w:t>titled ‘Fitness for Duty Evaluation’</w:t>
      </w:r>
      <w:r w:rsidR="00C3077A" w:rsidRPr="00E15BA1">
        <w:rPr>
          <w:color w:val="000080"/>
        </w:rPr>
        <w:t>, the orthopedic evaluation</w:t>
      </w:r>
      <w:r w:rsidR="004A2C78" w:rsidRPr="00E15BA1">
        <w:rPr>
          <w:color w:val="000080"/>
        </w:rPr>
        <w:t xml:space="preserve"> </w:t>
      </w:r>
      <w:r w:rsidR="00C3077A" w:rsidRPr="00E15BA1">
        <w:rPr>
          <w:color w:val="000080"/>
        </w:rPr>
        <w:t>was</w:t>
      </w:r>
      <w:r w:rsidR="004A2C78" w:rsidRPr="00E15BA1">
        <w:rPr>
          <w:color w:val="000080"/>
        </w:rPr>
        <w:t xml:space="preserve"> in the typical format for a specialty addendum to the NARSUM.  </w:t>
      </w:r>
      <w:r w:rsidR="00C3077A" w:rsidRPr="00E15BA1">
        <w:rPr>
          <w:color w:val="000080"/>
        </w:rPr>
        <w:t>This</w:t>
      </w:r>
      <w:r w:rsidR="003A6D0F" w:rsidRPr="00E15BA1">
        <w:rPr>
          <w:color w:val="000080"/>
        </w:rPr>
        <w:t xml:space="preserve"> exam did not specify if the measurements were obtained by goniometry</w:t>
      </w:r>
      <w:r w:rsidR="00C3077A" w:rsidRPr="00E15BA1">
        <w:rPr>
          <w:color w:val="000080"/>
        </w:rPr>
        <w:t xml:space="preserve"> but included all six values required for rating under the spine formula.  I</w:t>
      </w:r>
      <w:r w:rsidR="003A6D0F" w:rsidRPr="00E15BA1">
        <w:rPr>
          <w:color w:val="000080"/>
        </w:rPr>
        <w:t xml:space="preserve">t is summarized along with the VA rating examination in the chart below.  </w:t>
      </w:r>
    </w:p>
    <w:p w:rsidR="00560D57" w:rsidRDefault="00560D57" w:rsidP="002C6E5B">
      <w:pPr>
        <w:tabs>
          <w:tab w:val="left" w:pos="288"/>
          <w:tab w:val="left" w:pos="4752"/>
        </w:tabs>
        <w:spacing w:line="240" w:lineRule="exact"/>
        <w:rPr>
          <w:rFonts w:asciiTheme="minorHAnsi" w:hAnsiTheme="minorHAnsi"/>
          <w:color w:val="auto"/>
          <w:szCs w:val="24"/>
        </w:rPr>
      </w:pPr>
    </w:p>
    <w:tbl>
      <w:tblPr>
        <w:tblW w:w="5850" w:type="dxa"/>
        <w:tblInd w:w="1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0"/>
        <w:gridCol w:w="1710"/>
        <w:gridCol w:w="1980"/>
      </w:tblGrid>
      <w:tr w:rsidR="004141D6" w:rsidRPr="007862B0" w:rsidTr="00A104D5">
        <w:tc>
          <w:tcPr>
            <w:tcW w:w="2160" w:type="dxa"/>
            <w:shd w:val="clear" w:color="auto" w:fill="C6D9F1" w:themeFill="text2" w:themeFillTint="33"/>
          </w:tcPr>
          <w:p w:rsidR="004141D6" w:rsidRPr="00D51D62" w:rsidRDefault="004141D6" w:rsidP="00531C15">
            <w:pPr>
              <w:pStyle w:val="ListParagraph"/>
              <w:spacing w:after="0" w:line="240" w:lineRule="exact"/>
              <w:ind w:left="0"/>
              <w:jc w:val="center"/>
              <w:rPr>
                <w:rFonts w:ascii="Calibri" w:eastAsia="Calibri" w:hAnsi="Calibri" w:cs="Times New Roman"/>
                <w:color w:val="002060"/>
              </w:rPr>
            </w:pPr>
            <w:r w:rsidRPr="00D51D62">
              <w:rPr>
                <w:rFonts w:ascii="Calibri" w:eastAsia="Calibri" w:hAnsi="Calibri" w:cs="Times New Roman"/>
                <w:color w:val="002060"/>
              </w:rPr>
              <w:t>Cervical ROM</w:t>
            </w:r>
          </w:p>
        </w:tc>
        <w:tc>
          <w:tcPr>
            <w:tcW w:w="1710" w:type="dxa"/>
            <w:shd w:val="clear" w:color="auto" w:fill="C6D9F1" w:themeFill="text2" w:themeFillTint="33"/>
          </w:tcPr>
          <w:p w:rsidR="004141D6" w:rsidRPr="00D51D62" w:rsidRDefault="004141D6" w:rsidP="004141D6">
            <w:pPr>
              <w:pStyle w:val="ListParagraph"/>
              <w:spacing w:after="0" w:line="240" w:lineRule="exact"/>
              <w:ind w:left="0"/>
              <w:jc w:val="center"/>
              <w:rPr>
                <w:rFonts w:ascii="Calibri" w:eastAsia="Calibri" w:hAnsi="Calibri" w:cs="Times New Roman"/>
                <w:color w:val="002060"/>
              </w:rPr>
            </w:pPr>
            <w:r w:rsidRPr="00D51D62">
              <w:rPr>
                <w:rFonts w:ascii="Calibri" w:eastAsia="Calibri" w:hAnsi="Calibri" w:cs="Times New Roman"/>
                <w:color w:val="002060"/>
              </w:rPr>
              <w:t>MEB – 4/29/04</w:t>
            </w:r>
          </w:p>
        </w:tc>
        <w:tc>
          <w:tcPr>
            <w:tcW w:w="1980" w:type="dxa"/>
            <w:shd w:val="clear" w:color="auto" w:fill="C6D9F1" w:themeFill="text2" w:themeFillTint="33"/>
          </w:tcPr>
          <w:p w:rsidR="004141D6" w:rsidRPr="00D51D62" w:rsidRDefault="004141D6" w:rsidP="004141D6">
            <w:pPr>
              <w:pStyle w:val="ListParagraph"/>
              <w:spacing w:after="0" w:line="240" w:lineRule="exact"/>
              <w:ind w:left="0"/>
              <w:jc w:val="center"/>
              <w:rPr>
                <w:rFonts w:ascii="Calibri" w:hAnsi="Calibri"/>
                <w:color w:val="002060"/>
              </w:rPr>
            </w:pPr>
            <w:r w:rsidRPr="00D51D62">
              <w:rPr>
                <w:rFonts w:ascii="Calibri" w:eastAsia="Calibri" w:hAnsi="Calibri" w:cs="Times New Roman"/>
                <w:color w:val="002060"/>
              </w:rPr>
              <w:t>VA</w:t>
            </w:r>
            <w:r w:rsidRPr="00D51D62">
              <w:rPr>
                <w:rFonts w:ascii="Calibri" w:hAnsi="Calibri"/>
                <w:color w:val="002060"/>
              </w:rPr>
              <w:t xml:space="preserve"> C&amp;P – </w:t>
            </w:r>
            <w:r w:rsidRPr="00D51D62">
              <w:rPr>
                <w:rFonts w:ascii="Calibri" w:eastAsia="Calibri" w:hAnsi="Calibri" w:cs="Times New Roman"/>
                <w:color w:val="002060"/>
              </w:rPr>
              <w:t>1/27/05</w:t>
            </w:r>
          </w:p>
        </w:tc>
      </w:tr>
      <w:tr w:rsidR="004141D6" w:rsidRPr="00140096" w:rsidTr="00A104D5">
        <w:tc>
          <w:tcPr>
            <w:tcW w:w="2160" w:type="dxa"/>
          </w:tcPr>
          <w:p w:rsidR="004141D6" w:rsidRPr="00D51D62" w:rsidRDefault="004141D6" w:rsidP="00531C15">
            <w:pPr>
              <w:pStyle w:val="ListParagraph"/>
              <w:spacing w:after="0" w:line="240" w:lineRule="exact"/>
              <w:ind w:left="0"/>
              <w:rPr>
                <w:rFonts w:ascii="Calibri" w:eastAsia="Calibri" w:hAnsi="Calibri" w:cs="Times New Roman"/>
                <w:color w:val="002060"/>
              </w:rPr>
            </w:pPr>
            <w:r w:rsidRPr="00D51D62">
              <w:rPr>
                <w:rFonts w:ascii="Calibri" w:eastAsia="Calibri" w:hAnsi="Calibri" w:cs="Times New Roman"/>
                <w:color w:val="002060"/>
              </w:rPr>
              <w:t>Flexion</w:t>
            </w:r>
          </w:p>
        </w:tc>
        <w:tc>
          <w:tcPr>
            <w:tcW w:w="1710" w:type="dxa"/>
          </w:tcPr>
          <w:p w:rsidR="004141D6" w:rsidRPr="00D51D62" w:rsidRDefault="004141D6" w:rsidP="00531C15">
            <w:pPr>
              <w:pStyle w:val="ListParagraph"/>
              <w:spacing w:after="0" w:line="240" w:lineRule="exact"/>
              <w:ind w:left="0"/>
              <w:jc w:val="center"/>
              <w:rPr>
                <w:rFonts w:ascii="Calibri" w:eastAsia="Calibri" w:hAnsi="Calibri" w:cs="Times New Roman"/>
                <w:color w:val="002060"/>
              </w:rPr>
            </w:pPr>
            <w:r w:rsidRPr="00D51D62">
              <w:rPr>
                <w:rFonts w:ascii="Calibri" w:eastAsia="Calibri" w:hAnsi="Calibri" w:cs="Times New Roman"/>
                <w:color w:val="002060"/>
              </w:rPr>
              <w:t>40⁰</w:t>
            </w:r>
          </w:p>
        </w:tc>
        <w:tc>
          <w:tcPr>
            <w:tcW w:w="1980" w:type="dxa"/>
          </w:tcPr>
          <w:p w:rsidR="004141D6" w:rsidRPr="00D51D62" w:rsidRDefault="004141D6" w:rsidP="00531C15">
            <w:pPr>
              <w:pStyle w:val="ListParagraph"/>
              <w:spacing w:after="0" w:line="240" w:lineRule="exact"/>
              <w:ind w:left="0"/>
              <w:jc w:val="center"/>
              <w:rPr>
                <w:rFonts w:ascii="Calibri" w:eastAsia="Calibri" w:hAnsi="Calibri" w:cs="Times New Roman"/>
                <w:color w:val="002060"/>
              </w:rPr>
            </w:pPr>
            <w:r w:rsidRPr="00D51D62">
              <w:rPr>
                <w:rFonts w:ascii="Calibri" w:eastAsia="Calibri" w:hAnsi="Calibri" w:cs="Times New Roman"/>
                <w:color w:val="002060"/>
              </w:rPr>
              <w:t>40⁰</w:t>
            </w:r>
          </w:p>
        </w:tc>
      </w:tr>
      <w:tr w:rsidR="004141D6" w:rsidRPr="00D340CE" w:rsidTr="00A104D5">
        <w:tc>
          <w:tcPr>
            <w:tcW w:w="2160" w:type="dxa"/>
          </w:tcPr>
          <w:p w:rsidR="004141D6" w:rsidRPr="00D51D62" w:rsidRDefault="004141D6" w:rsidP="00531C15">
            <w:pPr>
              <w:pStyle w:val="ListParagraph"/>
              <w:spacing w:after="0" w:line="240" w:lineRule="exact"/>
              <w:ind w:left="0"/>
              <w:rPr>
                <w:rFonts w:ascii="Calibri" w:eastAsia="Calibri" w:hAnsi="Calibri" w:cs="Times New Roman"/>
                <w:color w:val="002060"/>
              </w:rPr>
            </w:pPr>
            <w:r w:rsidRPr="00D51D62">
              <w:rPr>
                <w:rFonts w:ascii="Calibri" w:eastAsia="Calibri" w:hAnsi="Calibri" w:cs="Times New Roman"/>
                <w:color w:val="002060"/>
              </w:rPr>
              <w:t>Combined</w:t>
            </w:r>
          </w:p>
        </w:tc>
        <w:tc>
          <w:tcPr>
            <w:tcW w:w="1710" w:type="dxa"/>
          </w:tcPr>
          <w:p w:rsidR="004141D6" w:rsidRPr="00D51D62" w:rsidRDefault="004141D6" w:rsidP="00560D57">
            <w:pPr>
              <w:pStyle w:val="ListParagraph"/>
              <w:spacing w:after="0" w:line="240" w:lineRule="exact"/>
              <w:ind w:left="0"/>
              <w:jc w:val="center"/>
              <w:rPr>
                <w:rFonts w:ascii="Calibri" w:eastAsia="Calibri" w:hAnsi="Calibri" w:cs="Times New Roman"/>
                <w:color w:val="002060"/>
              </w:rPr>
            </w:pPr>
            <w:r w:rsidRPr="00D51D62">
              <w:rPr>
                <w:rFonts w:ascii="Calibri" w:eastAsia="Calibri" w:hAnsi="Calibri" w:cs="Times New Roman"/>
                <w:color w:val="002060"/>
              </w:rPr>
              <w:t xml:space="preserve">270⁰ </w:t>
            </w:r>
          </w:p>
        </w:tc>
        <w:tc>
          <w:tcPr>
            <w:tcW w:w="1980" w:type="dxa"/>
          </w:tcPr>
          <w:p w:rsidR="004141D6" w:rsidRPr="00D51D62" w:rsidRDefault="004141D6" w:rsidP="00531C15">
            <w:pPr>
              <w:pStyle w:val="ListParagraph"/>
              <w:spacing w:after="0" w:line="240" w:lineRule="exact"/>
              <w:ind w:left="0"/>
              <w:jc w:val="center"/>
              <w:rPr>
                <w:rFonts w:ascii="Calibri" w:eastAsia="Calibri" w:hAnsi="Calibri" w:cs="Times New Roman"/>
                <w:color w:val="002060"/>
              </w:rPr>
            </w:pPr>
            <w:r w:rsidRPr="00D51D62">
              <w:rPr>
                <w:rFonts w:ascii="Calibri" w:eastAsia="Calibri" w:hAnsi="Calibri" w:cs="Times New Roman"/>
                <w:color w:val="002060"/>
              </w:rPr>
              <w:t>≥340⁰</w:t>
            </w:r>
          </w:p>
        </w:tc>
      </w:tr>
      <w:tr w:rsidR="004141D6" w:rsidRPr="004E0248" w:rsidTr="00A104D5">
        <w:tc>
          <w:tcPr>
            <w:tcW w:w="2160" w:type="dxa"/>
          </w:tcPr>
          <w:p w:rsidR="004141D6" w:rsidRPr="00D51D62" w:rsidRDefault="004141D6" w:rsidP="004E0248">
            <w:pPr>
              <w:tabs>
                <w:tab w:val="left" w:pos="288"/>
                <w:tab w:val="left" w:pos="4752"/>
              </w:tabs>
              <w:spacing w:line="240" w:lineRule="exact"/>
              <w:rPr>
                <w:rFonts w:asciiTheme="minorHAnsi" w:eastAsiaTheme="minorHAnsi" w:hAnsiTheme="minorHAnsi"/>
                <w:color w:val="002060"/>
                <w:sz w:val="22"/>
                <w:szCs w:val="22"/>
              </w:rPr>
            </w:pPr>
            <w:r w:rsidRPr="00D51D62">
              <w:rPr>
                <w:rFonts w:asciiTheme="minorHAnsi" w:eastAsiaTheme="minorHAnsi" w:hAnsiTheme="minorHAnsi"/>
                <w:color w:val="002060"/>
                <w:sz w:val="22"/>
                <w:szCs w:val="22"/>
              </w:rPr>
              <w:t>§4.71a Rating</w:t>
            </w:r>
          </w:p>
        </w:tc>
        <w:tc>
          <w:tcPr>
            <w:tcW w:w="1710" w:type="dxa"/>
          </w:tcPr>
          <w:p w:rsidR="004141D6" w:rsidRPr="00D51D62" w:rsidRDefault="004141D6" w:rsidP="004E0248">
            <w:pPr>
              <w:tabs>
                <w:tab w:val="left" w:pos="288"/>
                <w:tab w:val="left" w:pos="4752"/>
              </w:tabs>
              <w:spacing w:line="240" w:lineRule="exact"/>
              <w:jc w:val="center"/>
              <w:rPr>
                <w:rFonts w:asciiTheme="minorHAnsi" w:eastAsiaTheme="minorHAnsi" w:hAnsiTheme="minorHAnsi"/>
                <w:color w:val="002060"/>
                <w:sz w:val="22"/>
                <w:szCs w:val="22"/>
              </w:rPr>
            </w:pPr>
            <w:r w:rsidRPr="00D51D62">
              <w:rPr>
                <w:rFonts w:asciiTheme="minorHAnsi" w:eastAsiaTheme="minorHAnsi" w:hAnsiTheme="minorHAnsi"/>
                <w:color w:val="002060"/>
                <w:sz w:val="22"/>
                <w:szCs w:val="22"/>
              </w:rPr>
              <w:t>10%</w:t>
            </w:r>
          </w:p>
        </w:tc>
        <w:tc>
          <w:tcPr>
            <w:tcW w:w="1980" w:type="dxa"/>
          </w:tcPr>
          <w:p w:rsidR="004141D6" w:rsidRPr="00D51D62" w:rsidRDefault="004141D6" w:rsidP="004E0248">
            <w:pPr>
              <w:tabs>
                <w:tab w:val="left" w:pos="288"/>
                <w:tab w:val="left" w:pos="4752"/>
              </w:tabs>
              <w:spacing w:line="240" w:lineRule="exact"/>
              <w:jc w:val="center"/>
              <w:rPr>
                <w:rFonts w:asciiTheme="minorHAnsi" w:eastAsiaTheme="minorHAnsi" w:hAnsiTheme="minorHAnsi"/>
                <w:color w:val="002060"/>
                <w:sz w:val="22"/>
                <w:szCs w:val="22"/>
              </w:rPr>
            </w:pPr>
            <w:r w:rsidRPr="00D51D62">
              <w:rPr>
                <w:rFonts w:asciiTheme="minorHAnsi" w:eastAsiaTheme="minorHAnsi" w:hAnsiTheme="minorHAnsi"/>
                <w:color w:val="002060"/>
                <w:sz w:val="22"/>
                <w:szCs w:val="22"/>
              </w:rPr>
              <w:t>10%</w:t>
            </w:r>
          </w:p>
        </w:tc>
      </w:tr>
    </w:tbl>
    <w:p w:rsidR="00560D57" w:rsidRDefault="00560D57" w:rsidP="002C6E5B">
      <w:pPr>
        <w:tabs>
          <w:tab w:val="left" w:pos="288"/>
          <w:tab w:val="left" w:pos="4752"/>
        </w:tabs>
        <w:spacing w:line="240" w:lineRule="exact"/>
        <w:rPr>
          <w:rFonts w:asciiTheme="minorHAnsi" w:eastAsiaTheme="minorHAnsi" w:hAnsiTheme="minorHAnsi"/>
          <w:color w:val="auto"/>
          <w:szCs w:val="24"/>
        </w:rPr>
      </w:pPr>
    </w:p>
    <w:p w:rsidR="00385351" w:rsidRPr="00D51D62" w:rsidRDefault="003A6D0F" w:rsidP="00D51D62">
      <w:pPr>
        <w:tabs>
          <w:tab w:val="left" w:pos="288"/>
          <w:tab w:val="left" w:pos="4752"/>
        </w:tabs>
        <w:spacing w:line="240" w:lineRule="exact"/>
        <w:jc w:val="both"/>
        <w:rPr>
          <w:color w:val="000080"/>
        </w:rPr>
      </w:pPr>
      <w:r w:rsidRPr="00D51D62">
        <w:rPr>
          <w:color w:val="000080"/>
        </w:rPr>
        <w:t>The service examinations did not document the presence or absence of p</w:t>
      </w:r>
      <w:r w:rsidR="00385351" w:rsidRPr="00D51D62">
        <w:rPr>
          <w:color w:val="000080"/>
        </w:rPr>
        <w:t xml:space="preserve">ainful motion regarding the cervical spine.  The VA exam noted painful motion.  </w:t>
      </w:r>
      <w:r w:rsidR="00A104D5" w:rsidRPr="00D51D62">
        <w:rPr>
          <w:color w:val="000080"/>
        </w:rPr>
        <w:t>The</w:t>
      </w:r>
      <w:r w:rsidR="00385351" w:rsidRPr="00D51D62">
        <w:rPr>
          <w:color w:val="000080"/>
        </w:rPr>
        <w:t xml:space="preserve"> </w:t>
      </w:r>
      <w:r w:rsidR="00531C15" w:rsidRPr="00D51D62">
        <w:rPr>
          <w:color w:val="000080"/>
        </w:rPr>
        <w:t xml:space="preserve">documented </w:t>
      </w:r>
      <w:r w:rsidR="00C3077A" w:rsidRPr="00D51D62">
        <w:rPr>
          <w:color w:val="000080"/>
        </w:rPr>
        <w:t>painful motion</w:t>
      </w:r>
      <w:r w:rsidR="00385351" w:rsidRPr="00D51D62">
        <w:rPr>
          <w:color w:val="000080"/>
        </w:rPr>
        <w:t xml:space="preserve"> </w:t>
      </w:r>
      <w:r w:rsidR="00A104D5" w:rsidRPr="00D51D62">
        <w:rPr>
          <w:color w:val="000080"/>
        </w:rPr>
        <w:t>and/</w:t>
      </w:r>
      <w:r w:rsidR="00385351" w:rsidRPr="00D51D62">
        <w:rPr>
          <w:color w:val="000080"/>
        </w:rPr>
        <w:t xml:space="preserve">or </w:t>
      </w:r>
      <w:r w:rsidR="00A104D5" w:rsidRPr="00D51D62">
        <w:rPr>
          <w:color w:val="000080"/>
        </w:rPr>
        <w:t xml:space="preserve">the </w:t>
      </w:r>
      <w:r w:rsidR="00385351" w:rsidRPr="00D51D62">
        <w:rPr>
          <w:color w:val="000080"/>
        </w:rPr>
        <w:t>40</w:t>
      </w:r>
      <w:r w:rsidR="00A104D5" w:rsidRPr="00D51D62">
        <w:rPr>
          <w:color w:val="000080"/>
        </w:rPr>
        <w:t xml:space="preserve">° </w:t>
      </w:r>
      <w:r w:rsidR="00385351" w:rsidRPr="00D51D62">
        <w:rPr>
          <w:color w:val="000080"/>
        </w:rPr>
        <w:t>flexion provides for a rating of 10% IAW VASRD §4.71a.  All evidence considered</w:t>
      </w:r>
      <w:proofErr w:type="gramStart"/>
      <w:r w:rsidR="00385351" w:rsidRPr="00D51D62">
        <w:rPr>
          <w:color w:val="000080"/>
        </w:rPr>
        <w:t>,</w:t>
      </w:r>
      <w:proofErr w:type="gramEnd"/>
      <w:r w:rsidR="00385351" w:rsidRPr="00D51D62">
        <w:rPr>
          <w:color w:val="000080"/>
        </w:rPr>
        <w:t xml:space="preserve"> reasonable doubt is resolved in favor of the CI in recommending a separation rating of 10% for the cervical condition.  VASRD code 5243, as applied by the PEB, is appropriate</w:t>
      </w:r>
      <w:r w:rsidR="00531C15" w:rsidRPr="00D51D62">
        <w:rPr>
          <w:color w:val="000080"/>
        </w:rPr>
        <w:t>.</w:t>
      </w:r>
      <w:r w:rsidR="001F1508" w:rsidRPr="00D51D62">
        <w:rPr>
          <w:color w:val="000080"/>
        </w:rPr>
        <w:t xml:space="preserve"> </w:t>
      </w:r>
      <w:r w:rsidR="00531C15" w:rsidRPr="00D51D62">
        <w:rPr>
          <w:color w:val="000080"/>
        </w:rPr>
        <w:t xml:space="preserve"> T</w:t>
      </w:r>
      <w:r w:rsidR="001F1508" w:rsidRPr="00D51D62">
        <w:rPr>
          <w:color w:val="000080"/>
        </w:rPr>
        <w:t>here was no ratable peripheral nerve impairment in evidence</w:t>
      </w:r>
      <w:r w:rsidR="00385351" w:rsidRPr="00D51D62">
        <w:rPr>
          <w:color w:val="000080"/>
        </w:rPr>
        <w:t>.</w:t>
      </w:r>
    </w:p>
    <w:p w:rsidR="00063A80" w:rsidRPr="00D51D62" w:rsidRDefault="00063A80" w:rsidP="00D51D62">
      <w:pPr>
        <w:tabs>
          <w:tab w:val="left" w:pos="288"/>
          <w:tab w:val="left" w:pos="4752"/>
        </w:tabs>
        <w:spacing w:line="240" w:lineRule="exact"/>
        <w:jc w:val="both"/>
        <w:rPr>
          <w:color w:val="000080"/>
        </w:rPr>
      </w:pPr>
    </w:p>
    <w:p w:rsidR="00FF1699" w:rsidRPr="00D51D62" w:rsidRDefault="00FF1699" w:rsidP="00D51D62">
      <w:pPr>
        <w:tabs>
          <w:tab w:val="left" w:pos="288"/>
          <w:tab w:val="left" w:pos="4752"/>
        </w:tabs>
        <w:spacing w:line="240" w:lineRule="exact"/>
        <w:jc w:val="both"/>
        <w:rPr>
          <w:color w:val="000080"/>
        </w:rPr>
      </w:pPr>
      <w:proofErr w:type="gramStart"/>
      <w:r w:rsidRPr="00D51D62">
        <w:rPr>
          <w:color w:val="000080"/>
          <w:u w:val="single"/>
        </w:rPr>
        <w:t>Right Great Toe</w:t>
      </w:r>
      <w:r w:rsidR="0006431E" w:rsidRPr="00D51D62">
        <w:rPr>
          <w:color w:val="000080"/>
          <w:u w:val="single"/>
        </w:rPr>
        <w:t xml:space="preserve"> Condition</w:t>
      </w:r>
      <w:r w:rsidR="0006431E" w:rsidRPr="00D51D62">
        <w:rPr>
          <w:color w:val="000080"/>
        </w:rPr>
        <w:t>.</w:t>
      </w:r>
      <w:proofErr w:type="gramEnd"/>
      <w:r w:rsidR="0006431E" w:rsidRPr="00D51D62">
        <w:rPr>
          <w:color w:val="000080"/>
        </w:rPr>
        <w:t xml:space="preserve">  </w:t>
      </w:r>
      <w:r w:rsidR="00F07052" w:rsidRPr="00D51D62">
        <w:rPr>
          <w:color w:val="000080"/>
        </w:rPr>
        <w:t xml:space="preserve">The </w:t>
      </w:r>
      <w:r w:rsidR="00063A80" w:rsidRPr="00D51D62">
        <w:rPr>
          <w:color w:val="000080"/>
        </w:rPr>
        <w:t xml:space="preserve">degree of impairment expected from </w:t>
      </w:r>
      <w:r w:rsidR="00ED14AB" w:rsidRPr="00D51D62">
        <w:rPr>
          <w:color w:val="000080"/>
        </w:rPr>
        <w:t>arthritis following a toe fracture is difficult to reconcile with the need for a U3 profile</w:t>
      </w:r>
      <w:r w:rsidR="003F568C" w:rsidRPr="00D51D62">
        <w:rPr>
          <w:color w:val="000080"/>
        </w:rPr>
        <w:t xml:space="preserve"> and </w:t>
      </w:r>
      <w:r w:rsidR="00531C15" w:rsidRPr="00D51D62">
        <w:rPr>
          <w:color w:val="000080"/>
        </w:rPr>
        <w:t xml:space="preserve">as the basis for an </w:t>
      </w:r>
      <w:r w:rsidR="003F568C" w:rsidRPr="00D51D62">
        <w:rPr>
          <w:color w:val="000080"/>
        </w:rPr>
        <w:t>unfitting disability</w:t>
      </w:r>
      <w:r w:rsidR="00ED14AB" w:rsidRPr="00D51D62">
        <w:rPr>
          <w:color w:val="000080"/>
        </w:rPr>
        <w:t xml:space="preserve">.  The profile stated and the NARSUM confirmed, for example, that the CI was unable to perform the bicycle alternative event for the APFT.  </w:t>
      </w:r>
      <w:r w:rsidR="00264A8B" w:rsidRPr="00D51D62">
        <w:rPr>
          <w:color w:val="000080"/>
        </w:rPr>
        <w:t>C</w:t>
      </w:r>
      <w:r w:rsidR="00ED14AB" w:rsidRPr="00D51D62">
        <w:rPr>
          <w:color w:val="000080"/>
        </w:rPr>
        <w:t xml:space="preserve">ontiguous pain </w:t>
      </w:r>
      <w:r w:rsidR="00264A8B" w:rsidRPr="00D51D62">
        <w:rPr>
          <w:color w:val="000080"/>
        </w:rPr>
        <w:t>from</w:t>
      </w:r>
      <w:r w:rsidR="00ED14AB" w:rsidRPr="00D51D62">
        <w:rPr>
          <w:color w:val="000080"/>
        </w:rPr>
        <w:t xml:space="preserve"> the pedal pressure </w:t>
      </w:r>
      <w:r w:rsidR="00264A8B" w:rsidRPr="00D51D62">
        <w:rPr>
          <w:color w:val="000080"/>
        </w:rPr>
        <w:t xml:space="preserve">would not be expected to render an individual unable to complete the event.  It was perhaps the aerobic </w:t>
      </w:r>
      <w:r w:rsidR="00264A8B" w:rsidRPr="00D51D62">
        <w:rPr>
          <w:color w:val="000080"/>
        </w:rPr>
        <w:lastRenderedPageBreak/>
        <w:t>limitations from the OSA that was the real culprit, although pulmonary function test</w:t>
      </w:r>
      <w:r w:rsidR="00DC6569" w:rsidRPr="00D51D62">
        <w:rPr>
          <w:color w:val="000080"/>
        </w:rPr>
        <w:t>ing</w:t>
      </w:r>
      <w:r w:rsidR="00264A8B" w:rsidRPr="00D51D62">
        <w:rPr>
          <w:color w:val="000080"/>
        </w:rPr>
        <w:t xml:space="preserve"> was normal.  </w:t>
      </w:r>
      <w:r w:rsidR="00531C15" w:rsidRPr="00D51D62">
        <w:rPr>
          <w:color w:val="000080"/>
        </w:rPr>
        <w:t xml:space="preserve">Referencing the toe condition, the VA examiner </w:t>
      </w:r>
      <w:r w:rsidR="00DC6569" w:rsidRPr="00D51D62">
        <w:rPr>
          <w:color w:val="000080"/>
        </w:rPr>
        <w:t xml:space="preserve">stated ‘He walks three-quarters of a mile twice a day while on break at work.’  The Board therefore questions the </w:t>
      </w:r>
      <w:r w:rsidR="003F568C" w:rsidRPr="00D51D62">
        <w:rPr>
          <w:color w:val="000080"/>
        </w:rPr>
        <w:t xml:space="preserve">necessity for the profile and the appropriateness of the fitness adjudication </w:t>
      </w:r>
      <w:r w:rsidR="007D6C5C" w:rsidRPr="00D51D62">
        <w:rPr>
          <w:color w:val="000080"/>
        </w:rPr>
        <w:t>for</w:t>
      </w:r>
      <w:r w:rsidR="003F568C" w:rsidRPr="00D51D62">
        <w:rPr>
          <w:color w:val="000080"/>
        </w:rPr>
        <w:t xml:space="preserve"> the toe condition.  </w:t>
      </w:r>
      <w:r w:rsidR="000D2156" w:rsidRPr="00D51D62">
        <w:rPr>
          <w:color w:val="000080"/>
        </w:rPr>
        <w:t>Both the Commander’s statement and the orthopedic consultant, however, noted specific impairments from the foot condition that could be considered unfitting.</w:t>
      </w:r>
      <w:r w:rsidR="003F568C" w:rsidRPr="00D51D62">
        <w:rPr>
          <w:color w:val="000080"/>
        </w:rPr>
        <w:t xml:space="preserve">  Reasonable doubt would therefore dictate that the PEB’s finding of unfit remain as adjudicated.</w:t>
      </w:r>
      <w:r w:rsidR="007225CA" w:rsidRPr="00D51D62">
        <w:rPr>
          <w:color w:val="000080"/>
        </w:rPr>
        <w:t xml:space="preserve">  Although under different codes, both the PEB and the VA found no compensable rating for the condition.  Since there was no compensable ROM impairment and painful motion </w:t>
      </w:r>
      <w:r w:rsidR="00531C15" w:rsidRPr="00D51D62">
        <w:rPr>
          <w:color w:val="000080"/>
        </w:rPr>
        <w:t>is speculative</w:t>
      </w:r>
      <w:r w:rsidR="007225CA" w:rsidRPr="00D51D62">
        <w:rPr>
          <w:color w:val="000080"/>
        </w:rPr>
        <w:t xml:space="preserve">, the Board is in agreement with a 0% rating.  Neither the VASRD code applied by the PEB, analogous to </w:t>
      </w:r>
      <w:proofErr w:type="spellStart"/>
      <w:r w:rsidR="007225CA" w:rsidRPr="00D51D62">
        <w:rPr>
          <w:color w:val="000080"/>
        </w:rPr>
        <w:t>hallux</w:t>
      </w:r>
      <w:proofErr w:type="spellEnd"/>
      <w:r w:rsidR="007225CA" w:rsidRPr="00D51D62">
        <w:rPr>
          <w:color w:val="000080"/>
        </w:rPr>
        <w:t xml:space="preserve"> </w:t>
      </w:r>
      <w:proofErr w:type="spellStart"/>
      <w:r w:rsidR="007225CA" w:rsidRPr="00D51D62">
        <w:rPr>
          <w:color w:val="000080"/>
        </w:rPr>
        <w:t>rigidus</w:t>
      </w:r>
      <w:proofErr w:type="spellEnd"/>
      <w:r w:rsidR="007225CA" w:rsidRPr="00D51D62">
        <w:rPr>
          <w:color w:val="000080"/>
        </w:rPr>
        <w:t xml:space="preserve"> (a frozen toe), nor the one applied by the VA, analogous to amputation, is a good fit with the condition </w:t>
      </w:r>
      <w:r w:rsidR="007D6C5C" w:rsidRPr="00D51D62">
        <w:rPr>
          <w:color w:val="000080"/>
        </w:rPr>
        <w:t xml:space="preserve">or congruent with a 0% rating.  The best fit is 5010 for traumatic arthritis, rated as degenerative arthritis.  As a single minor joint without compensable </w:t>
      </w:r>
      <w:r w:rsidR="000D2156" w:rsidRPr="00D51D62">
        <w:rPr>
          <w:color w:val="000080"/>
        </w:rPr>
        <w:t xml:space="preserve">ROM </w:t>
      </w:r>
      <w:r w:rsidR="007D6C5C" w:rsidRPr="00D51D62">
        <w:rPr>
          <w:color w:val="000080"/>
        </w:rPr>
        <w:t xml:space="preserve">impairment </w:t>
      </w:r>
      <w:r w:rsidR="000D2156" w:rsidRPr="00D51D62">
        <w:rPr>
          <w:color w:val="000080"/>
        </w:rPr>
        <w:t>or documented painful motion</w:t>
      </w:r>
      <w:r w:rsidR="007D6C5C" w:rsidRPr="00D51D62">
        <w:rPr>
          <w:color w:val="000080"/>
        </w:rPr>
        <w:t>, it is appropriately rated 0% IAW §4.71a.  This is the Board’s recommendation.</w:t>
      </w:r>
    </w:p>
    <w:p w:rsidR="00264A8B" w:rsidRPr="00D51D62" w:rsidRDefault="00264A8B" w:rsidP="00D51D62">
      <w:pPr>
        <w:tabs>
          <w:tab w:val="left" w:pos="288"/>
          <w:tab w:val="left" w:pos="4752"/>
        </w:tabs>
        <w:spacing w:line="240" w:lineRule="exact"/>
        <w:jc w:val="both"/>
        <w:rPr>
          <w:color w:val="000080"/>
        </w:rPr>
      </w:pPr>
    </w:p>
    <w:p w:rsidR="00F26432" w:rsidRPr="00D51D62" w:rsidRDefault="002C6E5B" w:rsidP="00D51D62">
      <w:pPr>
        <w:tabs>
          <w:tab w:val="left" w:pos="288"/>
          <w:tab w:val="left" w:pos="4752"/>
        </w:tabs>
        <w:spacing w:line="240" w:lineRule="exact"/>
        <w:jc w:val="both"/>
        <w:rPr>
          <w:color w:val="000080"/>
        </w:rPr>
      </w:pPr>
      <w:proofErr w:type="gramStart"/>
      <w:r w:rsidRPr="00D51D62">
        <w:rPr>
          <w:color w:val="000080"/>
          <w:u w:val="single"/>
        </w:rPr>
        <w:t>Other Conditions</w:t>
      </w:r>
      <w:r w:rsidRPr="00D51D62">
        <w:rPr>
          <w:color w:val="000080"/>
        </w:rPr>
        <w:t>.</w:t>
      </w:r>
      <w:proofErr w:type="gramEnd"/>
      <w:r w:rsidRPr="00D51D62">
        <w:rPr>
          <w:color w:val="000080"/>
        </w:rPr>
        <w:t xml:space="preserve">  </w:t>
      </w:r>
      <w:r w:rsidR="007D6C5C" w:rsidRPr="00D51D62">
        <w:rPr>
          <w:color w:val="000080"/>
        </w:rPr>
        <w:t xml:space="preserve">The NARSUM </w:t>
      </w:r>
      <w:r w:rsidR="001F1508" w:rsidRPr="00D51D62">
        <w:rPr>
          <w:color w:val="000080"/>
        </w:rPr>
        <w:t>addressed</w:t>
      </w:r>
      <w:r w:rsidR="007D6C5C" w:rsidRPr="00D51D62">
        <w:rPr>
          <w:color w:val="000080"/>
        </w:rPr>
        <w:t xml:space="preserve"> hypertension and </w:t>
      </w:r>
      <w:proofErr w:type="spellStart"/>
      <w:r w:rsidR="001F1508" w:rsidRPr="00D51D62">
        <w:rPr>
          <w:color w:val="000080"/>
        </w:rPr>
        <w:t>gastroesophageal</w:t>
      </w:r>
      <w:proofErr w:type="spellEnd"/>
      <w:r w:rsidR="001F1508" w:rsidRPr="00D51D62">
        <w:rPr>
          <w:color w:val="000080"/>
        </w:rPr>
        <w:t xml:space="preserve"> reflux disease (</w:t>
      </w:r>
      <w:r w:rsidR="007D6C5C" w:rsidRPr="00D51D62">
        <w:rPr>
          <w:color w:val="000080"/>
        </w:rPr>
        <w:t>GERD</w:t>
      </w:r>
      <w:r w:rsidR="001F1508" w:rsidRPr="00D51D62">
        <w:rPr>
          <w:color w:val="000080"/>
        </w:rPr>
        <w:t>)</w:t>
      </w:r>
      <w:r w:rsidR="007D6C5C" w:rsidRPr="00D51D62">
        <w:rPr>
          <w:color w:val="000080"/>
        </w:rPr>
        <w:t xml:space="preserve"> as </w:t>
      </w:r>
      <w:r w:rsidR="00531C15" w:rsidRPr="00D51D62">
        <w:rPr>
          <w:color w:val="000080"/>
        </w:rPr>
        <w:t>additional</w:t>
      </w:r>
      <w:r w:rsidR="007D6C5C" w:rsidRPr="00D51D62">
        <w:rPr>
          <w:color w:val="000080"/>
        </w:rPr>
        <w:t xml:space="preserve"> medical conditions</w:t>
      </w:r>
      <w:r w:rsidR="00531C15" w:rsidRPr="00D51D62">
        <w:rPr>
          <w:color w:val="000080"/>
        </w:rPr>
        <w:t xml:space="preserve">, but did not forward them on the DA </w:t>
      </w:r>
      <w:r w:rsidR="00290F49">
        <w:rPr>
          <w:color w:val="000080"/>
        </w:rPr>
        <w:t xml:space="preserve">Form </w:t>
      </w:r>
      <w:r w:rsidR="00531C15" w:rsidRPr="00D51D62">
        <w:rPr>
          <w:color w:val="000080"/>
        </w:rPr>
        <w:t>3947.</w:t>
      </w:r>
      <w:r w:rsidR="007D6C5C" w:rsidRPr="00D51D62">
        <w:rPr>
          <w:color w:val="000080"/>
        </w:rPr>
        <w:t xml:space="preserve"> </w:t>
      </w:r>
      <w:r w:rsidR="00531C15" w:rsidRPr="00D51D62">
        <w:rPr>
          <w:color w:val="000080"/>
        </w:rPr>
        <w:t xml:space="preserve"> T</w:t>
      </w:r>
      <w:r w:rsidR="007D6C5C" w:rsidRPr="00D51D62">
        <w:rPr>
          <w:color w:val="000080"/>
        </w:rPr>
        <w:t xml:space="preserve">he MEB physical also </w:t>
      </w:r>
      <w:r w:rsidR="00531C15" w:rsidRPr="00D51D62">
        <w:rPr>
          <w:color w:val="000080"/>
        </w:rPr>
        <w:t>documented</w:t>
      </w:r>
      <w:r w:rsidR="007D6C5C" w:rsidRPr="00D51D62">
        <w:rPr>
          <w:color w:val="000080"/>
        </w:rPr>
        <w:t xml:space="preserve"> low back pain</w:t>
      </w:r>
      <w:r w:rsidR="004B70B6" w:rsidRPr="00D51D62">
        <w:rPr>
          <w:color w:val="000080"/>
        </w:rPr>
        <w:t>, knee pain</w:t>
      </w:r>
      <w:r w:rsidR="007D6C5C" w:rsidRPr="00D51D62">
        <w:rPr>
          <w:color w:val="000080"/>
        </w:rPr>
        <w:t xml:space="preserve"> and a</w:t>
      </w:r>
      <w:r w:rsidR="004B70B6" w:rsidRPr="00D51D62">
        <w:rPr>
          <w:color w:val="000080"/>
        </w:rPr>
        <w:t xml:space="preserve"> history of</w:t>
      </w:r>
      <w:r w:rsidR="007D6C5C" w:rsidRPr="00D51D62">
        <w:rPr>
          <w:color w:val="000080"/>
        </w:rPr>
        <w:t xml:space="preserve"> anxiety.  </w:t>
      </w:r>
      <w:r w:rsidR="001F1508" w:rsidRPr="00D51D62">
        <w:rPr>
          <w:color w:val="000080"/>
        </w:rPr>
        <w:t xml:space="preserve">The hypertension was stable on medication and asymptomatic without complications.  GERD was only occasionally symptomatic (VA exam states 3 - 4 episodes a year) and did not require daily medication.  Neither hypertension nor GERD, therefore, are relevant for consideration as unfitting.  </w:t>
      </w:r>
      <w:r w:rsidR="00636AB4" w:rsidRPr="00D51D62">
        <w:rPr>
          <w:color w:val="000080"/>
        </w:rPr>
        <w:t xml:space="preserve">The back condition was not noted in the physical profile or in the Commander’s statement.  </w:t>
      </w:r>
      <w:r w:rsidR="000D2156" w:rsidRPr="00D51D62">
        <w:rPr>
          <w:color w:val="000080"/>
        </w:rPr>
        <w:t xml:space="preserve">As noted above, </w:t>
      </w:r>
      <w:r w:rsidR="008A30B8" w:rsidRPr="00D51D62">
        <w:rPr>
          <w:color w:val="000080"/>
        </w:rPr>
        <w:t>doubt is cast on the degree of impairment associated with the condition.  There is no significant evidence suggesting that the back condition could be considered</w:t>
      </w:r>
      <w:r w:rsidR="00636AB4" w:rsidRPr="00D51D62">
        <w:rPr>
          <w:color w:val="000080"/>
        </w:rPr>
        <w:t xml:space="preserve"> unfitting</w:t>
      </w:r>
      <w:r w:rsidR="004B70B6" w:rsidRPr="00D51D62">
        <w:rPr>
          <w:color w:val="000080"/>
        </w:rPr>
        <w:t xml:space="preserve">.  </w:t>
      </w:r>
      <w:r w:rsidR="00636AB4" w:rsidRPr="00D51D62">
        <w:rPr>
          <w:color w:val="000080"/>
        </w:rPr>
        <w:t xml:space="preserve"> </w:t>
      </w:r>
      <w:r w:rsidR="00AE72F5" w:rsidRPr="00D51D62">
        <w:rPr>
          <w:color w:val="000080"/>
        </w:rPr>
        <w:t>The CI noted ‘knee pain’ on his MEB physical without elaborating.  The VA examiner related a complaint of bilateral knee pain but could only elicit a history of service connection for a right knee strain incurred in a training injury in 1997.  This was not under active treatment or associated with documented abnormal exam findings at the time of separation.</w:t>
      </w:r>
      <w:r w:rsidR="00C93530" w:rsidRPr="00D51D62">
        <w:rPr>
          <w:color w:val="000080"/>
        </w:rPr>
        <w:t xml:space="preserve">  There is nothing in the physical profile, Commander’s statement or elsewhere in </w:t>
      </w:r>
      <w:r w:rsidR="005F3C4A" w:rsidRPr="00D51D62">
        <w:rPr>
          <w:color w:val="000080"/>
        </w:rPr>
        <w:t xml:space="preserve">evidence </w:t>
      </w:r>
      <w:r w:rsidR="003A1657" w:rsidRPr="00D51D62">
        <w:rPr>
          <w:color w:val="000080"/>
        </w:rPr>
        <w:t>which suggests any</w:t>
      </w:r>
      <w:r w:rsidR="005F3C4A" w:rsidRPr="00D51D62">
        <w:rPr>
          <w:color w:val="000080"/>
        </w:rPr>
        <w:t xml:space="preserve"> fitness implications </w:t>
      </w:r>
      <w:r w:rsidR="003A1657" w:rsidRPr="00D51D62">
        <w:rPr>
          <w:color w:val="000080"/>
        </w:rPr>
        <w:t>of</w:t>
      </w:r>
      <w:r w:rsidR="005F3C4A" w:rsidRPr="00D51D62">
        <w:rPr>
          <w:color w:val="000080"/>
        </w:rPr>
        <w:t xml:space="preserve"> the knee condition.  Thus there is no basis for a Board recommendation in that regard.  The history of anxiety noted by the CI on the MEB physical </w:t>
      </w:r>
      <w:r w:rsidR="00531C15" w:rsidRPr="00D51D62">
        <w:rPr>
          <w:color w:val="000080"/>
        </w:rPr>
        <w:t xml:space="preserve">and mentioned in his application </w:t>
      </w:r>
      <w:r w:rsidR="005F3C4A" w:rsidRPr="00D51D62">
        <w:rPr>
          <w:color w:val="000080"/>
        </w:rPr>
        <w:t xml:space="preserve">was </w:t>
      </w:r>
      <w:r w:rsidR="00531C15" w:rsidRPr="00D51D62">
        <w:rPr>
          <w:color w:val="000080"/>
        </w:rPr>
        <w:t xml:space="preserve">not </w:t>
      </w:r>
      <w:r w:rsidR="005F3C4A" w:rsidRPr="00D51D62">
        <w:rPr>
          <w:color w:val="000080"/>
        </w:rPr>
        <w:t xml:space="preserve">a diagnosed or treated condition at </w:t>
      </w:r>
      <w:r w:rsidR="00531C15" w:rsidRPr="00D51D62">
        <w:rPr>
          <w:color w:val="000080"/>
        </w:rPr>
        <w:t xml:space="preserve">the time </w:t>
      </w:r>
      <w:r w:rsidR="005F3C4A" w:rsidRPr="00D51D62">
        <w:rPr>
          <w:color w:val="000080"/>
        </w:rPr>
        <w:t xml:space="preserve">separation.  It was not initially service connected by the VA, although the CI subsequently received a compensable rating for it.  There is no evidence that </w:t>
      </w:r>
      <w:r w:rsidR="002052DC" w:rsidRPr="00D51D62">
        <w:rPr>
          <w:color w:val="000080"/>
        </w:rPr>
        <w:t>there was any mental impairment to military performance</w:t>
      </w:r>
      <w:r w:rsidR="008A30B8" w:rsidRPr="00D51D62">
        <w:rPr>
          <w:color w:val="000080"/>
        </w:rPr>
        <w:t>, as discussed in detail with the OSA condition</w:t>
      </w:r>
      <w:r w:rsidR="002052DC" w:rsidRPr="00D51D62">
        <w:rPr>
          <w:color w:val="000080"/>
        </w:rPr>
        <w:t xml:space="preserve">.  </w:t>
      </w:r>
    </w:p>
    <w:p w:rsidR="008A30B8" w:rsidRPr="00D51D62" w:rsidRDefault="008A30B8" w:rsidP="00D51D62">
      <w:pPr>
        <w:tabs>
          <w:tab w:val="left" w:pos="288"/>
          <w:tab w:val="left" w:pos="4752"/>
        </w:tabs>
        <w:spacing w:line="240" w:lineRule="exact"/>
        <w:jc w:val="both"/>
        <w:rPr>
          <w:color w:val="000080"/>
        </w:rPr>
      </w:pPr>
    </w:p>
    <w:p w:rsidR="002052DC" w:rsidRPr="00D51D62" w:rsidRDefault="002052DC" w:rsidP="00D51D62">
      <w:pPr>
        <w:tabs>
          <w:tab w:val="left" w:pos="288"/>
          <w:tab w:val="left" w:pos="4752"/>
        </w:tabs>
        <w:spacing w:line="240" w:lineRule="exact"/>
        <w:jc w:val="both"/>
        <w:rPr>
          <w:color w:val="000080"/>
        </w:rPr>
      </w:pPr>
      <w:r w:rsidRPr="00D51D62">
        <w:rPr>
          <w:color w:val="000080"/>
        </w:rPr>
        <w:lastRenderedPageBreak/>
        <w:t>The Board, therefore, has no reasonable basis for recommending any additional unfitting conditions for separation rating.</w:t>
      </w:r>
    </w:p>
    <w:p w:rsidR="00A90D55" w:rsidRPr="006F75C1" w:rsidRDefault="008B5D31" w:rsidP="00875F2D">
      <w:pPr>
        <w:tabs>
          <w:tab w:val="left" w:pos="288"/>
          <w:tab w:val="left" w:pos="4752"/>
        </w:tabs>
        <w:spacing w:line="240" w:lineRule="exact"/>
        <w:jc w:val="both"/>
        <w:rPr>
          <w:color w:val="000080"/>
        </w:rPr>
      </w:pPr>
      <w:r w:rsidRPr="006F75C1">
        <w:rPr>
          <w:color w:val="000080"/>
        </w:rPr>
        <w:t>________________________________________________________________</w:t>
      </w:r>
    </w:p>
    <w:p w:rsidR="00A90D55" w:rsidRPr="00A90D55" w:rsidRDefault="00A90D55" w:rsidP="00875F2D">
      <w:pPr>
        <w:tabs>
          <w:tab w:val="left" w:pos="288"/>
          <w:tab w:val="left" w:pos="4752"/>
        </w:tabs>
        <w:spacing w:line="240" w:lineRule="exact"/>
        <w:jc w:val="both"/>
        <w:rPr>
          <w:color w:val="000080"/>
        </w:rPr>
      </w:pPr>
    </w:p>
    <w:p w:rsidR="00C8564F" w:rsidRPr="00463B3E" w:rsidRDefault="00C56FC8" w:rsidP="00463B3E">
      <w:pPr>
        <w:tabs>
          <w:tab w:val="left" w:pos="288"/>
          <w:tab w:val="left" w:pos="4752"/>
        </w:tabs>
        <w:spacing w:line="240" w:lineRule="exact"/>
        <w:jc w:val="both"/>
        <w:rPr>
          <w:color w:val="000080"/>
        </w:rPr>
      </w:pPr>
      <w:r w:rsidRPr="00463B3E">
        <w:rPr>
          <w:color w:val="000080"/>
          <w:u w:val="single"/>
        </w:rPr>
        <w:t>BOARD FINDINGS</w:t>
      </w:r>
      <w:r w:rsidRPr="00463B3E">
        <w:rPr>
          <w:color w:val="000080"/>
        </w:rPr>
        <w:t xml:space="preserve">:  IAW </w:t>
      </w:r>
      <w:proofErr w:type="spellStart"/>
      <w:r w:rsidRPr="00463B3E">
        <w:rPr>
          <w:color w:val="000080"/>
        </w:rPr>
        <w:t>DoDI</w:t>
      </w:r>
      <w:proofErr w:type="spellEnd"/>
      <w:r w:rsidRPr="00463B3E">
        <w:rPr>
          <w:color w:val="000080"/>
        </w:rPr>
        <w:t xml:space="preserve"> 6040.44, provisions of </w:t>
      </w:r>
      <w:proofErr w:type="spellStart"/>
      <w:r w:rsidRPr="00463B3E">
        <w:rPr>
          <w:color w:val="000080"/>
        </w:rPr>
        <w:t>DoD</w:t>
      </w:r>
      <w:proofErr w:type="spellEnd"/>
      <w:r w:rsidRPr="00463B3E">
        <w:rPr>
          <w:color w:val="000080"/>
        </w:rPr>
        <w:t xml:space="preserve"> or Military Department regulations or guidelines relied upon by the PEB will not be considered by the Board to the extent they were inconsistent with the VASRD in effect at the time of the adjudication. </w:t>
      </w:r>
      <w:r w:rsidR="001D68CF" w:rsidRPr="00463B3E">
        <w:rPr>
          <w:color w:val="000080"/>
        </w:rPr>
        <w:t xml:space="preserve"> </w:t>
      </w:r>
      <w:r w:rsidR="002052DC" w:rsidRPr="00463B3E">
        <w:rPr>
          <w:color w:val="000080"/>
        </w:rPr>
        <w:t xml:space="preserve">As discussed above, PEB reliance on </w:t>
      </w:r>
      <w:proofErr w:type="spellStart"/>
      <w:r w:rsidR="002052DC" w:rsidRPr="00463B3E">
        <w:rPr>
          <w:color w:val="000080"/>
        </w:rPr>
        <w:t>DoDI</w:t>
      </w:r>
      <w:proofErr w:type="spellEnd"/>
      <w:r w:rsidR="002052DC" w:rsidRPr="00463B3E">
        <w:rPr>
          <w:color w:val="000080"/>
        </w:rPr>
        <w:t xml:space="preserve"> 1332.39 for rating obstructive sleep apnea was operant in this case</w:t>
      </w:r>
      <w:r w:rsidR="0003094D" w:rsidRPr="00463B3E">
        <w:rPr>
          <w:color w:val="000080"/>
        </w:rPr>
        <w:t>,</w:t>
      </w:r>
      <w:r w:rsidR="002052DC" w:rsidRPr="00463B3E">
        <w:rPr>
          <w:color w:val="000080"/>
        </w:rPr>
        <w:t xml:space="preserve"> </w:t>
      </w:r>
      <w:r w:rsidR="0003094D" w:rsidRPr="00463B3E">
        <w:rPr>
          <w:color w:val="000080"/>
        </w:rPr>
        <w:t>but is irrelevant since the Board is not rendering a rating recommendation for the condition</w:t>
      </w:r>
      <w:r w:rsidR="002052DC" w:rsidRPr="00463B3E">
        <w:rPr>
          <w:color w:val="000080"/>
        </w:rPr>
        <w:t xml:space="preserve">.  </w:t>
      </w:r>
      <w:r w:rsidR="00691E87" w:rsidRPr="00463B3E">
        <w:rPr>
          <w:color w:val="000080"/>
        </w:rPr>
        <w:t xml:space="preserve">In the matter of the obstructive sleep apnea condition, the Board </w:t>
      </w:r>
      <w:r w:rsidR="0003094D" w:rsidRPr="00463B3E">
        <w:rPr>
          <w:color w:val="000080"/>
        </w:rPr>
        <w:t>by a 2:1 vote</w:t>
      </w:r>
      <w:r w:rsidR="00691E87" w:rsidRPr="00463B3E">
        <w:rPr>
          <w:color w:val="000080"/>
        </w:rPr>
        <w:t xml:space="preserve"> recommends </w:t>
      </w:r>
      <w:r w:rsidR="0003094D" w:rsidRPr="00463B3E">
        <w:rPr>
          <w:color w:val="000080"/>
        </w:rPr>
        <w:t xml:space="preserve">that it be </w:t>
      </w:r>
      <w:proofErr w:type="spellStart"/>
      <w:r w:rsidR="0003094D" w:rsidRPr="00463B3E">
        <w:rPr>
          <w:color w:val="000080"/>
        </w:rPr>
        <w:t>recharacterized</w:t>
      </w:r>
      <w:proofErr w:type="spellEnd"/>
      <w:r w:rsidR="0003094D" w:rsidRPr="00463B3E">
        <w:rPr>
          <w:color w:val="000080"/>
        </w:rPr>
        <w:t xml:space="preserve"> as not unfitting and therefore not rated</w:t>
      </w:r>
      <w:r w:rsidR="00691E87" w:rsidRPr="00463B3E">
        <w:rPr>
          <w:color w:val="000080"/>
        </w:rPr>
        <w:t xml:space="preserve">.  </w:t>
      </w:r>
      <w:r w:rsidR="00C436BD" w:rsidRPr="00463B3E">
        <w:rPr>
          <w:color w:val="000080"/>
        </w:rPr>
        <w:t xml:space="preserve">The single voter for dissent (who recommended characterization as unfitting and a rating of 50% IAW VASRD §4.100) submitted the </w:t>
      </w:r>
      <w:proofErr w:type="spellStart"/>
      <w:r w:rsidR="00C436BD" w:rsidRPr="00463B3E">
        <w:rPr>
          <w:color w:val="000080"/>
        </w:rPr>
        <w:t>addended</w:t>
      </w:r>
      <w:proofErr w:type="spellEnd"/>
      <w:r w:rsidR="00C436BD" w:rsidRPr="00463B3E">
        <w:rPr>
          <w:color w:val="000080"/>
        </w:rPr>
        <w:t xml:space="preserve"> minority opinion.  In the matter of the cervical spine condition, the Board unanimously recommends a rating of 10% coded 5243 IAW VASRD §4.71a.  </w:t>
      </w:r>
      <w:r w:rsidR="00691E87" w:rsidRPr="00463B3E">
        <w:rPr>
          <w:color w:val="000080"/>
        </w:rPr>
        <w:t xml:space="preserve">In the matter of the right great toe condition and IAW VASRD §4.71, the Board unanimously recommends no </w:t>
      </w:r>
      <w:r w:rsidR="003A1657" w:rsidRPr="00463B3E">
        <w:rPr>
          <w:color w:val="000080"/>
        </w:rPr>
        <w:t>change in</w:t>
      </w:r>
      <w:r w:rsidR="00691E87" w:rsidRPr="00463B3E">
        <w:rPr>
          <w:color w:val="000080"/>
        </w:rPr>
        <w:t xml:space="preserve"> the PEB rating </w:t>
      </w:r>
      <w:r w:rsidR="003A1657" w:rsidRPr="00463B3E">
        <w:rPr>
          <w:color w:val="000080"/>
        </w:rPr>
        <w:t xml:space="preserve">of 0% </w:t>
      </w:r>
      <w:r w:rsidR="00691E87" w:rsidRPr="00463B3E">
        <w:rPr>
          <w:color w:val="000080"/>
        </w:rPr>
        <w:t>but a change in VASRD code to 5010-5003.</w:t>
      </w:r>
      <w:r w:rsidR="00C8564F" w:rsidRPr="00463B3E">
        <w:rPr>
          <w:color w:val="000080"/>
        </w:rPr>
        <w:t xml:space="preserve">  In the matter of the hypertension, </w:t>
      </w:r>
      <w:proofErr w:type="spellStart"/>
      <w:r w:rsidR="00C8564F" w:rsidRPr="00463B3E">
        <w:rPr>
          <w:color w:val="000080"/>
        </w:rPr>
        <w:t>gastroesophageal</w:t>
      </w:r>
      <w:proofErr w:type="spellEnd"/>
      <w:r w:rsidR="00C8564F" w:rsidRPr="00463B3E">
        <w:rPr>
          <w:color w:val="000080"/>
        </w:rPr>
        <w:t xml:space="preserve"> reflux disease, back condition, right knee condition, anxiety condition or any other medical conditions; the Board unanimously agrees that it cannot recommend any findings of unfit for additional rating at separation.</w:t>
      </w:r>
    </w:p>
    <w:p w:rsidR="00FB593A" w:rsidRPr="006F75C1" w:rsidRDefault="008B5D31" w:rsidP="00875F2D">
      <w:pPr>
        <w:tabs>
          <w:tab w:val="left" w:pos="288"/>
          <w:tab w:val="left" w:pos="4752"/>
        </w:tabs>
        <w:spacing w:line="240" w:lineRule="exact"/>
        <w:jc w:val="both"/>
        <w:rPr>
          <w:color w:val="000080"/>
        </w:rPr>
      </w:pPr>
      <w:r w:rsidRPr="006F75C1">
        <w:rPr>
          <w:color w:val="000080"/>
        </w:rPr>
        <w:t>________________________________________________________________</w:t>
      </w:r>
    </w:p>
    <w:p w:rsidR="00FB593A" w:rsidRPr="00D91DA6" w:rsidRDefault="00FB593A" w:rsidP="00875F2D">
      <w:pPr>
        <w:tabs>
          <w:tab w:val="left" w:pos="288"/>
          <w:tab w:val="left" w:pos="4752"/>
        </w:tabs>
        <w:spacing w:line="240" w:lineRule="exact"/>
        <w:jc w:val="both"/>
        <w:rPr>
          <w:color w:val="000080"/>
        </w:rPr>
      </w:pPr>
    </w:p>
    <w:p w:rsidR="00FB593A" w:rsidRDefault="00C56FC8" w:rsidP="00135385">
      <w:pPr>
        <w:tabs>
          <w:tab w:val="left" w:pos="288"/>
          <w:tab w:val="left" w:pos="4752"/>
        </w:tabs>
        <w:spacing w:line="240" w:lineRule="exact"/>
        <w:jc w:val="both"/>
        <w:rPr>
          <w:color w:val="000080"/>
        </w:rPr>
      </w:pPr>
      <w:r w:rsidRPr="0077054A">
        <w:rPr>
          <w:color w:val="000080"/>
          <w:u w:val="single"/>
        </w:rPr>
        <w:t>RECOMMENDATION</w:t>
      </w:r>
      <w:r w:rsidRPr="0077054A">
        <w:rPr>
          <w:color w:val="000080"/>
        </w:rPr>
        <w:t xml:space="preserve">: </w:t>
      </w:r>
      <w:r w:rsidR="00323D20">
        <w:rPr>
          <w:color w:val="000080"/>
        </w:rPr>
        <w:t xml:space="preserve">The </w:t>
      </w:r>
      <w:r w:rsidR="00C436BD" w:rsidRPr="0077054A">
        <w:rPr>
          <w:color w:val="000080"/>
        </w:rPr>
        <w:t>Board recommends that the CI’s prior determination be modified as follows, effective as of the date of his prior medical separation.</w:t>
      </w:r>
    </w:p>
    <w:p w:rsidR="004101B2" w:rsidRDefault="004101B2" w:rsidP="004101B2">
      <w:pPr>
        <w:tabs>
          <w:tab w:val="left" w:pos="288"/>
          <w:tab w:val="left" w:pos="4752"/>
        </w:tabs>
        <w:spacing w:line="240" w:lineRule="exact"/>
        <w:jc w:val="both"/>
        <w:rPr>
          <w:color w:val="000080"/>
        </w:rPr>
      </w:pP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0"/>
        <w:gridCol w:w="1706"/>
        <w:gridCol w:w="1084"/>
      </w:tblGrid>
      <w:tr w:rsidR="004101B2" w:rsidRPr="00533FB5" w:rsidTr="00063A80">
        <w:trPr>
          <w:trHeight w:val="287"/>
        </w:trPr>
        <w:tc>
          <w:tcPr>
            <w:tcW w:w="5310" w:type="dxa"/>
            <w:shd w:val="clear" w:color="auto" w:fill="D9D9D9"/>
          </w:tcPr>
          <w:p w:rsidR="004101B2" w:rsidRPr="00A867F0" w:rsidRDefault="004101B2" w:rsidP="00531C15">
            <w:pPr>
              <w:tabs>
                <w:tab w:val="left" w:pos="288"/>
                <w:tab w:val="left" w:pos="4752"/>
              </w:tabs>
              <w:spacing w:before="40" w:line="240" w:lineRule="exact"/>
              <w:jc w:val="center"/>
              <w:rPr>
                <w:b/>
                <w:color w:val="000080"/>
                <w:szCs w:val="24"/>
              </w:rPr>
            </w:pPr>
            <w:r>
              <w:rPr>
                <w:b/>
                <w:color w:val="000080"/>
                <w:szCs w:val="24"/>
              </w:rPr>
              <w:t>UNFITTING CONDITION</w:t>
            </w:r>
          </w:p>
        </w:tc>
        <w:tc>
          <w:tcPr>
            <w:tcW w:w="1706" w:type="dxa"/>
            <w:shd w:val="clear" w:color="auto" w:fill="D9D9D9"/>
          </w:tcPr>
          <w:p w:rsidR="004101B2" w:rsidRPr="00A867F0" w:rsidRDefault="004101B2" w:rsidP="00531C15">
            <w:pPr>
              <w:tabs>
                <w:tab w:val="left" w:pos="288"/>
                <w:tab w:val="left" w:pos="4752"/>
              </w:tabs>
              <w:spacing w:before="40" w:line="240" w:lineRule="exact"/>
              <w:jc w:val="center"/>
              <w:rPr>
                <w:b/>
                <w:color w:val="000080"/>
                <w:szCs w:val="24"/>
              </w:rPr>
            </w:pPr>
            <w:r w:rsidRPr="00A867F0">
              <w:rPr>
                <w:b/>
                <w:color w:val="000080"/>
                <w:szCs w:val="24"/>
              </w:rPr>
              <w:t>VASRD C</w:t>
            </w:r>
            <w:r>
              <w:rPr>
                <w:b/>
                <w:color w:val="000080"/>
                <w:szCs w:val="24"/>
              </w:rPr>
              <w:t>ODE</w:t>
            </w:r>
          </w:p>
        </w:tc>
        <w:tc>
          <w:tcPr>
            <w:tcW w:w="1084" w:type="dxa"/>
            <w:shd w:val="clear" w:color="auto" w:fill="D9D9D9"/>
          </w:tcPr>
          <w:p w:rsidR="004101B2" w:rsidRPr="00A867F0" w:rsidRDefault="004101B2" w:rsidP="00531C15">
            <w:pPr>
              <w:tabs>
                <w:tab w:val="left" w:pos="288"/>
                <w:tab w:val="left" w:pos="4752"/>
              </w:tabs>
              <w:spacing w:before="40" w:line="240" w:lineRule="exact"/>
              <w:jc w:val="center"/>
              <w:rPr>
                <w:b/>
                <w:color w:val="000080"/>
                <w:szCs w:val="24"/>
              </w:rPr>
            </w:pPr>
            <w:r w:rsidRPr="00A867F0">
              <w:rPr>
                <w:b/>
                <w:color w:val="000080"/>
                <w:szCs w:val="24"/>
              </w:rPr>
              <w:t>R</w:t>
            </w:r>
            <w:r>
              <w:rPr>
                <w:b/>
                <w:color w:val="000080"/>
                <w:szCs w:val="24"/>
              </w:rPr>
              <w:t>ATING</w:t>
            </w:r>
          </w:p>
        </w:tc>
      </w:tr>
      <w:tr w:rsidR="009605B0" w:rsidRPr="00533FB5" w:rsidTr="00063A80">
        <w:tc>
          <w:tcPr>
            <w:tcW w:w="5310" w:type="dxa"/>
          </w:tcPr>
          <w:p w:rsidR="009605B0" w:rsidRPr="00A867F0" w:rsidRDefault="009605B0" w:rsidP="00896683">
            <w:pPr>
              <w:tabs>
                <w:tab w:val="left" w:pos="288"/>
                <w:tab w:val="left" w:pos="4752"/>
              </w:tabs>
              <w:spacing w:before="20" w:after="20" w:line="240" w:lineRule="exact"/>
              <w:rPr>
                <w:color w:val="000080"/>
                <w:szCs w:val="24"/>
              </w:rPr>
            </w:pPr>
            <w:r>
              <w:rPr>
                <w:color w:val="000080"/>
                <w:szCs w:val="24"/>
              </w:rPr>
              <w:t>Cervical Disc Disease</w:t>
            </w:r>
          </w:p>
        </w:tc>
        <w:tc>
          <w:tcPr>
            <w:tcW w:w="1706" w:type="dxa"/>
          </w:tcPr>
          <w:p w:rsidR="009605B0" w:rsidRPr="00A867F0" w:rsidRDefault="009605B0" w:rsidP="00531C15">
            <w:pPr>
              <w:tabs>
                <w:tab w:val="left" w:pos="288"/>
                <w:tab w:val="left" w:pos="4752"/>
              </w:tabs>
              <w:spacing w:line="240" w:lineRule="exact"/>
              <w:jc w:val="center"/>
              <w:rPr>
                <w:color w:val="000080"/>
                <w:szCs w:val="24"/>
              </w:rPr>
            </w:pPr>
            <w:r>
              <w:rPr>
                <w:color w:val="000080"/>
                <w:szCs w:val="24"/>
              </w:rPr>
              <w:t>5243</w:t>
            </w:r>
          </w:p>
        </w:tc>
        <w:tc>
          <w:tcPr>
            <w:tcW w:w="1084" w:type="dxa"/>
          </w:tcPr>
          <w:p w:rsidR="009605B0" w:rsidRDefault="009605B0" w:rsidP="00531C15">
            <w:pPr>
              <w:tabs>
                <w:tab w:val="left" w:pos="288"/>
                <w:tab w:val="left" w:pos="4752"/>
              </w:tabs>
              <w:spacing w:line="240" w:lineRule="exact"/>
              <w:jc w:val="center"/>
              <w:rPr>
                <w:color w:val="000080"/>
                <w:szCs w:val="24"/>
              </w:rPr>
            </w:pPr>
            <w:r>
              <w:rPr>
                <w:color w:val="000080"/>
                <w:szCs w:val="24"/>
              </w:rPr>
              <w:t>10%</w:t>
            </w:r>
          </w:p>
        </w:tc>
      </w:tr>
      <w:tr w:rsidR="009605B0" w:rsidRPr="00533FB5" w:rsidTr="00063A80">
        <w:tc>
          <w:tcPr>
            <w:tcW w:w="5310" w:type="dxa"/>
          </w:tcPr>
          <w:p w:rsidR="009605B0" w:rsidRPr="00A867F0" w:rsidRDefault="009605B0" w:rsidP="00896683">
            <w:pPr>
              <w:tabs>
                <w:tab w:val="left" w:pos="288"/>
                <w:tab w:val="left" w:pos="4752"/>
              </w:tabs>
              <w:spacing w:before="20" w:after="20" w:line="240" w:lineRule="exact"/>
              <w:rPr>
                <w:color w:val="000080"/>
                <w:szCs w:val="24"/>
              </w:rPr>
            </w:pPr>
            <w:r>
              <w:rPr>
                <w:color w:val="000080"/>
                <w:szCs w:val="24"/>
              </w:rPr>
              <w:t>Traumatic Arthritis Right Great Toe</w:t>
            </w:r>
          </w:p>
        </w:tc>
        <w:tc>
          <w:tcPr>
            <w:tcW w:w="1706" w:type="dxa"/>
          </w:tcPr>
          <w:p w:rsidR="009605B0" w:rsidRPr="00A867F0" w:rsidRDefault="009605B0" w:rsidP="00531C15">
            <w:pPr>
              <w:tabs>
                <w:tab w:val="left" w:pos="288"/>
                <w:tab w:val="left" w:pos="4752"/>
              </w:tabs>
              <w:spacing w:line="240" w:lineRule="exact"/>
              <w:jc w:val="center"/>
              <w:rPr>
                <w:color w:val="000080"/>
                <w:szCs w:val="24"/>
              </w:rPr>
            </w:pPr>
            <w:r>
              <w:rPr>
                <w:color w:val="000080"/>
                <w:szCs w:val="24"/>
              </w:rPr>
              <w:t>5010</w:t>
            </w:r>
            <w:r w:rsidR="00063A80">
              <w:rPr>
                <w:color w:val="000080"/>
                <w:szCs w:val="24"/>
              </w:rPr>
              <w:t>-5003</w:t>
            </w:r>
          </w:p>
        </w:tc>
        <w:tc>
          <w:tcPr>
            <w:tcW w:w="1084" w:type="dxa"/>
          </w:tcPr>
          <w:p w:rsidR="009605B0" w:rsidRDefault="009605B0" w:rsidP="00531C15">
            <w:pPr>
              <w:tabs>
                <w:tab w:val="left" w:pos="288"/>
                <w:tab w:val="left" w:pos="4752"/>
              </w:tabs>
              <w:spacing w:line="240" w:lineRule="exact"/>
              <w:jc w:val="center"/>
              <w:rPr>
                <w:color w:val="000080"/>
                <w:szCs w:val="24"/>
              </w:rPr>
            </w:pPr>
            <w:r>
              <w:rPr>
                <w:color w:val="000080"/>
                <w:szCs w:val="24"/>
              </w:rPr>
              <w:t>0%</w:t>
            </w:r>
          </w:p>
        </w:tc>
      </w:tr>
      <w:tr w:rsidR="00E15BA1" w:rsidRPr="00533FB5" w:rsidTr="00E15BA1">
        <w:tc>
          <w:tcPr>
            <w:tcW w:w="5310" w:type="dxa"/>
            <w:tcBorders>
              <w:right w:val="single" w:sz="4" w:space="0" w:color="auto"/>
            </w:tcBorders>
          </w:tcPr>
          <w:p w:rsidR="00E15BA1" w:rsidRDefault="00E15BA1" w:rsidP="00E15BA1">
            <w:pPr>
              <w:tabs>
                <w:tab w:val="left" w:pos="288"/>
                <w:tab w:val="left" w:pos="4752"/>
              </w:tabs>
              <w:spacing w:before="20" w:after="20" w:line="240" w:lineRule="exact"/>
              <w:rPr>
                <w:color w:val="000080"/>
                <w:szCs w:val="24"/>
              </w:rPr>
            </w:pPr>
            <w:r>
              <w:rPr>
                <w:color w:val="000080"/>
                <w:szCs w:val="24"/>
              </w:rPr>
              <w:t>Obstructive Sleep Apnea</w:t>
            </w:r>
          </w:p>
        </w:tc>
        <w:tc>
          <w:tcPr>
            <w:tcW w:w="2790" w:type="dxa"/>
            <w:gridSpan w:val="2"/>
            <w:tcBorders>
              <w:left w:val="single" w:sz="4" w:space="0" w:color="auto"/>
            </w:tcBorders>
          </w:tcPr>
          <w:p w:rsidR="00E15BA1" w:rsidRDefault="00E15BA1" w:rsidP="00E15BA1">
            <w:pPr>
              <w:tabs>
                <w:tab w:val="left" w:pos="288"/>
                <w:tab w:val="left" w:pos="4752"/>
              </w:tabs>
              <w:spacing w:before="20" w:after="20" w:line="240" w:lineRule="exact"/>
              <w:ind w:left="46"/>
              <w:jc w:val="center"/>
              <w:rPr>
                <w:color w:val="000080"/>
                <w:szCs w:val="24"/>
              </w:rPr>
            </w:pPr>
            <w:r>
              <w:rPr>
                <w:color w:val="000080"/>
                <w:szCs w:val="24"/>
              </w:rPr>
              <w:t>Not Unfitting</w:t>
            </w:r>
          </w:p>
        </w:tc>
      </w:tr>
      <w:tr w:rsidR="004101B2" w:rsidRPr="00533FB5" w:rsidTr="00063A80">
        <w:tblPrEx>
          <w:tblLook w:val="0000"/>
        </w:tblPrEx>
        <w:trPr>
          <w:gridBefore w:val="1"/>
          <w:wBefore w:w="5310" w:type="dxa"/>
          <w:trHeight w:val="287"/>
        </w:trPr>
        <w:tc>
          <w:tcPr>
            <w:tcW w:w="1706" w:type="dxa"/>
            <w:tcBorders>
              <w:left w:val="single" w:sz="4" w:space="0" w:color="auto"/>
              <w:bottom w:val="single" w:sz="4" w:space="0" w:color="000000"/>
            </w:tcBorders>
            <w:shd w:val="clear" w:color="auto" w:fill="D9D9D9" w:themeFill="background1" w:themeFillShade="D9"/>
          </w:tcPr>
          <w:p w:rsidR="004101B2" w:rsidRPr="00A867F0" w:rsidRDefault="004101B2" w:rsidP="00531C15">
            <w:pPr>
              <w:tabs>
                <w:tab w:val="left" w:pos="288"/>
                <w:tab w:val="left" w:pos="4752"/>
              </w:tabs>
              <w:spacing w:before="40" w:line="240" w:lineRule="exact"/>
              <w:jc w:val="center"/>
              <w:rPr>
                <w:b/>
                <w:color w:val="000080"/>
                <w:szCs w:val="24"/>
              </w:rPr>
            </w:pPr>
            <w:r w:rsidRPr="00A867F0">
              <w:rPr>
                <w:b/>
                <w:color w:val="000080"/>
                <w:szCs w:val="24"/>
              </w:rPr>
              <w:t>C</w:t>
            </w:r>
            <w:r>
              <w:rPr>
                <w:b/>
                <w:color w:val="000080"/>
                <w:szCs w:val="24"/>
              </w:rPr>
              <w:t>OMBINED</w:t>
            </w:r>
          </w:p>
        </w:tc>
        <w:tc>
          <w:tcPr>
            <w:tcW w:w="1084" w:type="dxa"/>
            <w:tcBorders>
              <w:bottom w:val="single" w:sz="4" w:space="0" w:color="000000"/>
            </w:tcBorders>
            <w:shd w:val="clear" w:color="auto" w:fill="D9D9D9" w:themeFill="background1" w:themeFillShade="D9"/>
          </w:tcPr>
          <w:p w:rsidR="004101B2" w:rsidRPr="005A258C" w:rsidRDefault="00E15BA1" w:rsidP="00531C15">
            <w:pPr>
              <w:tabs>
                <w:tab w:val="left" w:pos="288"/>
                <w:tab w:val="left" w:pos="4752"/>
              </w:tabs>
              <w:spacing w:before="40" w:line="240" w:lineRule="exact"/>
              <w:jc w:val="center"/>
              <w:rPr>
                <w:b/>
                <w:color w:val="000080"/>
                <w:szCs w:val="24"/>
              </w:rPr>
            </w:pPr>
            <w:r>
              <w:rPr>
                <w:b/>
                <w:color w:val="000080"/>
                <w:szCs w:val="24"/>
              </w:rPr>
              <w:t>1</w:t>
            </w:r>
            <w:r w:rsidR="00063A80">
              <w:rPr>
                <w:b/>
                <w:color w:val="000080"/>
                <w:szCs w:val="24"/>
              </w:rPr>
              <w:t>0</w:t>
            </w:r>
            <w:r w:rsidR="004101B2" w:rsidRPr="005A258C">
              <w:rPr>
                <w:b/>
                <w:color w:val="000080"/>
                <w:szCs w:val="24"/>
              </w:rPr>
              <w:t>%</w:t>
            </w:r>
          </w:p>
        </w:tc>
      </w:tr>
    </w:tbl>
    <w:p w:rsidR="00B522CD" w:rsidRPr="006F75C1" w:rsidRDefault="008B5D31" w:rsidP="00875F2D">
      <w:pPr>
        <w:tabs>
          <w:tab w:val="left" w:pos="288"/>
          <w:tab w:val="left" w:pos="4752"/>
        </w:tabs>
        <w:spacing w:line="240" w:lineRule="exact"/>
        <w:jc w:val="both"/>
        <w:rPr>
          <w:color w:val="000080"/>
        </w:rPr>
      </w:pPr>
      <w:r w:rsidRPr="006F75C1">
        <w:rPr>
          <w:color w:val="000080"/>
        </w:rPr>
        <w:t>________________________________________________________________</w:t>
      </w:r>
    </w:p>
    <w:p w:rsidR="00D91DA6" w:rsidRDefault="00D91DA6" w:rsidP="00875F2D">
      <w:pPr>
        <w:tabs>
          <w:tab w:val="left" w:pos="288"/>
          <w:tab w:val="left" w:pos="4752"/>
        </w:tabs>
        <w:spacing w:line="240" w:lineRule="exact"/>
        <w:jc w:val="both"/>
        <w:rPr>
          <w:color w:val="000080"/>
        </w:rPr>
      </w:pPr>
    </w:p>
    <w:p w:rsidR="00D91DA6" w:rsidRDefault="00114F20" w:rsidP="00875F2D">
      <w:pPr>
        <w:tabs>
          <w:tab w:val="left" w:pos="288"/>
          <w:tab w:val="left" w:pos="4752"/>
        </w:tabs>
        <w:spacing w:line="240" w:lineRule="exact"/>
        <w:jc w:val="both"/>
        <w:rPr>
          <w:color w:val="000080"/>
        </w:rPr>
      </w:pPr>
      <w:r>
        <w:rPr>
          <w:color w:val="000080"/>
        </w:rPr>
        <w:t>The following documentary evidence was considered:</w:t>
      </w:r>
    </w:p>
    <w:p w:rsidR="00114F20" w:rsidRDefault="00114F20" w:rsidP="00875F2D">
      <w:pPr>
        <w:tabs>
          <w:tab w:val="left" w:pos="288"/>
          <w:tab w:val="left" w:pos="4752"/>
        </w:tabs>
        <w:spacing w:line="240" w:lineRule="exact"/>
        <w:jc w:val="both"/>
        <w:rPr>
          <w:color w:val="000080"/>
        </w:rPr>
      </w:pPr>
    </w:p>
    <w:p w:rsidR="00114F20" w:rsidRDefault="0051146C" w:rsidP="00875F2D">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w:t>
      </w:r>
      <w:r w:rsidR="0019273F">
        <w:rPr>
          <w:color w:val="000080"/>
        </w:rPr>
        <w:t>2009</w:t>
      </w:r>
      <w:r w:rsidR="0012764E">
        <w:rPr>
          <w:color w:val="000080"/>
        </w:rPr>
        <w:t>0310</w:t>
      </w:r>
      <w:r w:rsidR="00114F20">
        <w:rPr>
          <w:color w:val="000080"/>
        </w:rPr>
        <w:t>, w/</w:t>
      </w:r>
      <w:proofErr w:type="spellStart"/>
      <w:r w:rsidR="00114F20">
        <w:rPr>
          <w:color w:val="000080"/>
        </w:rPr>
        <w:t>atchs</w:t>
      </w:r>
      <w:proofErr w:type="spellEnd"/>
      <w:r w:rsidR="00114F20">
        <w:rPr>
          <w:color w:val="000080"/>
        </w:rPr>
        <w:t>.</w:t>
      </w:r>
    </w:p>
    <w:p w:rsidR="00114F20" w:rsidRDefault="00114F20" w:rsidP="00875F2D">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114F20" w:rsidRDefault="00114F20" w:rsidP="00875F2D">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D91DA6" w:rsidRDefault="00D91DA6"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Pr="00D91DA6" w:rsidRDefault="00114F20" w:rsidP="00875F2D">
      <w:pPr>
        <w:tabs>
          <w:tab w:val="left" w:pos="288"/>
          <w:tab w:val="left" w:pos="4752"/>
        </w:tabs>
        <w:spacing w:line="240" w:lineRule="exact"/>
        <w:jc w:val="both"/>
        <w:rPr>
          <w:color w:val="000080"/>
        </w:rPr>
      </w:pPr>
    </w:p>
    <w:p w:rsidR="00D91DA6" w:rsidRDefault="00C30A97" w:rsidP="00875F2D">
      <w:pPr>
        <w:tabs>
          <w:tab w:val="left" w:pos="0"/>
          <w:tab w:val="left" w:pos="4320"/>
        </w:tabs>
        <w:spacing w:line="240" w:lineRule="exact"/>
        <w:jc w:val="both"/>
        <w:rPr>
          <w:color w:val="000080"/>
        </w:rPr>
      </w:pPr>
      <w:r>
        <w:rPr>
          <w:color w:val="000080"/>
        </w:rPr>
        <w:t xml:space="preserve">                             </w:t>
      </w:r>
      <w:r w:rsidR="00D91DA6" w:rsidRPr="00D91DA6">
        <w:rPr>
          <w:color w:val="000080"/>
        </w:rPr>
        <w:t xml:space="preserve">MICHAEL F. </w:t>
      </w:r>
      <w:proofErr w:type="spellStart"/>
      <w:r w:rsidR="00D91DA6" w:rsidRPr="00D91DA6">
        <w:rPr>
          <w:color w:val="000080"/>
        </w:rPr>
        <w:t>LoGRANDE</w:t>
      </w:r>
      <w:proofErr w:type="spellEnd"/>
    </w:p>
    <w:p w:rsidR="00D91DA6" w:rsidRPr="00D91DA6" w:rsidRDefault="00C30A97" w:rsidP="00875F2D">
      <w:pPr>
        <w:tabs>
          <w:tab w:val="left" w:pos="0"/>
          <w:tab w:val="left" w:pos="4320"/>
        </w:tabs>
        <w:spacing w:line="240" w:lineRule="exact"/>
        <w:jc w:val="both"/>
        <w:rPr>
          <w:color w:val="000080"/>
        </w:rPr>
      </w:pPr>
      <w:r>
        <w:rPr>
          <w:color w:val="000080"/>
        </w:rPr>
        <w:t xml:space="preserve">                             </w:t>
      </w:r>
      <w:r w:rsidR="00D91DA6" w:rsidRPr="00D91DA6">
        <w:rPr>
          <w:color w:val="000080"/>
        </w:rPr>
        <w:t>President</w:t>
      </w:r>
    </w:p>
    <w:p w:rsidR="00B522CD" w:rsidRDefault="00C30A97" w:rsidP="00875F2D">
      <w:pPr>
        <w:tabs>
          <w:tab w:val="left" w:pos="288"/>
          <w:tab w:val="left" w:pos="4320"/>
          <w:tab w:val="left" w:pos="4410"/>
          <w:tab w:val="left" w:pos="4770"/>
          <w:tab w:val="left" w:pos="4860"/>
          <w:tab w:val="left" w:pos="5040"/>
        </w:tabs>
        <w:spacing w:line="240" w:lineRule="exact"/>
        <w:jc w:val="both"/>
        <w:rPr>
          <w:color w:val="000080"/>
        </w:rPr>
      </w:pPr>
      <w:r>
        <w:rPr>
          <w:color w:val="000080"/>
        </w:rPr>
        <w:tab/>
        <w:t xml:space="preserve">                           </w:t>
      </w:r>
      <w:r w:rsidR="00D91DA6" w:rsidRPr="00D91DA6">
        <w:rPr>
          <w:color w:val="000080"/>
        </w:rPr>
        <w:t>Physical Disability</w:t>
      </w:r>
      <w:r w:rsidR="00D91DA6">
        <w:rPr>
          <w:color w:val="000080"/>
        </w:rPr>
        <w:t xml:space="preserve"> </w:t>
      </w:r>
      <w:r w:rsidR="00D91DA6" w:rsidRPr="00D91DA6">
        <w:rPr>
          <w:color w:val="000080"/>
        </w:rPr>
        <w:t>Board of Review</w:t>
      </w:r>
    </w:p>
    <w:p w:rsidR="009A3155" w:rsidRDefault="009A3155">
      <w:pPr>
        <w:rPr>
          <w:color w:val="000080"/>
        </w:rPr>
      </w:pPr>
    </w:p>
    <w:p w:rsidR="00AA04B3" w:rsidRDefault="009A3155" w:rsidP="00875F2D">
      <w:pPr>
        <w:tabs>
          <w:tab w:val="left" w:pos="288"/>
          <w:tab w:val="left" w:pos="4320"/>
          <w:tab w:val="left" w:pos="4410"/>
          <w:tab w:val="left" w:pos="4770"/>
          <w:tab w:val="left" w:pos="4860"/>
          <w:tab w:val="left" w:pos="5040"/>
        </w:tabs>
        <w:spacing w:line="240" w:lineRule="exact"/>
        <w:jc w:val="both"/>
        <w:rPr>
          <w:color w:val="000080"/>
        </w:rPr>
      </w:pPr>
      <w:r w:rsidRPr="009A3155">
        <w:rPr>
          <w:color w:val="000080"/>
          <w:u w:val="single"/>
        </w:rPr>
        <w:t>MINORITY OPINION</w:t>
      </w:r>
      <w:r>
        <w:rPr>
          <w:color w:val="000080"/>
        </w:rPr>
        <w:t>:</w:t>
      </w:r>
    </w:p>
    <w:p w:rsidR="009A3155" w:rsidRDefault="009A3155" w:rsidP="00875F2D">
      <w:pPr>
        <w:tabs>
          <w:tab w:val="left" w:pos="288"/>
          <w:tab w:val="left" w:pos="4320"/>
          <w:tab w:val="left" w:pos="4410"/>
          <w:tab w:val="left" w:pos="4770"/>
          <w:tab w:val="left" w:pos="4860"/>
          <w:tab w:val="left" w:pos="5040"/>
        </w:tabs>
        <w:spacing w:line="240" w:lineRule="exact"/>
        <w:jc w:val="both"/>
        <w:rPr>
          <w:color w:val="000080"/>
        </w:rPr>
      </w:pPr>
    </w:p>
    <w:p w:rsidR="0009465F" w:rsidRDefault="009A3155" w:rsidP="00875F2D">
      <w:pPr>
        <w:tabs>
          <w:tab w:val="left" w:pos="288"/>
          <w:tab w:val="left" w:pos="4320"/>
          <w:tab w:val="left" w:pos="4410"/>
          <w:tab w:val="left" w:pos="4770"/>
          <w:tab w:val="left" w:pos="4860"/>
          <w:tab w:val="left" w:pos="5040"/>
        </w:tabs>
        <w:spacing w:line="240" w:lineRule="exact"/>
        <w:jc w:val="both"/>
        <w:rPr>
          <w:color w:val="000080"/>
        </w:rPr>
      </w:pPr>
      <w:r>
        <w:rPr>
          <w:color w:val="000080"/>
        </w:rPr>
        <w:t xml:space="preserve">As the Action Officer, my initial opinion and draft narrative for the Board proposed a recommendation for unfitting OSA rated 50% </w:t>
      </w:r>
      <w:r w:rsidR="00EE6239">
        <w:rPr>
          <w:color w:val="000080"/>
        </w:rPr>
        <w:t>IAW</w:t>
      </w:r>
      <w:r>
        <w:rPr>
          <w:color w:val="000080"/>
        </w:rPr>
        <w:t xml:space="preserve"> the VASRD.  </w:t>
      </w:r>
      <w:r w:rsidR="0009465F">
        <w:rPr>
          <w:color w:val="000080"/>
        </w:rPr>
        <w:t>Although some parts are redundant with the contents of the Record of Proceedings, the original draft is excerpted below</w:t>
      </w:r>
      <w:r w:rsidR="0009465F" w:rsidRPr="0009465F">
        <w:rPr>
          <w:color w:val="000080"/>
        </w:rPr>
        <w:t xml:space="preserve"> </w:t>
      </w:r>
      <w:r w:rsidR="0009465F">
        <w:rPr>
          <w:color w:val="000080"/>
        </w:rPr>
        <w:t>for balance.</w:t>
      </w:r>
    </w:p>
    <w:p w:rsidR="0009465F" w:rsidRDefault="0009465F" w:rsidP="00875F2D">
      <w:pPr>
        <w:tabs>
          <w:tab w:val="left" w:pos="288"/>
          <w:tab w:val="left" w:pos="4320"/>
          <w:tab w:val="left" w:pos="4410"/>
          <w:tab w:val="left" w:pos="4770"/>
          <w:tab w:val="left" w:pos="4860"/>
          <w:tab w:val="left" w:pos="5040"/>
        </w:tabs>
        <w:spacing w:line="240" w:lineRule="exact"/>
        <w:jc w:val="both"/>
        <w:rPr>
          <w:color w:val="000080"/>
        </w:rPr>
      </w:pPr>
    </w:p>
    <w:p w:rsidR="00C52896" w:rsidRPr="00C52896" w:rsidRDefault="00C52896" w:rsidP="00C52896">
      <w:pPr>
        <w:tabs>
          <w:tab w:val="left" w:pos="288"/>
          <w:tab w:val="left" w:pos="4320"/>
          <w:tab w:val="left" w:pos="4410"/>
          <w:tab w:val="left" w:pos="4752"/>
          <w:tab w:val="left" w:pos="4860"/>
          <w:tab w:val="left" w:pos="5040"/>
        </w:tabs>
        <w:spacing w:line="240" w:lineRule="exact"/>
        <w:ind w:left="720" w:right="720"/>
        <w:jc w:val="both"/>
        <w:rPr>
          <w:color w:val="000080"/>
          <w:sz w:val="20"/>
        </w:rPr>
      </w:pPr>
      <w:r w:rsidRPr="00C52896">
        <w:rPr>
          <w:color w:val="000080"/>
          <w:sz w:val="20"/>
        </w:rPr>
        <w:t xml:space="preserve">The Board acknowledges that the PEB’s fitness adjudication occurred before the evolution of the current approach to OSA by all of the services.  Members are not considered unfit solely on the basis of CPAP treatment, since the electrical and hygiene requirements can be met even in austere deployment environments.  In select cases the Board may recommend a finding of fit even if contrary to the PEB’s adjudication at the time.  Such a recommendation, however, must be based on evidence that the daytime OSA symptoms were improved on CPAP such that they no longer interfered with MOS performance.  In this case there is clear evidence to the contrary.  The NARSUM states that OSA ‘...significantly affects his ability to do his job.  It primarily affects his cognitive ability to do the administrative work required of his MOS.  He is also unable to drive for long distances.’  The Commander’s letter states ‘[CI’s name] inability to focus on tasks stemming from fatigue is not conducive to an environment that deals with sensitive items and inventories.’  The Board therefore recommends no change in the PEB’s fitness adjudication for OSA.  It recommends a 50% rating as mandated by </w:t>
      </w:r>
      <w:proofErr w:type="spellStart"/>
      <w:r w:rsidRPr="00C52896">
        <w:rPr>
          <w:color w:val="000080"/>
          <w:sz w:val="20"/>
        </w:rPr>
        <w:t>DoDI</w:t>
      </w:r>
      <w:proofErr w:type="spellEnd"/>
      <w:r w:rsidRPr="00C52896">
        <w:rPr>
          <w:color w:val="000080"/>
          <w:sz w:val="20"/>
        </w:rPr>
        <w:t xml:space="preserve"> 6040.44.</w:t>
      </w:r>
    </w:p>
    <w:p w:rsidR="0009465F" w:rsidRDefault="0009465F" w:rsidP="00875F2D">
      <w:pPr>
        <w:tabs>
          <w:tab w:val="left" w:pos="288"/>
          <w:tab w:val="left" w:pos="4320"/>
          <w:tab w:val="left" w:pos="4410"/>
          <w:tab w:val="left" w:pos="4770"/>
          <w:tab w:val="left" w:pos="4860"/>
          <w:tab w:val="left" w:pos="5040"/>
        </w:tabs>
        <w:spacing w:line="240" w:lineRule="exact"/>
        <w:jc w:val="both"/>
        <w:rPr>
          <w:color w:val="000080"/>
        </w:rPr>
      </w:pPr>
    </w:p>
    <w:p w:rsidR="0009465F" w:rsidRDefault="001B386B" w:rsidP="00875F2D">
      <w:pPr>
        <w:tabs>
          <w:tab w:val="left" w:pos="288"/>
          <w:tab w:val="left" w:pos="4320"/>
          <w:tab w:val="left" w:pos="4410"/>
          <w:tab w:val="left" w:pos="4770"/>
          <w:tab w:val="left" w:pos="4860"/>
          <w:tab w:val="left" w:pos="5040"/>
        </w:tabs>
        <w:spacing w:line="240" w:lineRule="exact"/>
        <w:jc w:val="both"/>
        <w:rPr>
          <w:color w:val="000080"/>
        </w:rPr>
      </w:pPr>
      <w:r>
        <w:rPr>
          <w:color w:val="000080"/>
        </w:rPr>
        <w:t>The opinion</w:t>
      </w:r>
      <w:r w:rsidR="00C52896">
        <w:rPr>
          <w:color w:val="000080"/>
        </w:rPr>
        <w:t>s</w:t>
      </w:r>
      <w:r>
        <w:rPr>
          <w:color w:val="000080"/>
        </w:rPr>
        <w:t xml:space="preserve"> </w:t>
      </w:r>
      <w:r w:rsidR="00C52896">
        <w:rPr>
          <w:color w:val="000080"/>
        </w:rPr>
        <w:t>express</w:t>
      </w:r>
      <w:r>
        <w:rPr>
          <w:color w:val="000080"/>
        </w:rPr>
        <w:t xml:space="preserve">ed </w:t>
      </w:r>
      <w:r w:rsidR="00C52896">
        <w:rPr>
          <w:color w:val="000080"/>
        </w:rPr>
        <w:t>in the Record of Proceedings</w:t>
      </w:r>
      <w:r>
        <w:rPr>
          <w:color w:val="000080"/>
        </w:rPr>
        <w:t xml:space="preserve"> w</w:t>
      </w:r>
      <w:r w:rsidR="00C52896">
        <w:rPr>
          <w:color w:val="000080"/>
        </w:rPr>
        <w:t>ere</w:t>
      </w:r>
      <w:r>
        <w:rPr>
          <w:color w:val="000080"/>
        </w:rPr>
        <w:t xml:space="preserve"> also written by me, containing the </w:t>
      </w:r>
      <w:r w:rsidR="00C52896">
        <w:rPr>
          <w:color w:val="000080"/>
        </w:rPr>
        <w:t xml:space="preserve">pertinent evidence and </w:t>
      </w:r>
      <w:r>
        <w:rPr>
          <w:color w:val="000080"/>
        </w:rPr>
        <w:t>arguments which surfaced during deliberation.  These facts</w:t>
      </w:r>
      <w:r w:rsidR="00C52896">
        <w:rPr>
          <w:color w:val="000080"/>
        </w:rPr>
        <w:t xml:space="preserve"> and opinions</w:t>
      </w:r>
      <w:r>
        <w:rPr>
          <w:color w:val="000080"/>
        </w:rPr>
        <w:t xml:space="preserve">, now documented as rationales for the Board’s consensus </w:t>
      </w:r>
      <w:r w:rsidR="00C52896">
        <w:rPr>
          <w:color w:val="000080"/>
        </w:rPr>
        <w:t>decision</w:t>
      </w:r>
      <w:r>
        <w:rPr>
          <w:color w:val="000080"/>
        </w:rPr>
        <w:t>, had been considered during my initial evaluation.  I do n</w:t>
      </w:r>
      <w:r w:rsidR="00FF79EE">
        <w:rPr>
          <w:color w:val="000080"/>
        </w:rPr>
        <w:t xml:space="preserve">ot disagree with their accuracy or relevancy, and </w:t>
      </w:r>
      <w:r w:rsidR="00892E4F">
        <w:rPr>
          <w:color w:val="000080"/>
        </w:rPr>
        <w:t>concede that</w:t>
      </w:r>
      <w:r w:rsidR="00FF79EE">
        <w:rPr>
          <w:color w:val="000080"/>
        </w:rPr>
        <w:t xml:space="preserve"> they are </w:t>
      </w:r>
      <w:r w:rsidR="0009465F">
        <w:rPr>
          <w:color w:val="000080"/>
        </w:rPr>
        <w:t>persuasive</w:t>
      </w:r>
      <w:r w:rsidR="00FF79EE">
        <w:rPr>
          <w:color w:val="000080"/>
        </w:rPr>
        <w:t xml:space="preserve"> as a reasonable basis for </w:t>
      </w:r>
      <w:r w:rsidR="00D13F7A">
        <w:rPr>
          <w:color w:val="000080"/>
        </w:rPr>
        <w:t xml:space="preserve">the Board’s considered opinion.  </w:t>
      </w:r>
      <w:r w:rsidR="0009465F">
        <w:rPr>
          <w:color w:val="000080"/>
        </w:rPr>
        <w:t xml:space="preserve">This was not an easy vote for any </w:t>
      </w:r>
      <w:r w:rsidR="00E100CD">
        <w:rPr>
          <w:color w:val="000080"/>
        </w:rPr>
        <w:t>Board members</w:t>
      </w:r>
      <w:r w:rsidR="0009465F">
        <w:rPr>
          <w:color w:val="000080"/>
        </w:rPr>
        <w:t xml:space="preserve"> and was deliberated at length.  </w:t>
      </w:r>
      <w:r w:rsidR="00E100CD">
        <w:rPr>
          <w:color w:val="000080"/>
        </w:rPr>
        <w:t xml:space="preserve">Albeit with admitted ambivalence, I was not persuaded enough from my original opinion </w:t>
      </w:r>
      <w:r w:rsidR="003D2905">
        <w:rPr>
          <w:color w:val="000080"/>
        </w:rPr>
        <w:t xml:space="preserve">as Action Officer </w:t>
      </w:r>
      <w:r w:rsidR="00E100CD">
        <w:rPr>
          <w:color w:val="000080"/>
        </w:rPr>
        <w:t>to</w:t>
      </w:r>
      <w:r w:rsidR="003D2905">
        <w:rPr>
          <w:color w:val="000080"/>
        </w:rPr>
        <w:t xml:space="preserve"> change my vote.  I maintain that although there was weighty evidence on both sides of this question, there remained enough reasonable doubt in favor of this applicant to find OSA unfitting and grant the rating.  In support of my position, I offer the following arguments.</w:t>
      </w:r>
    </w:p>
    <w:p w:rsidR="003D2905" w:rsidRDefault="003D2905" w:rsidP="00875F2D">
      <w:pPr>
        <w:tabs>
          <w:tab w:val="left" w:pos="288"/>
          <w:tab w:val="left" w:pos="4320"/>
          <w:tab w:val="left" w:pos="4410"/>
          <w:tab w:val="left" w:pos="4770"/>
          <w:tab w:val="left" w:pos="4860"/>
          <w:tab w:val="left" w:pos="5040"/>
        </w:tabs>
        <w:spacing w:line="240" w:lineRule="exact"/>
        <w:jc w:val="both"/>
        <w:rPr>
          <w:color w:val="000080"/>
        </w:rPr>
      </w:pPr>
    </w:p>
    <w:p w:rsidR="009A3155" w:rsidRPr="003D2905" w:rsidRDefault="003D2905" w:rsidP="003D2905">
      <w:pPr>
        <w:tabs>
          <w:tab w:val="left" w:pos="288"/>
          <w:tab w:val="left" w:pos="4320"/>
          <w:tab w:val="left" w:pos="4410"/>
          <w:tab w:val="left" w:pos="4770"/>
          <w:tab w:val="left" w:pos="4860"/>
          <w:tab w:val="left" w:pos="5040"/>
        </w:tabs>
        <w:spacing w:line="240" w:lineRule="exact"/>
        <w:jc w:val="both"/>
        <w:rPr>
          <w:color w:val="000080"/>
        </w:rPr>
      </w:pPr>
      <w:r w:rsidRPr="003D2905">
        <w:rPr>
          <w:color w:val="000080"/>
        </w:rPr>
        <w:t>1)</w:t>
      </w:r>
      <w:r>
        <w:rPr>
          <w:color w:val="000080"/>
        </w:rPr>
        <w:t xml:space="preserve"> </w:t>
      </w:r>
      <w:proofErr w:type="gramStart"/>
      <w:r w:rsidR="0021221C">
        <w:rPr>
          <w:color w:val="000080"/>
        </w:rPr>
        <w:t>The</w:t>
      </w:r>
      <w:proofErr w:type="gramEnd"/>
      <w:r w:rsidR="0021221C">
        <w:rPr>
          <w:color w:val="000080"/>
        </w:rPr>
        <w:t xml:space="preserve"> most compelling fact that I could not overcome to cast a unanimous vote, and the one of most concern to the other voters as well, was the NARSUM opinion.  The MEB physician was quite explicit that the symptoms of OSA, not the MOS implications of CPAP, were the cause of significant impairment</w:t>
      </w:r>
      <w:r w:rsidR="00A26907">
        <w:rPr>
          <w:color w:val="000080"/>
        </w:rPr>
        <w:t xml:space="preserve">.  This was mitigated only by the </w:t>
      </w:r>
      <w:r w:rsidR="00892E4F">
        <w:rPr>
          <w:color w:val="000080"/>
        </w:rPr>
        <w:t xml:space="preserve">Board’s </w:t>
      </w:r>
      <w:r w:rsidR="00A26907">
        <w:rPr>
          <w:color w:val="000080"/>
        </w:rPr>
        <w:t xml:space="preserve">conclusion that the medical opinion was premised on a history from the applicant of dubious </w:t>
      </w:r>
      <w:r w:rsidR="00A26907">
        <w:rPr>
          <w:color w:val="000080"/>
        </w:rPr>
        <w:lastRenderedPageBreak/>
        <w:t xml:space="preserve">accuracy.  </w:t>
      </w:r>
      <w:r w:rsidR="00BB7130">
        <w:rPr>
          <w:color w:val="000080"/>
        </w:rPr>
        <w:t>T</w:t>
      </w:r>
      <w:r w:rsidR="00A26907">
        <w:rPr>
          <w:color w:val="000080"/>
        </w:rPr>
        <w:t>his suspect</w:t>
      </w:r>
      <w:r w:rsidR="005D178F">
        <w:rPr>
          <w:color w:val="000080"/>
        </w:rPr>
        <w:t xml:space="preserve">ed exaggeration of symptoms arose </w:t>
      </w:r>
      <w:r w:rsidR="00E4632C">
        <w:rPr>
          <w:color w:val="000080"/>
        </w:rPr>
        <w:t xml:space="preserve">understandably </w:t>
      </w:r>
      <w:r w:rsidR="005D178F">
        <w:rPr>
          <w:color w:val="000080"/>
        </w:rPr>
        <w:t xml:space="preserve">from </w:t>
      </w:r>
      <w:r w:rsidR="00E4632C">
        <w:rPr>
          <w:color w:val="000080"/>
        </w:rPr>
        <w:t xml:space="preserve">evidence that performance itself did not reflect impairment and from </w:t>
      </w:r>
      <w:r w:rsidR="005D178F">
        <w:rPr>
          <w:color w:val="000080"/>
        </w:rPr>
        <w:t xml:space="preserve">the </w:t>
      </w:r>
      <w:r w:rsidR="00E4632C">
        <w:rPr>
          <w:color w:val="000080"/>
        </w:rPr>
        <w:t>incongruent</w:t>
      </w:r>
      <w:r w:rsidR="005D178F">
        <w:rPr>
          <w:color w:val="000080"/>
        </w:rPr>
        <w:t xml:space="preserve"> sleep study</w:t>
      </w:r>
      <w:r w:rsidR="00E4632C">
        <w:rPr>
          <w:color w:val="000080"/>
        </w:rPr>
        <w:t>; but,</w:t>
      </w:r>
      <w:r w:rsidR="005D178F">
        <w:rPr>
          <w:color w:val="000080"/>
        </w:rPr>
        <w:t xml:space="preserve"> </w:t>
      </w:r>
      <w:r w:rsidR="00E4632C">
        <w:rPr>
          <w:color w:val="000080"/>
        </w:rPr>
        <w:t>a significant</w:t>
      </w:r>
      <w:r w:rsidR="005D178F">
        <w:rPr>
          <w:color w:val="000080"/>
        </w:rPr>
        <w:t xml:space="preserve"> source of </w:t>
      </w:r>
      <w:r w:rsidR="00E4632C">
        <w:rPr>
          <w:color w:val="000080"/>
        </w:rPr>
        <w:t xml:space="preserve">Board </w:t>
      </w:r>
      <w:r w:rsidR="005D178F">
        <w:rPr>
          <w:color w:val="000080"/>
        </w:rPr>
        <w:t xml:space="preserve">skepticism was the documentation </w:t>
      </w:r>
      <w:r w:rsidR="004B62FD">
        <w:rPr>
          <w:color w:val="000080"/>
        </w:rPr>
        <w:t xml:space="preserve">of fairly clear deception at the time of the VA back exam.  I would not argue that this incident was </w:t>
      </w:r>
      <w:r w:rsidR="00892E4F">
        <w:rPr>
          <w:color w:val="000080"/>
        </w:rPr>
        <w:t>an in</w:t>
      </w:r>
      <w:r w:rsidR="004B62FD">
        <w:rPr>
          <w:color w:val="000080"/>
        </w:rPr>
        <w:t xml:space="preserve">valid </w:t>
      </w:r>
      <w:r w:rsidR="00EB3898">
        <w:rPr>
          <w:color w:val="000080"/>
        </w:rPr>
        <w:t>observation by the VA physician.</w:t>
      </w:r>
      <w:r w:rsidR="004B62FD">
        <w:rPr>
          <w:color w:val="000080"/>
        </w:rPr>
        <w:t xml:space="preserve"> </w:t>
      </w:r>
      <w:r w:rsidR="00EB3898">
        <w:rPr>
          <w:color w:val="000080"/>
        </w:rPr>
        <w:t xml:space="preserve"> </w:t>
      </w:r>
      <w:r w:rsidR="004B62FD">
        <w:rPr>
          <w:color w:val="000080"/>
        </w:rPr>
        <w:t>I do not believe</w:t>
      </w:r>
      <w:r w:rsidR="00EB3898">
        <w:rPr>
          <w:color w:val="000080"/>
        </w:rPr>
        <w:t xml:space="preserve"> </w:t>
      </w:r>
      <w:r w:rsidR="004B62FD">
        <w:rPr>
          <w:color w:val="000080"/>
        </w:rPr>
        <w:t xml:space="preserve">it </w:t>
      </w:r>
      <w:r w:rsidR="00081FE2">
        <w:rPr>
          <w:color w:val="000080"/>
        </w:rPr>
        <w:t>follows</w:t>
      </w:r>
      <w:r w:rsidR="00EB3898">
        <w:rPr>
          <w:color w:val="000080"/>
        </w:rPr>
        <w:t>, however,</w:t>
      </w:r>
      <w:r w:rsidR="00081FE2">
        <w:rPr>
          <w:color w:val="000080"/>
        </w:rPr>
        <w:t xml:space="preserve"> that the applicant was deceptive or exaggerating regarding his account of symptoms to an Army medical officer months earlier for a different condition.  </w:t>
      </w:r>
      <w:r w:rsidR="002A3CB3">
        <w:rPr>
          <w:color w:val="000080"/>
        </w:rPr>
        <w:t>Although it may be legitimately suspected, I cannot in good faith conclude that</w:t>
      </w:r>
      <w:r w:rsidR="007E4650">
        <w:rPr>
          <w:color w:val="000080"/>
        </w:rPr>
        <w:t>,</w:t>
      </w:r>
      <w:r w:rsidR="007E4650" w:rsidRPr="007E4650">
        <w:rPr>
          <w:color w:val="000080"/>
        </w:rPr>
        <w:t xml:space="preserve"> </w:t>
      </w:r>
      <w:r w:rsidR="007E4650">
        <w:rPr>
          <w:color w:val="000080"/>
        </w:rPr>
        <w:t>more likely than not,</w:t>
      </w:r>
      <w:r w:rsidR="002A3CB3">
        <w:rPr>
          <w:color w:val="000080"/>
        </w:rPr>
        <w:t xml:space="preserve"> it occurred.  By extension I cannot conclude to a ‘more likely than not’ standard that </w:t>
      </w:r>
      <w:r w:rsidR="007E4650">
        <w:rPr>
          <w:color w:val="000080"/>
        </w:rPr>
        <w:t>significantly impairing symptoms were not present at the time of the MEB examination.</w:t>
      </w:r>
    </w:p>
    <w:p w:rsidR="00AC73DD" w:rsidRDefault="00A05952" w:rsidP="00DF0524">
      <w:pPr>
        <w:tabs>
          <w:tab w:val="left" w:pos="288"/>
          <w:tab w:val="left" w:pos="4320"/>
          <w:tab w:val="left" w:pos="4410"/>
          <w:tab w:val="left" w:pos="4770"/>
          <w:tab w:val="left" w:pos="4860"/>
          <w:tab w:val="left" w:pos="5040"/>
        </w:tabs>
        <w:spacing w:line="240" w:lineRule="exact"/>
        <w:jc w:val="both"/>
        <w:rPr>
          <w:color w:val="000080"/>
        </w:rPr>
      </w:pPr>
      <w:r w:rsidRPr="00B179AD">
        <w:rPr>
          <w:color w:val="000080"/>
        </w:rPr>
        <w:t xml:space="preserve">  </w:t>
      </w:r>
    </w:p>
    <w:p w:rsidR="00366DF3" w:rsidRDefault="007E4650" w:rsidP="00DF0524">
      <w:pPr>
        <w:tabs>
          <w:tab w:val="left" w:pos="288"/>
          <w:tab w:val="left" w:pos="4320"/>
          <w:tab w:val="left" w:pos="4410"/>
          <w:tab w:val="left" w:pos="4770"/>
          <w:tab w:val="left" w:pos="4860"/>
          <w:tab w:val="left" w:pos="5040"/>
        </w:tabs>
        <w:spacing w:line="240" w:lineRule="exact"/>
        <w:jc w:val="both"/>
        <w:rPr>
          <w:color w:val="000080"/>
        </w:rPr>
      </w:pPr>
      <w:r>
        <w:rPr>
          <w:color w:val="000080"/>
        </w:rPr>
        <w:t xml:space="preserve">2)  </w:t>
      </w:r>
      <w:r w:rsidR="00B179AD" w:rsidRPr="00B179AD">
        <w:rPr>
          <w:color w:val="000080"/>
        </w:rPr>
        <w:t>It is commonly asserted that, compared to the VASRD ratings for many other conditions and injuries, the 50% rating for OSA requiring CPAP is difficult to justify if the symptoms are not significantly incapacitating.</w:t>
      </w:r>
      <w:r w:rsidR="00B179AD">
        <w:rPr>
          <w:color w:val="000080"/>
        </w:rPr>
        <w:t xml:space="preserve">  </w:t>
      </w:r>
      <w:r w:rsidR="00366DF3">
        <w:rPr>
          <w:color w:val="000080"/>
        </w:rPr>
        <w:t xml:space="preserve">This is relevant because I believe it cannot help but introduce a bias into the adjudication of OSA cases.  Although not purporting to speak for others, </w:t>
      </w:r>
      <w:r w:rsidR="0027178F">
        <w:rPr>
          <w:color w:val="000080"/>
        </w:rPr>
        <w:t>there is a natural tendency to raise the fitness bar for OSA because of the high rating stakes</w:t>
      </w:r>
      <w:r w:rsidR="0042463C">
        <w:rPr>
          <w:color w:val="000080"/>
        </w:rPr>
        <w:t>.</w:t>
      </w:r>
      <w:r w:rsidR="0027178F">
        <w:rPr>
          <w:color w:val="000080"/>
        </w:rPr>
        <w:t xml:space="preserve"> </w:t>
      </w:r>
      <w:r w:rsidR="0042463C">
        <w:rPr>
          <w:color w:val="000080"/>
        </w:rPr>
        <w:t xml:space="preserve"> This engenders a </w:t>
      </w:r>
      <w:r w:rsidR="0027178F">
        <w:rPr>
          <w:color w:val="000080"/>
        </w:rPr>
        <w:t xml:space="preserve">perceived affront to veterans with more disabling conditions </w:t>
      </w:r>
      <w:r w:rsidR="0042463C">
        <w:rPr>
          <w:color w:val="000080"/>
        </w:rPr>
        <w:t xml:space="preserve">resulting in lower VASRD ratings.  A ‘fair’ rating in this case, for example, might be considered 10%.  If that were the rating, would the Board’s fitness scrutiny have reached beyond the statement in the NARSUM and the PEB’s decision as we did in this case?  </w:t>
      </w:r>
      <w:r w:rsidR="00D165F5">
        <w:rPr>
          <w:color w:val="000080"/>
        </w:rPr>
        <w:t>It must be said that t</w:t>
      </w:r>
      <w:r w:rsidR="0042463C">
        <w:rPr>
          <w:color w:val="000080"/>
        </w:rPr>
        <w:t>he Board is routinely thorough in its investigation of all the evidence</w:t>
      </w:r>
      <w:r w:rsidR="00D165F5">
        <w:rPr>
          <w:color w:val="000080"/>
        </w:rPr>
        <w:t>, more often than not to the advantage of the applicant</w:t>
      </w:r>
      <w:r w:rsidR="00EF7724">
        <w:rPr>
          <w:color w:val="000080"/>
        </w:rPr>
        <w:t>.  Even the possibility of an unavoidable negative bias, however, lends at least a small degree of additional reasonable doubt favoring the applicant in this case.</w:t>
      </w:r>
    </w:p>
    <w:p w:rsidR="00EF7724" w:rsidRDefault="00EF7724" w:rsidP="00DF0524">
      <w:pPr>
        <w:tabs>
          <w:tab w:val="left" w:pos="288"/>
          <w:tab w:val="left" w:pos="4320"/>
          <w:tab w:val="left" w:pos="4410"/>
          <w:tab w:val="left" w:pos="4770"/>
          <w:tab w:val="left" w:pos="4860"/>
          <w:tab w:val="left" w:pos="5040"/>
        </w:tabs>
        <w:spacing w:line="240" w:lineRule="exact"/>
        <w:jc w:val="both"/>
        <w:rPr>
          <w:color w:val="000080"/>
        </w:rPr>
      </w:pPr>
    </w:p>
    <w:p w:rsidR="00EF7724" w:rsidRDefault="00EF7724" w:rsidP="00DF0524">
      <w:pPr>
        <w:tabs>
          <w:tab w:val="left" w:pos="288"/>
          <w:tab w:val="left" w:pos="4320"/>
          <w:tab w:val="left" w:pos="4410"/>
          <w:tab w:val="left" w:pos="4770"/>
          <w:tab w:val="left" w:pos="4860"/>
          <w:tab w:val="left" w:pos="5040"/>
        </w:tabs>
        <w:spacing w:line="240" w:lineRule="exact"/>
        <w:jc w:val="both"/>
        <w:rPr>
          <w:color w:val="000080"/>
        </w:rPr>
      </w:pPr>
      <w:r>
        <w:rPr>
          <w:color w:val="000080"/>
        </w:rPr>
        <w:t xml:space="preserve">3)  The Board must give extra pause to a decision which results in a recommendation contrary to the service adjudication and unfavorable to the applicant.  </w:t>
      </w:r>
      <w:r w:rsidR="00892E4F">
        <w:rPr>
          <w:color w:val="000080"/>
        </w:rPr>
        <w:t xml:space="preserve">This principle </w:t>
      </w:r>
      <w:r w:rsidR="00BE5695">
        <w:rPr>
          <w:color w:val="000080"/>
        </w:rPr>
        <w:t xml:space="preserve">in </w:t>
      </w:r>
      <w:r w:rsidR="00892E4F">
        <w:rPr>
          <w:color w:val="000080"/>
        </w:rPr>
        <w:t>itself confers yet another degree of unquantifiable, but relevant, reasonable doubt in favor of the applicant.</w:t>
      </w:r>
    </w:p>
    <w:p w:rsidR="00892E4F" w:rsidRDefault="00892E4F" w:rsidP="00DF0524">
      <w:pPr>
        <w:tabs>
          <w:tab w:val="left" w:pos="288"/>
          <w:tab w:val="left" w:pos="4320"/>
          <w:tab w:val="left" w:pos="4410"/>
          <w:tab w:val="left" w:pos="4770"/>
          <w:tab w:val="left" w:pos="4860"/>
          <w:tab w:val="left" w:pos="5040"/>
        </w:tabs>
        <w:spacing w:line="240" w:lineRule="exact"/>
        <w:jc w:val="both"/>
        <w:rPr>
          <w:color w:val="000080"/>
        </w:rPr>
      </w:pPr>
    </w:p>
    <w:p w:rsidR="00892E4F" w:rsidRDefault="00892E4F" w:rsidP="00DF0524">
      <w:pPr>
        <w:tabs>
          <w:tab w:val="left" w:pos="288"/>
          <w:tab w:val="left" w:pos="4320"/>
          <w:tab w:val="left" w:pos="4410"/>
          <w:tab w:val="left" w:pos="4770"/>
          <w:tab w:val="left" w:pos="4860"/>
          <w:tab w:val="left" w:pos="5040"/>
        </w:tabs>
        <w:spacing w:line="240" w:lineRule="exact"/>
        <w:jc w:val="both"/>
        <w:rPr>
          <w:color w:val="000080"/>
        </w:rPr>
      </w:pPr>
      <w:r>
        <w:rPr>
          <w:color w:val="000080"/>
        </w:rPr>
        <w:t>The Action Officer continues to support the initial recommendation prece</w:t>
      </w:r>
      <w:r w:rsidR="00847F37">
        <w:rPr>
          <w:color w:val="000080"/>
        </w:rPr>
        <w:t xml:space="preserve">ding the Board’s deliberation, i.e., a VASRD §4.100 rating of 50% for OSA as an unfitting condition. </w:t>
      </w:r>
    </w:p>
    <w:p w:rsidR="00892E4F" w:rsidRDefault="00892E4F" w:rsidP="00DF0524">
      <w:pPr>
        <w:tabs>
          <w:tab w:val="left" w:pos="288"/>
          <w:tab w:val="left" w:pos="4320"/>
          <w:tab w:val="left" w:pos="4410"/>
          <w:tab w:val="left" w:pos="4770"/>
          <w:tab w:val="left" w:pos="4860"/>
          <w:tab w:val="left" w:pos="5040"/>
        </w:tabs>
        <w:spacing w:line="240" w:lineRule="exact"/>
        <w:jc w:val="both"/>
        <w:rPr>
          <w:color w:val="000080"/>
        </w:rPr>
      </w:pPr>
    </w:p>
    <w:p w:rsidR="00776776" w:rsidRDefault="00776776" w:rsidP="00DF0524">
      <w:pPr>
        <w:tabs>
          <w:tab w:val="left" w:pos="288"/>
          <w:tab w:val="left" w:pos="4320"/>
          <w:tab w:val="left" w:pos="4410"/>
          <w:tab w:val="left" w:pos="4770"/>
          <w:tab w:val="left" w:pos="4860"/>
          <w:tab w:val="left" w:pos="5040"/>
        </w:tabs>
        <w:spacing w:line="240" w:lineRule="exact"/>
        <w:jc w:val="both"/>
        <w:rPr>
          <w:rFonts w:asciiTheme="minorHAnsi" w:eastAsiaTheme="minorHAnsi" w:hAnsiTheme="minorHAnsi"/>
          <w:color w:val="auto"/>
          <w:szCs w:val="24"/>
        </w:rPr>
      </w:pPr>
    </w:p>
    <w:p w:rsidR="00776776" w:rsidRDefault="00776776">
      <w:pPr>
        <w:rPr>
          <w:rFonts w:asciiTheme="minorHAnsi" w:eastAsiaTheme="minorHAnsi" w:hAnsiTheme="minorHAnsi"/>
          <w:color w:val="auto"/>
          <w:szCs w:val="24"/>
        </w:rPr>
      </w:pPr>
      <w:r>
        <w:rPr>
          <w:rFonts w:asciiTheme="minorHAnsi" w:eastAsiaTheme="minorHAnsi" w:hAnsiTheme="minorHAnsi"/>
          <w:color w:val="auto"/>
          <w:szCs w:val="24"/>
        </w:rPr>
        <w:br w:type="page"/>
      </w:r>
    </w:p>
    <w:p w:rsidR="00892E4F" w:rsidRPr="00BB271D" w:rsidRDefault="00892E4F" w:rsidP="00DF0524">
      <w:pPr>
        <w:tabs>
          <w:tab w:val="left" w:pos="288"/>
          <w:tab w:val="left" w:pos="4320"/>
          <w:tab w:val="left" w:pos="4410"/>
          <w:tab w:val="left" w:pos="4770"/>
          <w:tab w:val="left" w:pos="4860"/>
          <w:tab w:val="left" w:pos="5040"/>
        </w:tabs>
        <w:spacing w:line="240" w:lineRule="exact"/>
        <w:jc w:val="both"/>
        <w:rPr>
          <w:rFonts w:asciiTheme="minorHAnsi" w:eastAsiaTheme="minorHAnsi" w:hAnsiTheme="minorHAnsi"/>
          <w:color w:val="auto"/>
          <w:szCs w:val="24"/>
        </w:rPr>
      </w:pPr>
    </w:p>
    <w:p w:rsidR="00776776" w:rsidRDefault="00776776" w:rsidP="00776776">
      <w:pPr>
        <w:tabs>
          <w:tab w:val="left" w:pos="288"/>
          <w:tab w:val="left" w:pos="4320"/>
          <w:tab w:val="left" w:pos="4410"/>
          <w:tab w:val="left" w:pos="4770"/>
          <w:tab w:val="left" w:pos="4860"/>
          <w:tab w:val="left" w:pos="5040"/>
        </w:tabs>
        <w:spacing w:line="240" w:lineRule="exact"/>
        <w:jc w:val="both"/>
        <w:rPr>
          <w:color w:val="000080"/>
        </w:rPr>
      </w:pPr>
      <w:r>
        <w:rPr>
          <w:color w:val="000080"/>
          <w:u w:val="single"/>
        </w:rPr>
        <w:t>ACTION OFFICER POST-DATED ADDENDUM (20100428)</w:t>
      </w:r>
      <w:r>
        <w:rPr>
          <w:color w:val="000080"/>
        </w:rPr>
        <w:t>:</w:t>
      </w:r>
    </w:p>
    <w:p w:rsidR="00776776" w:rsidRDefault="00776776" w:rsidP="00776776">
      <w:pPr>
        <w:tabs>
          <w:tab w:val="left" w:pos="288"/>
          <w:tab w:val="left" w:pos="4320"/>
          <w:tab w:val="left" w:pos="4410"/>
          <w:tab w:val="left" w:pos="4770"/>
          <w:tab w:val="left" w:pos="4860"/>
          <w:tab w:val="left" w:pos="5040"/>
        </w:tabs>
        <w:spacing w:line="240" w:lineRule="exact"/>
        <w:jc w:val="both"/>
        <w:rPr>
          <w:color w:val="000080"/>
        </w:rPr>
      </w:pPr>
    </w:p>
    <w:p w:rsidR="007E4650" w:rsidRDefault="00776776" w:rsidP="00776776">
      <w:pPr>
        <w:tabs>
          <w:tab w:val="left" w:pos="288"/>
          <w:tab w:val="left" w:pos="4320"/>
          <w:tab w:val="left" w:pos="4410"/>
          <w:tab w:val="left" w:pos="4770"/>
          <w:tab w:val="left" w:pos="4860"/>
          <w:tab w:val="left" w:pos="5040"/>
        </w:tabs>
        <w:spacing w:line="240" w:lineRule="exact"/>
        <w:jc w:val="both"/>
        <w:rPr>
          <w:color w:val="000080"/>
        </w:rPr>
      </w:pPr>
      <w:r>
        <w:rPr>
          <w:color w:val="000080"/>
        </w:rPr>
        <w:t xml:space="preserve">A premise of </w:t>
      </w:r>
      <w:r w:rsidR="00FE3E2E">
        <w:rPr>
          <w:color w:val="000080"/>
        </w:rPr>
        <w:t xml:space="preserve">all Board members at the time of the decision reflected in this record </w:t>
      </w:r>
      <w:r>
        <w:rPr>
          <w:color w:val="000080"/>
        </w:rPr>
        <w:t>was that the Board had the prerogative of recommending that OSA was not unfitting</w:t>
      </w:r>
      <w:r w:rsidR="00FE3E2E">
        <w:rPr>
          <w:color w:val="000080"/>
        </w:rPr>
        <w:t xml:space="preserve">.  Although </w:t>
      </w:r>
      <w:r>
        <w:rPr>
          <w:color w:val="000080"/>
        </w:rPr>
        <w:t xml:space="preserve">contrary to the PEB’s </w:t>
      </w:r>
      <w:r w:rsidR="00FE3E2E">
        <w:rPr>
          <w:color w:val="000080"/>
        </w:rPr>
        <w:t xml:space="preserve">fitness </w:t>
      </w:r>
      <w:r>
        <w:rPr>
          <w:color w:val="000080"/>
        </w:rPr>
        <w:t>adjudication</w:t>
      </w:r>
      <w:r w:rsidR="00FE3E2E">
        <w:rPr>
          <w:color w:val="000080"/>
        </w:rPr>
        <w:t xml:space="preserve">, the majority decision would not have lowered the CI’s overall rating and therefore not posed a direct violation </w:t>
      </w:r>
      <w:r w:rsidR="002A11CC">
        <w:rPr>
          <w:color w:val="000080"/>
        </w:rPr>
        <w:t>of</w:t>
      </w:r>
      <w:r w:rsidR="00FE3E2E">
        <w:rPr>
          <w:color w:val="000080"/>
        </w:rPr>
        <w:t xml:space="preserve"> </w:t>
      </w:r>
      <w:proofErr w:type="spellStart"/>
      <w:r w:rsidR="00FE3E2E">
        <w:rPr>
          <w:color w:val="000080"/>
        </w:rPr>
        <w:t>DoDI</w:t>
      </w:r>
      <w:proofErr w:type="spellEnd"/>
      <w:r w:rsidR="00FE3E2E">
        <w:rPr>
          <w:color w:val="000080"/>
        </w:rPr>
        <w:t xml:space="preserve"> 6040.44.  Subsequent to this Board, however, it was determined that the Board will not exercise the dubious authority to make unfavorable recommendations regarding </w:t>
      </w:r>
      <w:r w:rsidR="00323D20">
        <w:rPr>
          <w:color w:val="000080"/>
        </w:rPr>
        <w:t>PEB</w:t>
      </w:r>
      <w:r w:rsidR="00FE3E2E">
        <w:rPr>
          <w:color w:val="000080"/>
        </w:rPr>
        <w:t xml:space="preserve"> fitness determinations in OSA cases. </w:t>
      </w:r>
      <w:r w:rsidR="00847F37">
        <w:rPr>
          <w:color w:val="000080"/>
        </w:rPr>
        <w:t xml:space="preserve">This was decided in a joint meeting of the President and key members of the Physical Disability Board of Review with the lead agency’s legal advisor on April 21, 2010.  On this basis alone, the minority opinion must be supported.  </w:t>
      </w:r>
      <w:r w:rsidR="00323D20">
        <w:rPr>
          <w:color w:val="000080"/>
        </w:rPr>
        <w:t xml:space="preserve">The majority voters are aware and in agreement with the need to change our recommendation on this basis.  </w:t>
      </w:r>
      <w:r w:rsidR="00847F37">
        <w:rPr>
          <w:color w:val="000080"/>
        </w:rPr>
        <w:t xml:space="preserve">In compliance with </w:t>
      </w:r>
      <w:r w:rsidR="00323D20">
        <w:rPr>
          <w:color w:val="000080"/>
        </w:rPr>
        <w:t>new</w:t>
      </w:r>
      <w:r w:rsidR="00847F37">
        <w:rPr>
          <w:color w:val="000080"/>
        </w:rPr>
        <w:t xml:space="preserve"> policy</w:t>
      </w:r>
      <w:r w:rsidR="00323D20">
        <w:rPr>
          <w:color w:val="000080"/>
        </w:rPr>
        <w:t>,</w:t>
      </w:r>
      <w:r w:rsidR="00847F37">
        <w:rPr>
          <w:color w:val="000080"/>
        </w:rPr>
        <w:t xml:space="preserve"> the Action Officer </w:t>
      </w:r>
      <w:r w:rsidR="00323D20">
        <w:rPr>
          <w:color w:val="000080"/>
        </w:rPr>
        <w:t>respectfully requests that the President uphold the Minority Opinion and change the Board’s final recommendation in this case to:</w:t>
      </w:r>
    </w:p>
    <w:p w:rsidR="00323D20" w:rsidRDefault="00323D20" w:rsidP="00776776">
      <w:pPr>
        <w:tabs>
          <w:tab w:val="left" w:pos="288"/>
          <w:tab w:val="left" w:pos="4320"/>
          <w:tab w:val="left" w:pos="4410"/>
          <w:tab w:val="left" w:pos="4770"/>
          <w:tab w:val="left" w:pos="4860"/>
          <w:tab w:val="left" w:pos="5040"/>
        </w:tabs>
        <w:spacing w:line="240" w:lineRule="exact"/>
        <w:jc w:val="both"/>
        <w:rPr>
          <w:color w:val="000080"/>
        </w:rPr>
      </w:pPr>
    </w:p>
    <w:p w:rsidR="00323D20" w:rsidRDefault="00323D20" w:rsidP="00323D20">
      <w:pPr>
        <w:tabs>
          <w:tab w:val="left" w:pos="288"/>
          <w:tab w:val="left" w:pos="4320"/>
          <w:tab w:val="left" w:pos="4410"/>
          <w:tab w:val="left" w:pos="4752"/>
          <w:tab w:val="left" w:pos="4860"/>
          <w:tab w:val="left" w:pos="5040"/>
        </w:tabs>
        <w:spacing w:line="240" w:lineRule="exact"/>
        <w:jc w:val="both"/>
        <w:rPr>
          <w:color w:val="000080"/>
        </w:rPr>
      </w:pPr>
      <w:r w:rsidRPr="00323D20">
        <w:rPr>
          <w:color w:val="000080"/>
          <w:u w:val="single"/>
        </w:rPr>
        <w:t>RECOMMENDATION</w:t>
      </w:r>
      <w:r w:rsidRPr="0077054A">
        <w:rPr>
          <w:color w:val="000080"/>
        </w:rPr>
        <w:t xml:space="preserve">: </w:t>
      </w:r>
      <w:r>
        <w:rPr>
          <w:color w:val="000080"/>
        </w:rPr>
        <w:t xml:space="preserve">The </w:t>
      </w:r>
      <w:r w:rsidRPr="0077054A">
        <w:rPr>
          <w:color w:val="000080"/>
        </w:rPr>
        <w:t>Board recommends</w:t>
      </w:r>
      <w:r w:rsidRPr="00323D20">
        <w:rPr>
          <w:color w:val="000080"/>
        </w:rPr>
        <w:t xml:space="preserve"> that the CI’s prior determination be modified as follows and that the discharge with severance pay be </w:t>
      </w:r>
      <w:proofErr w:type="spellStart"/>
      <w:r w:rsidRPr="00323D20">
        <w:rPr>
          <w:color w:val="000080"/>
        </w:rPr>
        <w:t>recharacterized</w:t>
      </w:r>
      <w:proofErr w:type="spellEnd"/>
      <w:r w:rsidRPr="00323D20">
        <w:rPr>
          <w:color w:val="000080"/>
        </w:rPr>
        <w:t xml:space="preserve"> to reflect permanent disability retirement, effective as of the date of his prior medical separation.</w:t>
      </w:r>
    </w:p>
    <w:p w:rsidR="00847F37" w:rsidRDefault="00847F37" w:rsidP="00776776">
      <w:pPr>
        <w:tabs>
          <w:tab w:val="left" w:pos="288"/>
          <w:tab w:val="left" w:pos="4320"/>
          <w:tab w:val="left" w:pos="4410"/>
          <w:tab w:val="left" w:pos="4770"/>
          <w:tab w:val="left" w:pos="4860"/>
          <w:tab w:val="left" w:pos="5040"/>
        </w:tabs>
        <w:spacing w:line="240" w:lineRule="exact"/>
        <w:jc w:val="both"/>
        <w:rPr>
          <w:color w:val="000080"/>
        </w:rPr>
      </w:pP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0"/>
        <w:gridCol w:w="1706"/>
        <w:gridCol w:w="1084"/>
      </w:tblGrid>
      <w:tr w:rsidR="00847F37" w:rsidRPr="00533FB5" w:rsidTr="00A52F11">
        <w:trPr>
          <w:trHeight w:val="287"/>
        </w:trPr>
        <w:tc>
          <w:tcPr>
            <w:tcW w:w="5310" w:type="dxa"/>
            <w:shd w:val="clear" w:color="auto" w:fill="D9D9D9"/>
          </w:tcPr>
          <w:p w:rsidR="00847F37" w:rsidRPr="00A867F0" w:rsidRDefault="00847F37" w:rsidP="00A52F11">
            <w:pPr>
              <w:tabs>
                <w:tab w:val="left" w:pos="288"/>
                <w:tab w:val="left" w:pos="4752"/>
              </w:tabs>
              <w:spacing w:before="40" w:line="240" w:lineRule="exact"/>
              <w:jc w:val="center"/>
              <w:rPr>
                <w:b/>
                <w:color w:val="000080"/>
                <w:szCs w:val="24"/>
              </w:rPr>
            </w:pPr>
            <w:r>
              <w:rPr>
                <w:b/>
                <w:color w:val="000080"/>
                <w:szCs w:val="24"/>
              </w:rPr>
              <w:t>UNFITTING CONDITION</w:t>
            </w:r>
          </w:p>
        </w:tc>
        <w:tc>
          <w:tcPr>
            <w:tcW w:w="1706" w:type="dxa"/>
            <w:shd w:val="clear" w:color="auto" w:fill="D9D9D9"/>
          </w:tcPr>
          <w:p w:rsidR="00847F37" w:rsidRPr="00A867F0" w:rsidRDefault="00847F37" w:rsidP="00A52F11">
            <w:pPr>
              <w:tabs>
                <w:tab w:val="left" w:pos="288"/>
                <w:tab w:val="left" w:pos="4752"/>
              </w:tabs>
              <w:spacing w:before="40" w:line="240" w:lineRule="exact"/>
              <w:jc w:val="center"/>
              <w:rPr>
                <w:b/>
                <w:color w:val="000080"/>
                <w:szCs w:val="24"/>
              </w:rPr>
            </w:pPr>
            <w:r w:rsidRPr="00A867F0">
              <w:rPr>
                <w:b/>
                <w:color w:val="000080"/>
                <w:szCs w:val="24"/>
              </w:rPr>
              <w:t>VASRD C</w:t>
            </w:r>
            <w:r>
              <w:rPr>
                <w:b/>
                <w:color w:val="000080"/>
                <w:szCs w:val="24"/>
              </w:rPr>
              <w:t>ODE</w:t>
            </w:r>
          </w:p>
        </w:tc>
        <w:tc>
          <w:tcPr>
            <w:tcW w:w="1084" w:type="dxa"/>
            <w:shd w:val="clear" w:color="auto" w:fill="D9D9D9"/>
          </w:tcPr>
          <w:p w:rsidR="00847F37" w:rsidRPr="00A867F0" w:rsidRDefault="00847F37" w:rsidP="00A52F11">
            <w:pPr>
              <w:tabs>
                <w:tab w:val="left" w:pos="288"/>
                <w:tab w:val="left" w:pos="4752"/>
              </w:tabs>
              <w:spacing w:before="40" w:line="240" w:lineRule="exact"/>
              <w:jc w:val="center"/>
              <w:rPr>
                <w:b/>
                <w:color w:val="000080"/>
                <w:szCs w:val="24"/>
              </w:rPr>
            </w:pPr>
            <w:r w:rsidRPr="00A867F0">
              <w:rPr>
                <w:b/>
                <w:color w:val="000080"/>
                <w:szCs w:val="24"/>
              </w:rPr>
              <w:t>R</w:t>
            </w:r>
            <w:r>
              <w:rPr>
                <w:b/>
                <w:color w:val="000080"/>
                <w:szCs w:val="24"/>
              </w:rPr>
              <w:t>ATING</w:t>
            </w:r>
          </w:p>
        </w:tc>
      </w:tr>
      <w:tr w:rsidR="00847F37" w:rsidRPr="00533FB5" w:rsidTr="00A52F11">
        <w:tc>
          <w:tcPr>
            <w:tcW w:w="5310" w:type="dxa"/>
          </w:tcPr>
          <w:p w:rsidR="00847F37" w:rsidRPr="00A867F0" w:rsidRDefault="00847F37" w:rsidP="00A52F11">
            <w:pPr>
              <w:tabs>
                <w:tab w:val="left" w:pos="288"/>
                <w:tab w:val="left" w:pos="4752"/>
              </w:tabs>
              <w:spacing w:before="20" w:after="20" w:line="240" w:lineRule="exact"/>
              <w:rPr>
                <w:color w:val="000080"/>
                <w:szCs w:val="24"/>
              </w:rPr>
            </w:pPr>
            <w:r>
              <w:rPr>
                <w:color w:val="000080"/>
                <w:szCs w:val="24"/>
              </w:rPr>
              <w:t>Obstructive Sleep Apnea</w:t>
            </w:r>
          </w:p>
        </w:tc>
        <w:tc>
          <w:tcPr>
            <w:tcW w:w="1706" w:type="dxa"/>
          </w:tcPr>
          <w:p w:rsidR="00847F37" w:rsidRPr="00A867F0" w:rsidRDefault="00847F37" w:rsidP="00A52F11">
            <w:pPr>
              <w:tabs>
                <w:tab w:val="left" w:pos="288"/>
                <w:tab w:val="left" w:pos="4752"/>
              </w:tabs>
              <w:spacing w:line="240" w:lineRule="exact"/>
              <w:jc w:val="center"/>
              <w:rPr>
                <w:color w:val="000080"/>
                <w:szCs w:val="24"/>
              </w:rPr>
            </w:pPr>
            <w:r>
              <w:rPr>
                <w:color w:val="000080"/>
                <w:szCs w:val="24"/>
              </w:rPr>
              <w:t>6847</w:t>
            </w:r>
          </w:p>
        </w:tc>
        <w:tc>
          <w:tcPr>
            <w:tcW w:w="1084" w:type="dxa"/>
          </w:tcPr>
          <w:p w:rsidR="00847F37" w:rsidRPr="00A867F0" w:rsidRDefault="00847F37" w:rsidP="00A52F11">
            <w:pPr>
              <w:tabs>
                <w:tab w:val="left" w:pos="288"/>
                <w:tab w:val="left" w:pos="4752"/>
              </w:tabs>
              <w:spacing w:line="240" w:lineRule="exact"/>
              <w:jc w:val="center"/>
              <w:rPr>
                <w:color w:val="000080"/>
                <w:szCs w:val="24"/>
              </w:rPr>
            </w:pPr>
            <w:r>
              <w:rPr>
                <w:color w:val="000080"/>
                <w:szCs w:val="24"/>
              </w:rPr>
              <w:t>50%</w:t>
            </w:r>
          </w:p>
        </w:tc>
      </w:tr>
      <w:tr w:rsidR="00847F37" w:rsidRPr="00533FB5" w:rsidTr="00A52F11">
        <w:tc>
          <w:tcPr>
            <w:tcW w:w="5310" w:type="dxa"/>
          </w:tcPr>
          <w:p w:rsidR="00847F37" w:rsidRPr="00A867F0" w:rsidRDefault="00847F37" w:rsidP="00A52F11">
            <w:pPr>
              <w:tabs>
                <w:tab w:val="left" w:pos="288"/>
                <w:tab w:val="left" w:pos="4752"/>
              </w:tabs>
              <w:spacing w:before="20" w:after="20" w:line="240" w:lineRule="exact"/>
              <w:rPr>
                <w:color w:val="000080"/>
                <w:szCs w:val="24"/>
              </w:rPr>
            </w:pPr>
            <w:r>
              <w:rPr>
                <w:color w:val="000080"/>
                <w:szCs w:val="24"/>
              </w:rPr>
              <w:t>Cervical Disc Disease</w:t>
            </w:r>
          </w:p>
        </w:tc>
        <w:tc>
          <w:tcPr>
            <w:tcW w:w="1706" w:type="dxa"/>
          </w:tcPr>
          <w:p w:rsidR="00847F37" w:rsidRPr="00A867F0" w:rsidRDefault="00847F37" w:rsidP="00A52F11">
            <w:pPr>
              <w:tabs>
                <w:tab w:val="left" w:pos="288"/>
                <w:tab w:val="left" w:pos="4752"/>
              </w:tabs>
              <w:spacing w:line="240" w:lineRule="exact"/>
              <w:jc w:val="center"/>
              <w:rPr>
                <w:color w:val="000080"/>
                <w:szCs w:val="24"/>
              </w:rPr>
            </w:pPr>
            <w:r>
              <w:rPr>
                <w:color w:val="000080"/>
                <w:szCs w:val="24"/>
              </w:rPr>
              <w:t>5243</w:t>
            </w:r>
          </w:p>
        </w:tc>
        <w:tc>
          <w:tcPr>
            <w:tcW w:w="1084" w:type="dxa"/>
          </w:tcPr>
          <w:p w:rsidR="00847F37" w:rsidRDefault="00847F37" w:rsidP="00A52F11">
            <w:pPr>
              <w:tabs>
                <w:tab w:val="left" w:pos="288"/>
                <w:tab w:val="left" w:pos="4752"/>
              </w:tabs>
              <w:spacing w:line="240" w:lineRule="exact"/>
              <w:jc w:val="center"/>
              <w:rPr>
                <w:color w:val="000080"/>
                <w:szCs w:val="24"/>
              </w:rPr>
            </w:pPr>
            <w:r>
              <w:rPr>
                <w:color w:val="000080"/>
                <w:szCs w:val="24"/>
              </w:rPr>
              <w:t>10%</w:t>
            </w:r>
          </w:p>
        </w:tc>
      </w:tr>
      <w:tr w:rsidR="00847F37" w:rsidRPr="00533FB5" w:rsidTr="00A52F11">
        <w:tc>
          <w:tcPr>
            <w:tcW w:w="5310" w:type="dxa"/>
          </w:tcPr>
          <w:p w:rsidR="00847F37" w:rsidRPr="00A867F0" w:rsidRDefault="00847F37" w:rsidP="00A52F11">
            <w:pPr>
              <w:tabs>
                <w:tab w:val="left" w:pos="288"/>
                <w:tab w:val="left" w:pos="4752"/>
              </w:tabs>
              <w:spacing w:before="20" w:after="20" w:line="240" w:lineRule="exact"/>
              <w:rPr>
                <w:color w:val="000080"/>
                <w:szCs w:val="24"/>
              </w:rPr>
            </w:pPr>
            <w:r>
              <w:rPr>
                <w:color w:val="000080"/>
                <w:szCs w:val="24"/>
              </w:rPr>
              <w:t>Traumatic Arthritis Right Great Toe</w:t>
            </w:r>
          </w:p>
        </w:tc>
        <w:tc>
          <w:tcPr>
            <w:tcW w:w="1706" w:type="dxa"/>
          </w:tcPr>
          <w:p w:rsidR="00847F37" w:rsidRPr="00A867F0" w:rsidRDefault="00847F37" w:rsidP="00A52F11">
            <w:pPr>
              <w:tabs>
                <w:tab w:val="left" w:pos="288"/>
                <w:tab w:val="left" w:pos="4752"/>
              </w:tabs>
              <w:spacing w:line="240" w:lineRule="exact"/>
              <w:jc w:val="center"/>
              <w:rPr>
                <w:color w:val="000080"/>
                <w:szCs w:val="24"/>
              </w:rPr>
            </w:pPr>
            <w:r>
              <w:rPr>
                <w:color w:val="000080"/>
                <w:szCs w:val="24"/>
              </w:rPr>
              <w:t>5010-5003</w:t>
            </w:r>
          </w:p>
        </w:tc>
        <w:tc>
          <w:tcPr>
            <w:tcW w:w="1084" w:type="dxa"/>
          </w:tcPr>
          <w:p w:rsidR="00847F37" w:rsidRDefault="00847F37" w:rsidP="00A52F11">
            <w:pPr>
              <w:tabs>
                <w:tab w:val="left" w:pos="288"/>
                <w:tab w:val="left" w:pos="4752"/>
              </w:tabs>
              <w:spacing w:line="240" w:lineRule="exact"/>
              <w:jc w:val="center"/>
              <w:rPr>
                <w:color w:val="000080"/>
                <w:szCs w:val="24"/>
              </w:rPr>
            </w:pPr>
            <w:r>
              <w:rPr>
                <w:color w:val="000080"/>
                <w:szCs w:val="24"/>
              </w:rPr>
              <w:t>0%</w:t>
            </w:r>
          </w:p>
        </w:tc>
      </w:tr>
      <w:tr w:rsidR="00847F37" w:rsidRPr="00533FB5" w:rsidTr="00A52F11">
        <w:tblPrEx>
          <w:tblLook w:val="0000"/>
        </w:tblPrEx>
        <w:trPr>
          <w:gridBefore w:val="1"/>
          <w:wBefore w:w="5310" w:type="dxa"/>
          <w:trHeight w:val="287"/>
        </w:trPr>
        <w:tc>
          <w:tcPr>
            <w:tcW w:w="1706" w:type="dxa"/>
            <w:tcBorders>
              <w:left w:val="single" w:sz="4" w:space="0" w:color="auto"/>
              <w:bottom w:val="single" w:sz="4" w:space="0" w:color="000000"/>
            </w:tcBorders>
            <w:shd w:val="clear" w:color="auto" w:fill="D9D9D9" w:themeFill="background1" w:themeFillShade="D9"/>
          </w:tcPr>
          <w:p w:rsidR="00847F37" w:rsidRPr="00A867F0" w:rsidRDefault="00847F37" w:rsidP="00A52F11">
            <w:pPr>
              <w:tabs>
                <w:tab w:val="left" w:pos="288"/>
                <w:tab w:val="left" w:pos="4752"/>
              </w:tabs>
              <w:spacing w:before="40" w:line="240" w:lineRule="exact"/>
              <w:jc w:val="center"/>
              <w:rPr>
                <w:b/>
                <w:color w:val="000080"/>
                <w:szCs w:val="24"/>
              </w:rPr>
            </w:pPr>
            <w:r w:rsidRPr="00A867F0">
              <w:rPr>
                <w:b/>
                <w:color w:val="000080"/>
                <w:szCs w:val="24"/>
              </w:rPr>
              <w:t>C</w:t>
            </w:r>
            <w:r>
              <w:rPr>
                <w:b/>
                <w:color w:val="000080"/>
                <w:szCs w:val="24"/>
              </w:rPr>
              <w:t>OMBINED</w:t>
            </w:r>
          </w:p>
        </w:tc>
        <w:tc>
          <w:tcPr>
            <w:tcW w:w="1084" w:type="dxa"/>
            <w:tcBorders>
              <w:bottom w:val="single" w:sz="4" w:space="0" w:color="000000"/>
            </w:tcBorders>
            <w:shd w:val="clear" w:color="auto" w:fill="D9D9D9" w:themeFill="background1" w:themeFillShade="D9"/>
          </w:tcPr>
          <w:p w:rsidR="00847F37" w:rsidRPr="005A258C" w:rsidRDefault="00847F37" w:rsidP="00A52F11">
            <w:pPr>
              <w:tabs>
                <w:tab w:val="left" w:pos="288"/>
                <w:tab w:val="left" w:pos="4752"/>
              </w:tabs>
              <w:spacing w:before="40" w:line="240" w:lineRule="exact"/>
              <w:jc w:val="center"/>
              <w:rPr>
                <w:b/>
                <w:color w:val="000080"/>
                <w:szCs w:val="24"/>
              </w:rPr>
            </w:pPr>
            <w:r>
              <w:rPr>
                <w:b/>
                <w:color w:val="000080"/>
                <w:szCs w:val="24"/>
              </w:rPr>
              <w:t>60</w:t>
            </w:r>
            <w:r w:rsidRPr="005A258C">
              <w:rPr>
                <w:b/>
                <w:color w:val="000080"/>
                <w:szCs w:val="24"/>
              </w:rPr>
              <w:t>%</w:t>
            </w:r>
          </w:p>
        </w:tc>
      </w:tr>
    </w:tbl>
    <w:p w:rsidR="001D10F4" w:rsidRDefault="001D10F4" w:rsidP="00776776">
      <w:pPr>
        <w:tabs>
          <w:tab w:val="left" w:pos="288"/>
          <w:tab w:val="left" w:pos="4320"/>
          <w:tab w:val="left" w:pos="4410"/>
          <w:tab w:val="left" w:pos="4770"/>
          <w:tab w:val="left" w:pos="4860"/>
          <w:tab w:val="left" w:pos="5040"/>
        </w:tabs>
        <w:spacing w:line="240" w:lineRule="exact"/>
        <w:jc w:val="both"/>
        <w:rPr>
          <w:color w:val="000080"/>
        </w:rPr>
      </w:pPr>
    </w:p>
    <w:p w:rsidR="001D10F4" w:rsidRDefault="001D10F4">
      <w:pPr>
        <w:rPr>
          <w:color w:val="000080"/>
        </w:rPr>
      </w:pPr>
      <w:r>
        <w:rPr>
          <w:color w:val="000080"/>
        </w:rPr>
        <w:br w:type="page"/>
      </w:r>
    </w:p>
    <w:p w:rsidR="001D10F4" w:rsidRDefault="001D10F4" w:rsidP="001D10F4">
      <w:pPr>
        <w:pStyle w:val="Default"/>
        <w:framePr w:w="15394" w:wrap="auto" w:vAnchor="page" w:hAnchor="page" w:x="1" w:y="1"/>
      </w:pPr>
      <w:r>
        <w:rPr>
          <w:noProof/>
        </w:rPr>
        <w:lastRenderedPageBreak/>
        <w:drawing>
          <wp:inline distT="0" distB="0" distL="0" distR="0">
            <wp:extent cx="7895590" cy="100342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895590" cy="10034270"/>
                    </a:xfrm>
                    <a:prstGeom prst="rect">
                      <a:avLst/>
                    </a:prstGeom>
                    <a:noFill/>
                    <a:ln w="9525">
                      <a:noFill/>
                      <a:miter lim="800000"/>
                      <a:headEnd/>
                      <a:tailEnd/>
                    </a:ln>
                  </pic:spPr>
                </pic:pic>
              </a:graphicData>
            </a:graphic>
          </wp:inline>
        </w:drawing>
      </w:r>
    </w:p>
    <w:p w:rsidR="00847F37" w:rsidRPr="003D2905" w:rsidRDefault="00847F37" w:rsidP="00776776">
      <w:pPr>
        <w:tabs>
          <w:tab w:val="left" w:pos="288"/>
          <w:tab w:val="left" w:pos="4320"/>
          <w:tab w:val="left" w:pos="4410"/>
          <w:tab w:val="left" w:pos="4770"/>
          <w:tab w:val="left" w:pos="4860"/>
          <w:tab w:val="left" w:pos="5040"/>
        </w:tabs>
        <w:spacing w:line="240" w:lineRule="exact"/>
        <w:jc w:val="both"/>
        <w:rPr>
          <w:color w:val="000080"/>
        </w:rPr>
      </w:pPr>
    </w:p>
    <w:sectPr w:rsidR="00847F37" w:rsidRPr="003D2905" w:rsidSect="006418C9">
      <w:footerReference w:type="even" r:id="rId9"/>
      <w:footerReference w:type="defaul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F04" w:rsidRDefault="00261F04">
      <w:r>
        <w:separator/>
      </w:r>
    </w:p>
  </w:endnote>
  <w:endnote w:type="continuationSeparator" w:id="0">
    <w:p w:rsidR="00261F04" w:rsidRDefault="00261F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C15" w:rsidRDefault="00745D8B">
    <w:pPr>
      <w:pStyle w:val="Footer"/>
      <w:framePr w:wrap="around" w:vAnchor="text" w:hAnchor="margin" w:xAlign="center" w:y="1"/>
      <w:rPr>
        <w:rStyle w:val="PageNumber"/>
      </w:rPr>
    </w:pPr>
    <w:r>
      <w:rPr>
        <w:rStyle w:val="PageNumber"/>
      </w:rPr>
      <w:fldChar w:fldCharType="begin"/>
    </w:r>
    <w:r w:rsidR="00531C15">
      <w:rPr>
        <w:rStyle w:val="PageNumber"/>
      </w:rPr>
      <w:instrText xml:space="preserve">PAGE  </w:instrText>
    </w:r>
    <w:r>
      <w:rPr>
        <w:rStyle w:val="PageNumber"/>
      </w:rPr>
      <w:fldChar w:fldCharType="separate"/>
    </w:r>
    <w:r w:rsidR="00531C15">
      <w:rPr>
        <w:rStyle w:val="PageNumber"/>
        <w:noProof/>
      </w:rPr>
      <w:t>2</w:t>
    </w:r>
    <w:r>
      <w:rPr>
        <w:rStyle w:val="PageNumber"/>
      </w:rPr>
      <w:fldChar w:fldCharType="end"/>
    </w:r>
  </w:p>
  <w:p w:rsidR="00531C15" w:rsidRDefault="00531C15"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C15" w:rsidRDefault="00745D8B">
    <w:pPr>
      <w:pStyle w:val="Footer"/>
      <w:framePr w:wrap="around" w:vAnchor="text" w:hAnchor="margin" w:xAlign="center" w:y="1"/>
      <w:rPr>
        <w:rStyle w:val="PageNumber"/>
      </w:rPr>
    </w:pPr>
    <w:r>
      <w:rPr>
        <w:rStyle w:val="PageNumber"/>
      </w:rPr>
      <w:fldChar w:fldCharType="begin"/>
    </w:r>
    <w:r w:rsidR="00531C15">
      <w:rPr>
        <w:rStyle w:val="PageNumber"/>
      </w:rPr>
      <w:instrText xml:space="preserve">PAGE  </w:instrText>
    </w:r>
    <w:r>
      <w:rPr>
        <w:rStyle w:val="PageNumber"/>
      </w:rPr>
      <w:fldChar w:fldCharType="separate"/>
    </w:r>
    <w:r w:rsidR="001D10F4">
      <w:rPr>
        <w:rStyle w:val="PageNumber"/>
        <w:noProof/>
      </w:rPr>
      <w:t>11</w:t>
    </w:r>
    <w:r>
      <w:rPr>
        <w:rStyle w:val="PageNumber"/>
      </w:rPr>
      <w:fldChar w:fldCharType="end"/>
    </w:r>
  </w:p>
  <w:p w:rsidR="00531C15" w:rsidRDefault="00531C15" w:rsidP="002B0749">
    <w:pPr>
      <w:pStyle w:val="Footer"/>
      <w:jc w:val="right"/>
    </w:pPr>
    <w:r>
      <w:tab/>
    </w:r>
    <w:r>
      <w:tab/>
    </w:r>
    <w:r w:rsidRPr="001D3186">
      <w:rPr>
        <w:caps/>
        <w:color w:val="000080"/>
      </w:rPr>
      <w:t>PD09</w:t>
    </w:r>
    <w:r>
      <w:rPr>
        <w:caps/>
        <w:color w:val="000080"/>
      </w:rPr>
      <w:t>00233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F04" w:rsidRDefault="00261F04">
      <w:r>
        <w:separator/>
      </w:r>
    </w:p>
  </w:footnote>
  <w:footnote w:type="continuationSeparator" w:id="0">
    <w:p w:rsidR="00261F04" w:rsidRDefault="00261F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4E6F"/>
    <w:multiLevelType w:val="hybridMultilevel"/>
    <w:tmpl w:val="1DBC0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53953"/>
  </w:hdrShapeDefaults>
  <w:footnotePr>
    <w:numRestart w:val="eachSect"/>
    <w:footnote w:id="-1"/>
    <w:footnote w:id="0"/>
  </w:footnotePr>
  <w:endnotePr>
    <w:endnote w:id="-1"/>
    <w:endnote w:id="0"/>
  </w:endnotePr>
  <w:compat/>
  <w:rsids>
    <w:rsidRoot w:val="001C28D1"/>
    <w:rsid w:val="000059FA"/>
    <w:rsid w:val="00006F87"/>
    <w:rsid w:val="00010ABA"/>
    <w:rsid w:val="00011DDA"/>
    <w:rsid w:val="00013417"/>
    <w:rsid w:val="000145C2"/>
    <w:rsid w:val="00023D43"/>
    <w:rsid w:val="0003094D"/>
    <w:rsid w:val="000344E6"/>
    <w:rsid w:val="00035C3A"/>
    <w:rsid w:val="000379D0"/>
    <w:rsid w:val="00040FC4"/>
    <w:rsid w:val="000416F8"/>
    <w:rsid w:val="00051622"/>
    <w:rsid w:val="00053D7C"/>
    <w:rsid w:val="0005649A"/>
    <w:rsid w:val="00063A80"/>
    <w:rsid w:val="0006431E"/>
    <w:rsid w:val="00072433"/>
    <w:rsid w:val="000738D9"/>
    <w:rsid w:val="00074F54"/>
    <w:rsid w:val="00081FE2"/>
    <w:rsid w:val="0008708B"/>
    <w:rsid w:val="0009465F"/>
    <w:rsid w:val="00094E4F"/>
    <w:rsid w:val="000A24B9"/>
    <w:rsid w:val="000A2BCE"/>
    <w:rsid w:val="000A41E3"/>
    <w:rsid w:val="000A4BBA"/>
    <w:rsid w:val="000C3C13"/>
    <w:rsid w:val="000C7DE4"/>
    <w:rsid w:val="000D15E7"/>
    <w:rsid w:val="000D2156"/>
    <w:rsid w:val="000D21C7"/>
    <w:rsid w:val="000D248A"/>
    <w:rsid w:val="000D43F9"/>
    <w:rsid w:val="000D4717"/>
    <w:rsid w:val="000D6457"/>
    <w:rsid w:val="000D7D55"/>
    <w:rsid w:val="000E0993"/>
    <w:rsid w:val="000F02BE"/>
    <w:rsid w:val="000F427B"/>
    <w:rsid w:val="00101138"/>
    <w:rsid w:val="00103CCF"/>
    <w:rsid w:val="0010417F"/>
    <w:rsid w:val="001042D2"/>
    <w:rsid w:val="0010530E"/>
    <w:rsid w:val="001070A6"/>
    <w:rsid w:val="001103CD"/>
    <w:rsid w:val="00114F20"/>
    <w:rsid w:val="00115BAA"/>
    <w:rsid w:val="001219DF"/>
    <w:rsid w:val="001231DC"/>
    <w:rsid w:val="00127577"/>
    <w:rsid w:val="0012764E"/>
    <w:rsid w:val="001315DD"/>
    <w:rsid w:val="00135385"/>
    <w:rsid w:val="001364D1"/>
    <w:rsid w:val="0015079B"/>
    <w:rsid w:val="001541C5"/>
    <w:rsid w:val="0015623F"/>
    <w:rsid w:val="00177659"/>
    <w:rsid w:val="001779E5"/>
    <w:rsid w:val="00182A4C"/>
    <w:rsid w:val="00183F77"/>
    <w:rsid w:val="00185ECB"/>
    <w:rsid w:val="0019273F"/>
    <w:rsid w:val="00194930"/>
    <w:rsid w:val="001A7538"/>
    <w:rsid w:val="001B386B"/>
    <w:rsid w:val="001B5B59"/>
    <w:rsid w:val="001C181A"/>
    <w:rsid w:val="001C2053"/>
    <w:rsid w:val="001C28D1"/>
    <w:rsid w:val="001C3D6B"/>
    <w:rsid w:val="001C5CFC"/>
    <w:rsid w:val="001C5FA1"/>
    <w:rsid w:val="001C7418"/>
    <w:rsid w:val="001D0051"/>
    <w:rsid w:val="001D10F4"/>
    <w:rsid w:val="001D2224"/>
    <w:rsid w:val="001D68CF"/>
    <w:rsid w:val="001D6A8C"/>
    <w:rsid w:val="001D7A56"/>
    <w:rsid w:val="001E18E0"/>
    <w:rsid w:val="001E18E2"/>
    <w:rsid w:val="001F1508"/>
    <w:rsid w:val="001F4DE5"/>
    <w:rsid w:val="002052DC"/>
    <w:rsid w:val="002060B6"/>
    <w:rsid w:val="0021221C"/>
    <w:rsid w:val="00216049"/>
    <w:rsid w:val="00217C09"/>
    <w:rsid w:val="00225196"/>
    <w:rsid w:val="00225CB4"/>
    <w:rsid w:val="00232C9B"/>
    <w:rsid w:val="00232F09"/>
    <w:rsid w:val="002338CA"/>
    <w:rsid w:val="0024174E"/>
    <w:rsid w:val="0024227D"/>
    <w:rsid w:val="00245AD7"/>
    <w:rsid w:val="00246860"/>
    <w:rsid w:val="00246DFF"/>
    <w:rsid w:val="00246E89"/>
    <w:rsid w:val="0025183C"/>
    <w:rsid w:val="00255049"/>
    <w:rsid w:val="00261F04"/>
    <w:rsid w:val="0026318D"/>
    <w:rsid w:val="00264A8B"/>
    <w:rsid w:val="00270864"/>
    <w:rsid w:val="0027159C"/>
    <w:rsid w:val="0027178F"/>
    <w:rsid w:val="00272A0B"/>
    <w:rsid w:val="00274549"/>
    <w:rsid w:val="00274E46"/>
    <w:rsid w:val="00276C86"/>
    <w:rsid w:val="00290F49"/>
    <w:rsid w:val="002972B1"/>
    <w:rsid w:val="002A11CC"/>
    <w:rsid w:val="002A3237"/>
    <w:rsid w:val="002A3CB3"/>
    <w:rsid w:val="002A72C7"/>
    <w:rsid w:val="002B03B2"/>
    <w:rsid w:val="002B0749"/>
    <w:rsid w:val="002C0DF3"/>
    <w:rsid w:val="002C6E5B"/>
    <w:rsid w:val="002D18B4"/>
    <w:rsid w:val="002E1877"/>
    <w:rsid w:val="002E1C31"/>
    <w:rsid w:val="002E333A"/>
    <w:rsid w:val="002E3474"/>
    <w:rsid w:val="002E764B"/>
    <w:rsid w:val="002F0E28"/>
    <w:rsid w:val="002F287E"/>
    <w:rsid w:val="002F2D63"/>
    <w:rsid w:val="002F7F81"/>
    <w:rsid w:val="003061A5"/>
    <w:rsid w:val="0030678B"/>
    <w:rsid w:val="00310339"/>
    <w:rsid w:val="00310CD7"/>
    <w:rsid w:val="00311FF1"/>
    <w:rsid w:val="00323918"/>
    <w:rsid w:val="00323D20"/>
    <w:rsid w:val="00323E70"/>
    <w:rsid w:val="003320E8"/>
    <w:rsid w:val="0033555E"/>
    <w:rsid w:val="00337351"/>
    <w:rsid w:val="00341A54"/>
    <w:rsid w:val="003430A2"/>
    <w:rsid w:val="003471E3"/>
    <w:rsid w:val="00351498"/>
    <w:rsid w:val="0036319E"/>
    <w:rsid w:val="00363362"/>
    <w:rsid w:val="003635E9"/>
    <w:rsid w:val="00366DF3"/>
    <w:rsid w:val="0037520D"/>
    <w:rsid w:val="0037628C"/>
    <w:rsid w:val="00377BD2"/>
    <w:rsid w:val="00384866"/>
    <w:rsid w:val="00385351"/>
    <w:rsid w:val="003857D4"/>
    <w:rsid w:val="00385D6F"/>
    <w:rsid w:val="00387095"/>
    <w:rsid w:val="00390092"/>
    <w:rsid w:val="00393651"/>
    <w:rsid w:val="00397CB5"/>
    <w:rsid w:val="003A1657"/>
    <w:rsid w:val="003A41BA"/>
    <w:rsid w:val="003A6A99"/>
    <w:rsid w:val="003A6D0F"/>
    <w:rsid w:val="003B227A"/>
    <w:rsid w:val="003C27E1"/>
    <w:rsid w:val="003D2905"/>
    <w:rsid w:val="003D2BA3"/>
    <w:rsid w:val="003D7089"/>
    <w:rsid w:val="003D7DDB"/>
    <w:rsid w:val="003E02C7"/>
    <w:rsid w:val="003E0543"/>
    <w:rsid w:val="003E31E3"/>
    <w:rsid w:val="003F4A25"/>
    <w:rsid w:val="003F568C"/>
    <w:rsid w:val="003F58B0"/>
    <w:rsid w:val="004007E9"/>
    <w:rsid w:val="00401825"/>
    <w:rsid w:val="00401BBC"/>
    <w:rsid w:val="00403BFB"/>
    <w:rsid w:val="00404B45"/>
    <w:rsid w:val="00406CC5"/>
    <w:rsid w:val="004074A4"/>
    <w:rsid w:val="004101B2"/>
    <w:rsid w:val="004123D7"/>
    <w:rsid w:val="004141D6"/>
    <w:rsid w:val="004172DB"/>
    <w:rsid w:val="00422B75"/>
    <w:rsid w:val="0042463C"/>
    <w:rsid w:val="00433F36"/>
    <w:rsid w:val="0043503A"/>
    <w:rsid w:val="0044384F"/>
    <w:rsid w:val="004543BC"/>
    <w:rsid w:val="0045645D"/>
    <w:rsid w:val="004574C6"/>
    <w:rsid w:val="00457678"/>
    <w:rsid w:val="00457BCF"/>
    <w:rsid w:val="00463B3E"/>
    <w:rsid w:val="004718E7"/>
    <w:rsid w:val="00473281"/>
    <w:rsid w:val="004761CC"/>
    <w:rsid w:val="00481DA1"/>
    <w:rsid w:val="00495350"/>
    <w:rsid w:val="00496600"/>
    <w:rsid w:val="004A24D2"/>
    <w:rsid w:val="004A2C78"/>
    <w:rsid w:val="004A4136"/>
    <w:rsid w:val="004A417B"/>
    <w:rsid w:val="004B03F3"/>
    <w:rsid w:val="004B62FD"/>
    <w:rsid w:val="004B70B6"/>
    <w:rsid w:val="004B715E"/>
    <w:rsid w:val="004B7169"/>
    <w:rsid w:val="004B79C9"/>
    <w:rsid w:val="004C5E33"/>
    <w:rsid w:val="004C6CDA"/>
    <w:rsid w:val="004D10D4"/>
    <w:rsid w:val="004D6F2B"/>
    <w:rsid w:val="004E0248"/>
    <w:rsid w:val="004E32EA"/>
    <w:rsid w:val="004F3BFA"/>
    <w:rsid w:val="00510588"/>
    <w:rsid w:val="0051146C"/>
    <w:rsid w:val="005222E7"/>
    <w:rsid w:val="00522E67"/>
    <w:rsid w:val="00523E04"/>
    <w:rsid w:val="0052590B"/>
    <w:rsid w:val="00526591"/>
    <w:rsid w:val="00531C15"/>
    <w:rsid w:val="005350A5"/>
    <w:rsid w:val="00536379"/>
    <w:rsid w:val="00540BEF"/>
    <w:rsid w:val="005436C2"/>
    <w:rsid w:val="0055288D"/>
    <w:rsid w:val="00560D57"/>
    <w:rsid w:val="00562A94"/>
    <w:rsid w:val="0056523D"/>
    <w:rsid w:val="00593043"/>
    <w:rsid w:val="005A258C"/>
    <w:rsid w:val="005A3560"/>
    <w:rsid w:val="005A6C99"/>
    <w:rsid w:val="005B011A"/>
    <w:rsid w:val="005B1D8F"/>
    <w:rsid w:val="005D178F"/>
    <w:rsid w:val="005D6618"/>
    <w:rsid w:val="005F1115"/>
    <w:rsid w:val="005F27F2"/>
    <w:rsid w:val="005F2C52"/>
    <w:rsid w:val="005F3C4A"/>
    <w:rsid w:val="005F424D"/>
    <w:rsid w:val="00601D46"/>
    <w:rsid w:val="00606BEB"/>
    <w:rsid w:val="00613E26"/>
    <w:rsid w:val="00615641"/>
    <w:rsid w:val="00620804"/>
    <w:rsid w:val="00624D0C"/>
    <w:rsid w:val="006307BA"/>
    <w:rsid w:val="00634C4A"/>
    <w:rsid w:val="00636AB4"/>
    <w:rsid w:val="006418C9"/>
    <w:rsid w:val="00645046"/>
    <w:rsid w:val="006458A5"/>
    <w:rsid w:val="00650BF7"/>
    <w:rsid w:val="00660EE1"/>
    <w:rsid w:val="00662F08"/>
    <w:rsid w:val="00663589"/>
    <w:rsid w:val="00670DDC"/>
    <w:rsid w:val="0067443B"/>
    <w:rsid w:val="00684E2B"/>
    <w:rsid w:val="00690810"/>
    <w:rsid w:val="00690FDA"/>
    <w:rsid w:val="00691E87"/>
    <w:rsid w:val="00694EEA"/>
    <w:rsid w:val="006955B4"/>
    <w:rsid w:val="00696476"/>
    <w:rsid w:val="006A0177"/>
    <w:rsid w:val="006A0339"/>
    <w:rsid w:val="006A10FA"/>
    <w:rsid w:val="006A40E6"/>
    <w:rsid w:val="006A5C07"/>
    <w:rsid w:val="006A75FA"/>
    <w:rsid w:val="006B07D5"/>
    <w:rsid w:val="006B1309"/>
    <w:rsid w:val="006B5484"/>
    <w:rsid w:val="006B5923"/>
    <w:rsid w:val="006B6C14"/>
    <w:rsid w:val="006C3A68"/>
    <w:rsid w:val="006C6AB1"/>
    <w:rsid w:val="006D2D39"/>
    <w:rsid w:val="006E06D1"/>
    <w:rsid w:val="006E7356"/>
    <w:rsid w:val="006E77C8"/>
    <w:rsid w:val="006F149D"/>
    <w:rsid w:val="006F1A46"/>
    <w:rsid w:val="006F4E13"/>
    <w:rsid w:val="006F75C1"/>
    <w:rsid w:val="00701767"/>
    <w:rsid w:val="007032CD"/>
    <w:rsid w:val="00704B5E"/>
    <w:rsid w:val="00706BEF"/>
    <w:rsid w:val="007116BC"/>
    <w:rsid w:val="007165CE"/>
    <w:rsid w:val="00720968"/>
    <w:rsid w:val="00721D12"/>
    <w:rsid w:val="00721F8B"/>
    <w:rsid w:val="007225CA"/>
    <w:rsid w:val="00734D9F"/>
    <w:rsid w:val="00736A49"/>
    <w:rsid w:val="00743C2D"/>
    <w:rsid w:val="00744EBB"/>
    <w:rsid w:val="00745D8B"/>
    <w:rsid w:val="00746AE2"/>
    <w:rsid w:val="00750C82"/>
    <w:rsid w:val="00755829"/>
    <w:rsid w:val="0076100C"/>
    <w:rsid w:val="007651ED"/>
    <w:rsid w:val="00766C87"/>
    <w:rsid w:val="0077054A"/>
    <w:rsid w:val="00776776"/>
    <w:rsid w:val="007808D0"/>
    <w:rsid w:val="00781BD4"/>
    <w:rsid w:val="00784832"/>
    <w:rsid w:val="00785D77"/>
    <w:rsid w:val="00791F1E"/>
    <w:rsid w:val="00794F3D"/>
    <w:rsid w:val="007A0B39"/>
    <w:rsid w:val="007A14A4"/>
    <w:rsid w:val="007A168F"/>
    <w:rsid w:val="007A28E4"/>
    <w:rsid w:val="007A3BB3"/>
    <w:rsid w:val="007A5AD1"/>
    <w:rsid w:val="007A5B7B"/>
    <w:rsid w:val="007B0A06"/>
    <w:rsid w:val="007B5C5C"/>
    <w:rsid w:val="007B7C41"/>
    <w:rsid w:val="007C433E"/>
    <w:rsid w:val="007C77AE"/>
    <w:rsid w:val="007D0292"/>
    <w:rsid w:val="007D21AC"/>
    <w:rsid w:val="007D568A"/>
    <w:rsid w:val="007D574E"/>
    <w:rsid w:val="007D6C5C"/>
    <w:rsid w:val="007E2046"/>
    <w:rsid w:val="007E4650"/>
    <w:rsid w:val="007E4FBB"/>
    <w:rsid w:val="007E55BF"/>
    <w:rsid w:val="007E7B4E"/>
    <w:rsid w:val="007F0CE2"/>
    <w:rsid w:val="007F0EFF"/>
    <w:rsid w:val="007F1375"/>
    <w:rsid w:val="00802C5C"/>
    <w:rsid w:val="00805AFD"/>
    <w:rsid w:val="0080762C"/>
    <w:rsid w:val="00811D5B"/>
    <w:rsid w:val="00817713"/>
    <w:rsid w:val="00821F0E"/>
    <w:rsid w:val="00830999"/>
    <w:rsid w:val="00830D5E"/>
    <w:rsid w:val="00830F69"/>
    <w:rsid w:val="00834458"/>
    <w:rsid w:val="00837465"/>
    <w:rsid w:val="00841457"/>
    <w:rsid w:val="0084374E"/>
    <w:rsid w:val="00844842"/>
    <w:rsid w:val="00847F37"/>
    <w:rsid w:val="0085206E"/>
    <w:rsid w:val="00852AD4"/>
    <w:rsid w:val="00852BA8"/>
    <w:rsid w:val="00853718"/>
    <w:rsid w:val="008541EF"/>
    <w:rsid w:val="0086147A"/>
    <w:rsid w:val="0086162B"/>
    <w:rsid w:val="00865207"/>
    <w:rsid w:val="008656A7"/>
    <w:rsid w:val="00871262"/>
    <w:rsid w:val="00871D4E"/>
    <w:rsid w:val="00875B51"/>
    <w:rsid w:val="00875F2D"/>
    <w:rsid w:val="008764DC"/>
    <w:rsid w:val="00876D0D"/>
    <w:rsid w:val="00883930"/>
    <w:rsid w:val="00887861"/>
    <w:rsid w:val="00892E4F"/>
    <w:rsid w:val="008958D6"/>
    <w:rsid w:val="00896683"/>
    <w:rsid w:val="00896EE2"/>
    <w:rsid w:val="008A30B8"/>
    <w:rsid w:val="008A63A9"/>
    <w:rsid w:val="008B04DB"/>
    <w:rsid w:val="008B5D31"/>
    <w:rsid w:val="008B6705"/>
    <w:rsid w:val="008D7B07"/>
    <w:rsid w:val="008E2D99"/>
    <w:rsid w:val="008E4A60"/>
    <w:rsid w:val="009026E8"/>
    <w:rsid w:val="009102BF"/>
    <w:rsid w:val="009103ED"/>
    <w:rsid w:val="00914ADB"/>
    <w:rsid w:val="00923B25"/>
    <w:rsid w:val="00930D8C"/>
    <w:rsid w:val="009340C1"/>
    <w:rsid w:val="00942645"/>
    <w:rsid w:val="00947E8A"/>
    <w:rsid w:val="00950A3A"/>
    <w:rsid w:val="0095340A"/>
    <w:rsid w:val="00954581"/>
    <w:rsid w:val="0095466C"/>
    <w:rsid w:val="009572B5"/>
    <w:rsid w:val="009605B0"/>
    <w:rsid w:val="0096168C"/>
    <w:rsid w:val="00962F2D"/>
    <w:rsid w:val="009672CD"/>
    <w:rsid w:val="009732B8"/>
    <w:rsid w:val="00976869"/>
    <w:rsid w:val="00977740"/>
    <w:rsid w:val="00977CB4"/>
    <w:rsid w:val="00985099"/>
    <w:rsid w:val="009A0DE3"/>
    <w:rsid w:val="009A3155"/>
    <w:rsid w:val="009A79BA"/>
    <w:rsid w:val="009B1534"/>
    <w:rsid w:val="009B69D3"/>
    <w:rsid w:val="009B7BA7"/>
    <w:rsid w:val="009C0938"/>
    <w:rsid w:val="009C3F82"/>
    <w:rsid w:val="009C668B"/>
    <w:rsid w:val="009C7DF5"/>
    <w:rsid w:val="009D056C"/>
    <w:rsid w:val="009D1ADE"/>
    <w:rsid w:val="009D5F3B"/>
    <w:rsid w:val="009E1283"/>
    <w:rsid w:val="009F670F"/>
    <w:rsid w:val="00A00D14"/>
    <w:rsid w:val="00A01408"/>
    <w:rsid w:val="00A02457"/>
    <w:rsid w:val="00A0404B"/>
    <w:rsid w:val="00A05952"/>
    <w:rsid w:val="00A104D5"/>
    <w:rsid w:val="00A1105B"/>
    <w:rsid w:val="00A1525F"/>
    <w:rsid w:val="00A15B6B"/>
    <w:rsid w:val="00A16876"/>
    <w:rsid w:val="00A200AA"/>
    <w:rsid w:val="00A2186F"/>
    <w:rsid w:val="00A2270B"/>
    <w:rsid w:val="00A2496E"/>
    <w:rsid w:val="00A258B7"/>
    <w:rsid w:val="00A26907"/>
    <w:rsid w:val="00A414A9"/>
    <w:rsid w:val="00A47CF1"/>
    <w:rsid w:val="00A50418"/>
    <w:rsid w:val="00A56D26"/>
    <w:rsid w:val="00A608FB"/>
    <w:rsid w:val="00A65C78"/>
    <w:rsid w:val="00A70E7B"/>
    <w:rsid w:val="00A73B84"/>
    <w:rsid w:val="00A76094"/>
    <w:rsid w:val="00A86CB6"/>
    <w:rsid w:val="00A90D55"/>
    <w:rsid w:val="00A961EE"/>
    <w:rsid w:val="00AA04B3"/>
    <w:rsid w:val="00AA493E"/>
    <w:rsid w:val="00AB1754"/>
    <w:rsid w:val="00AC439D"/>
    <w:rsid w:val="00AC73DD"/>
    <w:rsid w:val="00AD68C5"/>
    <w:rsid w:val="00AE2D29"/>
    <w:rsid w:val="00AE4624"/>
    <w:rsid w:val="00AE5E14"/>
    <w:rsid w:val="00AE72F5"/>
    <w:rsid w:val="00AF4FA5"/>
    <w:rsid w:val="00B07B52"/>
    <w:rsid w:val="00B15D30"/>
    <w:rsid w:val="00B179AD"/>
    <w:rsid w:val="00B23436"/>
    <w:rsid w:val="00B32179"/>
    <w:rsid w:val="00B40A3E"/>
    <w:rsid w:val="00B50227"/>
    <w:rsid w:val="00B522CD"/>
    <w:rsid w:val="00B55917"/>
    <w:rsid w:val="00B72303"/>
    <w:rsid w:val="00B73952"/>
    <w:rsid w:val="00B82277"/>
    <w:rsid w:val="00B95833"/>
    <w:rsid w:val="00BA2D98"/>
    <w:rsid w:val="00BA30D1"/>
    <w:rsid w:val="00BA4609"/>
    <w:rsid w:val="00BA5BE2"/>
    <w:rsid w:val="00BA7F46"/>
    <w:rsid w:val="00BB0A0A"/>
    <w:rsid w:val="00BB6064"/>
    <w:rsid w:val="00BB7130"/>
    <w:rsid w:val="00BC09D1"/>
    <w:rsid w:val="00BC410D"/>
    <w:rsid w:val="00BD6806"/>
    <w:rsid w:val="00BD7831"/>
    <w:rsid w:val="00BD7C10"/>
    <w:rsid w:val="00BE0DEB"/>
    <w:rsid w:val="00BE2FC1"/>
    <w:rsid w:val="00BE5695"/>
    <w:rsid w:val="00BE5A73"/>
    <w:rsid w:val="00BE6365"/>
    <w:rsid w:val="00BF0E10"/>
    <w:rsid w:val="00BF4720"/>
    <w:rsid w:val="00C02F49"/>
    <w:rsid w:val="00C038EC"/>
    <w:rsid w:val="00C13B34"/>
    <w:rsid w:val="00C1713D"/>
    <w:rsid w:val="00C177F1"/>
    <w:rsid w:val="00C25978"/>
    <w:rsid w:val="00C261C6"/>
    <w:rsid w:val="00C3077A"/>
    <w:rsid w:val="00C30A97"/>
    <w:rsid w:val="00C31DDC"/>
    <w:rsid w:val="00C34326"/>
    <w:rsid w:val="00C36201"/>
    <w:rsid w:val="00C368E8"/>
    <w:rsid w:val="00C42CBA"/>
    <w:rsid w:val="00C436BD"/>
    <w:rsid w:val="00C5019E"/>
    <w:rsid w:val="00C52896"/>
    <w:rsid w:val="00C53E8A"/>
    <w:rsid w:val="00C54DF3"/>
    <w:rsid w:val="00C560A7"/>
    <w:rsid w:val="00C56FC8"/>
    <w:rsid w:val="00C62DF5"/>
    <w:rsid w:val="00C62EB2"/>
    <w:rsid w:val="00C71BEC"/>
    <w:rsid w:val="00C80511"/>
    <w:rsid w:val="00C826F5"/>
    <w:rsid w:val="00C83740"/>
    <w:rsid w:val="00C84AD1"/>
    <w:rsid w:val="00C85579"/>
    <w:rsid w:val="00C8564F"/>
    <w:rsid w:val="00C931FC"/>
    <w:rsid w:val="00C93530"/>
    <w:rsid w:val="00C9650E"/>
    <w:rsid w:val="00CA068D"/>
    <w:rsid w:val="00CA282D"/>
    <w:rsid w:val="00CA4670"/>
    <w:rsid w:val="00CA6B1A"/>
    <w:rsid w:val="00CB23DC"/>
    <w:rsid w:val="00CB28E2"/>
    <w:rsid w:val="00CB7FF7"/>
    <w:rsid w:val="00CC19B3"/>
    <w:rsid w:val="00CC2044"/>
    <w:rsid w:val="00CC69EC"/>
    <w:rsid w:val="00CD34C7"/>
    <w:rsid w:val="00CD63C8"/>
    <w:rsid w:val="00CF158D"/>
    <w:rsid w:val="00CF4394"/>
    <w:rsid w:val="00CF6324"/>
    <w:rsid w:val="00D12A3D"/>
    <w:rsid w:val="00D13F7A"/>
    <w:rsid w:val="00D14BAE"/>
    <w:rsid w:val="00D1648B"/>
    <w:rsid w:val="00D165F5"/>
    <w:rsid w:val="00D16819"/>
    <w:rsid w:val="00D20AC0"/>
    <w:rsid w:val="00D336C8"/>
    <w:rsid w:val="00D339E8"/>
    <w:rsid w:val="00D40B1F"/>
    <w:rsid w:val="00D50C8C"/>
    <w:rsid w:val="00D51D62"/>
    <w:rsid w:val="00D52393"/>
    <w:rsid w:val="00D53F14"/>
    <w:rsid w:val="00D54BE4"/>
    <w:rsid w:val="00D60483"/>
    <w:rsid w:val="00D63577"/>
    <w:rsid w:val="00D67F61"/>
    <w:rsid w:val="00D74261"/>
    <w:rsid w:val="00D76AB2"/>
    <w:rsid w:val="00D829AD"/>
    <w:rsid w:val="00D82EE2"/>
    <w:rsid w:val="00D87788"/>
    <w:rsid w:val="00D877C8"/>
    <w:rsid w:val="00D910C2"/>
    <w:rsid w:val="00D9168C"/>
    <w:rsid w:val="00D9189B"/>
    <w:rsid w:val="00D91DA6"/>
    <w:rsid w:val="00D972D4"/>
    <w:rsid w:val="00DA195B"/>
    <w:rsid w:val="00DB0015"/>
    <w:rsid w:val="00DB2AAD"/>
    <w:rsid w:val="00DB550F"/>
    <w:rsid w:val="00DB6365"/>
    <w:rsid w:val="00DC0BF1"/>
    <w:rsid w:val="00DC41C3"/>
    <w:rsid w:val="00DC6569"/>
    <w:rsid w:val="00DD3593"/>
    <w:rsid w:val="00DE644D"/>
    <w:rsid w:val="00DE6952"/>
    <w:rsid w:val="00DE7E74"/>
    <w:rsid w:val="00DF0524"/>
    <w:rsid w:val="00E00A69"/>
    <w:rsid w:val="00E017F0"/>
    <w:rsid w:val="00E041E4"/>
    <w:rsid w:val="00E100CD"/>
    <w:rsid w:val="00E1085B"/>
    <w:rsid w:val="00E14581"/>
    <w:rsid w:val="00E15539"/>
    <w:rsid w:val="00E15BA1"/>
    <w:rsid w:val="00E16541"/>
    <w:rsid w:val="00E2632B"/>
    <w:rsid w:val="00E34700"/>
    <w:rsid w:val="00E405EA"/>
    <w:rsid w:val="00E408B7"/>
    <w:rsid w:val="00E42789"/>
    <w:rsid w:val="00E446D5"/>
    <w:rsid w:val="00E4632C"/>
    <w:rsid w:val="00E464F0"/>
    <w:rsid w:val="00E50BEB"/>
    <w:rsid w:val="00E55F9E"/>
    <w:rsid w:val="00E5683F"/>
    <w:rsid w:val="00E6092F"/>
    <w:rsid w:val="00E629DA"/>
    <w:rsid w:val="00E734E7"/>
    <w:rsid w:val="00E738CB"/>
    <w:rsid w:val="00E81C3E"/>
    <w:rsid w:val="00E82B6D"/>
    <w:rsid w:val="00EA1177"/>
    <w:rsid w:val="00EA11B6"/>
    <w:rsid w:val="00EA2DD8"/>
    <w:rsid w:val="00EA681F"/>
    <w:rsid w:val="00EB3823"/>
    <w:rsid w:val="00EB3898"/>
    <w:rsid w:val="00EB47D8"/>
    <w:rsid w:val="00EB76E4"/>
    <w:rsid w:val="00EC0E65"/>
    <w:rsid w:val="00EC4F39"/>
    <w:rsid w:val="00EC50C9"/>
    <w:rsid w:val="00EC5BB2"/>
    <w:rsid w:val="00ED14AB"/>
    <w:rsid w:val="00ED664B"/>
    <w:rsid w:val="00EE0B44"/>
    <w:rsid w:val="00EE2EF7"/>
    <w:rsid w:val="00EE6239"/>
    <w:rsid w:val="00EF5268"/>
    <w:rsid w:val="00EF608E"/>
    <w:rsid w:val="00EF7724"/>
    <w:rsid w:val="00F0357C"/>
    <w:rsid w:val="00F05807"/>
    <w:rsid w:val="00F07052"/>
    <w:rsid w:val="00F0706C"/>
    <w:rsid w:val="00F11EBE"/>
    <w:rsid w:val="00F1516A"/>
    <w:rsid w:val="00F22A26"/>
    <w:rsid w:val="00F24072"/>
    <w:rsid w:val="00F26432"/>
    <w:rsid w:val="00F3197A"/>
    <w:rsid w:val="00F32139"/>
    <w:rsid w:val="00F34E08"/>
    <w:rsid w:val="00F34E3F"/>
    <w:rsid w:val="00F35C3D"/>
    <w:rsid w:val="00F41D91"/>
    <w:rsid w:val="00F42363"/>
    <w:rsid w:val="00F46964"/>
    <w:rsid w:val="00F5126A"/>
    <w:rsid w:val="00F61AFD"/>
    <w:rsid w:val="00F675F6"/>
    <w:rsid w:val="00F718A8"/>
    <w:rsid w:val="00F72183"/>
    <w:rsid w:val="00F7299F"/>
    <w:rsid w:val="00F7647D"/>
    <w:rsid w:val="00F82981"/>
    <w:rsid w:val="00F8311F"/>
    <w:rsid w:val="00F83248"/>
    <w:rsid w:val="00F853AE"/>
    <w:rsid w:val="00F93DCC"/>
    <w:rsid w:val="00F9435D"/>
    <w:rsid w:val="00FA4E43"/>
    <w:rsid w:val="00FB593A"/>
    <w:rsid w:val="00FB6E82"/>
    <w:rsid w:val="00FC4576"/>
    <w:rsid w:val="00FC7DBC"/>
    <w:rsid w:val="00FD1D5A"/>
    <w:rsid w:val="00FD5059"/>
    <w:rsid w:val="00FD554D"/>
    <w:rsid w:val="00FE3E2E"/>
    <w:rsid w:val="00FF0FF7"/>
    <w:rsid w:val="00FF1699"/>
    <w:rsid w:val="00FF3C25"/>
    <w:rsid w:val="00FF79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39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Revision">
    <w:name w:val="Revision"/>
    <w:hidden/>
    <w:uiPriority w:val="99"/>
    <w:semiHidden/>
    <w:rsid w:val="00734D9F"/>
    <w:rPr>
      <w:color w:val="008080"/>
      <w:sz w:val="24"/>
    </w:rPr>
  </w:style>
  <w:style w:type="paragraph" w:customStyle="1" w:styleId="Default">
    <w:name w:val="Default"/>
    <w:rsid w:val="001D10F4"/>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11951726">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09095470">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2654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DA339-F0EF-4CF8-AF0C-8EFE49F41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3529</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5</cp:revision>
  <cp:lastPrinted>2010-04-28T20:01:00Z</cp:lastPrinted>
  <dcterms:created xsi:type="dcterms:W3CDTF">2010-04-28T19:15:00Z</dcterms:created>
  <dcterms:modified xsi:type="dcterms:W3CDTF">2012-02-01T15:37:00Z</dcterms:modified>
</cp:coreProperties>
</file>