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190E48">
      <w:pPr>
        <w:tabs>
          <w:tab w:val="left" w:pos="288"/>
          <w:tab w:val="left" w:pos="4752"/>
        </w:tabs>
        <w:spacing w:line="240" w:lineRule="exact"/>
        <w:jc w:val="both"/>
        <w:rPr>
          <w:rFonts w:asciiTheme="minorHAnsi" w:hAnsiTheme="minorHAnsi"/>
          <w:caps/>
          <w:color w:val="auto"/>
        </w:rPr>
      </w:pPr>
    </w:p>
    <w:p w:rsidR="00540BEF" w:rsidRPr="00B20624" w:rsidRDefault="00540BEF" w:rsidP="00190E48">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Pr="00B20624">
        <w:rPr>
          <w:rFonts w:asciiTheme="minorHAnsi" w:hAnsiTheme="minorHAnsi"/>
          <w:caps/>
          <w:color w:val="auto"/>
        </w:rPr>
        <w:tab/>
      </w:r>
      <w:r w:rsidRPr="00B20624">
        <w:rPr>
          <w:rFonts w:asciiTheme="minorHAnsi" w:hAnsiTheme="minorHAnsi"/>
          <w:caps/>
          <w:color w:val="auto"/>
        </w:rPr>
        <w:tab/>
      </w:r>
      <w:r w:rsidR="001C11E8">
        <w:rPr>
          <w:rFonts w:asciiTheme="minorHAnsi" w:hAnsiTheme="minorHAnsi"/>
          <w:caps/>
          <w:color w:val="auto"/>
        </w:rPr>
        <w:tab/>
      </w:r>
      <w:r w:rsidR="001C11E8">
        <w:rPr>
          <w:rFonts w:asciiTheme="minorHAnsi" w:hAnsiTheme="minorHAnsi"/>
          <w:caps/>
          <w:color w:val="auto"/>
        </w:rPr>
        <w:tab/>
      </w:r>
      <w:r w:rsidRPr="00B20624">
        <w:rPr>
          <w:rFonts w:asciiTheme="minorHAnsi" w:hAnsiTheme="minorHAnsi"/>
          <w:caps/>
          <w:color w:val="auto"/>
        </w:rPr>
        <w:t xml:space="preserve">BRANCH OF SERVICE: </w:t>
      </w:r>
      <w:r w:rsidR="000E0993" w:rsidRPr="00006679">
        <w:rPr>
          <w:rFonts w:asciiTheme="minorHAnsi" w:hAnsiTheme="minorHAnsi"/>
          <w:caps/>
          <w:color w:val="auto"/>
        </w:rPr>
        <w:t>ARMY</w:t>
      </w:r>
      <w:r w:rsidR="007E3883" w:rsidRPr="00B20624">
        <w:rPr>
          <w:rFonts w:asciiTheme="minorHAnsi" w:hAnsiTheme="minorHAnsi"/>
          <w:caps/>
          <w:color w:val="auto"/>
        </w:rPr>
        <w:t xml:space="preserve"> </w:t>
      </w:r>
    </w:p>
    <w:p w:rsidR="00540BEF" w:rsidRPr="00B20624" w:rsidRDefault="00540BEF" w:rsidP="00190E48">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 xml:space="preserve">CASE NUMBER:  </w:t>
      </w:r>
      <w:r w:rsidR="00006679" w:rsidRPr="00006679">
        <w:rPr>
          <w:rFonts w:asciiTheme="minorHAnsi" w:hAnsiTheme="minorHAnsi"/>
          <w:caps/>
          <w:color w:val="auto"/>
        </w:rPr>
        <w:t>PD0900232</w:t>
      </w:r>
      <w:r w:rsidRPr="00B20624">
        <w:rPr>
          <w:rFonts w:asciiTheme="minorHAnsi" w:hAnsiTheme="minorHAnsi"/>
          <w:caps/>
          <w:color w:val="auto"/>
        </w:rPr>
        <w:tab/>
      </w:r>
      <w:r w:rsidRPr="00B20624">
        <w:rPr>
          <w:rFonts w:asciiTheme="minorHAnsi" w:hAnsiTheme="minorHAnsi"/>
          <w:caps/>
          <w:color w:val="auto"/>
        </w:rPr>
        <w:tab/>
      </w:r>
      <w:r w:rsidR="001C11E8">
        <w:rPr>
          <w:rFonts w:asciiTheme="minorHAnsi" w:hAnsiTheme="minorHAnsi"/>
          <w:caps/>
          <w:color w:val="auto"/>
        </w:rPr>
        <w:tab/>
      </w:r>
      <w:r w:rsidR="001C11E8">
        <w:rPr>
          <w:rFonts w:asciiTheme="minorHAnsi" w:hAnsiTheme="minorHAnsi"/>
          <w:caps/>
          <w:color w:val="auto"/>
        </w:rPr>
        <w:tab/>
      </w:r>
      <w:r w:rsidR="00C22F3A" w:rsidRPr="00B20624">
        <w:rPr>
          <w:rFonts w:asciiTheme="minorHAnsi" w:hAnsiTheme="minorHAnsi"/>
          <w:caps/>
          <w:color w:val="auto"/>
        </w:rPr>
        <w:t xml:space="preserve">SEPARATION DATE: </w:t>
      </w:r>
      <w:r w:rsidR="00006679" w:rsidRPr="00006679">
        <w:rPr>
          <w:rFonts w:asciiTheme="minorHAnsi" w:hAnsiTheme="minorHAnsi"/>
          <w:caps/>
          <w:color w:val="auto"/>
        </w:rPr>
        <w:t>20060103</w:t>
      </w:r>
    </w:p>
    <w:p w:rsidR="003D0DAF" w:rsidRDefault="00540BEF" w:rsidP="00190E48">
      <w:pPr>
        <w:tabs>
          <w:tab w:val="left" w:pos="288"/>
          <w:tab w:val="left" w:pos="4752"/>
        </w:tabs>
        <w:spacing w:line="240" w:lineRule="exact"/>
        <w:jc w:val="both"/>
        <w:rPr>
          <w:rFonts w:asciiTheme="minorHAnsi" w:hAnsiTheme="minorHAnsi"/>
          <w:color w:val="auto"/>
          <w:highlight w:val="yellow"/>
        </w:rPr>
      </w:pPr>
      <w:r w:rsidRPr="00B20624">
        <w:rPr>
          <w:rFonts w:asciiTheme="minorHAnsi" w:hAnsiTheme="minorHAnsi"/>
          <w:caps/>
          <w:color w:val="auto"/>
        </w:rPr>
        <w:t xml:space="preserve">BOARD DATE: </w:t>
      </w:r>
      <w:r w:rsidR="000F02BE" w:rsidRPr="00B20624">
        <w:rPr>
          <w:rFonts w:asciiTheme="minorHAnsi" w:hAnsiTheme="minorHAnsi"/>
          <w:caps/>
          <w:color w:val="auto"/>
        </w:rPr>
        <w:t>2010</w:t>
      </w:r>
      <w:r w:rsidR="00720DE7">
        <w:rPr>
          <w:rFonts w:asciiTheme="minorHAnsi" w:hAnsiTheme="minorHAnsi"/>
          <w:caps/>
          <w:color w:val="auto"/>
        </w:rPr>
        <w:t>1123</w:t>
      </w:r>
      <w:r w:rsidRPr="00B20624">
        <w:rPr>
          <w:rFonts w:asciiTheme="minorHAnsi" w:hAnsiTheme="minorHAnsi"/>
          <w:caps/>
          <w:color w:val="auto"/>
        </w:rPr>
        <w:tab/>
      </w:r>
      <w:r w:rsidRPr="00B20624">
        <w:rPr>
          <w:rFonts w:asciiTheme="minorHAnsi" w:hAnsiTheme="minorHAnsi"/>
          <w:caps/>
          <w:color w:val="auto"/>
        </w:rPr>
        <w:tab/>
      </w:r>
    </w:p>
    <w:p w:rsidR="00540BEF" w:rsidRPr="002E289F" w:rsidRDefault="00540BEF" w:rsidP="00190E48">
      <w:pPr>
        <w:tabs>
          <w:tab w:val="left" w:pos="288"/>
          <w:tab w:val="left" w:pos="4752"/>
        </w:tabs>
        <w:spacing w:line="240" w:lineRule="exact"/>
        <w:jc w:val="both"/>
        <w:rPr>
          <w:rFonts w:asciiTheme="minorHAnsi" w:hAnsiTheme="minorHAnsi"/>
          <w:caps/>
          <w:color w:val="auto"/>
          <w:u w:val="single"/>
        </w:rPr>
      </w:pPr>
      <w:r w:rsidRPr="002E289F">
        <w:rPr>
          <w:rFonts w:asciiTheme="minorHAnsi" w:hAnsiTheme="minorHAnsi"/>
          <w:color w:val="auto"/>
          <w:u w:val="single"/>
        </w:rPr>
        <w:t>__</w:t>
      </w:r>
      <w:r w:rsidR="002E289F" w:rsidRPr="002E289F">
        <w:rPr>
          <w:rFonts w:asciiTheme="minorHAnsi" w:hAnsiTheme="minorHAnsi"/>
          <w:color w:val="auto"/>
          <w:u w:val="single"/>
        </w:rPr>
        <w:softHyphen/>
        <w:t>___</w:t>
      </w:r>
      <w:r w:rsidRPr="002E289F">
        <w:rPr>
          <w:rFonts w:asciiTheme="minorHAnsi" w:hAnsiTheme="minorHAnsi"/>
          <w:color w:val="auto"/>
          <w:u w:val="single"/>
        </w:rPr>
        <w:t>______________________________________________________________</w:t>
      </w:r>
      <w:r w:rsidR="00AC713F" w:rsidRPr="002E289F">
        <w:rPr>
          <w:rFonts w:asciiTheme="minorHAnsi" w:hAnsiTheme="minorHAnsi"/>
          <w:color w:val="auto"/>
          <w:u w:val="single"/>
        </w:rPr>
        <w:t>___________</w:t>
      </w:r>
    </w:p>
    <w:p w:rsidR="00B522CD" w:rsidRPr="00D91DA6" w:rsidRDefault="00B522CD" w:rsidP="00AF1668">
      <w:pPr>
        <w:tabs>
          <w:tab w:val="left" w:pos="288"/>
          <w:tab w:val="left" w:pos="4752"/>
        </w:tabs>
        <w:spacing w:line="240" w:lineRule="exact"/>
        <w:rPr>
          <w:color w:val="000080"/>
        </w:rPr>
      </w:pPr>
    </w:p>
    <w:p w:rsidR="005052D4" w:rsidRPr="00AE3316" w:rsidRDefault="005052D4" w:rsidP="003D0DAF">
      <w:pPr>
        <w:tabs>
          <w:tab w:val="left" w:pos="288"/>
          <w:tab w:val="left" w:pos="4752"/>
        </w:tabs>
        <w:spacing w:line="240" w:lineRule="exact"/>
        <w:jc w:val="both"/>
        <w:rPr>
          <w:rFonts w:ascii="Calibri" w:hAnsi="Calibri"/>
          <w:color w:val="auto"/>
          <w:szCs w:val="24"/>
        </w:rPr>
      </w:pPr>
      <w:r w:rsidRPr="00542C9A">
        <w:rPr>
          <w:rFonts w:ascii="Calibri" w:hAnsi="Calibri"/>
          <w:color w:val="auto"/>
          <w:u w:val="single"/>
        </w:rPr>
        <w:t>SUMMARY OF CASE</w:t>
      </w:r>
      <w:r w:rsidRPr="00542C9A">
        <w:rPr>
          <w:rFonts w:ascii="Calibri" w:hAnsi="Calibri"/>
          <w:color w:val="auto"/>
        </w:rPr>
        <w:t xml:space="preserve">:  </w:t>
      </w:r>
      <w:r w:rsidR="0035554A">
        <w:rPr>
          <w:rFonts w:ascii="Calibri" w:hAnsi="Calibri"/>
          <w:color w:val="auto"/>
          <w:szCs w:val="24"/>
        </w:rPr>
        <w:t>This covered individual (CI) was an active duty SSG (11B, Infantryman) medically separated from the Army in 2006 after 21 years of combined service (14 years active duty).  The medical bases for separation were right ankle pain, low back pain, and cognitive disorder due to concussion.  His ankle pain began while marching and was treated with reconstructive surgery, rehabilitation and arthroscopic surgery.  The back pain began while lifting weights and was treated conservatively.  The cognitive disorder began after an artillery round explosion, causing a 20 minute loss of consciousness and resulting in short term memory problems and other cognitive impairments.  Despite treatment measures and rehabilitation efforts, he did not respond adequately to perform within his Military Occupational Specialty (MOS) or participate in the Army Physical Fitness Test (APFT).  He</w:t>
      </w:r>
      <w:r w:rsidR="0035554A">
        <w:rPr>
          <w:rFonts w:ascii="Calibri" w:hAnsi="Calibri"/>
          <w:b/>
          <w:color w:val="auto"/>
          <w:szCs w:val="24"/>
        </w:rPr>
        <w:t xml:space="preserve"> </w:t>
      </w:r>
      <w:r w:rsidR="0035554A">
        <w:rPr>
          <w:rFonts w:ascii="Calibri" w:hAnsi="Calibri"/>
          <w:color w:val="auto"/>
          <w:szCs w:val="24"/>
        </w:rPr>
        <w:t xml:space="preserve">was consequently issued permanent L-3/H-3/S-3 profiles and underwent a Medical Evaluation Board (MEB).  The cognitive disorder, right ankle and low back conditions were forwarded to the Physical Evaluation Board (PEB) as medically unacceptable IAW AR 40-501.  Additionally migraine headache and cervical spine conditions were addressed in the narrative summary (NARSUM) and forwarded on the DA Form 3947 as medically unacceptable conditions.  Six other conditions, as identified in the rating chart below, were forwarded as medically acceptable </w:t>
      </w:r>
      <w:proofErr w:type="gramStart"/>
      <w:r w:rsidR="0035554A">
        <w:rPr>
          <w:rFonts w:ascii="Calibri" w:hAnsi="Calibri"/>
          <w:color w:val="auto"/>
          <w:szCs w:val="24"/>
        </w:rPr>
        <w:t>under</w:t>
      </w:r>
      <w:proofErr w:type="gramEnd"/>
      <w:r w:rsidR="0035554A">
        <w:rPr>
          <w:rFonts w:ascii="Calibri" w:hAnsi="Calibri"/>
          <w:color w:val="auto"/>
          <w:szCs w:val="24"/>
        </w:rPr>
        <w:t xml:space="preserve"> AR 40-501 retention standards.  The latter included separate psychiatric conditions of anxiety disorder and depressive disorder which are relevant to the Board’s deliberations as elaborated below.  The informal PEB adjudicated the cognitive disorder condition, right ankle condition and low back condition as unfitting.  The cognitive disorder was rated 10% IAW </w:t>
      </w:r>
      <w:proofErr w:type="spellStart"/>
      <w:r w:rsidR="0035554A">
        <w:rPr>
          <w:rFonts w:ascii="Calibri" w:hAnsi="Calibri"/>
          <w:color w:val="auto"/>
          <w:szCs w:val="24"/>
        </w:rPr>
        <w:t>DoDI</w:t>
      </w:r>
      <w:proofErr w:type="spellEnd"/>
      <w:r w:rsidR="0035554A">
        <w:rPr>
          <w:rFonts w:ascii="Calibri" w:hAnsi="Calibri"/>
          <w:color w:val="auto"/>
          <w:szCs w:val="24"/>
        </w:rPr>
        <w:t xml:space="preserve"> 1332.39</w:t>
      </w:r>
      <w:r w:rsidR="002A5444">
        <w:rPr>
          <w:rFonts w:ascii="Calibri" w:hAnsi="Calibri"/>
          <w:color w:val="auto"/>
          <w:szCs w:val="24"/>
        </w:rPr>
        <w:t>;</w:t>
      </w:r>
      <w:r w:rsidR="0035554A">
        <w:rPr>
          <w:rFonts w:ascii="Calibri" w:hAnsi="Calibri"/>
          <w:color w:val="auto"/>
          <w:szCs w:val="24"/>
        </w:rPr>
        <w:t xml:space="preserve"> the right ankle and low back conditions were rated 0% each IAW with the Veterans Administration Schedule for Rating Disabilities (VASRD).  </w:t>
      </w:r>
      <w:r w:rsidR="0035554A">
        <w:rPr>
          <w:rFonts w:asciiTheme="minorHAnsi" w:hAnsiTheme="minorHAnsi"/>
          <w:color w:val="auto"/>
        </w:rPr>
        <w:t>The CI made no appeals, and was thus medically separated with a 10% combined disability rating.</w:t>
      </w:r>
      <w:r w:rsidRPr="00861D5C">
        <w:rPr>
          <w:rFonts w:asciiTheme="minorHAnsi" w:hAnsiTheme="minorHAnsi"/>
          <w:color w:val="auto"/>
        </w:rPr>
        <w:t xml:space="preserve">  </w:t>
      </w:r>
    </w:p>
    <w:p w:rsidR="007C4397" w:rsidRPr="002E289F" w:rsidRDefault="007C4397" w:rsidP="007C4397">
      <w:pPr>
        <w:tabs>
          <w:tab w:val="left" w:pos="288"/>
          <w:tab w:val="left" w:pos="4752"/>
        </w:tabs>
        <w:spacing w:line="240" w:lineRule="exact"/>
        <w:jc w:val="both"/>
        <w:rPr>
          <w:rFonts w:asciiTheme="minorHAnsi" w:hAnsiTheme="minorHAnsi"/>
          <w:caps/>
          <w:color w:val="auto"/>
          <w:u w:val="single"/>
        </w:rPr>
      </w:pPr>
      <w:r w:rsidRPr="002E289F">
        <w:rPr>
          <w:rFonts w:asciiTheme="minorHAnsi" w:hAnsiTheme="minorHAnsi"/>
          <w:color w:val="auto"/>
          <w:u w:val="single"/>
        </w:rPr>
        <w:t>__</w:t>
      </w:r>
      <w:r w:rsidRPr="002E289F">
        <w:rPr>
          <w:rFonts w:asciiTheme="minorHAnsi" w:hAnsiTheme="minorHAnsi"/>
          <w:color w:val="auto"/>
          <w:u w:val="single"/>
        </w:rPr>
        <w:softHyphen/>
        <w:t>____________________________________________________________________________</w:t>
      </w:r>
    </w:p>
    <w:p w:rsidR="007C4397" w:rsidRDefault="007C4397" w:rsidP="003D0DAF">
      <w:pPr>
        <w:tabs>
          <w:tab w:val="left" w:pos="288"/>
          <w:tab w:val="left" w:pos="4752"/>
        </w:tabs>
        <w:spacing w:line="240" w:lineRule="exact"/>
        <w:jc w:val="both"/>
        <w:rPr>
          <w:rFonts w:ascii="Calibri" w:hAnsi="Calibri"/>
          <w:color w:val="auto"/>
          <w:u w:val="single"/>
        </w:rPr>
      </w:pPr>
    </w:p>
    <w:p w:rsidR="004161DE" w:rsidRPr="005052D4" w:rsidRDefault="002C6E5B" w:rsidP="003D0DAF">
      <w:pPr>
        <w:tabs>
          <w:tab w:val="left" w:pos="288"/>
          <w:tab w:val="left" w:pos="4752"/>
        </w:tabs>
        <w:spacing w:line="240" w:lineRule="exact"/>
        <w:jc w:val="both"/>
        <w:rPr>
          <w:rFonts w:ascii="Calibri" w:hAnsi="Calibri"/>
          <w:color w:val="auto"/>
          <w:szCs w:val="24"/>
        </w:rPr>
      </w:pPr>
      <w:r w:rsidRPr="00542C9A">
        <w:rPr>
          <w:rFonts w:ascii="Calibri" w:hAnsi="Calibri"/>
          <w:color w:val="auto"/>
          <w:u w:val="single"/>
        </w:rPr>
        <w:t>CI CONTENTION</w:t>
      </w:r>
      <w:r w:rsidRPr="00542C9A">
        <w:rPr>
          <w:rFonts w:ascii="Calibri" w:hAnsi="Calibri"/>
          <w:color w:val="auto"/>
        </w:rPr>
        <w:t>:</w:t>
      </w:r>
      <w:r w:rsidRPr="00AE3316">
        <w:rPr>
          <w:rFonts w:ascii="Calibri" w:hAnsi="Calibri"/>
          <w:color w:val="000080"/>
        </w:rPr>
        <w:t xml:space="preserve">  </w:t>
      </w:r>
      <w:r w:rsidRPr="00AE3316">
        <w:rPr>
          <w:rFonts w:ascii="Calibri" w:hAnsi="Calibri"/>
          <w:color w:val="auto"/>
          <w:szCs w:val="24"/>
        </w:rPr>
        <w:t>The CI states:</w:t>
      </w:r>
      <w:r w:rsidR="00C932C5">
        <w:rPr>
          <w:rFonts w:ascii="Calibri" w:hAnsi="Calibri"/>
          <w:color w:val="auto"/>
          <w:szCs w:val="24"/>
        </w:rPr>
        <w:t xml:space="preserve"> ‘</w:t>
      </w:r>
      <w:r w:rsidR="007E7076" w:rsidRPr="007E7076">
        <w:rPr>
          <w:rFonts w:ascii="Calibri" w:hAnsi="Calibri"/>
          <w:color w:val="auto"/>
          <w:szCs w:val="24"/>
        </w:rPr>
        <w:t>“The cognitive disorder I was rated 10%, my medical records indicate that I have occupational and social impairment with deficiencies in work, judgment, thinking, mood and especially family relations, difficulty adapting to stressful circumstances which contribute to degradation of my family life, inability to maintain a job and the nonexistence of effective relationships.</w:t>
      </w:r>
      <w:r w:rsidR="00156585">
        <w:rPr>
          <w:rFonts w:ascii="Calibri" w:hAnsi="Calibri"/>
          <w:color w:val="auto"/>
          <w:szCs w:val="24"/>
        </w:rPr>
        <w:t>”</w:t>
      </w:r>
      <w:r w:rsidR="003E0B5A">
        <w:rPr>
          <w:rFonts w:ascii="Calibri" w:hAnsi="Calibri"/>
          <w:color w:val="auto"/>
          <w:szCs w:val="24"/>
        </w:rPr>
        <w:t xml:space="preserve"> </w:t>
      </w:r>
      <w:r w:rsidR="007E7076">
        <w:rPr>
          <w:rFonts w:ascii="Calibri" w:hAnsi="Calibri"/>
          <w:color w:val="auto"/>
          <w:szCs w:val="24"/>
        </w:rPr>
        <w:t xml:space="preserve">  He goes on to elaborate how his unfitting conditions have imposed ongoing barriers to employment.  </w:t>
      </w:r>
      <w:r w:rsidR="005052D4" w:rsidRPr="005052D4">
        <w:rPr>
          <w:rFonts w:ascii="Calibri" w:hAnsi="Calibri"/>
          <w:color w:val="auto"/>
          <w:szCs w:val="24"/>
        </w:rPr>
        <w:t>He elaborates no specific contentions regarding rating or coding and mentions no additionally contended conditions.</w:t>
      </w:r>
      <w:r w:rsidR="007E7076">
        <w:rPr>
          <w:rFonts w:ascii="Calibri" w:hAnsi="Calibri"/>
          <w:color w:val="auto"/>
          <w:szCs w:val="24"/>
        </w:rPr>
        <w:t xml:space="preserve">  </w:t>
      </w:r>
      <w:r w:rsidR="005052D4" w:rsidRPr="005052D4">
        <w:rPr>
          <w:rFonts w:ascii="Calibri" w:hAnsi="Calibri"/>
          <w:color w:val="auto"/>
          <w:szCs w:val="24"/>
        </w:rPr>
        <w:t xml:space="preserve">As a matter of policy, all service conditions are reviewed by the Board for their potential contribution to its rating recommendations. </w:t>
      </w:r>
    </w:p>
    <w:p w:rsidR="007C4397" w:rsidRPr="002E289F" w:rsidRDefault="007C4397" w:rsidP="007C4397">
      <w:pPr>
        <w:tabs>
          <w:tab w:val="left" w:pos="288"/>
          <w:tab w:val="left" w:pos="4752"/>
        </w:tabs>
        <w:spacing w:line="240" w:lineRule="exact"/>
        <w:jc w:val="both"/>
        <w:rPr>
          <w:rFonts w:asciiTheme="minorHAnsi" w:hAnsiTheme="minorHAnsi"/>
          <w:caps/>
          <w:color w:val="auto"/>
          <w:u w:val="single"/>
        </w:rPr>
      </w:pPr>
      <w:r w:rsidRPr="002E289F">
        <w:rPr>
          <w:rFonts w:asciiTheme="minorHAnsi" w:hAnsiTheme="minorHAnsi"/>
          <w:color w:val="auto"/>
          <w:u w:val="single"/>
        </w:rPr>
        <w:t>__</w:t>
      </w:r>
      <w:r w:rsidRPr="002E289F">
        <w:rPr>
          <w:rFonts w:asciiTheme="minorHAnsi" w:hAnsiTheme="minorHAnsi"/>
          <w:color w:val="auto"/>
          <w:u w:val="single"/>
        </w:rPr>
        <w:softHyphen/>
        <w:t>____________________________________________________________________________</w:t>
      </w:r>
    </w:p>
    <w:p w:rsidR="007C4397" w:rsidRDefault="007C4397">
      <w:pPr>
        <w:rPr>
          <w:rFonts w:ascii="Calibri" w:hAnsi="Calibri"/>
          <w:color w:val="auto"/>
        </w:rPr>
      </w:pPr>
    </w:p>
    <w:p w:rsidR="002A5444" w:rsidRDefault="002A5444">
      <w:pPr>
        <w:rPr>
          <w:rFonts w:ascii="Calibri" w:hAnsi="Calibri"/>
          <w:color w:val="auto"/>
          <w:u w:val="single"/>
        </w:rPr>
      </w:pPr>
      <w:r>
        <w:rPr>
          <w:rFonts w:ascii="Calibri" w:hAnsi="Calibri"/>
          <w:color w:val="auto"/>
        </w:rPr>
        <w:t>** The Rating Comparison Table is located on the next page.</w:t>
      </w:r>
      <w:r>
        <w:rPr>
          <w:rFonts w:ascii="Calibri" w:hAnsi="Calibri"/>
          <w:color w:val="auto"/>
          <w:u w:val="single"/>
        </w:rPr>
        <w:br w:type="page"/>
      </w:r>
    </w:p>
    <w:p w:rsidR="002338CA" w:rsidRPr="00542C9A" w:rsidRDefault="002C6E5B" w:rsidP="00190E48">
      <w:pPr>
        <w:spacing w:line="240" w:lineRule="exact"/>
        <w:jc w:val="both"/>
        <w:rPr>
          <w:rFonts w:ascii="Calibri" w:hAnsi="Calibri"/>
          <w:color w:val="auto"/>
        </w:rPr>
      </w:pPr>
      <w:r w:rsidRPr="00542C9A">
        <w:rPr>
          <w:rFonts w:ascii="Calibri" w:hAnsi="Calibri"/>
          <w:color w:val="auto"/>
          <w:u w:val="single"/>
        </w:rPr>
        <w:lastRenderedPageBreak/>
        <w:t>RATING COMPARISON</w:t>
      </w:r>
      <w:r w:rsidRPr="00542C9A">
        <w:rPr>
          <w:rFonts w:ascii="Calibri" w:hAnsi="Calibri"/>
          <w:color w:val="auto"/>
        </w:rPr>
        <w:t>:</w:t>
      </w:r>
    </w:p>
    <w:p w:rsidR="00F82981" w:rsidRDefault="00F82981" w:rsidP="00190E48">
      <w:pPr>
        <w:tabs>
          <w:tab w:val="left" w:pos="288"/>
          <w:tab w:val="left" w:pos="4752"/>
        </w:tabs>
        <w:spacing w:line="240" w:lineRule="exact"/>
        <w:jc w:val="both"/>
        <w:rPr>
          <w:color w:val="000080"/>
        </w:rPr>
      </w:pPr>
    </w:p>
    <w:tbl>
      <w:tblPr>
        <w:tblStyle w:val="TableGrid"/>
        <w:tblW w:w="9270" w:type="dxa"/>
        <w:jc w:val="center"/>
        <w:tblLayout w:type="fixed"/>
        <w:tblLook w:val="04A0"/>
      </w:tblPr>
      <w:tblGrid>
        <w:gridCol w:w="2205"/>
        <w:gridCol w:w="315"/>
        <w:gridCol w:w="720"/>
        <w:gridCol w:w="810"/>
        <w:gridCol w:w="2385"/>
        <w:gridCol w:w="315"/>
        <w:gridCol w:w="720"/>
        <w:gridCol w:w="810"/>
        <w:gridCol w:w="990"/>
      </w:tblGrid>
      <w:tr w:rsidR="00684E2B" w:rsidRPr="002A685E" w:rsidTr="0085089F">
        <w:trPr>
          <w:trHeight w:val="233"/>
          <w:jc w:val="center"/>
        </w:trPr>
        <w:tc>
          <w:tcPr>
            <w:tcW w:w="4050" w:type="dxa"/>
            <w:gridSpan w:val="4"/>
            <w:tcBorders>
              <w:right w:val="thinThickThinSmallGap" w:sz="24" w:space="0" w:color="auto"/>
            </w:tcBorders>
            <w:shd w:val="clear" w:color="auto" w:fill="D9D9D9" w:themeFill="background1" w:themeFillShade="D9"/>
          </w:tcPr>
          <w:p w:rsidR="00684E2B" w:rsidRPr="0085089F" w:rsidRDefault="00684E2B" w:rsidP="00777463">
            <w:pPr>
              <w:pStyle w:val="ListParagraph"/>
              <w:spacing w:after="0" w:line="240" w:lineRule="exact"/>
              <w:ind w:left="0"/>
              <w:jc w:val="center"/>
              <w:rPr>
                <w:rFonts w:cs="Times New Roman"/>
                <w:b/>
                <w:sz w:val="20"/>
                <w:szCs w:val="20"/>
              </w:rPr>
            </w:pPr>
            <w:r w:rsidRPr="0085089F">
              <w:rPr>
                <w:rFonts w:cs="Times New Roman"/>
                <w:b/>
                <w:sz w:val="20"/>
                <w:szCs w:val="20"/>
              </w:rPr>
              <w:t xml:space="preserve">Service </w:t>
            </w:r>
            <w:r w:rsidR="0005618C">
              <w:rPr>
                <w:rFonts w:cs="Times New Roman"/>
                <w:b/>
                <w:sz w:val="20"/>
                <w:szCs w:val="20"/>
              </w:rPr>
              <w:t>I</w:t>
            </w:r>
            <w:r w:rsidRPr="0085089F">
              <w:rPr>
                <w:rFonts w:cs="Times New Roman"/>
                <w:b/>
                <w:sz w:val="20"/>
                <w:szCs w:val="20"/>
              </w:rPr>
              <w:t>PEB</w:t>
            </w:r>
            <w:r w:rsidR="002B2645" w:rsidRPr="0085089F">
              <w:rPr>
                <w:rFonts w:cs="Times New Roman"/>
                <w:b/>
                <w:sz w:val="20"/>
                <w:szCs w:val="20"/>
              </w:rPr>
              <w:t xml:space="preserve"> – Dated </w:t>
            </w:r>
            <w:r w:rsidR="0005618C" w:rsidRPr="0005618C">
              <w:rPr>
                <w:rFonts w:cs="Times New Roman"/>
                <w:b/>
                <w:sz w:val="20"/>
                <w:szCs w:val="20"/>
              </w:rPr>
              <w:t>20050816</w:t>
            </w:r>
          </w:p>
        </w:tc>
        <w:tc>
          <w:tcPr>
            <w:tcW w:w="5220" w:type="dxa"/>
            <w:gridSpan w:val="5"/>
            <w:tcBorders>
              <w:left w:val="thinThickThinSmallGap" w:sz="24" w:space="0" w:color="auto"/>
            </w:tcBorders>
            <w:shd w:val="clear" w:color="auto" w:fill="D9D9D9" w:themeFill="background1" w:themeFillShade="D9"/>
          </w:tcPr>
          <w:p w:rsidR="00684E2B" w:rsidRPr="0085089F" w:rsidRDefault="00684E2B" w:rsidP="00777463">
            <w:pPr>
              <w:pStyle w:val="ListParagraph"/>
              <w:spacing w:after="0" w:line="240" w:lineRule="exact"/>
              <w:ind w:left="0"/>
              <w:jc w:val="center"/>
              <w:rPr>
                <w:rFonts w:cs="Times New Roman"/>
                <w:b/>
                <w:sz w:val="20"/>
                <w:szCs w:val="20"/>
              </w:rPr>
            </w:pPr>
            <w:r w:rsidRPr="0085089F">
              <w:rPr>
                <w:rFonts w:cs="Times New Roman"/>
                <w:b/>
                <w:sz w:val="20"/>
                <w:szCs w:val="20"/>
              </w:rPr>
              <w:t>VA (</w:t>
            </w:r>
            <w:r w:rsidR="0005618C">
              <w:rPr>
                <w:rFonts w:cs="Times New Roman"/>
                <w:b/>
                <w:sz w:val="20"/>
                <w:szCs w:val="20"/>
              </w:rPr>
              <w:t>1</w:t>
            </w:r>
            <w:r w:rsidRPr="0085089F">
              <w:rPr>
                <w:rFonts w:cs="Times New Roman"/>
                <w:b/>
                <w:sz w:val="20"/>
                <w:szCs w:val="20"/>
              </w:rPr>
              <w:t xml:space="preserve"> Mo. </w:t>
            </w:r>
            <w:r w:rsidR="0005618C">
              <w:rPr>
                <w:rFonts w:cs="Times New Roman"/>
                <w:b/>
                <w:sz w:val="20"/>
                <w:szCs w:val="20"/>
              </w:rPr>
              <w:t>Pre-</w:t>
            </w:r>
            <w:r w:rsidRPr="0085089F">
              <w:rPr>
                <w:rFonts w:cs="Times New Roman"/>
                <w:b/>
                <w:sz w:val="20"/>
                <w:szCs w:val="20"/>
              </w:rPr>
              <w:t>Separation)</w:t>
            </w:r>
            <w:r w:rsidR="000C3C13" w:rsidRPr="0085089F">
              <w:rPr>
                <w:rFonts w:cs="Times New Roman"/>
                <w:b/>
                <w:sz w:val="20"/>
                <w:szCs w:val="20"/>
              </w:rPr>
              <w:t xml:space="preserve"> – All Effective </w:t>
            </w:r>
            <w:r w:rsidR="007F1311" w:rsidRPr="007F1311">
              <w:rPr>
                <w:rFonts w:cs="Times New Roman"/>
                <w:b/>
                <w:sz w:val="20"/>
                <w:szCs w:val="20"/>
              </w:rPr>
              <w:t>20060104</w:t>
            </w:r>
          </w:p>
        </w:tc>
      </w:tr>
      <w:tr w:rsidR="002B2645" w:rsidRPr="002A685E" w:rsidTr="0085089F">
        <w:trPr>
          <w:trHeight w:val="233"/>
          <w:jc w:val="center"/>
        </w:trPr>
        <w:tc>
          <w:tcPr>
            <w:tcW w:w="2520" w:type="dxa"/>
            <w:gridSpan w:val="2"/>
            <w:tcBorders>
              <w:bottom w:val="single" w:sz="4" w:space="0" w:color="000000" w:themeColor="text1"/>
            </w:tcBorders>
            <w:shd w:val="clear" w:color="auto" w:fill="D9D9D9" w:themeFill="background1" w:themeFillShade="D9"/>
          </w:tcPr>
          <w:p w:rsidR="002B2645" w:rsidRPr="0085089F" w:rsidRDefault="002B2645" w:rsidP="00190E48">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2700" w:type="dxa"/>
            <w:gridSpan w:val="2"/>
            <w:tcBorders>
              <w:left w:val="thinThickThinSmallGap" w:sz="24" w:space="0" w:color="auto"/>
              <w:bottom w:val="single" w:sz="4" w:space="0" w:color="000000" w:themeColor="text1"/>
            </w:tcBorders>
            <w:shd w:val="clear" w:color="auto" w:fill="D9D9D9" w:themeFill="background1" w:themeFillShade="D9"/>
          </w:tcPr>
          <w:p w:rsidR="002B2645" w:rsidRPr="0085089F" w:rsidRDefault="002B2645" w:rsidP="00190E48">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990" w:type="dxa"/>
            <w:tcBorders>
              <w:bottom w:val="single" w:sz="4" w:space="0" w:color="000000" w:themeColor="text1"/>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Exam</w:t>
            </w:r>
          </w:p>
        </w:tc>
      </w:tr>
      <w:tr w:rsidR="009E4D50" w:rsidRPr="002A685E" w:rsidTr="00777463">
        <w:trPr>
          <w:trHeight w:val="179"/>
          <w:jc w:val="center"/>
        </w:trPr>
        <w:tc>
          <w:tcPr>
            <w:tcW w:w="2205" w:type="dxa"/>
            <w:tcBorders>
              <w:right w:val="single" w:sz="4" w:space="0" w:color="auto"/>
            </w:tcBorders>
            <w:shd w:val="clear" w:color="auto" w:fill="FFFFFF" w:themeFill="background1"/>
          </w:tcPr>
          <w:p w:rsidR="009E4D50" w:rsidRPr="00542C9A" w:rsidRDefault="009E4D50" w:rsidP="00777463">
            <w:pPr>
              <w:pStyle w:val="ListParagraph"/>
              <w:spacing w:after="0" w:line="240" w:lineRule="auto"/>
              <w:ind w:left="0"/>
              <w:jc w:val="both"/>
              <w:rPr>
                <w:rFonts w:cs="Times New Roman"/>
                <w:sz w:val="18"/>
                <w:szCs w:val="18"/>
              </w:rPr>
            </w:pPr>
            <w:r w:rsidRPr="009E4D50">
              <w:rPr>
                <w:rFonts w:cs="Times New Roman"/>
                <w:sz w:val="18"/>
                <w:szCs w:val="18"/>
              </w:rPr>
              <w:t>Cognitive Disorder</w:t>
            </w:r>
          </w:p>
        </w:tc>
        <w:tc>
          <w:tcPr>
            <w:tcW w:w="1035" w:type="dxa"/>
            <w:gridSpan w:val="2"/>
            <w:tcBorders>
              <w:left w:val="single" w:sz="4" w:space="0" w:color="auto"/>
            </w:tcBorders>
            <w:shd w:val="clear" w:color="auto" w:fill="FFFFFF" w:themeFill="background1"/>
          </w:tcPr>
          <w:p w:rsidR="009E4D50" w:rsidRPr="00B07DA6" w:rsidRDefault="009E4D50" w:rsidP="00777463">
            <w:pPr>
              <w:pStyle w:val="ListParagraph"/>
              <w:spacing w:after="0" w:line="240" w:lineRule="auto"/>
              <w:ind w:left="0"/>
              <w:jc w:val="center"/>
              <w:rPr>
                <w:rFonts w:cs="Times New Roman"/>
                <w:sz w:val="18"/>
                <w:szCs w:val="18"/>
              </w:rPr>
            </w:pPr>
            <w:r w:rsidRPr="00B07DA6">
              <w:rPr>
                <w:sz w:val="18"/>
                <w:szCs w:val="18"/>
              </w:rPr>
              <w:t>8045-9304</w:t>
            </w:r>
          </w:p>
        </w:tc>
        <w:tc>
          <w:tcPr>
            <w:tcW w:w="810" w:type="dxa"/>
            <w:tcBorders>
              <w:bottom w:val="single" w:sz="4" w:space="0" w:color="auto"/>
              <w:right w:val="thinThickThinSmallGap" w:sz="24" w:space="0" w:color="auto"/>
            </w:tcBorders>
            <w:shd w:val="clear" w:color="auto" w:fill="FFFFFF" w:themeFill="background1"/>
          </w:tcPr>
          <w:p w:rsidR="009E4D50" w:rsidRPr="00B07DA6" w:rsidRDefault="009E4D50" w:rsidP="00777463">
            <w:pPr>
              <w:pStyle w:val="ListParagraph"/>
              <w:spacing w:after="0" w:line="240" w:lineRule="auto"/>
              <w:ind w:left="0"/>
              <w:jc w:val="center"/>
              <w:rPr>
                <w:rFonts w:cs="Times New Roman"/>
                <w:sz w:val="18"/>
                <w:szCs w:val="18"/>
              </w:rPr>
            </w:pPr>
            <w:r w:rsidRPr="00B07DA6">
              <w:rPr>
                <w:sz w:val="18"/>
                <w:szCs w:val="18"/>
              </w:rPr>
              <w:t>10%</w:t>
            </w:r>
          </w:p>
        </w:tc>
        <w:tc>
          <w:tcPr>
            <w:tcW w:w="2700" w:type="dxa"/>
            <w:gridSpan w:val="2"/>
            <w:vMerge w:val="restart"/>
            <w:tcBorders>
              <w:left w:val="thinThickThinSmallGap" w:sz="24" w:space="0" w:color="auto"/>
            </w:tcBorders>
            <w:shd w:val="clear" w:color="auto" w:fill="FFFFFF" w:themeFill="background1"/>
          </w:tcPr>
          <w:p w:rsidR="009E4D50" w:rsidRPr="00542C9A" w:rsidRDefault="009E4D50" w:rsidP="00777463">
            <w:pPr>
              <w:pStyle w:val="ListParagraph"/>
              <w:spacing w:after="0" w:line="240" w:lineRule="auto"/>
              <w:ind w:left="0"/>
              <w:rPr>
                <w:rFonts w:cs="Times New Roman"/>
                <w:sz w:val="18"/>
                <w:szCs w:val="18"/>
              </w:rPr>
            </w:pPr>
            <w:r w:rsidRPr="009E4D50">
              <w:rPr>
                <w:rFonts w:cs="Times New Roman"/>
                <w:sz w:val="18"/>
                <w:szCs w:val="18"/>
              </w:rPr>
              <w:t>Cognitive Disorder with depressive disorder and PTSD</w:t>
            </w:r>
          </w:p>
        </w:tc>
        <w:tc>
          <w:tcPr>
            <w:tcW w:w="720" w:type="dxa"/>
            <w:vMerge w:val="restart"/>
            <w:shd w:val="clear" w:color="auto" w:fill="FFFFFF" w:themeFill="background1"/>
          </w:tcPr>
          <w:p w:rsidR="009E4D50" w:rsidRPr="00542C9A" w:rsidRDefault="009E4D50" w:rsidP="00777463">
            <w:pPr>
              <w:pStyle w:val="ListParagraph"/>
              <w:spacing w:after="0" w:line="240" w:lineRule="auto"/>
              <w:ind w:left="0"/>
              <w:jc w:val="center"/>
              <w:rPr>
                <w:rFonts w:cs="Times New Roman"/>
                <w:sz w:val="18"/>
                <w:szCs w:val="18"/>
              </w:rPr>
            </w:pPr>
            <w:r w:rsidRPr="009E4D50">
              <w:rPr>
                <w:rFonts w:cs="Times New Roman"/>
                <w:sz w:val="18"/>
                <w:szCs w:val="18"/>
              </w:rPr>
              <w:t>9304</w:t>
            </w:r>
          </w:p>
        </w:tc>
        <w:tc>
          <w:tcPr>
            <w:tcW w:w="810" w:type="dxa"/>
            <w:vMerge w:val="restart"/>
            <w:shd w:val="clear" w:color="auto" w:fill="FFFFFF" w:themeFill="background1"/>
          </w:tcPr>
          <w:p w:rsidR="009E4D50" w:rsidRPr="00542C9A" w:rsidRDefault="009E4D50" w:rsidP="00777463">
            <w:pPr>
              <w:pStyle w:val="ListParagraph"/>
              <w:spacing w:after="0" w:line="240" w:lineRule="auto"/>
              <w:ind w:left="0"/>
              <w:jc w:val="center"/>
              <w:rPr>
                <w:rFonts w:cs="Times New Roman"/>
                <w:sz w:val="18"/>
                <w:szCs w:val="18"/>
              </w:rPr>
            </w:pPr>
            <w:r w:rsidRPr="009E4D50">
              <w:rPr>
                <w:rFonts w:cs="Times New Roman"/>
                <w:sz w:val="18"/>
                <w:szCs w:val="18"/>
              </w:rPr>
              <w:t>50%</w:t>
            </w:r>
          </w:p>
        </w:tc>
        <w:tc>
          <w:tcPr>
            <w:tcW w:w="990" w:type="dxa"/>
            <w:vMerge w:val="restart"/>
            <w:shd w:val="clear" w:color="auto" w:fill="FFFFFF" w:themeFill="background1"/>
          </w:tcPr>
          <w:p w:rsidR="009E4D50" w:rsidRPr="00542C9A" w:rsidRDefault="009E4D50" w:rsidP="00777463">
            <w:pPr>
              <w:pStyle w:val="ListParagraph"/>
              <w:spacing w:after="0" w:line="240" w:lineRule="auto"/>
              <w:ind w:left="0"/>
              <w:rPr>
                <w:rFonts w:cs="Times New Roman"/>
                <w:sz w:val="18"/>
                <w:szCs w:val="18"/>
              </w:rPr>
            </w:pPr>
            <w:r w:rsidRPr="009E4D50">
              <w:rPr>
                <w:rFonts w:cs="Times New Roman"/>
                <w:sz w:val="18"/>
                <w:szCs w:val="18"/>
              </w:rPr>
              <w:t>20051129</w:t>
            </w:r>
          </w:p>
        </w:tc>
      </w:tr>
      <w:tr w:rsidR="0005618C" w:rsidRPr="002A685E" w:rsidTr="00777463">
        <w:trPr>
          <w:trHeight w:val="197"/>
          <w:jc w:val="center"/>
        </w:trPr>
        <w:tc>
          <w:tcPr>
            <w:tcW w:w="2520" w:type="dxa"/>
            <w:gridSpan w:val="2"/>
            <w:shd w:val="clear" w:color="auto" w:fill="FFFFFF" w:themeFill="background1"/>
          </w:tcPr>
          <w:p w:rsidR="0005618C" w:rsidRDefault="0005618C" w:rsidP="00777463">
            <w:pPr>
              <w:pStyle w:val="ListParagraph"/>
              <w:spacing w:after="0" w:line="240" w:lineRule="auto"/>
              <w:ind w:left="0"/>
              <w:jc w:val="both"/>
              <w:rPr>
                <w:rFonts w:cs="Times New Roman"/>
                <w:sz w:val="18"/>
                <w:szCs w:val="18"/>
              </w:rPr>
            </w:pPr>
            <w:r w:rsidRPr="009E4D50">
              <w:rPr>
                <w:rFonts w:cs="Times New Roman"/>
                <w:sz w:val="18"/>
                <w:szCs w:val="18"/>
              </w:rPr>
              <w:t>Anxiety Disorder</w:t>
            </w:r>
          </w:p>
        </w:tc>
        <w:tc>
          <w:tcPr>
            <w:tcW w:w="1530" w:type="dxa"/>
            <w:gridSpan w:val="2"/>
            <w:tcBorders>
              <w:top w:val="single" w:sz="4" w:space="0" w:color="auto"/>
              <w:bottom w:val="single" w:sz="4" w:space="0" w:color="auto"/>
              <w:right w:val="thinThickThinSmallGap" w:sz="24" w:space="0" w:color="auto"/>
            </w:tcBorders>
            <w:shd w:val="clear" w:color="auto" w:fill="FFFFFF" w:themeFill="background1"/>
            <w:vAlign w:val="center"/>
          </w:tcPr>
          <w:p w:rsidR="0005618C" w:rsidRPr="00542C9A" w:rsidRDefault="00777463" w:rsidP="00777463">
            <w:pPr>
              <w:pStyle w:val="ListParagraph"/>
              <w:spacing w:after="0" w:line="240" w:lineRule="auto"/>
              <w:ind w:left="0"/>
              <w:jc w:val="center"/>
              <w:rPr>
                <w:rFonts w:cs="Times New Roman"/>
                <w:sz w:val="18"/>
                <w:szCs w:val="18"/>
              </w:rPr>
            </w:pPr>
            <w:r>
              <w:rPr>
                <w:rFonts w:cs="Times New Roman"/>
                <w:sz w:val="18"/>
                <w:szCs w:val="18"/>
              </w:rPr>
              <w:t>Not Unfitting</w:t>
            </w:r>
          </w:p>
        </w:tc>
        <w:tc>
          <w:tcPr>
            <w:tcW w:w="2700" w:type="dxa"/>
            <w:gridSpan w:val="2"/>
            <w:vMerge/>
            <w:tcBorders>
              <w:left w:val="thinThickThinSmallGap" w:sz="24" w:space="0" w:color="auto"/>
            </w:tcBorders>
            <w:shd w:val="clear" w:color="auto" w:fill="FFFFFF" w:themeFill="background1"/>
          </w:tcPr>
          <w:p w:rsidR="0005618C" w:rsidRDefault="0005618C" w:rsidP="00777463">
            <w:pPr>
              <w:pStyle w:val="ListParagraph"/>
              <w:spacing w:after="0" w:line="240" w:lineRule="auto"/>
              <w:ind w:left="0"/>
              <w:jc w:val="both"/>
              <w:rPr>
                <w:rFonts w:cs="Times New Roman"/>
                <w:sz w:val="18"/>
                <w:szCs w:val="18"/>
              </w:rPr>
            </w:pPr>
          </w:p>
        </w:tc>
        <w:tc>
          <w:tcPr>
            <w:tcW w:w="720" w:type="dxa"/>
            <w:vMerge/>
            <w:shd w:val="clear" w:color="auto" w:fill="FFFFFF" w:themeFill="background1"/>
          </w:tcPr>
          <w:p w:rsidR="0005618C" w:rsidRPr="00542C9A" w:rsidRDefault="0005618C" w:rsidP="00777463">
            <w:pPr>
              <w:pStyle w:val="ListParagraph"/>
              <w:spacing w:after="0" w:line="240" w:lineRule="auto"/>
              <w:ind w:left="0"/>
              <w:jc w:val="center"/>
              <w:rPr>
                <w:rFonts w:cs="Times New Roman"/>
                <w:sz w:val="18"/>
                <w:szCs w:val="18"/>
              </w:rPr>
            </w:pPr>
          </w:p>
        </w:tc>
        <w:tc>
          <w:tcPr>
            <w:tcW w:w="810" w:type="dxa"/>
            <w:vMerge/>
            <w:shd w:val="clear" w:color="auto" w:fill="FFFFFF" w:themeFill="background1"/>
          </w:tcPr>
          <w:p w:rsidR="0005618C" w:rsidRPr="00542C9A" w:rsidRDefault="0005618C" w:rsidP="00777463">
            <w:pPr>
              <w:pStyle w:val="ListParagraph"/>
              <w:spacing w:after="0" w:line="240" w:lineRule="auto"/>
              <w:ind w:left="0"/>
              <w:jc w:val="center"/>
              <w:rPr>
                <w:rFonts w:cs="Times New Roman"/>
                <w:sz w:val="18"/>
                <w:szCs w:val="18"/>
              </w:rPr>
            </w:pPr>
          </w:p>
        </w:tc>
        <w:tc>
          <w:tcPr>
            <w:tcW w:w="990" w:type="dxa"/>
            <w:vMerge/>
            <w:shd w:val="clear" w:color="auto" w:fill="FFFFFF" w:themeFill="background1"/>
          </w:tcPr>
          <w:p w:rsidR="0005618C" w:rsidRPr="00542C9A" w:rsidRDefault="0005618C" w:rsidP="00777463">
            <w:pPr>
              <w:pStyle w:val="ListParagraph"/>
              <w:spacing w:after="0" w:line="240" w:lineRule="auto"/>
              <w:ind w:left="0"/>
              <w:rPr>
                <w:rFonts w:cs="Times New Roman"/>
                <w:sz w:val="18"/>
                <w:szCs w:val="18"/>
              </w:rPr>
            </w:pPr>
          </w:p>
        </w:tc>
      </w:tr>
      <w:tr w:rsidR="0005618C" w:rsidRPr="002A685E" w:rsidTr="00777463">
        <w:trPr>
          <w:trHeight w:val="215"/>
          <w:jc w:val="center"/>
        </w:trPr>
        <w:tc>
          <w:tcPr>
            <w:tcW w:w="2520" w:type="dxa"/>
            <w:gridSpan w:val="2"/>
            <w:shd w:val="clear" w:color="auto" w:fill="FFFFFF" w:themeFill="background1"/>
          </w:tcPr>
          <w:p w:rsidR="0005618C" w:rsidRDefault="0005618C" w:rsidP="00777463">
            <w:pPr>
              <w:pStyle w:val="ListParagraph"/>
              <w:spacing w:after="0" w:line="240" w:lineRule="auto"/>
              <w:ind w:left="0"/>
              <w:jc w:val="both"/>
              <w:rPr>
                <w:rFonts w:cs="Times New Roman"/>
                <w:sz w:val="18"/>
                <w:szCs w:val="18"/>
              </w:rPr>
            </w:pPr>
            <w:r w:rsidRPr="009E4D50">
              <w:rPr>
                <w:rFonts w:cs="Times New Roman"/>
                <w:sz w:val="18"/>
                <w:szCs w:val="18"/>
              </w:rPr>
              <w:t>Depressive Disorder</w:t>
            </w:r>
          </w:p>
        </w:tc>
        <w:tc>
          <w:tcPr>
            <w:tcW w:w="1530" w:type="dxa"/>
            <w:gridSpan w:val="2"/>
            <w:tcBorders>
              <w:top w:val="single" w:sz="4" w:space="0" w:color="auto"/>
              <w:right w:val="thinThickThinSmallGap" w:sz="24" w:space="0" w:color="auto"/>
            </w:tcBorders>
            <w:shd w:val="clear" w:color="auto" w:fill="FFFFFF" w:themeFill="background1"/>
          </w:tcPr>
          <w:p w:rsidR="0005618C" w:rsidRPr="00542C9A" w:rsidRDefault="00777463" w:rsidP="00777463">
            <w:pPr>
              <w:pStyle w:val="ListParagraph"/>
              <w:spacing w:after="0" w:line="240" w:lineRule="auto"/>
              <w:ind w:left="0"/>
              <w:jc w:val="center"/>
              <w:rPr>
                <w:rFonts w:cs="Times New Roman"/>
                <w:sz w:val="18"/>
                <w:szCs w:val="18"/>
              </w:rPr>
            </w:pPr>
            <w:r>
              <w:rPr>
                <w:rFonts w:cs="Times New Roman"/>
                <w:sz w:val="18"/>
                <w:szCs w:val="18"/>
              </w:rPr>
              <w:t>Not Unfitting</w:t>
            </w:r>
          </w:p>
        </w:tc>
        <w:tc>
          <w:tcPr>
            <w:tcW w:w="2700" w:type="dxa"/>
            <w:gridSpan w:val="2"/>
            <w:vMerge/>
            <w:tcBorders>
              <w:left w:val="thinThickThinSmallGap" w:sz="24" w:space="0" w:color="auto"/>
            </w:tcBorders>
            <w:shd w:val="clear" w:color="auto" w:fill="FFFFFF" w:themeFill="background1"/>
          </w:tcPr>
          <w:p w:rsidR="0005618C" w:rsidRDefault="0005618C" w:rsidP="00777463">
            <w:pPr>
              <w:pStyle w:val="ListParagraph"/>
              <w:spacing w:after="0" w:line="240" w:lineRule="auto"/>
              <w:ind w:left="0"/>
              <w:jc w:val="both"/>
              <w:rPr>
                <w:rFonts w:cs="Times New Roman"/>
                <w:sz w:val="18"/>
                <w:szCs w:val="18"/>
              </w:rPr>
            </w:pPr>
          </w:p>
        </w:tc>
        <w:tc>
          <w:tcPr>
            <w:tcW w:w="720" w:type="dxa"/>
            <w:vMerge/>
            <w:shd w:val="clear" w:color="auto" w:fill="FFFFFF" w:themeFill="background1"/>
          </w:tcPr>
          <w:p w:rsidR="0005618C" w:rsidRPr="00542C9A" w:rsidRDefault="0005618C" w:rsidP="00777463">
            <w:pPr>
              <w:pStyle w:val="ListParagraph"/>
              <w:spacing w:after="0" w:line="240" w:lineRule="auto"/>
              <w:ind w:left="0"/>
              <w:jc w:val="center"/>
              <w:rPr>
                <w:rFonts w:cs="Times New Roman"/>
                <w:sz w:val="18"/>
                <w:szCs w:val="18"/>
              </w:rPr>
            </w:pPr>
          </w:p>
        </w:tc>
        <w:tc>
          <w:tcPr>
            <w:tcW w:w="810" w:type="dxa"/>
            <w:vMerge/>
            <w:shd w:val="clear" w:color="auto" w:fill="FFFFFF" w:themeFill="background1"/>
          </w:tcPr>
          <w:p w:rsidR="0005618C" w:rsidRPr="00542C9A" w:rsidRDefault="0005618C" w:rsidP="00777463">
            <w:pPr>
              <w:pStyle w:val="ListParagraph"/>
              <w:spacing w:after="0" w:line="240" w:lineRule="auto"/>
              <w:ind w:left="0"/>
              <w:jc w:val="center"/>
              <w:rPr>
                <w:rFonts w:cs="Times New Roman"/>
                <w:sz w:val="18"/>
                <w:szCs w:val="18"/>
              </w:rPr>
            </w:pPr>
          </w:p>
        </w:tc>
        <w:tc>
          <w:tcPr>
            <w:tcW w:w="990" w:type="dxa"/>
            <w:vMerge/>
            <w:shd w:val="clear" w:color="auto" w:fill="FFFFFF" w:themeFill="background1"/>
          </w:tcPr>
          <w:p w:rsidR="0005618C" w:rsidRPr="00542C9A" w:rsidRDefault="0005618C" w:rsidP="00777463">
            <w:pPr>
              <w:pStyle w:val="ListParagraph"/>
              <w:spacing w:after="0" w:line="240" w:lineRule="auto"/>
              <w:ind w:left="0"/>
              <w:rPr>
                <w:rFonts w:cs="Times New Roman"/>
                <w:sz w:val="18"/>
                <w:szCs w:val="18"/>
              </w:rPr>
            </w:pPr>
          </w:p>
        </w:tc>
      </w:tr>
      <w:tr w:rsidR="0005618C" w:rsidRPr="002A685E" w:rsidTr="00777463">
        <w:trPr>
          <w:trHeight w:val="206"/>
          <w:jc w:val="center"/>
        </w:trPr>
        <w:tc>
          <w:tcPr>
            <w:tcW w:w="2205" w:type="dxa"/>
            <w:tcBorders>
              <w:right w:val="single" w:sz="4" w:space="0" w:color="auto"/>
            </w:tcBorders>
            <w:shd w:val="clear" w:color="auto" w:fill="FFFFFF" w:themeFill="background1"/>
          </w:tcPr>
          <w:p w:rsidR="0005618C" w:rsidRDefault="0005618C" w:rsidP="00777463">
            <w:pPr>
              <w:pStyle w:val="ListParagraph"/>
              <w:spacing w:after="0" w:line="240" w:lineRule="auto"/>
              <w:ind w:left="0"/>
              <w:jc w:val="both"/>
              <w:rPr>
                <w:rFonts w:cs="Times New Roman"/>
                <w:sz w:val="18"/>
                <w:szCs w:val="18"/>
              </w:rPr>
            </w:pPr>
            <w:r w:rsidRPr="0005618C">
              <w:rPr>
                <w:rFonts w:cs="Times New Roman"/>
                <w:sz w:val="18"/>
                <w:szCs w:val="18"/>
              </w:rPr>
              <w:t xml:space="preserve">Right Ankle </w:t>
            </w:r>
            <w:r w:rsidR="00777463">
              <w:rPr>
                <w:rFonts w:cs="Times New Roman"/>
                <w:sz w:val="18"/>
                <w:szCs w:val="18"/>
              </w:rPr>
              <w:t>P</w:t>
            </w:r>
            <w:r w:rsidRPr="009E4D50">
              <w:rPr>
                <w:rFonts w:cs="Times New Roman"/>
                <w:sz w:val="18"/>
                <w:szCs w:val="18"/>
              </w:rPr>
              <w:t>ain</w:t>
            </w:r>
          </w:p>
        </w:tc>
        <w:tc>
          <w:tcPr>
            <w:tcW w:w="1035" w:type="dxa"/>
            <w:gridSpan w:val="2"/>
            <w:tcBorders>
              <w:left w:val="single" w:sz="4" w:space="0" w:color="auto"/>
            </w:tcBorders>
            <w:shd w:val="clear" w:color="auto" w:fill="FFFFFF" w:themeFill="background1"/>
          </w:tcPr>
          <w:p w:rsidR="0005618C" w:rsidRPr="00B07DA6" w:rsidRDefault="0005618C" w:rsidP="00777463">
            <w:pPr>
              <w:pStyle w:val="ListParagraph"/>
              <w:spacing w:after="0" w:line="240" w:lineRule="auto"/>
              <w:ind w:left="0"/>
              <w:jc w:val="center"/>
              <w:rPr>
                <w:rFonts w:cs="Times New Roman"/>
                <w:sz w:val="18"/>
                <w:szCs w:val="18"/>
              </w:rPr>
            </w:pPr>
            <w:r w:rsidRPr="00B07DA6">
              <w:rPr>
                <w:sz w:val="18"/>
                <w:szCs w:val="18"/>
              </w:rPr>
              <w:t>5099-5003</w:t>
            </w:r>
          </w:p>
        </w:tc>
        <w:tc>
          <w:tcPr>
            <w:tcW w:w="810" w:type="dxa"/>
            <w:tcBorders>
              <w:right w:val="thinThickThinSmallGap" w:sz="24" w:space="0" w:color="auto"/>
            </w:tcBorders>
            <w:shd w:val="clear" w:color="auto" w:fill="FFFFFF" w:themeFill="background1"/>
          </w:tcPr>
          <w:p w:rsidR="0005618C" w:rsidRPr="00B07DA6" w:rsidRDefault="0005618C" w:rsidP="00777463">
            <w:pPr>
              <w:pStyle w:val="ListParagraph"/>
              <w:spacing w:after="0" w:line="240" w:lineRule="auto"/>
              <w:ind w:left="0"/>
              <w:jc w:val="center"/>
              <w:rPr>
                <w:rFonts w:cs="Times New Roman"/>
                <w:sz w:val="18"/>
                <w:szCs w:val="18"/>
              </w:rPr>
            </w:pPr>
            <w:r w:rsidRPr="00B07DA6">
              <w:rPr>
                <w:sz w:val="18"/>
                <w:szCs w:val="18"/>
              </w:rPr>
              <w:t>0%</w:t>
            </w:r>
          </w:p>
        </w:tc>
        <w:tc>
          <w:tcPr>
            <w:tcW w:w="2700" w:type="dxa"/>
            <w:gridSpan w:val="2"/>
            <w:tcBorders>
              <w:left w:val="thinThickThinSmallGap" w:sz="24" w:space="0" w:color="auto"/>
            </w:tcBorders>
            <w:shd w:val="clear" w:color="auto" w:fill="FFFFFF" w:themeFill="background1"/>
          </w:tcPr>
          <w:p w:rsidR="0005618C" w:rsidRDefault="0005618C" w:rsidP="00777463">
            <w:pPr>
              <w:pStyle w:val="ListParagraph"/>
              <w:spacing w:after="0" w:line="240" w:lineRule="auto"/>
              <w:ind w:left="0"/>
              <w:jc w:val="both"/>
              <w:rPr>
                <w:rFonts w:cs="Times New Roman"/>
                <w:sz w:val="18"/>
                <w:szCs w:val="18"/>
              </w:rPr>
            </w:pPr>
            <w:r w:rsidRPr="0005618C">
              <w:rPr>
                <w:rFonts w:cs="Times New Roman"/>
                <w:sz w:val="18"/>
                <w:szCs w:val="18"/>
              </w:rPr>
              <w:t>Right Ankle</w:t>
            </w:r>
          </w:p>
        </w:tc>
        <w:tc>
          <w:tcPr>
            <w:tcW w:w="720" w:type="dxa"/>
            <w:shd w:val="clear" w:color="auto" w:fill="FFFFFF" w:themeFill="background1"/>
          </w:tcPr>
          <w:p w:rsidR="0005618C" w:rsidRPr="00B07DA6" w:rsidRDefault="0005618C" w:rsidP="00777463">
            <w:pPr>
              <w:pStyle w:val="ListParagraph"/>
              <w:spacing w:after="0" w:line="240" w:lineRule="auto"/>
              <w:ind w:left="0"/>
              <w:jc w:val="center"/>
              <w:rPr>
                <w:rFonts w:cs="Times New Roman"/>
                <w:sz w:val="18"/>
                <w:szCs w:val="18"/>
              </w:rPr>
            </w:pPr>
            <w:r w:rsidRPr="00B07DA6">
              <w:rPr>
                <w:sz w:val="18"/>
                <w:szCs w:val="18"/>
              </w:rPr>
              <w:t>5262</w:t>
            </w:r>
          </w:p>
        </w:tc>
        <w:tc>
          <w:tcPr>
            <w:tcW w:w="810" w:type="dxa"/>
            <w:shd w:val="clear" w:color="auto" w:fill="FFFFFF" w:themeFill="background1"/>
          </w:tcPr>
          <w:p w:rsidR="0005618C" w:rsidRPr="00B07DA6" w:rsidRDefault="0005618C" w:rsidP="00777463">
            <w:pPr>
              <w:pStyle w:val="ListParagraph"/>
              <w:spacing w:after="0" w:line="240" w:lineRule="auto"/>
              <w:ind w:left="0"/>
              <w:jc w:val="center"/>
              <w:rPr>
                <w:rFonts w:cs="Times New Roman"/>
                <w:sz w:val="18"/>
                <w:szCs w:val="18"/>
              </w:rPr>
            </w:pPr>
            <w:r w:rsidRPr="00B07DA6">
              <w:rPr>
                <w:sz w:val="18"/>
                <w:szCs w:val="18"/>
              </w:rPr>
              <w:t>10%</w:t>
            </w:r>
          </w:p>
        </w:tc>
        <w:tc>
          <w:tcPr>
            <w:tcW w:w="990" w:type="dxa"/>
            <w:shd w:val="clear" w:color="auto" w:fill="FFFFFF" w:themeFill="background1"/>
          </w:tcPr>
          <w:p w:rsidR="0005618C" w:rsidRPr="00B07DA6" w:rsidRDefault="0005618C" w:rsidP="00777463">
            <w:pPr>
              <w:pStyle w:val="ListParagraph"/>
              <w:spacing w:after="0" w:line="240" w:lineRule="auto"/>
              <w:ind w:left="0"/>
              <w:rPr>
                <w:rFonts w:cs="Times New Roman"/>
                <w:sz w:val="18"/>
                <w:szCs w:val="18"/>
              </w:rPr>
            </w:pPr>
            <w:r w:rsidRPr="00B07DA6">
              <w:rPr>
                <w:sz w:val="18"/>
                <w:szCs w:val="18"/>
              </w:rPr>
              <w:t>20051129</w:t>
            </w:r>
          </w:p>
        </w:tc>
      </w:tr>
      <w:tr w:rsidR="0005618C" w:rsidRPr="002A685E" w:rsidTr="00777463">
        <w:trPr>
          <w:trHeight w:val="170"/>
          <w:jc w:val="center"/>
        </w:trPr>
        <w:tc>
          <w:tcPr>
            <w:tcW w:w="2520" w:type="dxa"/>
            <w:gridSpan w:val="2"/>
            <w:shd w:val="clear" w:color="auto" w:fill="FFFFFF" w:themeFill="background1"/>
          </w:tcPr>
          <w:p w:rsidR="0005618C" w:rsidRDefault="0005618C" w:rsidP="00777463">
            <w:pPr>
              <w:pStyle w:val="ListParagraph"/>
              <w:spacing w:after="0" w:line="240" w:lineRule="auto"/>
              <w:ind w:left="0"/>
              <w:jc w:val="both"/>
              <w:rPr>
                <w:rFonts w:cs="Times New Roman"/>
                <w:sz w:val="18"/>
                <w:szCs w:val="18"/>
              </w:rPr>
            </w:pPr>
            <w:r w:rsidRPr="009E4D50">
              <w:rPr>
                <w:rFonts w:cs="Times New Roman"/>
                <w:sz w:val="18"/>
                <w:szCs w:val="18"/>
              </w:rPr>
              <w:t>Low Back Pain</w:t>
            </w:r>
          </w:p>
        </w:tc>
        <w:tc>
          <w:tcPr>
            <w:tcW w:w="720" w:type="dxa"/>
            <w:shd w:val="clear" w:color="auto" w:fill="FFFFFF" w:themeFill="background1"/>
          </w:tcPr>
          <w:p w:rsidR="0005618C" w:rsidRPr="00B07DA6" w:rsidRDefault="0005618C" w:rsidP="00777463">
            <w:pPr>
              <w:pStyle w:val="ListParagraph"/>
              <w:spacing w:after="0" w:line="240" w:lineRule="auto"/>
              <w:ind w:left="0"/>
              <w:jc w:val="center"/>
              <w:rPr>
                <w:rFonts w:cs="Times New Roman"/>
                <w:sz w:val="18"/>
                <w:szCs w:val="18"/>
              </w:rPr>
            </w:pPr>
            <w:r w:rsidRPr="00B07DA6">
              <w:rPr>
                <w:sz w:val="18"/>
                <w:szCs w:val="18"/>
              </w:rPr>
              <w:t>5237</w:t>
            </w:r>
          </w:p>
        </w:tc>
        <w:tc>
          <w:tcPr>
            <w:tcW w:w="810" w:type="dxa"/>
            <w:tcBorders>
              <w:right w:val="thinThickThinSmallGap" w:sz="24" w:space="0" w:color="auto"/>
            </w:tcBorders>
            <w:shd w:val="clear" w:color="auto" w:fill="FFFFFF" w:themeFill="background1"/>
          </w:tcPr>
          <w:p w:rsidR="0005618C" w:rsidRPr="00B07DA6" w:rsidRDefault="0005618C" w:rsidP="00777463">
            <w:pPr>
              <w:pStyle w:val="ListParagraph"/>
              <w:spacing w:after="0" w:line="240" w:lineRule="auto"/>
              <w:ind w:left="0"/>
              <w:jc w:val="center"/>
              <w:rPr>
                <w:rFonts w:cs="Times New Roman"/>
                <w:sz w:val="18"/>
                <w:szCs w:val="18"/>
              </w:rPr>
            </w:pPr>
            <w:r w:rsidRPr="00B07DA6">
              <w:rPr>
                <w:sz w:val="18"/>
                <w:szCs w:val="18"/>
              </w:rPr>
              <w:t>0%</w:t>
            </w:r>
          </w:p>
        </w:tc>
        <w:tc>
          <w:tcPr>
            <w:tcW w:w="2700" w:type="dxa"/>
            <w:gridSpan w:val="2"/>
            <w:tcBorders>
              <w:left w:val="thinThickThinSmallGap" w:sz="24" w:space="0" w:color="auto"/>
            </w:tcBorders>
            <w:shd w:val="clear" w:color="auto" w:fill="FFFFFF" w:themeFill="background1"/>
          </w:tcPr>
          <w:p w:rsidR="0005618C" w:rsidRDefault="0005618C" w:rsidP="00777463">
            <w:pPr>
              <w:pStyle w:val="ListParagraph"/>
              <w:spacing w:after="0" w:line="240" w:lineRule="auto"/>
              <w:ind w:left="0"/>
              <w:jc w:val="both"/>
              <w:rPr>
                <w:rFonts w:cs="Times New Roman"/>
                <w:sz w:val="18"/>
                <w:szCs w:val="18"/>
              </w:rPr>
            </w:pPr>
            <w:r>
              <w:rPr>
                <w:rFonts w:cs="Times New Roman"/>
                <w:sz w:val="18"/>
                <w:szCs w:val="18"/>
              </w:rPr>
              <w:t xml:space="preserve">Back / </w:t>
            </w:r>
            <w:proofErr w:type="spellStart"/>
            <w:r>
              <w:rPr>
                <w:rFonts w:cs="Times New Roman"/>
                <w:sz w:val="18"/>
                <w:szCs w:val="18"/>
              </w:rPr>
              <w:t>Radiculopathy</w:t>
            </w:r>
            <w:proofErr w:type="spellEnd"/>
            <w:r>
              <w:rPr>
                <w:rFonts w:cs="Times New Roman"/>
                <w:sz w:val="18"/>
                <w:szCs w:val="18"/>
              </w:rPr>
              <w:t xml:space="preserve"> Condition</w:t>
            </w:r>
          </w:p>
        </w:tc>
        <w:tc>
          <w:tcPr>
            <w:tcW w:w="720" w:type="dxa"/>
            <w:shd w:val="clear" w:color="auto" w:fill="FFFFFF" w:themeFill="background1"/>
          </w:tcPr>
          <w:p w:rsidR="0005618C" w:rsidRPr="00B07DA6" w:rsidRDefault="0005618C" w:rsidP="00777463">
            <w:pPr>
              <w:pStyle w:val="ListParagraph"/>
              <w:spacing w:after="0" w:line="240" w:lineRule="auto"/>
              <w:ind w:left="0"/>
              <w:jc w:val="center"/>
              <w:rPr>
                <w:rFonts w:cs="Times New Roman"/>
                <w:sz w:val="18"/>
                <w:szCs w:val="18"/>
              </w:rPr>
            </w:pPr>
            <w:r w:rsidRPr="00B07DA6">
              <w:rPr>
                <w:sz w:val="18"/>
                <w:szCs w:val="18"/>
              </w:rPr>
              <w:t>5242</w:t>
            </w:r>
          </w:p>
        </w:tc>
        <w:tc>
          <w:tcPr>
            <w:tcW w:w="810" w:type="dxa"/>
            <w:shd w:val="clear" w:color="auto" w:fill="FFFFFF" w:themeFill="background1"/>
          </w:tcPr>
          <w:p w:rsidR="0005618C" w:rsidRPr="00B07DA6" w:rsidRDefault="0005618C" w:rsidP="00777463">
            <w:pPr>
              <w:pStyle w:val="ListParagraph"/>
              <w:spacing w:after="0" w:line="240" w:lineRule="auto"/>
              <w:ind w:left="0"/>
              <w:jc w:val="center"/>
              <w:rPr>
                <w:rFonts w:cs="Times New Roman"/>
                <w:sz w:val="18"/>
                <w:szCs w:val="18"/>
              </w:rPr>
            </w:pPr>
            <w:r w:rsidRPr="00B07DA6">
              <w:rPr>
                <w:sz w:val="18"/>
                <w:szCs w:val="18"/>
              </w:rPr>
              <w:t>10%</w:t>
            </w:r>
          </w:p>
        </w:tc>
        <w:tc>
          <w:tcPr>
            <w:tcW w:w="990" w:type="dxa"/>
            <w:shd w:val="clear" w:color="auto" w:fill="FFFFFF" w:themeFill="background1"/>
          </w:tcPr>
          <w:p w:rsidR="0005618C" w:rsidRPr="00B07DA6" w:rsidRDefault="0005618C" w:rsidP="00777463">
            <w:pPr>
              <w:pStyle w:val="ListParagraph"/>
              <w:spacing w:after="0" w:line="240" w:lineRule="auto"/>
              <w:ind w:left="0"/>
              <w:rPr>
                <w:rFonts w:cs="Times New Roman"/>
                <w:sz w:val="18"/>
                <w:szCs w:val="18"/>
              </w:rPr>
            </w:pPr>
            <w:r w:rsidRPr="00B07DA6">
              <w:rPr>
                <w:sz w:val="18"/>
                <w:szCs w:val="18"/>
              </w:rPr>
              <w:t>20051129</w:t>
            </w:r>
          </w:p>
        </w:tc>
      </w:tr>
      <w:tr w:rsidR="00B66A23" w:rsidRPr="002A685E" w:rsidTr="00777463">
        <w:trPr>
          <w:trHeight w:val="179"/>
          <w:jc w:val="center"/>
        </w:trPr>
        <w:tc>
          <w:tcPr>
            <w:tcW w:w="2520" w:type="dxa"/>
            <w:gridSpan w:val="2"/>
            <w:shd w:val="clear" w:color="auto" w:fill="FFFFFF" w:themeFill="background1"/>
          </w:tcPr>
          <w:p w:rsidR="00B66A23" w:rsidRPr="009E4D50" w:rsidRDefault="00B66A23" w:rsidP="00777463">
            <w:pPr>
              <w:pStyle w:val="ListParagraph"/>
              <w:spacing w:after="0" w:line="240" w:lineRule="auto"/>
              <w:ind w:left="0"/>
              <w:jc w:val="both"/>
              <w:rPr>
                <w:rFonts w:cs="Times New Roman"/>
                <w:sz w:val="18"/>
                <w:szCs w:val="18"/>
              </w:rPr>
            </w:pPr>
            <w:r w:rsidRPr="00B66A23">
              <w:rPr>
                <w:rFonts w:cs="Times New Roman"/>
                <w:sz w:val="18"/>
                <w:szCs w:val="18"/>
              </w:rPr>
              <w:t>Cervical Spine</w:t>
            </w:r>
            <w:r>
              <w:rPr>
                <w:rFonts w:cs="Times New Roman"/>
                <w:sz w:val="18"/>
                <w:szCs w:val="18"/>
              </w:rPr>
              <w:t xml:space="preserve"> Disc Disease</w:t>
            </w:r>
          </w:p>
        </w:tc>
        <w:tc>
          <w:tcPr>
            <w:tcW w:w="1530" w:type="dxa"/>
            <w:gridSpan w:val="2"/>
            <w:tcBorders>
              <w:right w:val="thinThickThinSmallGap" w:sz="24" w:space="0" w:color="auto"/>
            </w:tcBorders>
            <w:shd w:val="clear" w:color="auto" w:fill="FFFFFF" w:themeFill="background1"/>
          </w:tcPr>
          <w:p w:rsidR="00B66A23" w:rsidRPr="00B07DA6" w:rsidRDefault="00B66A23" w:rsidP="00777463">
            <w:pPr>
              <w:pStyle w:val="ListParagraph"/>
              <w:spacing w:after="0" w:line="240" w:lineRule="auto"/>
              <w:ind w:left="0"/>
              <w:jc w:val="center"/>
              <w:rPr>
                <w:sz w:val="18"/>
                <w:szCs w:val="18"/>
              </w:rPr>
            </w:pPr>
            <w:r w:rsidRPr="00B66A23">
              <w:rPr>
                <w:sz w:val="18"/>
                <w:szCs w:val="18"/>
              </w:rPr>
              <w:t>Not Unfitting</w:t>
            </w:r>
          </w:p>
        </w:tc>
        <w:tc>
          <w:tcPr>
            <w:tcW w:w="2700" w:type="dxa"/>
            <w:gridSpan w:val="2"/>
            <w:vMerge w:val="restart"/>
            <w:tcBorders>
              <w:left w:val="thinThickThinSmallGap" w:sz="24" w:space="0" w:color="auto"/>
            </w:tcBorders>
            <w:shd w:val="clear" w:color="auto" w:fill="FFFFFF" w:themeFill="background1"/>
          </w:tcPr>
          <w:p w:rsidR="00B66A23" w:rsidRPr="00C05C6D" w:rsidRDefault="00B66A23" w:rsidP="00777463">
            <w:pPr>
              <w:pStyle w:val="ListParagraph"/>
              <w:spacing w:after="0" w:line="240" w:lineRule="auto"/>
              <w:ind w:left="0"/>
              <w:jc w:val="both"/>
              <w:rPr>
                <w:rFonts w:cs="Times New Roman"/>
                <w:sz w:val="18"/>
                <w:szCs w:val="18"/>
              </w:rPr>
            </w:pPr>
            <w:r w:rsidRPr="0005618C">
              <w:rPr>
                <w:rFonts w:cs="Times New Roman"/>
                <w:sz w:val="18"/>
                <w:szCs w:val="18"/>
              </w:rPr>
              <w:t>Cervical Spine</w:t>
            </w:r>
            <w:r>
              <w:t xml:space="preserve"> </w:t>
            </w:r>
            <w:r w:rsidRPr="0005618C">
              <w:rPr>
                <w:rFonts w:cs="Times New Roman"/>
                <w:sz w:val="18"/>
                <w:szCs w:val="18"/>
              </w:rPr>
              <w:t xml:space="preserve">/ </w:t>
            </w:r>
            <w:proofErr w:type="spellStart"/>
            <w:r w:rsidRPr="0005618C">
              <w:rPr>
                <w:rFonts w:cs="Times New Roman"/>
                <w:sz w:val="18"/>
                <w:szCs w:val="18"/>
              </w:rPr>
              <w:t>Radiculopathy</w:t>
            </w:r>
            <w:proofErr w:type="spellEnd"/>
          </w:p>
        </w:tc>
        <w:tc>
          <w:tcPr>
            <w:tcW w:w="720" w:type="dxa"/>
            <w:vMerge w:val="restart"/>
            <w:shd w:val="clear" w:color="auto" w:fill="FFFFFF" w:themeFill="background1"/>
          </w:tcPr>
          <w:p w:rsidR="00B66A23" w:rsidRPr="00B07DA6" w:rsidRDefault="00B66A23" w:rsidP="00777463">
            <w:pPr>
              <w:pStyle w:val="ListParagraph"/>
              <w:spacing w:after="0" w:line="240" w:lineRule="auto"/>
              <w:ind w:left="0"/>
              <w:jc w:val="center"/>
              <w:rPr>
                <w:rFonts w:cs="Times New Roman"/>
                <w:sz w:val="18"/>
                <w:szCs w:val="18"/>
              </w:rPr>
            </w:pPr>
            <w:r w:rsidRPr="00B07DA6">
              <w:rPr>
                <w:sz w:val="18"/>
                <w:szCs w:val="18"/>
              </w:rPr>
              <w:t>5242</w:t>
            </w:r>
          </w:p>
        </w:tc>
        <w:tc>
          <w:tcPr>
            <w:tcW w:w="810" w:type="dxa"/>
            <w:vMerge w:val="restart"/>
            <w:shd w:val="clear" w:color="auto" w:fill="FFFFFF" w:themeFill="background1"/>
          </w:tcPr>
          <w:p w:rsidR="00B66A23" w:rsidRPr="00B07DA6" w:rsidRDefault="00B66A23" w:rsidP="00777463">
            <w:pPr>
              <w:pStyle w:val="ListParagraph"/>
              <w:spacing w:after="0" w:line="240" w:lineRule="auto"/>
              <w:ind w:left="0"/>
              <w:jc w:val="center"/>
              <w:rPr>
                <w:rFonts w:cs="Times New Roman"/>
                <w:sz w:val="18"/>
                <w:szCs w:val="18"/>
              </w:rPr>
            </w:pPr>
            <w:r w:rsidRPr="00B07DA6">
              <w:rPr>
                <w:sz w:val="18"/>
                <w:szCs w:val="18"/>
              </w:rPr>
              <w:t>10%</w:t>
            </w:r>
          </w:p>
        </w:tc>
        <w:tc>
          <w:tcPr>
            <w:tcW w:w="990" w:type="dxa"/>
            <w:vMerge w:val="restart"/>
            <w:shd w:val="clear" w:color="auto" w:fill="FFFFFF" w:themeFill="background1"/>
          </w:tcPr>
          <w:p w:rsidR="00B66A23" w:rsidRPr="00B07DA6" w:rsidRDefault="00B66A23" w:rsidP="00777463">
            <w:pPr>
              <w:pStyle w:val="ListParagraph"/>
              <w:spacing w:after="0" w:line="240" w:lineRule="auto"/>
              <w:ind w:left="0"/>
              <w:rPr>
                <w:rFonts w:cs="Times New Roman"/>
                <w:sz w:val="18"/>
                <w:szCs w:val="18"/>
              </w:rPr>
            </w:pPr>
            <w:r w:rsidRPr="00B07DA6">
              <w:rPr>
                <w:sz w:val="18"/>
                <w:szCs w:val="18"/>
              </w:rPr>
              <w:t>20051129</w:t>
            </w:r>
          </w:p>
        </w:tc>
      </w:tr>
      <w:tr w:rsidR="00B66A23" w:rsidRPr="002A685E" w:rsidTr="00777463">
        <w:trPr>
          <w:trHeight w:val="161"/>
          <w:jc w:val="center"/>
        </w:trPr>
        <w:tc>
          <w:tcPr>
            <w:tcW w:w="2520" w:type="dxa"/>
            <w:gridSpan w:val="2"/>
            <w:shd w:val="clear" w:color="auto" w:fill="FFFFFF" w:themeFill="background1"/>
          </w:tcPr>
          <w:p w:rsidR="00B66A23" w:rsidRPr="00B66A23" w:rsidRDefault="00B66A23" w:rsidP="00777463">
            <w:pPr>
              <w:pStyle w:val="ListParagraph"/>
              <w:spacing w:after="0" w:line="240" w:lineRule="auto"/>
              <w:ind w:left="0"/>
              <w:jc w:val="both"/>
              <w:rPr>
                <w:rFonts w:cs="Times New Roman"/>
                <w:sz w:val="18"/>
                <w:szCs w:val="18"/>
              </w:rPr>
            </w:pPr>
            <w:r w:rsidRPr="0005618C">
              <w:rPr>
                <w:rFonts w:cs="Times New Roman"/>
                <w:sz w:val="18"/>
                <w:szCs w:val="18"/>
              </w:rPr>
              <w:t>Cervical Spine</w:t>
            </w:r>
            <w:r>
              <w:rPr>
                <w:rFonts w:cs="Times New Roman"/>
                <w:sz w:val="18"/>
                <w:szCs w:val="18"/>
              </w:rPr>
              <w:t xml:space="preserve"> Joint Disease</w:t>
            </w:r>
          </w:p>
        </w:tc>
        <w:tc>
          <w:tcPr>
            <w:tcW w:w="1530" w:type="dxa"/>
            <w:gridSpan w:val="2"/>
            <w:tcBorders>
              <w:bottom w:val="single" w:sz="4" w:space="0" w:color="auto"/>
              <w:right w:val="thinThickThinSmallGap" w:sz="24" w:space="0" w:color="auto"/>
            </w:tcBorders>
            <w:shd w:val="clear" w:color="auto" w:fill="FFFFFF" w:themeFill="background1"/>
          </w:tcPr>
          <w:p w:rsidR="00B66A23" w:rsidRPr="00B07DA6" w:rsidRDefault="00777463" w:rsidP="00777463">
            <w:pPr>
              <w:pStyle w:val="ListParagraph"/>
              <w:spacing w:after="0" w:line="240" w:lineRule="auto"/>
              <w:ind w:left="0"/>
              <w:jc w:val="center"/>
              <w:rPr>
                <w:sz w:val="18"/>
                <w:szCs w:val="18"/>
              </w:rPr>
            </w:pPr>
            <w:r>
              <w:rPr>
                <w:rFonts w:cs="Times New Roman"/>
                <w:sz w:val="18"/>
                <w:szCs w:val="18"/>
              </w:rPr>
              <w:t>Not Unfitting</w:t>
            </w:r>
          </w:p>
        </w:tc>
        <w:tc>
          <w:tcPr>
            <w:tcW w:w="2700" w:type="dxa"/>
            <w:gridSpan w:val="2"/>
            <w:vMerge/>
            <w:tcBorders>
              <w:left w:val="thinThickThinSmallGap" w:sz="24" w:space="0" w:color="auto"/>
            </w:tcBorders>
            <w:shd w:val="clear" w:color="auto" w:fill="FFFFFF" w:themeFill="background1"/>
          </w:tcPr>
          <w:p w:rsidR="00B66A23" w:rsidRPr="0005618C" w:rsidRDefault="00B66A23" w:rsidP="00777463">
            <w:pPr>
              <w:pStyle w:val="ListParagraph"/>
              <w:spacing w:after="0" w:line="240" w:lineRule="auto"/>
              <w:ind w:left="0"/>
              <w:jc w:val="both"/>
              <w:rPr>
                <w:rFonts w:cs="Times New Roman"/>
                <w:sz w:val="18"/>
                <w:szCs w:val="18"/>
              </w:rPr>
            </w:pPr>
          </w:p>
        </w:tc>
        <w:tc>
          <w:tcPr>
            <w:tcW w:w="720" w:type="dxa"/>
            <w:vMerge/>
            <w:shd w:val="clear" w:color="auto" w:fill="FFFFFF" w:themeFill="background1"/>
          </w:tcPr>
          <w:p w:rsidR="00B66A23" w:rsidRPr="00B07DA6" w:rsidRDefault="00B66A23" w:rsidP="00777463">
            <w:pPr>
              <w:pStyle w:val="ListParagraph"/>
              <w:spacing w:after="0" w:line="240" w:lineRule="auto"/>
              <w:ind w:left="0"/>
              <w:jc w:val="center"/>
              <w:rPr>
                <w:sz w:val="18"/>
                <w:szCs w:val="18"/>
              </w:rPr>
            </w:pPr>
          </w:p>
        </w:tc>
        <w:tc>
          <w:tcPr>
            <w:tcW w:w="810" w:type="dxa"/>
            <w:vMerge/>
            <w:shd w:val="clear" w:color="auto" w:fill="FFFFFF" w:themeFill="background1"/>
          </w:tcPr>
          <w:p w:rsidR="00B66A23" w:rsidRPr="00B07DA6" w:rsidRDefault="00B66A23" w:rsidP="00777463">
            <w:pPr>
              <w:pStyle w:val="ListParagraph"/>
              <w:spacing w:after="0" w:line="240" w:lineRule="auto"/>
              <w:ind w:left="0"/>
              <w:jc w:val="center"/>
              <w:rPr>
                <w:sz w:val="18"/>
                <w:szCs w:val="18"/>
              </w:rPr>
            </w:pPr>
          </w:p>
        </w:tc>
        <w:tc>
          <w:tcPr>
            <w:tcW w:w="990" w:type="dxa"/>
            <w:vMerge/>
            <w:shd w:val="clear" w:color="auto" w:fill="FFFFFF" w:themeFill="background1"/>
          </w:tcPr>
          <w:p w:rsidR="00B66A23" w:rsidRPr="00B07DA6" w:rsidRDefault="00B66A23" w:rsidP="00777463">
            <w:pPr>
              <w:pStyle w:val="ListParagraph"/>
              <w:spacing w:after="0" w:line="240" w:lineRule="auto"/>
              <w:ind w:left="0"/>
              <w:rPr>
                <w:sz w:val="18"/>
                <w:szCs w:val="18"/>
              </w:rPr>
            </w:pPr>
          </w:p>
        </w:tc>
      </w:tr>
      <w:tr w:rsidR="00F36C6D" w:rsidRPr="002A685E" w:rsidTr="00777463">
        <w:trPr>
          <w:trHeight w:val="179"/>
          <w:jc w:val="center"/>
        </w:trPr>
        <w:tc>
          <w:tcPr>
            <w:tcW w:w="2520" w:type="dxa"/>
            <w:gridSpan w:val="2"/>
            <w:shd w:val="clear" w:color="auto" w:fill="FFFFFF" w:themeFill="background1"/>
          </w:tcPr>
          <w:p w:rsidR="00F36C6D" w:rsidRPr="00542C9A" w:rsidRDefault="00F36C6D" w:rsidP="00777463">
            <w:pPr>
              <w:pStyle w:val="ListParagraph"/>
              <w:spacing w:after="0" w:line="240" w:lineRule="auto"/>
              <w:ind w:left="0"/>
              <w:jc w:val="both"/>
              <w:rPr>
                <w:rFonts w:cs="Times New Roman"/>
                <w:sz w:val="18"/>
                <w:szCs w:val="18"/>
              </w:rPr>
            </w:pPr>
            <w:r w:rsidRPr="009E4D50">
              <w:rPr>
                <w:rFonts w:cs="Times New Roman"/>
                <w:sz w:val="18"/>
                <w:szCs w:val="18"/>
              </w:rPr>
              <w:t>Right shoulder impingement</w:t>
            </w:r>
          </w:p>
        </w:tc>
        <w:tc>
          <w:tcPr>
            <w:tcW w:w="1530" w:type="dxa"/>
            <w:gridSpan w:val="2"/>
            <w:tcBorders>
              <w:top w:val="single" w:sz="4" w:space="0" w:color="auto"/>
              <w:bottom w:val="single" w:sz="4" w:space="0" w:color="auto"/>
              <w:right w:val="thinThickThinSmallGap" w:sz="24" w:space="0" w:color="auto"/>
            </w:tcBorders>
            <w:shd w:val="clear" w:color="auto" w:fill="FFFFFF" w:themeFill="background1"/>
            <w:vAlign w:val="center"/>
          </w:tcPr>
          <w:p w:rsidR="00F36C6D" w:rsidRPr="00542C9A" w:rsidRDefault="00777463" w:rsidP="00777463">
            <w:pPr>
              <w:pStyle w:val="ListParagraph"/>
              <w:spacing w:after="0" w:line="240" w:lineRule="auto"/>
              <w:ind w:left="0"/>
              <w:jc w:val="center"/>
              <w:rPr>
                <w:rFonts w:cs="Times New Roman"/>
                <w:sz w:val="18"/>
                <w:szCs w:val="18"/>
              </w:rPr>
            </w:pPr>
            <w:r>
              <w:rPr>
                <w:rFonts w:cs="Times New Roman"/>
                <w:sz w:val="18"/>
                <w:szCs w:val="18"/>
              </w:rPr>
              <w:t>Not Unfitting</w:t>
            </w:r>
          </w:p>
        </w:tc>
        <w:tc>
          <w:tcPr>
            <w:tcW w:w="2385" w:type="dxa"/>
            <w:tcBorders>
              <w:left w:val="thinThickThinSmallGap" w:sz="24" w:space="0" w:color="auto"/>
            </w:tcBorders>
            <w:shd w:val="clear" w:color="auto" w:fill="FFFFFF" w:themeFill="background1"/>
          </w:tcPr>
          <w:p w:rsidR="00F36C6D" w:rsidRPr="00542C9A" w:rsidRDefault="00F36C6D" w:rsidP="00777463">
            <w:pPr>
              <w:pStyle w:val="ListParagraph"/>
              <w:spacing w:after="0" w:line="240" w:lineRule="auto"/>
              <w:ind w:left="0"/>
              <w:jc w:val="both"/>
              <w:rPr>
                <w:rFonts w:cs="Times New Roman"/>
                <w:sz w:val="18"/>
                <w:szCs w:val="18"/>
              </w:rPr>
            </w:pPr>
            <w:r w:rsidRPr="009E4D50">
              <w:rPr>
                <w:rFonts w:cs="Times New Roman"/>
                <w:sz w:val="18"/>
                <w:szCs w:val="18"/>
              </w:rPr>
              <w:t>Right shoulder impingement</w:t>
            </w:r>
          </w:p>
        </w:tc>
        <w:tc>
          <w:tcPr>
            <w:tcW w:w="1035" w:type="dxa"/>
            <w:gridSpan w:val="2"/>
            <w:shd w:val="clear" w:color="auto" w:fill="FFFFFF" w:themeFill="background1"/>
          </w:tcPr>
          <w:p w:rsidR="00F36C6D" w:rsidRPr="00B07DA6" w:rsidRDefault="00F36C6D" w:rsidP="00777463">
            <w:pPr>
              <w:pStyle w:val="ListParagraph"/>
              <w:spacing w:after="0" w:line="240" w:lineRule="auto"/>
              <w:ind w:left="0"/>
              <w:jc w:val="center"/>
              <w:rPr>
                <w:rFonts w:cs="Times New Roman"/>
                <w:sz w:val="18"/>
                <w:szCs w:val="18"/>
              </w:rPr>
            </w:pPr>
            <w:r w:rsidRPr="00B07DA6">
              <w:rPr>
                <w:sz w:val="18"/>
                <w:szCs w:val="18"/>
              </w:rPr>
              <w:t>5201-5024</w:t>
            </w:r>
          </w:p>
        </w:tc>
        <w:tc>
          <w:tcPr>
            <w:tcW w:w="810" w:type="dxa"/>
            <w:shd w:val="clear" w:color="auto" w:fill="FFFFFF" w:themeFill="background1"/>
          </w:tcPr>
          <w:p w:rsidR="00F36C6D" w:rsidRPr="00B07DA6" w:rsidRDefault="00F36C6D" w:rsidP="00777463">
            <w:pPr>
              <w:pStyle w:val="ListParagraph"/>
              <w:spacing w:after="0" w:line="240" w:lineRule="auto"/>
              <w:ind w:left="0"/>
              <w:jc w:val="center"/>
              <w:rPr>
                <w:rFonts w:cs="Times New Roman"/>
                <w:sz w:val="18"/>
                <w:szCs w:val="18"/>
              </w:rPr>
            </w:pPr>
            <w:r w:rsidRPr="00B07DA6">
              <w:rPr>
                <w:sz w:val="18"/>
                <w:szCs w:val="18"/>
              </w:rPr>
              <w:t>10%</w:t>
            </w:r>
          </w:p>
        </w:tc>
        <w:tc>
          <w:tcPr>
            <w:tcW w:w="990" w:type="dxa"/>
            <w:shd w:val="clear" w:color="auto" w:fill="FFFFFF" w:themeFill="background1"/>
          </w:tcPr>
          <w:p w:rsidR="00F36C6D" w:rsidRPr="00B07DA6" w:rsidRDefault="00F36C6D" w:rsidP="00777463">
            <w:pPr>
              <w:pStyle w:val="ListParagraph"/>
              <w:spacing w:after="0" w:line="240" w:lineRule="auto"/>
              <w:ind w:left="0"/>
              <w:rPr>
                <w:rFonts w:cs="Times New Roman"/>
                <w:sz w:val="18"/>
                <w:szCs w:val="18"/>
              </w:rPr>
            </w:pPr>
            <w:r w:rsidRPr="00B07DA6">
              <w:rPr>
                <w:sz w:val="18"/>
                <w:szCs w:val="18"/>
              </w:rPr>
              <w:t>20051129</w:t>
            </w:r>
          </w:p>
        </w:tc>
      </w:tr>
      <w:tr w:rsidR="00777463" w:rsidRPr="002A685E" w:rsidTr="00777463">
        <w:trPr>
          <w:trHeight w:val="125"/>
          <w:jc w:val="center"/>
        </w:trPr>
        <w:tc>
          <w:tcPr>
            <w:tcW w:w="2520" w:type="dxa"/>
            <w:gridSpan w:val="2"/>
            <w:shd w:val="clear" w:color="auto" w:fill="FFFFFF" w:themeFill="background1"/>
          </w:tcPr>
          <w:p w:rsidR="00777463" w:rsidRPr="00542C9A" w:rsidRDefault="00777463" w:rsidP="00777463">
            <w:pPr>
              <w:pStyle w:val="ListParagraph"/>
              <w:spacing w:after="0" w:line="240" w:lineRule="auto"/>
              <w:ind w:left="0"/>
              <w:jc w:val="both"/>
              <w:rPr>
                <w:rFonts w:cs="Times New Roman"/>
                <w:sz w:val="18"/>
                <w:szCs w:val="18"/>
              </w:rPr>
            </w:pPr>
            <w:r w:rsidRPr="009E4D50">
              <w:rPr>
                <w:rFonts w:cs="Times New Roman"/>
                <w:sz w:val="18"/>
                <w:szCs w:val="18"/>
              </w:rPr>
              <w:t>Migraines</w:t>
            </w:r>
          </w:p>
        </w:tc>
        <w:tc>
          <w:tcPr>
            <w:tcW w:w="1530" w:type="dxa"/>
            <w:gridSpan w:val="2"/>
            <w:tcBorders>
              <w:top w:val="single" w:sz="4" w:space="0" w:color="auto"/>
              <w:bottom w:val="single" w:sz="4" w:space="0" w:color="auto"/>
              <w:right w:val="thinThickThinSmallGap" w:sz="24" w:space="0" w:color="auto"/>
            </w:tcBorders>
            <w:shd w:val="clear" w:color="auto" w:fill="FFFFFF" w:themeFill="background1"/>
          </w:tcPr>
          <w:p w:rsidR="00777463" w:rsidRPr="00777463" w:rsidRDefault="00777463" w:rsidP="00777463">
            <w:pPr>
              <w:pStyle w:val="ListParagraph"/>
              <w:spacing w:after="0" w:line="240" w:lineRule="auto"/>
              <w:ind w:left="0"/>
              <w:jc w:val="center"/>
              <w:rPr>
                <w:rFonts w:cs="Times New Roman"/>
                <w:sz w:val="18"/>
                <w:szCs w:val="18"/>
              </w:rPr>
            </w:pPr>
            <w:r w:rsidRPr="001A3A4F">
              <w:rPr>
                <w:rFonts w:cs="Times New Roman"/>
                <w:sz w:val="18"/>
                <w:szCs w:val="18"/>
              </w:rPr>
              <w:t>Not Unfitting</w:t>
            </w:r>
          </w:p>
        </w:tc>
        <w:tc>
          <w:tcPr>
            <w:tcW w:w="2700" w:type="dxa"/>
            <w:gridSpan w:val="2"/>
            <w:tcBorders>
              <w:left w:val="thinThickThinSmallGap" w:sz="24" w:space="0" w:color="auto"/>
            </w:tcBorders>
            <w:shd w:val="clear" w:color="auto" w:fill="FFFFFF" w:themeFill="background1"/>
          </w:tcPr>
          <w:p w:rsidR="00777463" w:rsidRPr="00542C9A" w:rsidRDefault="00777463" w:rsidP="00777463">
            <w:pPr>
              <w:pStyle w:val="ListParagraph"/>
              <w:spacing w:after="0" w:line="240" w:lineRule="auto"/>
              <w:ind w:left="0"/>
              <w:jc w:val="both"/>
              <w:rPr>
                <w:rFonts w:cs="Times New Roman"/>
                <w:sz w:val="18"/>
                <w:szCs w:val="18"/>
              </w:rPr>
            </w:pPr>
            <w:r w:rsidRPr="0005618C">
              <w:rPr>
                <w:rFonts w:cs="Times New Roman"/>
                <w:sz w:val="18"/>
                <w:szCs w:val="18"/>
              </w:rPr>
              <w:t>Migraines</w:t>
            </w:r>
          </w:p>
        </w:tc>
        <w:tc>
          <w:tcPr>
            <w:tcW w:w="720" w:type="dxa"/>
            <w:shd w:val="clear" w:color="auto" w:fill="FFFFFF" w:themeFill="background1"/>
          </w:tcPr>
          <w:p w:rsidR="00777463" w:rsidRPr="00B07DA6" w:rsidRDefault="00777463" w:rsidP="00777463">
            <w:pPr>
              <w:pStyle w:val="ListParagraph"/>
              <w:spacing w:after="0" w:line="240" w:lineRule="auto"/>
              <w:ind w:left="0"/>
              <w:jc w:val="center"/>
              <w:rPr>
                <w:rFonts w:cs="Times New Roman"/>
                <w:sz w:val="18"/>
                <w:szCs w:val="18"/>
              </w:rPr>
            </w:pPr>
            <w:r w:rsidRPr="00B07DA6">
              <w:rPr>
                <w:sz w:val="18"/>
                <w:szCs w:val="18"/>
              </w:rPr>
              <w:t>8100</w:t>
            </w:r>
          </w:p>
        </w:tc>
        <w:tc>
          <w:tcPr>
            <w:tcW w:w="810" w:type="dxa"/>
            <w:shd w:val="clear" w:color="auto" w:fill="FFFFFF" w:themeFill="background1"/>
          </w:tcPr>
          <w:p w:rsidR="00777463" w:rsidRPr="00B07DA6" w:rsidRDefault="00777463" w:rsidP="00777463">
            <w:pPr>
              <w:pStyle w:val="ListParagraph"/>
              <w:spacing w:after="0" w:line="240" w:lineRule="auto"/>
              <w:ind w:left="0"/>
              <w:jc w:val="center"/>
              <w:rPr>
                <w:rFonts w:cs="Times New Roman"/>
                <w:sz w:val="18"/>
                <w:szCs w:val="18"/>
              </w:rPr>
            </w:pPr>
            <w:r w:rsidRPr="00B07DA6">
              <w:rPr>
                <w:sz w:val="18"/>
                <w:szCs w:val="18"/>
              </w:rPr>
              <w:t>0%</w:t>
            </w:r>
          </w:p>
        </w:tc>
        <w:tc>
          <w:tcPr>
            <w:tcW w:w="990" w:type="dxa"/>
            <w:shd w:val="clear" w:color="auto" w:fill="FFFFFF" w:themeFill="background1"/>
          </w:tcPr>
          <w:p w:rsidR="00777463" w:rsidRPr="00B07DA6" w:rsidRDefault="00777463" w:rsidP="00777463">
            <w:pPr>
              <w:pStyle w:val="ListParagraph"/>
              <w:spacing w:after="0" w:line="240" w:lineRule="auto"/>
              <w:ind w:left="0"/>
              <w:rPr>
                <w:rFonts w:cs="Times New Roman"/>
                <w:sz w:val="18"/>
                <w:szCs w:val="18"/>
              </w:rPr>
            </w:pPr>
            <w:r w:rsidRPr="00B07DA6">
              <w:rPr>
                <w:sz w:val="18"/>
                <w:szCs w:val="18"/>
              </w:rPr>
              <w:t>20051129</w:t>
            </w:r>
          </w:p>
        </w:tc>
      </w:tr>
      <w:tr w:rsidR="00777463" w:rsidRPr="002A685E" w:rsidTr="00777463">
        <w:trPr>
          <w:trHeight w:val="125"/>
          <w:jc w:val="center"/>
        </w:trPr>
        <w:tc>
          <w:tcPr>
            <w:tcW w:w="2520" w:type="dxa"/>
            <w:gridSpan w:val="2"/>
            <w:shd w:val="clear" w:color="auto" w:fill="FFFFFF" w:themeFill="background1"/>
          </w:tcPr>
          <w:p w:rsidR="00777463" w:rsidRPr="009E4D50" w:rsidRDefault="00777463" w:rsidP="00777463">
            <w:pPr>
              <w:pStyle w:val="ListParagraph"/>
              <w:spacing w:after="0" w:line="240" w:lineRule="auto"/>
              <w:ind w:left="0"/>
              <w:jc w:val="both"/>
              <w:rPr>
                <w:rFonts w:cs="Times New Roman"/>
                <w:sz w:val="18"/>
                <w:szCs w:val="18"/>
              </w:rPr>
            </w:pPr>
            <w:r w:rsidRPr="009E4D50">
              <w:rPr>
                <w:rFonts w:cs="Times New Roman"/>
                <w:sz w:val="18"/>
                <w:szCs w:val="18"/>
              </w:rPr>
              <w:t>Left Ankle</w:t>
            </w:r>
          </w:p>
        </w:tc>
        <w:tc>
          <w:tcPr>
            <w:tcW w:w="1530" w:type="dxa"/>
            <w:gridSpan w:val="2"/>
            <w:tcBorders>
              <w:top w:val="single" w:sz="4" w:space="0" w:color="auto"/>
              <w:bottom w:val="single" w:sz="4" w:space="0" w:color="auto"/>
              <w:right w:val="thinThickThinSmallGap" w:sz="24" w:space="0" w:color="auto"/>
            </w:tcBorders>
            <w:shd w:val="clear" w:color="auto" w:fill="FFFFFF" w:themeFill="background1"/>
          </w:tcPr>
          <w:p w:rsidR="00777463" w:rsidRPr="00777463" w:rsidRDefault="00777463" w:rsidP="00777463">
            <w:pPr>
              <w:pStyle w:val="ListParagraph"/>
              <w:spacing w:after="0" w:line="240" w:lineRule="auto"/>
              <w:ind w:left="0"/>
              <w:jc w:val="center"/>
              <w:rPr>
                <w:rFonts w:cs="Times New Roman"/>
                <w:sz w:val="18"/>
                <w:szCs w:val="18"/>
              </w:rPr>
            </w:pPr>
            <w:r w:rsidRPr="001A3A4F">
              <w:rPr>
                <w:rFonts w:cs="Times New Roman"/>
                <w:sz w:val="18"/>
                <w:szCs w:val="18"/>
              </w:rPr>
              <w:t>Not Unfitting</w:t>
            </w:r>
          </w:p>
        </w:tc>
        <w:tc>
          <w:tcPr>
            <w:tcW w:w="2700" w:type="dxa"/>
            <w:gridSpan w:val="2"/>
            <w:tcBorders>
              <w:left w:val="thinThickThinSmallGap" w:sz="24" w:space="0" w:color="auto"/>
            </w:tcBorders>
            <w:shd w:val="clear" w:color="auto" w:fill="FFFFFF" w:themeFill="background1"/>
          </w:tcPr>
          <w:p w:rsidR="00777463" w:rsidRPr="00C05C6D" w:rsidRDefault="00777463" w:rsidP="00777463">
            <w:pPr>
              <w:pStyle w:val="ListParagraph"/>
              <w:spacing w:after="0" w:line="240" w:lineRule="auto"/>
              <w:ind w:left="0"/>
              <w:jc w:val="both"/>
              <w:rPr>
                <w:rFonts w:cs="Times New Roman"/>
                <w:sz w:val="18"/>
                <w:szCs w:val="18"/>
              </w:rPr>
            </w:pPr>
            <w:r w:rsidRPr="0005618C">
              <w:rPr>
                <w:rFonts w:cs="Times New Roman"/>
                <w:sz w:val="18"/>
                <w:szCs w:val="18"/>
              </w:rPr>
              <w:t>Left Ankle</w:t>
            </w:r>
          </w:p>
        </w:tc>
        <w:tc>
          <w:tcPr>
            <w:tcW w:w="720" w:type="dxa"/>
            <w:shd w:val="clear" w:color="auto" w:fill="FFFFFF" w:themeFill="background1"/>
          </w:tcPr>
          <w:p w:rsidR="00777463" w:rsidRPr="00B07DA6" w:rsidRDefault="00777463" w:rsidP="00777463">
            <w:pPr>
              <w:pStyle w:val="ListParagraph"/>
              <w:spacing w:after="0" w:line="240" w:lineRule="auto"/>
              <w:ind w:left="0"/>
              <w:jc w:val="center"/>
              <w:rPr>
                <w:rFonts w:cs="Times New Roman"/>
                <w:sz w:val="18"/>
                <w:szCs w:val="18"/>
              </w:rPr>
            </w:pPr>
            <w:r w:rsidRPr="00B07DA6">
              <w:rPr>
                <w:sz w:val="18"/>
                <w:szCs w:val="18"/>
              </w:rPr>
              <w:t>5262</w:t>
            </w:r>
          </w:p>
        </w:tc>
        <w:tc>
          <w:tcPr>
            <w:tcW w:w="810" w:type="dxa"/>
            <w:shd w:val="clear" w:color="auto" w:fill="FFFFFF" w:themeFill="background1"/>
          </w:tcPr>
          <w:p w:rsidR="00777463" w:rsidRPr="00B07DA6" w:rsidRDefault="00777463" w:rsidP="00777463">
            <w:pPr>
              <w:pStyle w:val="ListParagraph"/>
              <w:spacing w:after="0" w:line="240" w:lineRule="auto"/>
              <w:ind w:left="0"/>
              <w:jc w:val="center"/>
              <w:rPr>
                <w:rFonts w:cs="Times New Roman"/>
                <w:sz w:val="18"/>
                <w:szCs w:val="18"/>
              </w:rPr>
            </w:pPr>
            <w:r w:rsidRPr="00B07DA6">
              <w:rPr>
                <w:sz w:val="18"/>
                <w:szCs w:val="18"/>
              </w:rPr>
              <w:t>10%</w:t>
            </w:r>
          </w:p>
        </w:tc>
        <w:tc>
          <w:tcPr>
            <w:tcW w:w="990" w:type="dxa"/>
            <w:shd w:val="clear" w:color="auto" w:fill="FFFFFF" w:themeFill="background1"/>
          </w:tcPr>
          <w:p w:rsidR="00777463" w:rsidRPr="00B07DA6" w:rsidRDefault="00777463" w:rsidP="00777463">
            <w:pPr>
              <w:pStyle w:val="ListParagraph"/>
              <w:spacing w:after="0" w:line="240" w:lineRule="auto"/>
              <w:ind w:left="0"/>
              <w:rPr>
                <w:rFonts w:cs="Times New Roman"/>
                <w:sz w:val="18"/>
                <w:szCs w:val="18"/>
              </w:rPr>
            </w:pPr>
            <w:r w:rsidRPr="00B07DA6">
              <w:rPr>
                <w:sz w:val="18"/>
                <w:szCs w:val="18"/>
              </w:rPr>
              <w:t>20051129</w:t>
            </w:r>
          </w:p>
        </w:tc>
      </w:tr>
      <w:tr w:rsidR="00777463" w:rsidRPr="002A685E" w:rsidTr="00777463">
        <w:trPr>
          <w:trHeight w:val="125"/>
          <w:jc w:val="center"/>
        </w:trPr>
        <w:tc>
          <w:tcPr>
            <w:tcW w:w="2520" w:type="dxa"/>
            <w:gridSpan w:val="2"/>
            <w:shd w:val="clear" w:color="auto" w:fill="FFFFFF" w:themeFill="background1"/>
          </w:tcPr>
          <w:p w:rsidR="00777463" w:rsidRPr="009E4D50" w:rsidRDefault="00777463" w:rsidP="00777463">
            <w:pPr>
              <w:pStyle w:val="ListParagraph"/>
              <w:spacing w:after="0" w:line="240" w:lineRule="auto"/>
              <w:ind w:left="0"/>
              <w:jc w:val="both"/>
              <w:rPr>
                <w:rFonts w:cs="Times New Roman"/>
                <w:sz w:val="18"/>
                <w:szCs w:val="18"/>
              </w:rPr>
            </w:pPr>
            <w:r w:rsidRPr="00B66A23">
              <w:rPr>
                <w:rFonts w:cs="Times New Roman"/>
                <w:sz w:val="18"/>
                <w:szCs w:val="18"/>
              </w:rPr>
              <w:t xml:space="preserve">Intraocular </w:t>
            </w:r>
            <w:r>
              <w:rPr>
                <w:rFonts w:cs="Times New Roman"/>
                <w:sz w:val="18"/>
                <w:szCs w:val="18"/>
              </w:rPr>
              <w:t>H</w:t>
            </w:r>
            <w:r w:rsidRPr="00B66A23">
              <w:rPr>
                <w:rFonts w:cs="Times New Roman"/>
                <w:sz w:val="18"/>
                <w:szCs w:val="18"/>
              </w:rPr>
              <w:t>ypertension</w:t>
            </w:r>
          </w:p>
        </w:tc>
        <w:tc>
          <w:tcPr>
            <w:tcW w:w="1530" w:type="dxa"/>
            <w:gridSpan w:val="2"/>
            <w:tcBorders>
              <w:top w:val="single" w:sz="4" w:space="0" w:color="auto"/>
              <w:right w:val="thinThickThinSmallGap" w:sz="24" w:space="0" w:color="auto"/>
            </w:tcBorders>
            <w:shd w:val="clear" w:color="auto" w:fill="FFFFFF" w:themeFill="background1"/>
          </w:tcPr>
          <w:p w:rsidR="00777463" w:rsidRPr="00777463" w:rsidRDefault="00777463" w:rsidP="00777463">
            <w:pPr>
              <w:pStyle w:val="ListParagraph"/>
              <w:spacing w:after="0" w:line="240" w:lineRule="auto"/>
              <w:ind w:left="0"/>
              <w:jc w:val="center"/>
              <w:rPr>
                <w:rFonts w:cs="Times New Roman"/>
                <w:sz w:val="18"/>
                <w:szCs w:val="18"/>
              </w:rPr>
            </w:pPr>
            <w:r w:rsidRPr="001A3A4F">
              <w:rPr>
                <w:rFonts w:cs="Times New Roman"/>
                <w:sz w:val="18"/>
                <w:szCs w:val="18"/>
              </w:rPr>
              <w:t>Not Unfitting</w:t>
            </w:r>
          </w:p>
        </w:tc>
        <w:tc>
          <w:tcPr>
            <w:tcW w:w="4230" w:type="dxa"/>
            <w:gridSpan w:val="4"/>
            <w:tcBorders>
              <w:left w:val="thinThickThinSmallGap" w:sz="24" w:space="0" w:color="auto"/>
            </w:tcBorders>
            <w:shd w:val="clear" w:color="auto" w:fill="FFFFFF" w:themeFill="background1"/>
          </w:tcPr>
          <w:p w:rsidR="00777463" w:rsidRPr="00B07DA6" w:rsidRDefault="00777463" w:rsidP="00777463">
            <w:pPr>
              <w:pStyle w:val="ListParagraph"/>
              <w:spacing w:after="0" w:line="240" w:lineRule="auto"/>
              <w:ind w:left="0"/>
              <w:rPr>
                <w:rFonts w:cs="Times New Roman"/>
                <w:sz w:val="18"/>
                <w:szCs w:val="18"/>
              </w:rPr>
            </w:pPr>
            <w:r>
              <w:rPr>
                <w:rFonts w:cs="Times New Roman"/>
                <w:sz w:val="18"/>
                <w:szCs w:val="18"/>
              </w:rPr>
              <w:t>Not Service Connected (NSC)</w:t>
            </w:r>
          </w:p>
        </w:tc>
        <w:tc>
          <w:tcPr>
            <w:tcW w:w="990" w:type="dxa"/>
            <w:shd w:val="clear" w:color="auto" w:fill="FFFFFF" w:themeFill="background1"/>
          </w:tcPr>
          <w:p w:rsidR="00777463" w:rsidRPr="00B07DA6" w:rsidRDefault="00777463" w:rsidP="00777463">
            <w:pPr>
              <w:pStyle w:val="ListParagraph"/>
              <w:spacing w:after="0" w:line="240" w:lineRule="auto"/>
              <w:ind w:left="0"/>
              <w:rPr>
                <w:rFonts w:cs="Times New Roman"/>
                <w:sz w:val="18"/>
                <w:szCs w:val="18"/>
              </w:rPr>
            </w:pPr>
            <w:r w:rsidRPr="00B66A23">
              <w:rPr>
                <w:rFonts w:cs="Times New Roman"/>
                <w:sz w:val="18"/>
                <w:szCs w:val="18"/>
              </w:rPr>
              <w:t>20051129</w:t>
            </w:r>
          </w:p>
        </w:tc>
      </w:tr>
      <w:tr w:rsidR="00F36C6D" w:rsidRPr="002A685E" w:rsidTr="00ED6A61">
        <w:trPr>
          <w:trHeight w:val="125"/>
          <w:jc w:val="center"/>
        </w:trPr>
        <w:tc>
          <w:tcPr>
            <w:tcW w:w="4050" w:type="dxa"/>
            <w:gridSpan w:val="4"/>
            <w:tcBorders>
              <w:right w:val="thinThickThinSmallGap" w:sz="24" w:space="0" w:color="auto"/>
            </w:tcBorders>
            <w:shd w:val="clear" w:color="auto" w:fill="FFFFFF" w:themeFill="background1"/>
          </w:tcPr>
          <w:p w:rsidR="00F36C6D" w:rsidRPr="00542C9A" w:rsidRDefault="00F36C6D" w:rsidP="00777463">
            <w:pPr>
              <w:pStyle w:val="ListParagraph"/>
              <w:spacing w:after="0" w:line="240" w:lineRule="auto"/>
              <w:ind w:left="0"/>
              <w:jc w:val="center"/>
              <w:rPr>
                <w:rFonts w:cs="Times New Roman"/>
                <w:sz w:val="18"/>
                <w:szCs w:val="18"/>
              </w:rPr>
            </w:pPr>
            <w:r>
              <w:rPr>
                <w:rFonts w:cs="Times New Roman"/>
                <w:sz w:val="18"/>
                <w:szCs w:val="18"/>
              </w:rPr>
              <w:t>No PEB Entry</w:t>
            </w:r>
          </w:p>
        </w:tc>
        <w:tc>
          <w:tcPr>
            <w:tcW w:w="2700" w:type="dxa"/>
            <w:gridSpan w:val="2"/>
            <w:tcBorders>
              <w:left w:val="thinThickThinSmallGap" w:sz="24" w:space="0" w:color="auto"/>
            </w:tcBorders>
            <w:shd w:val="clear" w:color="auto" w:fill="FFFFFF" w:themeFill="background1"/>
          </w:tcPr>
          <w:p w:rsidR="00F36C6D" w:rsidRPr="00B07DA6" w:rsidRDefault="00F36C6D" w:rsidP="00777463">
            <w:pPr>
              <w:pStyle w:val="ListParagraph"/>
              <w:spacing w:after="0" w:line="240" w:lineRule="auto"/>
              <w:ind w:left="0"/>
              <w:rPr>
                <w:rFonts w:cs="Times New Roman"/>
                <w:sz w:val="18"/>
                <w:szCs w:val="18"/>
              </w:rPr>
            </w:pPr>
            <w:r w:rsidRPr="00B07DA6">
              <w:rPr>
                <w:sz w:val="18"/>
                <w:szCs w:val="18"/>
              </w:rPr>
              <w:t>Osteoarthritis, right knee</w:t>
            </w:r>
          </w:p>
        </w:tc>
        <w:tc>
          <w:tcPr>
            <w:tcW w:w="720" w:type="dxa"/>
            <w:shd w:val="clear" w:color="auto" w:fill="FFFFFF" w:themeFill="background1"/>
          </w:tcPr>
          <w:p w:rsidR="00F36C6D" w:rsidRPr="00B07DA6" w:rsidRDefault="00F36C6D" w:rsidP="00777463">
            <w:pPr>
              <w:pStyle w:val="ListParagraph"/>
              <w:spacing w:after="0" w:line="240" w:lineRule="auto"/>
              <w:ind w:left="0"/>
              <w:jc w:val="center"/>
              <w:rPr>
                <w:rFonts w:cs="Times New Roman"/>
                <w:sz w:val="18"/>
                <w:szCs w:val="18"/>
              </w:rPr>
            </w:pPr>
            <w:r w:rsidRPr="00B07DA6">
              <w:rPr>
                <w:sz w:val="18"/>
                <w:szCs w:val="18"/>
              </w:rPr>
              <w:t>5260</w:t>
            </w:r>
          </w:p>
        </w:tc>
        <w:tc>
          <w:tcPr>
            <w:tcW w:w="810" w:type="dxa"/>
            <w:shd w:val="clear" w:color="auto" w:fill="FFFFFF" w:themeFill="background1"/>
          </w:tcPr>
          <w:p w:rsidR="00F36C6D" w:rsidRPr="00B07DA6" w:rsidRDefault="00F36C6D" w:rsidP="00777463">
            <w:pPr>
              <w:pStyle w:val="ListParagraph"/>
              <w:spacing w:after="0" w:line="240" w:lineRule="auto"/>
              <w:ind w:left="0"/>
              <w:jc w:val="center"/>
              <w:rPr>
                <w:rFonts w:cs="Times New Roman"/>
                <w:sz w:val="18"/>
                <w:szCs w:val="18"/>
              </w:rPr>
            </w:pPr>
            <w:r w:rsidRPr="00B07DA6">
              <w:rPr>
                <w:sz w:val="18"/>
                <w:szCs w:val="18"/>
              </w:rPr>
              <w:t>10%</w:t>
            </w:r>
          </w:p>
        </w:tc>
        <w:tc>
          <w:tcPr>
            <w:tcW w:w="990" w:type="dxa"/>
            <w:shd w:val="clear" w:color="auto" w:fill="FFFFFF" w:themeFill="background1"/>
          </w:tcPr>
          <w:p w:rsidR="00F36C6D" w:rsidRPr="00B07DA6" w:rsidRDefault="00F36C6D" w:rsidP="00777463">
            <w:pPr>
              <w:rPr>
                <w:color w:val="auto"/>
                <w:sz w:val="18"/>
                <w:szCs w:val="18"/>
              </w:rPr>
            </w:pPr>
            <w:r w:rsidRPr="00B07DA6">
              <w:rPr>
                <w:color w:val="auto"/>
                <w:sz w:val="18"/>
                <w:szCs w:val="18"/>
              </w:rPr>
              <w:t>20051129</w:t>
            </w:r>
          </w:p>
        </w:tc>
      </w:tr>
      <w:tr w:rsidR="00F36C6D" w:rsidRPr="002A685E" w:rsidTr="00ED6A61">
        <w:trPr>
          <w:trHeight w:val="125"/>
          <w:jc w:val="center"/>
        </w:trPr>
        <w:tc>
          <w:tcPr>
            <w:tcW w:w="4050" w:type="dxa"/>
            <w:gridSpan w:val="4"/>
            <w:tcBorders>
              <w:right w:val="thinThickThinSmallGap" w:sz="24" w:space="0" w:color="auto"/>
            </w:tcBorders>
            <w:shd w:val="clear" w:color="auto" w:fill="FFFFFF" w:themeFill="background1"/>
          </w:tcPr>
          <w:p w:rsidR="00F36C6D" w:rsidRPr="00542C9A" w:rsidRDefault="00F36C6D" w:rsidP="00777463">
            <w:pPr>
              <w:pStyle w:val="ListParagraph"/>
              <w:spacing w:after="0" w:line="240" w:lineRule="auto"/>
              <w:ind w:left="0"/>
              <w:jc w:val="center"/>
              <w:rPr>
                <w:rFonts w:cs="Times New Roman"/>
                <w:sz w:val="18"/>
                <w:szCs w:val="18"/>
              </w:rPr>
            </w:pPr>
            <w:r w:rsidRPr="0005618C">
              <w:rPr>
                <w:rFonts w:cs="Times New Roman"/>
                <w:sz w:val="18"/>
                <w:szCs w:val="18"/>
              </w:rPr>
              <w:t>No PEB Entry</w:t>
            </w:r>
          </w:p>
        </w:tc>
        <w:tc>
          <w:tcPr>
            <w:tcW w:w="2700" w:type="dxa"/>
            <w:gridSpan w:val="2"/>
            <w:tcBorders>
              <w:left w:val="thinThickThinSmallGap" w:sz="24" w:space="0" w:color="auto"/>
            </w:tcBorders>
            <w:shd w:val="clear" w:color="auto" w:fill="FFFFFF" w:themeFill="background1"/>
          </w:tcPr>
          <w:p w:rsidR="00F36C6D" w:rsidRPr="00B07DA6" w:rsidRDefault="00F36C6D" w:rsidP="00777463">
            <w:pPr>
              <w:rPr>
                <w:color w:val="auto"/>
                <w:sz w:val="18"/>
                <w:szCs w:val="18"/>
              </w:rPr>
            </w:pPr>
            <w:r w:rsidRPr="00B07DA6">
              <w:rPr>
                <w:color w:val="auto"/>
                <w:sz w:val="18"/>
                <w:szCs w:val="18"/>
              </w:rPr>
              <w:t>Osteoarthritis, left knee</w:t>
            </w:r>
          </w:p>
        </w:tc>
        <w:tc>
          <w:tcPr>
            <w:tcW w:w="720" w:type="dxa"/>
            <w:shd w:val="clear" w:color="auto" w:fill="FFFFFF" w:themeFill="background1"/>
          </w:tcPr>
          <w:p w:rsidR="00F36C6D" w:rsidRPr="00B07DA6" w:rsidRDefault="00F36C6D" w:rsidP="00777463">
            <w:pPr>
              <w:pStyle w:val="ListParagraph"/>
              <w:spacing w:after="0" w:line="240" w:lineRule="auto"/>
              <w:ind w:left="0"/>
              <w:jc w:val="center"/>
              <w:rPr>
                <w:rFonts w:cs="Times New Roman"/>
                <w:sz w:val="18"/>
                <w:szCs w:val="18"/>
              </w:rPr>
            </w:pPr>
            <w:r w:rsidRPr="00B07DA6">
              <w:rPr>
                <w:sz w:val="18"/>
                <w:szCs w:val="18"/>
              </w:rPr>
              <w:t>5260</w:t>
            </w:r>
          </w:p>
        </w:tc>
        <w:tc>
          <w:tcPr>
            <w:tcW w:w="810" w:type="dxa"/>
            <w:shd w:val="clear" w:color="auto" w:fill="FFFFFF" w:themeFill="background1"/>
          </w:tcPr>
          <w:p w:rsidR="00F36C6D" w:rsidRPr="00B07DA6" w:rsidRDefault="00F36C6D" w:rsidP="00777463">
            <w:pPr>
              <w:pStyle w:val="ListParagraph"/>
              <w:spacing w:after="0" w:line="240" w:lineRule="auto"/>
              <w:ind w:left="0"/>
              <w:jc w:val="center"/>
              <w:rPr>
                <w:rFonts w:cs="Times New Roman"/>
                <w:sz w:val="18"/>
                <w:szCs w:val="18"/>
              </w:rPr>
            </w:pPr>
            <w:r w:rsidRPr="00B07DA6">
              <w:rPr>
                <w:sz w:val="18"/>
                <w:szCs w:val="18"/>
              </w:rPr>
              <w:t>10%</w:t>
            </w:r>
          </w:p>
        </w:tc>
        <w:tc>
          <w:tcPr>
            <w:tcW w:w="990" w:type="dxa"/>
            <w:shd w:val="clear" w:color="auto" w:fill="FFFFFF" w:themeFill="background1"/>
          </w:tcPr>
          <w:p w:rsidR="00F36C6D" w:rsidRPr="00B07DA6" w:rsidRDefault="00F36C6D" w:rsidP="00777463">
            <w:pPr>
              <w:rPr>
                <w:color w:val="auto"/>
                <w:sz w:val="18"/>
                <w:szCs w:val="18"/>
              </w:rPr>
            </w:pPr>
            <w:r w:rsidRPr="00B07DA6">
              <w:rPr>
                <w:color w:val="auto"/>
                <w:sz w:val="18"/>
                <w:szCs w:val="18"/>
              </w:rPr>
              <w:t>20051129</w:t>
            </w:r>
          </w:p>
        </w:tc>
      </w:tr>
      <w:tr w:rsidR="00F36C6D" w:rsidRPr="002A685E" w:rsidTr="00777463">
        <w:trPr>
          <w:trHeight w:val="233"/>
          <w:jc w:val="center"/>
        </w:trPr>
        <w:tc>
          <w:tcPr>
            <w:tcW w:w="4050" w:type="dxa"/>
            <w:gridSpan w:val="4"/>
            <w:tcBorders>
              <w:right w:val="thinThickThinSmallGap" w:sz="24" w:space="0" w:color="auto"/>
            </w:tcBorders>
            <w:shd w:val="clear" w:color="auto" w:fill="FFFFFF" w:themeFill="background1"/>
          </w:tcPr>
          <w:p w:rsidR="00F36C6D" w:rsidRPr="00AF7266" w:rsidRDefault="00F36C6D" w:rsidP="00777463">
            <w:pPr>
              <w:pStyle w:val="ListParagraph"/>
              <w:spacing w:after="0" w:line="240" w:lineRule="auto"/>
              <w:ind w:left="0"/>
              <w:jc w:val="center"/>
              <w:rPr>
                <w:rFonts w:cs="Times New Roman"/>
                <w:sz w:val="18"/>
                <w:szCs w:val="18"/>
                <w:highlight w:val="yellow"/>
              </w:rPr>
            </w:pPr>
            <w:r w:rsidRPr="009D1115">
              <w:rPr>
                <w:rFonts w:cs="Times New Roman"/>
                <w:sz w:val="18"/>
                <w:szCs w:val="18"/>
              </w:rPr>
              <w:t xml:space="preserve">No Additional </w:t>
            </w:r>
            <w:r>
              <w:rPr>
                <w:rFonts w:cs="Times New Roman"/>
                <w:sz w:val="18"/>
                <w:szCs w:val="18"/>
              </w:rPr>
              <w:t xml:space="preserve">MEB </w:t>
            </w:r>
            <w:r w:rsidRPr="009D1115">
              <w:rPr>
                <w:rFonts w:cs="Times New Roman"/>
                <w:sz w:val="18"/>
                <w:szCs w:val="18"/>
              </w:rPr>
              <w:t>Entries</w:t>
            </w:r>
          </w:p>
        </w:tc>
        <w:tc>
          <w:tcPr>
            <w:tcW w:w="3420" w:type="dxa"/>
            <w:gridSpan w:val="3"/>
            <w:tcBorders>
              <w:left w:val="thinThickThinSmallGap" w:sz="24" w:space="0" w:color="auto"/>
            </w:tcBorders>
            <w:shd w:val="clear" w:color="auto" w:fill="FFFFFF" w:themeFill="background1"/>
          </w:tcPr>
          <w:p w:rsidR="00F36C6D" w:rsidRPr="00542C9A" w:rsidRDefault="00F36C6D" w:rsidP="00777463">
            <w:pPr>
              <w:pStyle w:val="ListParagraph"/>
              <w:spacing w:after="0" w:line="240" w:lineRule="auto"/>
              <w:ind w:left="0"/>
              <w:jc w:val="center"/>
              <w:rPr>
                <w:rFonts w:cs="Times New Roman"/>
                <w:sz w:val="18"/>
                <w:szCs w:val="18"/>
              </w:rPr>
            </w:pPr>
            <w:r>
              <w:rPr>
                <w:rFonts w:cs="Times New Roman"/>
                <w:b/>
                <w:sz w:val="18"/>
                <w:szCs w:val="18"/>
              </w:rPr>
              <w:t xml:space="preserve">Other </w:t>
            </w:r>
            <w:r w:rsidRPr="008E744D">
              <w:rPr>
                <w:rFonts w:cs="Times New Roman"/>
                <w:b/>
                <w:sz w:val="18"/>
                <w:szCs w:val="18"/>
              </w:rPr>
              <w:t xml:space="preserve">X </w:t>
            </w:r>
            <w:r>
              <w:rPr>
                <w:rFonts w:cs="Times New Roman"/>
                <w:b/>
                <w:sz w:val="18"/>
                <w:szCs w:val="18"/>
              </w:rPr>
              <w:t xml:space="preserve">3 </w:t>
            </w:r>
            <w:r w:rsidRPr="008E744D">
              <w:rPr>
                <w:rFonts w:cs="Times New Roman"/>
                <w:b/>
                <w:sz w:val="18"/>
                <w:szCs w:val="18"/>
              </w:rPr>
              <w:t xml:space="preserve">/ NSC X </w:t>
            </w:r>
            <w:r w:rsidR="00B66A23">
              <w:rPr>
                <w:rFonts w:cs="Times New Roman"/>
                <w:b/>
                <w:sz w:val="18"/>
                <w:szCs w:val="18"/>
              </w:rPr>
              <w:t>4</w:t>
            </w:r>
          </w:p>
        </w:tc>
        <w:tc>
          <w:tcPr>
            <w:tcW w:w="810" w:type="dxa"/>
            <w:shd w:val="clear" w:color="auto" w:fill="FFFFFF" w:themeFill="background1"/>
          </w:tcPr>
          <w:p w:rsidR="00F36C6D" w:rsidRPr="00542C9A" w:rsidRDefault="00F36C6D" w:rsidP="00777463">
            <w:pPr>
              <w:pStyle w:val="ListParagraph"/>
              <w:spacing w:after="0" w:line="240" w:lineRule="auto"/>
              <w:ind w:left="0"/>
              <w:jc w:val="center"/>
              <w:rPr>
                <w:rFonts w:cs="Times New Roman"/>
                <w:sz w:val="18"/>
                <w:szCs w:val="18"/>
              </w:rPr>
            </w:pPr>
            <w:r>
              <w:rPr>
                <w:rFonts w:cs="Times New Roman"/>
                <w:sz w:val="18"/>
                <w:szCs w:val="18"/>
              </w:rPr>
              <w:t>All 0%</w:t>
            </w:r>
          </w:p>
        </w:tc>
        <w:tc>
          <w:tcPr>
            <w:tcW w:w="990" w:type="dxa"/>
            <w:shd w:val="clear" w:color="auto" w:fill="FFFFFF" w:themeFill="background1"/>
          </w:tcPr>
          <w:p w:rsidR="00F36C6D" w:rsidRPr="00542C9A" w:rsidRDefault="00F36C6D" w:rsidP="00777463">
            <w:pPr>
              <w:pStyle w:val="ListParagraph"/>
              <w:spacing w:after="0" w:line="240" w:lineRule="auto"/>
              <w:ind w:left="0"/>
              <w:rPr>
                <w:rFonts w:cs="Times New Roman"/>
                <w:sz w:val="18"/>
                <w:szCs w:val="18"/>
              </w:rPr>
            </w:pPr>
            <w:r w:rsidRPr="00BA147C">
              <w:rPr>
                <w:rFonts w:cs="Times New Roman"/>
                <w:sz w:val="18"/>
                <w:szCs w:val="18"/>
              </w:rPr>
              <w:t>20051129</w:t>
            </w:r>
          </w:p>
        </w:tc>
      </w:tr>
      <w:tr w:rsidR="00F36C6D" w:rsidRPr="002A685E" w:rsidTr="0085089F">
        <w:trPr>
          <w:trHeight w:val="242"/>
          <w:jc w:val="center"/>
        </w:trPr>
        <w:tc>
          <w:tcPr>
            <w:tcW w:w="4050" w:type="dxa"/>
            <w:gridSpan w:val="4"/>
            <w:tcBorders>
              <w:right w:val="thinThickThinSmallGap" w:sz="24" w:space="0" w:color="auto"/>
            </w:tcBorders>
            <w:shd w:val="clear" w:color="auto" w:fill="D9D9D9" w:themeFill="background1" w:themeFillShade="D9"/>
          </w:tcPr>
          <w:p w:rsidR="00F36C6D" w:rsidRPr="0085089F" w:rsidRDefault="00F36C6D" w:rsidP="0005618C">
            <w:pPr>
              <w:pStyle w:val="ListParagraph"/>
              <w:spacing w:after="0" w:line="240" w:lineRule="exact"/>
              <w:ind w:left="0"/>
              <w:jc w:val="center"/>
              <w:rPr>
                <w:rFonts w:cs="Times New Roman"/>
                <w:b/>
                <w:sz w:val="20"/>
                <w:szCs w:val="20"/>
              </w:rPr>
            </w:pPr>
            <w:r w:rsidRPr="0085089F">
              <w:rPr>
                <w:rFonts w:cs="Times New Roman"/>
                <w:b/>
                <w:sz w:val="20"/>
                <w:szCs w:val="20"/>
              </w:rPr>
              <w:t xml:space="preserve">TOTAL Combined:  </w:t>
            </w:r>
            <w:r>
              <w:rPr>
                <w:rFonts w:cs="Times New Roman"/>
                <w:b/>
                <w:sz w:val="20"/>
                <w:szCs w:val="20"/>
              </w:rPr>
              <w:t>1</w:t>
            </w:r>
            <w:r w:rsidRPr="00ED6A61">
              <w:rPr>
                <w:rFonts w:cs="Times New Roman"/>
                <w:b/>
                <w:sz w:val="20"/>
                <w:szCs w:val="20"/>
              </w:rPr>
              <w:t>0</w:t>
            </w:r>
            <w:r w:rsidRPr="0085089F">
              <w:rPr>
                <w:rFonts w:cs="Times New Roman"/>
                <w:b/>
                <w:sz w:val="20"/>
                <w:szCs w:val="20"/>
              </w:rPr>
              <w:t>%</w:t>
            </w:r>
          </w:p>
        </w:tc>
        <w:tc>
          <w:tcPr>
            <w:tcW w:w="5220" w:type="dxa"/>
            <w:gridSpan w:val="5"/>
            <w:tcBorders>
              <w:left w:val="thinThickThinSmallGap" w:sz="24" w:space="0" w:color="auto"/>
            </w:tcBorders>
            <w:shd w:val="clear" w:color="auto" w:fill="D9D9D9" w:themeFill="background1" w:themeFillShade="D9"/>
          </w:tcPr>
          <w:p w:rsidR="00F36C6D" w:rsidRPr="0085089F" w:rsidRDefault="00F36C6D" w:rsidP="00BA147C">
            <w:pPr>
              <w:pStyle w:val="ListParagraph"/>
              <w:spacing w:after="0" w:line="240" w:lineRule="exact"/>
              <w:ind w:left="0"/>
              <w:jc w:val="center"/>
              <w:rPr>
                <w:rFonts w:cs="Times New Roman"/>
                <w:b/>
                <w:sz w:val="20"/>
                <w:szCs w:val="20"/>
              </w:rPr>
            </w:pPr>
            <w:r w:rsidRPr="0085089F">
              <w:rPr>
                <w:rFonts w:cs="Times New Roman"/>
                <w:b/>
                <w:sz w:val="20"/>
                <w:szCs w:val="20"/>
              </w:rPr>
              <w:t xml:space="preserve">TOTAL Combined: </w:t>
            </w:r>
            <w:r>
              <w:rPr>
                <w:rFonts w:cs="Times New Roman"/>
                <w:b/>
                <w:sz w:val="20"/>
                <w:szCs w:val="20"/>
              </w:rPr>
              <w:t>8</w:t>
            </w:r>
            <w:r w:rsidRPr="00ED6A61">
              <w:rPr>
                <w:rFonts w:cs="Times New Roman"/>
                <w:b/>
                <w:sz w:val="20"/>
                <w:szCs w:val="20"/>
              </w:rPr>
              <w:t>0%</w:t>
            </w:r>
          </w:p>
        </w:tc>
      </w:tr>
    </w:tbl>
    <w:p w:rsidR="007C4397" w:rsidRPr="002E289F" w:rsidRDefault="007C4397" w:rsidP="007C4397">
      <w:pPr>
        <w:tabs>
          <w:tab w:val="left" w:pos="288"/>
          <w:tab w:val="left" w:pos="4752"/>
        </w:tabs>
        <w:spacing w:line="240" w:lineRule="exact"/>
        <w:jc w:val="both"/>
        <w:rPr>
          <w:rFonts w:asciiTheme="minorHAnsi" w:hAnsiTheme="minorHAnsi"/>
          <w:caps/>
          <w:color w:val="auto"/>
          <w:u w:val="single"/>
        </w:rPr>
      </w:pPr>
      <w:r w:rsidRPr="002E289F">
        <w:rPr>
          <w:rFonts w:asciiTheme="minorHAnsi" w:hAnsiTheme="minorHAnsi"/>
          <w:color w:val="auto"/>
          <w:u w:val="single"/>
        </w:rPr>
        <w:t>__</w:t>
      </w:r>
      <w:r w:rsidRPr="002E289F">
        <w:rPr>
          <w:rFonts w:asciiTheme="minorHAnsi" w:hAnsiTheme="minorHAnsi"/>
          <w:color w:val="auto"/>
          <w:u w:val="single"/>
        </w:rPr>
        <w:softHyphen/>
        <w:t>____________________________________________________________________________</w:t>
      </w:r>
    </w:p>
    <w:p w:rsidR="007C4397" w:rsidRDefault="007C4397" w:rsidP="00AF1668">
      <w:pPr>
        <w:tabs>
          <w:tab w:val="left" w:pos="288"/>
          <w:tab w:val="left" w:pos="4752"/>
        </w:tabs>
        <w:spacing w:line="240" w:lineRule="exact"/>
        <w:rPr>
          <w:rFonts w:asciiTheme="minorHAnsi" w:hAnsiTheme="minorHAnsi"/>
          <w:color w:val="auto"/>
          <w:szCs w:val="24"/>
          <w:u w:val="single"/>
        </w:rPr>
      </w:pPr>
    </w:p>
    <w:p w:rsidR="002C6E5B" w:rsidRDefault="002C6E5B" w:rsidP="00AF1668">
      <w:pPr>
        <w:tabs>
          <w:tab w:val="left" w:pos="288"/>
          <w:tab w:val="left" w:pos="4752"/>
        </w:tabs>
        <w:spacing w:line="240" w:lineRule="exact"/>
        <w:rPr>
          <w:rFonts w:asciiTheme="minorHAnsi" w:hAnsiTheme="minorHAnsi"/>
          <w:color w:val="auto"/>
          <w:szCs w:val="24"/>
        </w:rPr>
      </w:pPr>
      <w:r w:rsidRPr="00542C9A">
        <w:rPr>
          <w:rFonts w:asciiTheme="minorHAnsi" w:hAnsiTheme="minorHAnsi"/>
          <w:color w:val="auto"/>
          <w:szCs w:val="24"/>
          <w:u w:val="single"/>
        </w:rPr>
        <w:t>ANALYSIS SUMMARY</w:t>
      </w:r>
      <w:r w:rsidRPr="00542C9A">
        <w:rPr>
          <w:rFonts w:asciiTheme="minorHAnsi" w:hAnsiTheme="minorHAnsi"/>
          <w:color w:val="auto"/>
          <w:szCs w:val="24"/>
        </w:rPr>
        <w:t>:</w:t>
      </w:r>
    </w:p>
    <w:p w:rsidR="002C3309" w:rsidRDefault="002C3309" w:rsidP="00AF1668">
      <w:pPr>
        <w:tabs>
          <w:tab w:val="left" w:pos="288"/>
          <w:tab w:val="left" w:pos="4752"/>
        </w:tabs>
        <w:spacing w:line="240" w:lineRule="exact"/>
        <w:rPr>
          <w:rFonts w:asciiTheme="minorHAnsi" w:hAnsiTheme="minorHAnsi"/>
          <w:color w:val="auto"/>
          <w:szCs w:val="24"/>
        </w:rPr>
      </w:pPr>
    </w:p>
    <w:p w:rsidR="00C677F1" w:rsidRDefault="00C677F1" w:rsidP="00C677F1">
      <w:pPr>
        <w:tabs>
          <w:tab w:val="left" w:pos="288"/>
          <w:tab w:val="left" w:pos="4752"/>
        </w:tabs>
        <w:spacing w:line="240" w:lineRule="exact"/>
        <w:jc w:val="both"/>
        <w:rPr>
          <w:rFonts w:asciiTheme="minorHAnsi" w:hAnsiTheme="minorHAnsi"/>
          <w:color w:val="auto"/>
          <w:szCs w:val="24"/>
        </w:rPr>
      </w:pPr>
      <w:r w:rsidRPr="00C677F1">
        <w:rPr>
          <w:rFonts w:asciiTheme="minorHAnsi" w:hAnsiTheme="minorHAnsi"/>
          <w:color w:val="auto"/>
          <w:szCs w:val="24"/>
        </w:rPr>
        <w:t xml:space="preserve">The Board acknowledges the sentiment expressed in the CI’s application regarding the significant impact that his service-incurred condition has had on his current earning ability and quality of life.  It is a fact, however, that the </w:t>
      </w:r>
      <w:r w:rsidR="002A5444">
        <w:rPr>
          <w:rFonts w:asciiTheme="minorHAnsi" w:hAnsiTheme="minorHAnsi"/>
          <w:color w:val="auto"/>
          <w:szCs w:val="24"/>
        </w:rPr>
        <w:t>Disability Evaluation System (</w:t>
      </w:r>
      <w:r w:rsidRPr="00C677F1">
        <w:rPr>
          <w:rFonts w:asciiTheme="minorHAnsi" w:hAnsiTheme="minorHAnsi"/>
          <w:color w:val="auto"/>
          <w:szCs w:val="24"/>
        </w:rPr>
        <w:t>DES</w:t>
      </w:r>
      <w:r w:rsidR="002A5444">
        <w:rPr>
          <w:rFonts w:asciiTheme="minorHAnsi" w:hAnsiTheme="minorHAnsi"/>
          <w:color w:val="auto"/>
          <w:szCs w:val="24"/>
        </w:rPr>
        <w:t>)</w:t>
      </w:r>
      <w:r w:rsidRPr="00C677F1">
        <w:rPr>
          <w:rFonts w:asciiTheme="minorHAnsi" w:hAnsiTheme="minorHAnsi"/>
          <w:color w:val="auto"/>
          <w:szCs w:val="24"/>
        </w:rPr>
        <w:t xml:space="preserve"> has neither the role nor the authority to compensate service members for anticipated future severity or potential complications of conditions resulting in medical separation.  This role and authority is granted by Congress to the Veterans Administration.</w:t>
      </w:r>
    </w:p>
    <w:p w:rsidR="002C3309" w:rsidRDefault="002C3309" w:rsidP="00AF1668">
      <w:pPr>
        <w:tabs>
          <w:tab w:val="left" w:pos="288"/>
          <w:tab w:val="left" w:pos="4752"/>
        </w:tabs>
        <w:spacing w:line="240" w:lineRule="exact"/>
        <w:rPr>
          <w:rFonts w:asciiTheme="minorHAnsi" w:hAnsiTheme="minorHAnsi"/>
          <w:color w:val="auto"/>
          <w:szCs w:val="24"/>
        </w:rPr>
      </w:pPr>
    </w:p>
    <w:p w:rsidR="00BF6116" w:rsidRDefault="003F1358" w:rsidP="00777463">
      <w:pPr>
        <w:tabs>
          <w:tab w:val="left" w:pos="288"/>
          <w:tab w:val="left" w:pos="4752"/>
        </w:tabs>
        <w:spacing w:line="240" w:lineRule="exact"/>
        <w:jc w:val="both"/>
        <w:rPr>
          <w:rFonts w:asciiTheme="minorHAnsi" w:hAnsiTheme="minorHAnsi"/>
          <w:color w:val="auto"/>
          <w:szCs w:val="24"/>
        </w:rPr>
      </w:pPr>
      <w:proofErr w:type="gramStart"/>
      <w:r w:rsidRPr="00777463">
        <w:rPr>
          <w:rFonts w:asciiTheme="minorHAnsi" w:hAnsiTheme="minorHAnsi"/>
          <w:color w:val="auto"/>
          <w:szCs w:val="24"/>
          <w:u w:val="single"/>
        </w:rPr>
        <w:t>Cognitive Disorder Rating Recommendation</w:t>
      </w:r>
      <w:r w:rsidRPr="00777463">
        <w:rPr>
          <w:rFonts w:asciiTheme="minorHAnsi" w:hAnsiTheme="minorHAnsi"/>
          <w:color w:val="auto"/>
          <w:szCs w:val="24"/>
        </w:rPr>
        <w:t>.</w:t>
      </w:r>
      <w:proofErr w:type="gramEnd"/>
      <w:r w:rsidRPr="00777463">
        <w:rPr>
          <w:rFonts w:asciiTheme="minorHAnsi" w:hAnsiTheme="minorHAnsi"/>
          <w:color w:val="auto"/>
          <w:szCs w:val="24"/>
        </w:rPr>
        <w:t xml:space="preserve">  </w:t>
      </w:r>
      <w:r w:rsidR="00BF6116" w:rsidRPr="00A8041F">
        <w:rPr>
          <w:rFonts w:asciiTheme="minorHAnsi" w:hAnsiTheme="minorHAnsi"/>
          <w:color w:val="auto"/>
          <w:szCs w:val="24"/>
        </w:rPr>
        <w:t xml:space="preserve">Board Members </w:t>
      </w:r>
      <w:r w:rsidR="00577626" w:rsidRPr="00A8041F">
        <w:rPr>
          <w:rFonts w:asciiTheme="minorHAnsi" w:hAnsiTheme="minorHAnsi"/>
          <w:color w:val="auto"/>
          <w:szCs w:val="24"/>
        </w:rPr>
        <w:t>engaged in considerable debate regarding the overall approach to adjudicating this case</w:t>
      </w:r>
      <w:r w:rsidR="00BF6116" w:rsidRPr="00A8041F">
        <w:rPr>
          <w:rFonts w:asciiTheme="minorHAnsi" w:hAnsiTheme="minorHAnsi"/>
          <w:color w:val="auto"/>
          <w:szCs w:val="24"/>
        </w:rPr>
        <w:t>.  Th</w:t>
      </w:r>
      <w:r w:rsidR="00577626" w:rsidRPr="00A8041F">
        <w:rPr>
          <w:rFonts w:asciiTheme="minorHAnsi" w:hAnsiTheme="minorHAnsi"/>
          <w:color w:val="auto"/>
          <w:szCs w:val="24"/>
        </w:rPr>
        <w:t>e</w:t>
      </w:r>
      <w:r w:rsidR="00BF6116" w:rsidRPr="00A8041F">
        <w:rPr>
          <w:rFonts w:asciiTheme="minorHAnsi" w:hAnsiTheme="minorHAnsi"/>
          <w:color w:val="auto"/>
          <w:szCs w:val="24"/>
        </w:rPr>
        <w:t xml:space="preserve"> case is a clinical hybrid of a </w:t>
      </w:r>
      <w:r w:rsidR="002A5444">
        <w:rPr>
          <w:rFonts w:asciiTheme="minorHAnsi" w:hAnsiTheme="minorHAnsi"/>
          <w:color w:val="auto"/>
          <w:szCs w:val="24"/>
        </w:rPr>
        <w:t>traumatic brain injury (</w:t>
      </w:r>
      <w:r w:rsidR="00BF6116" w:rsidRPr="00A8041F">
        <w:rPr>
          <w:rFonts w:asciiTheme="minorHAnsi" w:hAnsiTheme="minorHAnsi"/>
          <w:color w:val="auto"/>
          <w:szCs w:val="24"/>
        </w:rPr>
        <w:t>TBI</w:t>
      </w:r>
      <w:r w:rsidR="002A5444">
        <w:rPr>
          <w:rFonts w:asciiTheme="minorHAnsi" w:hAnsiTheme="minorHAnsi"/>
          <w:color w:val="auto"/>
          <w:szCs w:val="24"/>
        </w:rPr>
        <w:t>)</w:t>
      </w:r>
      <w:r w:rsidR="00BF6116" w:rsidRPr="00A8041F">
        <w:rPr>
          <w:rFonts w:asciiTheme="minorHAnsi" w:hAnsiTheme="minorHAnsi"/>
          <w:color w:val="auto"/>
          <w:szCs w:val="24"/>
        </w:rPr>
        <w:t>-type concussive injury (8045) with some unfitting (albeit relati</w:t>
      </w:r>
      <w:r w:rsidR="002A5444">
        <w:rPr>
          <w:rFonts w:asciiTheme="minorHAnsi" w:hAnsiTheme="minorHAnsi"/>
          <w:color w:val="auto"/>
          <w:szCs w:val="24"/>
        </w:rPr>
        <w:t>vely mild) cognitive impairment</w:t>
      </w:r>
      <w:r w:rsidR="00BF6116" w:rsidRPr="00A8041F">
        <w:rPr>
          <w:rFonts w:asciiTheme="minorHAnsi" w:hAnsiTheme="minorHAnsi"/>
          <w:color w:val="auto"/>
          <w:szCs w:val="24"/>
        </w:rPr>
        <w:t xml:space="preserve"> and a psychiatric overlay which met criteria for </w:t>
      </w:r>
      <w:r w:rsidR="0035554A">
        <w:rPr>
          <w:rFonts w:asciiTheme="minorHAnsi" w:hAnsiTheme="minorHAnsi"/>
          <w:color w:val="auto"/>
          <w:szCs w:val="24"/>
        </w:rPr>
        <w:t xml:space="preserve">an </w:t>
      </w:r>
      <w:r w:rsidR="00BF6116" w:rsidRPr="00A8041F">
        <w:rPr>
          <w:rFonts w:asciiTheme="minorHAnsi" w:hAnsiTheme="minorHAnsi"/>
          <w:color w:val="auto"/>
          <w:szCs w:val="24"/>
        </w:rPr>
        <w:t xml:space="preserve">Axis I </w:t>
      </w:r>
      <w:r w:rsidR="0035554A">
        <w:rPr>
          <w:rFonts w:asciiTheme="minorHAnsi" w:hAnsiTheme="minorHAnsi"/>
          <w:color w:val="auto"/>
          <w:szCs w:val="24"/>
        </w:rPr>
        <w:t xml:space="preserve">diagnosis of </w:t>
      </w:r>
      <w:r w:rsidR="00D20514">
        <w:rPr>
          <w:rFonts w:ascii="Calibri" w:hAnsi="Calibri"/>
          <w:color w:val="auto"/>
          <w:szCs w:val="24"/>
        </w:rPr>
        <w:t xml:space="preserve">Post-Traumatic Stress Disorder (PTSD) </w:t>
      </w:r>
      <w:r w:rsidR="00BF6116" w:rsidRPr="00A8041F">
        <w:rPr>
          <w:rFonts w:asciiTheme="minorHAnsi" w:hAnsiTheme="minorHAnsi"/>
          <w:color w:val="auto"/>
          <w:szCs w:val="24"/>
        </w:rPr>
        <w:t xml:space="preserve">per </w:t>
      </w:r>
      <w:r w:rsidR="00D20514">
        <w:rPr>
          <w:rFonts w:asciiTheme="minorHAnsi" w:hAnsiTheme="minorHAnsi"/>
          <w:color w:val="auto"/>
          <w:szCs w:val="24"/>
        </w:rPr>
        <w:t xml:space="preserve">the </w:t>
      </w:r>
      <w:r w:rsidR="00BF6116" w:rsidRPr="00A8041F">
        <w:rPr>
          <w:rFonts w:asciiTheme="minorHAnsi" w:hAnsiTheme="minorHAnsi"/>
          <w:color w:val="auto"/>
          <w:szCs w:val="24"/>
        </w:rPr>
        <w:t>pre-</w:t>
      </w:r>
      <w:r w:rsidR="00E02747" w:rsidRPr="00A8041F">
        <w:rPr>
          <w:rFonts w:asciiTheme="minorHAnsi" w:hAnsiTheme="minorHAnsi"/>
          <w:color w:val="auto"/>
          <w:szCs w:val="24"/>
        </w:rPr>
        <w:t>separation</w:t>
      </w:r>
      <w:r w:rsidR="00BF6116" w:rsidRPr="00A8041F">
        <w:rPr>
          <w:rFonts w:asciiTheme="minorHAnsi" w:hAnsiTheme="minorHAnsi"/>
          <w:color w:val="auto"/>
          <w:szCs w:val="24"/>
        </w:rPr>
        <w:t xml:space="preserve"> VA </w:t>
      </w:r>
      <w:r w:rsidR="00E02747" w:rsidRPr="00A8041F">
        <w:rPr>
          <w:rFonts w:asciiTheme="minorHAnsi" w:hAnsiTheme="minorHAnsi"/>
          <w:color w:val="auto"/>
          <w:szCs w:val="24"/>
        </w:rPr>
        <w:t>Compensation &amp; Pension (</w:t>
      </w:r>
      <w:r w:rsidR="00BF6116" w:rsidRPr="00A8041F">
        <w:rPr>
          <w:rFonts w:asciiTheme="minorHAnsi" w:hAnsiTheme="minorHAnsi"/>
          <w:color w:val="auto"/>
          <w:szCs w:val="24"/>
        </w:rPr>
        <w:t>C&amp;P</w:t>
      </w:r>
      <w:r w:rsidR="00E02747" w:rsidRPr="00A8041F">
        <w:rPr>
          <w:rFonts w:asciiTheme="minorHAnsi" w:hAnsiTheme="minorHAnsi"/>
          <w:color w:val="auto"/>
          <w:szCs w:val="24"/>
        </w:rPr>
        <w:t xml:space="preserve">) </w:t>
      </w:r>
      <w:r w:rsidR="00D20514">
        <w:rPr>
          <w:rFonts w:asciiTheme="minorHAnsi" w:hAnsiTheme="minorHAnsi"/>
          <w:color w:val="auto"/>
          <w:szCs w:val="24"/>
        </w:rPr>
        <w:t>examination (</w:t>
      </w:r>
      <w:r w:rsidR="00E02747" w:rsidRPr="002038CD">
        <w:rPr>
          <w:rFonts w:asciiTheme="minorHAnsi" w:hAnsiTheme="minorHAnsi"/>
          <w:color w:val="auto"/>
          <w:szCs w:val="24"/>
        </w:rPr>
        <w:t>the diagnosis</w:t>
      </w:r>
      <w:r w:rsidR="00BF6116" w:rsidRPr="002038CD">
        <w:rPr>
          <w:rFonts w:asciiTheme="minorHAnsi" w:hAnsiTheme="minorHAnsi"/>
          <w:color w:val="auto"/>
          <w:szCs w:val="24"/>
        </w:rPr>
        <w:t xml:space="preserve"> was Anxi</w:t>
      </w:r>
      <w:r w:rsidR="00E02747" w:rsidRPr="002038CD">
        <w:rPr>
          <w:rFonts w:asciiTheme="minorHAnsi" w:hAnsiTheme="minorHAnsi"/>
          <w:color w:val="auto"/>
          <w:szCs w:val="24"/>
        </w:rPr>
        <w:t xml:space="preserve">ety, NOS per </w:t>
      </w:r>
      <w:r w:rsidR="00D20514">
        <w:rPr>
          <w:rFonts w:asciiTheme="minorHAnsi" w:hAnsiTheme="minorHAnsi"/>
          <w:color w:val="auto"/>
          <w:szCs w:val="24"/>
        </w:rPr>
        <w:t>the</w:t>
      </w:r>
      <w:r w:rsidR="00E02747" w:rsidRPr="002038CD">
        <w:rPr>
          <w:rFonts w:asciiTheme="minorHAnsi" w:hAnsiTheme="minorHAnsi"/>
          <w:color w:val="auto"/>
          <w:szCs w:val="24"/>
        </w:rPr>
        <w:t xml:space="preserve"> MEB psychiatrist</w:t>
      </w:r>
      <w:r w:rsidR="00D20514">
        <w:rPr>
          <w:rFonts w:asciiTheme="minorHAnsi" w:hAnsiTheme="minorHAnsi"/>
          <w:color w:val="auto"/>
          <w:szCs w:val="24"/>
        </w:rPr>
        <w:t>)</w:t>
      </w:r>
      <w:r w:rsidR="00BF6116" w:rsidRPr="002038CD">
        <w:rPr>
          <w:rFonts w:asciiTheme="minorHAnsi" w:hAnsiTheme="minorHAnsi"/>
          <w:color w:val="auto"/>
          <w:szCs w:val="24"/>
        </w:rPr>
        <w:t xml:space="preserve">. </w:t>
      </w:r>
      <w:r w:rsidR="00E02747" w:rsidRPr="002038CD">
        <w:rPr>
          <w:rFonts w:asciiTheme="minorHAnsi" w:hAnsiTheme="minorHAnsi"/>
          <w:color w:val="auto"/>
          <w:szCs w:val="24"/>
        </w:rPr>
        <w:t>The psychiatric diagnoses were s</w:t>
      </w:r>
      <w:r w:rsidR="00BF6116" w:rsidRPr="002038CD">
        <w:rPr>
          <w:rFonts w:asciiTheme="minorHAnsi" w:hAnsiTheme="minorHAnsi"/>
          <w:color w:val="auto"/>
          <w:szCs w:val="24"/>
        </w:rPr>
        <w:t xml:space="preserve">ubmitted as separate conditions by </w:t>
      </w:r>
      <w:r w:rsidR="00D20514">
        <w:rPr>
          <w:rFonts w:asciiTheme="minorHAnsi" w:hAnsiTheme="minorHAnsi"/>
          <w:color w:val="auto"/>
          <w:szCs w:val="24"/>
        </w:rPr>
        <w:t xml:space="preserve">the </w:t>
      </w:r>
      <w:r w:rsidR="00BF6116" w:rsidRPr="002038CD">
        <w:rPr>
          <w:rFonts w:asciiTheme="minorHAnsi" w:hAnsiTheme="minorHAnsi"/>
          <w:color w:val="auto"/>
          <w:szCs w:val="24"/>
        </w:rPr>
        <w:t>MEB</w:t>
      </w:r>
      <w:r w:rsidR="00D20514">
        <w:rPr>
          <w:rFonts w:asciiTheme="minorHAnsi" w:hAnsiTheme="minorHAnsi"/>
          <w:color w:val="auto"/>
          <w:szCs w:val="24"/>
        </w:rPr>
        <w:t>,</w:t>
      </w:r>
      <w:r w:rsidR="00BF6116" w:rsidRPr="002038CD">
        <w:rPr>
          <w:rFonts w:asciiTheme="minorHAnsi" w:hAnsiTheme="minorHAnsi"/>
          <w:color w:val="auto"/>
          <w:szCs w:val="24"/>
        </w:rPr>
        <w:t xml:space="preserve"> as per </w:t>
      </w:r>
      <w:r w:rsidR="00D20514">
        <w:rPr>
          <w:rFonts w:asciiTheme="minorHAnsi" w:hAnsiTheme="minorHAnsi"/>
          <w:color w:val="auto"/>
          <w:szCs w:val="24"/>
        </w:rPr>
        <w:t xml:space="preserve">the above </w:t>
      </w:r>
      <w:r w:rsidR="00BF6116" w:rsidRPr="002038CD">
        <w:rPr>
          <w:rFonts w:asciiTheme="minorHAnsi" w:hAnsiTheme="minorHAnsi"/>
          <w:color w:val="auto"/>
          <w:szCs w:val="24"/>
        </w:rPr>
        <w:t>rating chart</w:t>
      </w:r>
      <w:r w:rsidR="00D20514">
        <w:rPr>
          <w:rFonts w:asciiTheme="minorHAnsi" w:hAnsiTheme="minorHAnsi"/>
          <w:color w:val="auto"/>
          <w:szCs w:val="24"/>
        </w:rPr>
        <w:t>,</w:t>
      </w:r>
      <w:r w:rsidR="00BF6116" w:rsidRPr="002038CD">
        <w:rPr>
          <w:rFonts w:asciiTheme="minorHAnsi" w:hAnsiTheme="minorHAnsi"/>
          <w:color w:val="auto"/>
          <w:szCs w:val="24"/>
        </w:rPr>
        <w:t xml:space="preserve"> and basically the psych</w:t>
      </w:r>
      <w:r w:rsidR="00E02747" w:rsidRPr="002038CD">
        <w:rPr>
          <w:rFonts w:asciiTheme="minorHAnsi" w:hAnsiTheme="minorHAnsi"/>
          <w:color w:val="auto"/>
          <w:szCs w:val="24"/>
        </w:rPr>
        <w:t>iatric</w:t>
      </w:r>
      <w:r w:rsidR="00BF6116" w:rsidRPr="002038CD">
        <w:rPr>
          <w:rFonts w:asciiTheme="minorHAnsi" w:hAnsiTheme="minorHAnsi"/>
          <w:color w:val="auto"/>
          <w:szCs w:val="24"/>
        </w:rPr>
        <w:t xml:space="preserve"> components were adjudicated as not unfitting.  There was an S-3 profile prohibiting weapons access (</w:t>
      </w:r>
      <w:r w:rsidR="00D20514">
        <w:rPr>
          <w:rFonts w:asciiTheme="minorHAnsi" w:hAnsiTheme="minorHAnsi"/>
          <w:color w:val="auto"/>
          <w:szCs w:val="24"/>
        </w:rPr>
        <w:t>Infantry MOS</w:t>
      </w:r>
      <w:r w:rsidR="00BF6116" w:rsidRPr="002038CD">
        <w:rPr>
          <w:rFonts w:asciiTheme="minorHAnsi" w:hAnsiTheme="minorHAnsi"/>
          <w:color w:val="auto"/>
          <w:szCs w:val="24"/>
        </w:rPr>
        <w:t xml:space="preserve">), but </w:t>
      </w:r>
      <w:r w:rsidR="00E02747" w:rsidRPr="002038CD">
        <w:rPr>
          <w:rFonts w:asciiTheme="minorHAnsi" w:hAnsiTheme="minorHAnsi"/>
          <w:color w:val="auto"/>
          <w:szCs w:val="24"/>
        </w:rPr>
        <w:t>the Commander’s statement</w:t>
      </w:r>
      <w:r w:rsidR="00BF6116" w:rsidRPr="002038CD">
        <w:rPr>
          <w:rFonts w:asciiTheme="minorHAnsi" w:hAnsiTheme="minorHAnsi"/>
          <w:color w:val="auto"/>
          <w:szCs w:val="24"/>
        </w:rPr>
        <w:t xml:space="preserve"> and all other evidence would not suggest that there was unfitting psychiatric impairment.  </w:t>
      </w:r>
      <w:r w:rsidR="00A8041F" w:rsidRPr="002038CD">
        <w:rPr>
          <w:rFonts w:asciiTheme="minorHAnsi" w:hAnsiTheme="minorHAnsi"/>
          <w:color w:val="auto"/>
          <w:szCs w:val="24"/>
        </w:rPr>
        <w:t>The Board considered whether the psychiatric</w:t>
      </w:r>
      <w:r w:rsidR="00BF6116" w:rsidRPr="002038CD">
        <w:rPr>
          <w:rFonts w:asciiTheme="minorHAnsi" w:hAnsiTheme="minorHAnsi"/>
          <w:color w:val="auto"/>
          <w:szCs w:val="24"/>
        </w:rPr>
        <w:t xml:space="preserve"> symptoms (possibly with a direct clinical tie to TBI, not separate PTSD) were of a magnitude that they interfered with </w:t>
      </w:r>
      <w:r w:rsidR="00A8041F" w:rsidRPr="002038CD">
        <w:rPr>
          <w:rFonts w:asciiTheme="minorHAnsi" w:hAnsiTheme="minorHAnsi"/>
          <w:color w:val="auto"/>
          <w:szCs w:val="24"/>
        </w:rPr>
        <w:t xml:space="preserve">duty </w:t>
      </w:r>
      <w:r w:rsidR="00D20514">
        <w:rPr>
          <w:rFonts w:asciiTheme="minorHAnsi" w:hAnsiTheme="minorHAnsi"/>
          <w:color w:val="auto"/>
          <w:szCs w:val="24"/>
        </w:rPr>
        <w:t>performance.  In other words</w:t>
      </w:r>
      <w:r w:rsidR="00BF6116" w:rsidRPr="002038CD">
        <w:rPr>
          <w:rFonts w:asciiTheme="minorHAnsi" w:hAnsiTheme="minorHAnsi"/>
          <w:color w:val="auto"/>
          <w:szCs w:val="24"/>
        </w:rPr>
        <w:t>, if th</w:t>
      </w:r>
      <w:r w:rsidR="00D20514">
        <w:rPr>
          <w:rFonts w:asciiTheme="minorHAnsi" w:hAnsiTheme="minorHAnsi"/>
          <w:color w:val="auto"/>
          <w:szCs w:val="24"/>
        </w:rPr>
        <w:t>e</w:t>
      </w:r>
      <w:r w:rsidR="00BF6116" w:rsidRPr="002038CD">
        <w:rPr>
          <w:rFonts w:asciiTheme="minorHAnsi" w:hAnsiTheme="minorHAnsi"/>
          <w:color w:val="auto"/>
          <w:szCs w:val="24"/>
        </w:rPr>
        <w:t xml:space="preserve"> CI did not have the concussion related cognitive impairments (</w:t>
      </w:r>
      <w:r w:rsidR="00D20514">
        <w:rPr>
          <w:rFonts w:asciiTheme="minorHAnsi" w:hAnsiTheme="minorHAnsi"/>
          <w:color w:val="auto"/>
          <w:szCs w:val="24"/>
        </w:rPr>
        <w:t>and unfitting</w:t>
      </w:r>
      <w:r w:rsidR="00BF6116" w:rsidRPr="002038CD">
        <w:rPr>
          <w:rFonts w:asciiTheme="minorHAnsi" w:hAnsiTheme="minorHAnsi"/>
          <w:color w:val="auto"/>
          <w:szCs w:val="24"/>
        </w:rPr>
        <w:t xml:space="preserve"> ortho</w:t>
      </w:r>
      <w:r w:rsidR="00D20514">
        <w:rPr>
          <w:rFonts w:asciiTheme="minorHAnsi" w:hAnsiTheme="minorHAnsi"/>
          <w:color w:val="auto"/>
          <w:szCs w:val="24"/>
        </w:rPr>
        <w:t>pedic</w:t>
      </w:r>
      <w:r w:rsidR="00BF6116" w:rsidRPr="002038CD">
        <w:rPr>
          <w:rFonts w:asciiTheme="minorHAnsi" w:hAnsiTheme="minorHAnsi"/>
          <w:color w:val="auto"/>
          <w:szCs w:val="24"/>
        </w:rPr>
        <w:t xml:space="preserve"> conditions), would </w:t>
      </w:r>
      <w:r w:rsidR="00A8041F" w:rsidRPr="002038CD">
        <w:rPr>
          <w:rFonts w:asciiTheme="minorHAnsi" w:hAnsiTheme="minorHAnsi"/>
          <w:color w:val="auto"/>
          <w:szCs w:val="24"/>
        </w:rPr>
        <w:t>he</w:t>
      </w:r>
      <w:r w:rsidR="00BF6116" w:rsidRPr="002038CD">
        <w:rPr>
          <w:rFonts w:asciiTheme="minorHAnsi" w:hAnsiTheme="minorHAnsi"/>
          <w:color w:val="auto"/>
          <w:szCs w:val="24"/>
        </w:rPr>
        <w:t xml:space="preserve"> have be</w:t>
      </w:r>
      <w:r w:rsidR="00A8041F" w:rsidRPr="002038CD">
        <w:rPr>
          <w:rFonts w:asciiTheme="minorHAnsi" w:hAnsiTheme="minorHAnsi"/>
          <w:color w:val="auto"/>
          <w:szCs w:val="24"/>
        </w:rPr>
        <w:t>en separated?</w:t>
      </w:r>
      <w:r w:rsidR="00BF6116" w:rsidRPr="002038CD">
        <w:rPr>
          <w:rFonts w:asciiTheme="minorHAnsi" w:hAnsiTheme="minorHAnsi"/>
          <w:color w:val="auto"/>
          <w:szCs w:val="24"/>
        </w:rPr>
        <w:t xml:space="preserve">  </w:t>
      </w:r>
      <w:r w:rsidR="00A8041F" w:rsidRPr="002038CD">
        <w:rPr>
          <w:rFonts w:asciiTheme="minorHAnsi" w:hAnsiTheme="minorHAnsi"/>
          <w:color w:val="auto"/>
          <w:szCs w:val="24"/>
        </w:rPr>
        <w:t>A coding choice of</w:t>
      </w:r>
      <w:r w:rsidR="00BF6116" w:rsidRPr="002038CD">
        <w:rPr>
          <w:rFonts w:asciiTheme="minorHAnsi" w:hAnsiTheme="minorHAnsi"/>
          <w:color w:val="auto"/>
          <w:szCs w:val="24"/>
        </w:rPr>
        <w:t xml:space="preserve"> TBI (8045) would only achieve a 10% rating </w:t>
      </w:r>
      <w:r w:rsidR="00A8041F" w:rsidRPr="002038CD">
        <w:rPr>
          <w:rFonts w:asciiTheme="minorHAnsi" w:hAnsiTheme="minorHAnsi"/>
          <w:color w:val="auto"/>
          <w:szCs w:val="24"/>
        </w:rPr>
        <w:t>under the VASRD in effect at the time</w:t>
      </w:r>
      <w:r w:rsidR="00BF6116" w:rsidRPr="002038CD">
        <w:rPr>
          <w:rFonts w:asciiTheme="minorHAnsi" w:hAnsiTheme="minorHAnsi"/>
          <w:color w:val="auto"/>
          <w:szCs w:val="24"/>
        </w:rPr>
        <w:t xml:space="preserve">.  </w:t>
      </w:r>
      <w:r w:rsidR="00A8041F" w:rsidRPr="002038CD">
        <w:rPr>
          <w:rFonts w:asciiTheme="minorHAnsi" w:hAnsiTheme="minorHAnsi"/>
          <w:color w:val="auto"/>
          <w:szCs w:val="24"/>
        </w:rPr>
        <w:t>A coding choice of</w:t>
      </w:r>
      <w:r w:rsidR="00BF6116" w:rsidRPr="002038CD">
        <w:rPr>
          <w:rFonts w:asciiTheme="minorHAnsi" w:hAnsiTheme="minorHAnsi"/>
          <w:color w:val="auto"/>
          <w:szCs w:val="24"/>
        </w:rPr>
        <w:t xml:space="preserve"> 9304 (dementia due to head trauma) </w:t>
      </w:r>
      <w:r w:rsidR="00D20514">
        <w:rPr>
          <w:rFonts w:asciiTheme="minorHAnsi" w:hAnsiTheme="minorHAnsi"/>
          <w:color w:val="auto"/>
          <w:szCs w:val="24"/>
        </w:rPr>
        <w:t>must be rated</w:t>
      </w:r>
      <w:r w:rsidR="00BF6116" w:rsidRPr="002038CD">
        <w:rPr>
          <w:rFonts w:asciiTheme="minorHAnsi" w:hAnsiTheme="minorHAnsi"/>
          <w:color w:val="auto"/>
          <w:szCs w:val="24"/>
        </w:rPr>
        <w:t xml:space="preserve"> under the §4.130 </w:t>
      </w:r>
      <w:r w:rsidR="00D20514">
        <w:rPr>
          <w:rFonts w:asciiTheme="minorHAnsi" w:hAnsiTheme="minorHAnsi"/>
          <w:color w:val="auto"/>
          <w:szCs w:val="24"/>
        </w:rPr>
        <w:t xml:space="preserve">general mental </w:t>
      </w:r>
      <w:r w:rsidR="00BF6116" w:rsidRPr="002038CD">
        <w:rPr>
          <w:rFonts w:asciiTheme="minorHAnsi" w:hAnsiTheme="minorHAnsi"/>
          <w:color w:val="auto"/>
          <w:szCs w:val="24"/>
        </w:rPr>
        <w:t xml:space="preserve">formula.  Although the PEB coded 8045-9304, it is not clear if </w:t>
      </w:r>
      <w:r w:rsidR="00A8041F" w:rsidRPr="002038CD">
        <w:rPr>
          <w:rFonts w:asciiTheme="minorHAnsi" w:hAnsiTheme="minorHAnsi"/>
          <w:color w:val="auto"/>
          <w:szCs w:val="24"/>
        </w:rPr>
        <w:t>their rating reflected</w:t>
      </w:r>
      <w:r w:rsidR="00BF6116" w:rsidRPr="002038CD">
        <w:rPr>
          <w:rFonts w:asciiTheme="minorHAnsi" w:hAnsiTheme="minorHAnsi"/>
          <w:color w:val="auto"/>
          <w:szCs w:val="24"/>
        </w:rPr>
        <w:t xml:space="preserve"> 8045 </w:t>
      </w:r>
      <w:r w:rsidR="00A8041F" w:rsidRPr="002038CD">
        <w:rPr>
          <w:rFonts w:asciiTheme="minorHAnsi" w:hAnsiTheme="minorHAnsi"/>
          <w:color w:val="auto"/>
          <w:szCs w:val="24"/>
        </w:rPr>
        <w:t xml:space="preserve">at </w:t>
      </w:r>
      <w:r w:rsidR="00BF6116" w:rsidRPr="002038CD">
        <w:rPr>
          <w:rFonts w:asciiTheme="minorHAnsi" w:hAnsiTheme="minorHAnsi"/>
          <w:color w:val="auto"/>
          <w:szCs w:val="24"/>
        </w:rPr>
        <w:t xml:space="preserve">10% or </w:t>
      </w:r>
      <w:r w:rsidR="00A8041F" w:rsidRPr="002038CD">
        <w:rPr>
          <w:rFonts w:asciiTheme="minorHAnsi" w:hAnsiTheme="minorHAnsi"/>
          <w:color w:val="auto"/>
          <w:szCs w:val="24"/>
        </w:rPr>
        <w:t>application of</w:t>
      </w:r>
      <w:r w:rsidR="00BF6116" w:rsidRPr="002038CD">
        <w:rPr>
          <w:rFonts w:asciiTheme="minorHAnsi" w:hAnsiTheme="minorHAnsi"/>
          <w:color w:val="auto"/>
          <w:szCs w:val="24"/>
        </w:rPr>
        <w:t xml:space="preserve"> </w:t>
      </w:r>
      <w:proofErr w:type="spellStart"/>
      <w:r w:rsidR="00BF6116" w:rsidRPr="002038CD">
        <w:rPr>
          <w:rFonts w:asciiTheme="minorHAnsi" w:hAnsiTheme="minorHAnsi"/>
          <w:color w:val="auto"/>
          <w:szCs w:val="24"/>
        </w:rPr>
        <w:t>DoDI</w:t>
      </w:r>
      <w:proofErr w:type="spellEnd"/>
      <w:r w:rsidR="00BF6116" w:rsidRPr="002038CD">
        <w:rPr>
          <w:rFonts w:asciiTheme="minorHAnsi" w:hAnsiTheme="minorHAnsi"/>
          <w:color w:val="auto"/>
          <w:szCs w:val="24"/>
        </w:rPr>
        <w:t xml:space="preserve"> </w:t>
      </w:r>
      <w:r w:rsidR="00A8041F" w:rsidRPr="002038CD">
        <w:rPr>
          <w:rFonts w:asciiTheme="minorHAnsi" w:hAnsiTheme="minorHAnsi"/>
          <w:color w:val="auto"/>
          <w:szCs w:val="24"/>
        </w:rPr>
        <w:t xml:space="preserve">1332.39 for a </w:t>
      </w:r>
      <w:r w:rsidR="00BF6116" w:rsidRPr="002038CD">
        <w:rPr>
          <w:rFonts w:asciiTheme="minorHAnsi" w:hAnsiTheme="minorHAnsi"/>
          <w:color w:val="auto"/>
          <w:szCs w:val="24"/>
        </w:rPr>
        <w:t xml:space="preserve">10% </w:t>
      </w:r>
      <w:r w:rsidR="00A8041F" w:rsidRPr="002038CD">
        <w:rPr>
          <w:rFonts w:asciiTheme="minorHAnsi" w:hAnsiTheme="minorHAnsi"/>
          <w:color w:val="auto"/>
          <w:szCs w:val="24"/>
        </w:rPr>
        <w:t>rating under</w:t>
      </w:r>
      <w:r w:rsidR="00BF6116" w:rsidRPr="002038CD">
        <w:rPr>
          <w:rFonts w:asciiTheme="minorHAnsi" w:hAnsiTheme="minorHAnsi"/>
          <w:color w:val="auto"/>
          <w:szCs w:val="24"/>
        </w:rPr>
        <w:t xml:space="preserve"> </w:t>
      </w:r>
      <w:r w:rsidR="00A8041F" w:rsidRPr="002038CD">
        <w:rPr>
          <w:rFonts w:asciiTheme="minorHAnsi" w:hAnsiTheme="minorHAnsi"/>
          <w:color w:val="auto"/>
          <w:szCs w:val="24"/>
        </w:rPr>
        <w:t xml:space="preserve">code </w:t>
      </w:r>
      <w:r w:rsidR="00BF6116" w:rsidRPr="002038CD">
        <w:rPr>
          <w:rFonts w:asciiTheme="minorHAnsi" w:hAnsiTheme="minorHAnsi"/>
          <w:color w:val="auto"/>
          <w:szCs w:val="24"/>
        </w:rPr>
        <w:t xml:space="preserve">9304.  </w:t>
      </w:r>
      <w:r w:rsidR="00A8041F" w:rsidRPr="002038CD">
        <w:rPr>
          <w:rFonts w:asciiTheme="minorHAnsi" w:hAnsiTheme="minorHAnsi"/>
          <w:color w:val="auto"/>
          <w:szCs w:val="24"/>
        </w:rPr>
        <w:t>Another</w:t>
      </w:r>
      <w:r w:rsidR="00BF6116" w:rsidRPr="002038CD">
        <w:rPr>
          <w:rFonts w:asciiTheme="minorHAnsi" w:hAnsiTheme="minorHAnsi"/>
          <w:color w:val="auto"/>
          <w:szCs w:val="24"/>
        </w:rPr>
        <w:t xml:space="preserve"> question in this case is whether </w:t>
      </w:r>
      <w:r w:rsidR="00A8041F" w:rsidRPr="002038CD">
        <w:rPr>
          <w:rFonts w:asciiTheme="minorHAnsi" w:hAnsiTheme="minorHAnsi"/>
          <w:color w:val="auto"/>
          <w:szCs w:val="24"/>
        </w:rPr>
        <w:t>the application of</w:t>
      </w:r>
      <w:r w:rsidR="00BF6116" w:rsidRPr="002038CD">
        <w:rPr>
          <w:rFonts w:asciiTheme="minorHAnsi" w:hAnsiTheme="minorHAnsi"/>
          <w:color w:val="auto"/>
          <w:szCs w:val="24"/>
        </w:rPr>
        <w:t xml:space="preserve"> §4.129 </w:t>
      </w:r>
      <w:r w:rsidR="00A8041F" w:rsidRPr="002038CD">
        <w:rPr>
          <w:rFonts w:asciiTheme="minorHAnsi" w:hAnsiTheme="minorHAnsi"/>
          <w:color w:val="auto"/>
          <w:szCs w:val="24"/>
        </w:rPr>
        <w:t xml:space="preserve">is warranted.  The VA combined the </w:t>
      </w:r>
      <w:r w:rsidR="00BF6116" w:rsidRPr="002038CD">
        <w:rPr>
          <w:rFonts w:asciiTheme="minorHAnsi" w:hAnsiTheme="minorHAnsi"/>
          <w:color w:val="auto"/>
          <w:szCs w:val="24"/>
        </w:rPr>
        <w:t>psych</w:t>
      </w:r>
      <w:r w:rsidR="00A8041F" w:rsidRPr="002038CD">
        <w:rPr>
          <w:rFonts w:asciiTheme="minorHAnsi" w:hAnsiTheme="minorHAnsi"/>
          <w:color w:val="auto"/>
          <w:szCs w:val="24"/>
        </w:rPr>
        <w:t>iatric</w:t>
      </w:r>
      <w:r w:rsidR="00BF6116" w:rsidRPr="002038CD">
        <w:rPr>
          <w:rFonts w:asciiTheme="minorHAnsi" w:hAnsiTheme="minorHAnsi"/>
          <w:color w:val="auto"/>
          <w:szCs w:val="24"/>
        </w:rPr>
        <w:t xml:space="preserve"> </w:t>
      </w:r>
      <w:r w:rsidR="00A8041F" w:rsidRPr="002038CD">
        <w:rPr>
          <w:rFonts w:asciiTheme="minorHAnsi" w:hAnsiTheme="minorHAnsi"/>
          <w:color w:val="auto"/>
          <w:szCs w:val="24"/>
        </w:rPr>
        <w:t>and</w:t>
      </w:r>
      <w:r w:rsidR="00BF6116" w:rsidRPr="002038CD">
        <w:rPr>
          <w:rFonts w:asciiTheme="minorHAnsi" w:hAnsiTheme="minorHAnsi"/>
          <w:color w:val="auto"/>
          <w:szCs w:val="24"/>
        </w:rPr>
        <w:t xml:space="preserve"> TBI cognitive </w:t>
      </w:r>
      <w:r w:rsidR="00A8041F" w:rsidRPr="002038CD">
        <w:rPr>
          <w:rFonts w:asciiTheme="minorHAnsi" w:hAnsiTheme="minorHAnsi"/>
          <w:color w:val="auto"/>
          <w:szCs w:val="24"/>
        </w:rPr>
        <w:t xml:space="preserve">symptoms </w:t>
      </w:r>
      <w:r w:rsidR="00BF6116" w:rsidRPr="002038CD">
        <w:rPr>
          <w:rFonts w:asciiTheme="minorHAnsi" w:hAnsiTheme="minorHAnsi"/>
          <w:color w:val="auto"/>
          <w:szCs w:val="24"/>
        </w:rPr>
        <w:t xml:space="preserve">and based the </w:t>
      </w:r>
      <w:r w:rsidR="002038CD" w:rsidRPr="002038CD">
        <w:rPr>
          <w:rFonts w:asciiTheme="minorHAnsi" w:hAnsiTheme="minorHAnsi"/>
          <w:color w:val="auto"/>
          <w:szCs w:val="24"/>
        </w:rPr>
        <w:t>separation</w:t>
      </w:r>
      <w:r w:rsidR="00BF6116" w:rsidRPr="002038CD">
        <w:rPr>
          <w:rFonts w:asciiTheme="minorHAnsi" w:hAnsiTheme="minorHAnsi"/>
          <w:color w:val="auto"/>
          <w:szCs w:val="24"/>
        </w:rPr>
        <w:t xml:space="preserve"> rating on </w:t>
      </w:r>
      <w:r w:rsidR="002038CD" w:rsidRPr="002038CD">
        <w:rPr>
          <w:rFonts w:asciiTheme="minorHAnsi" w:hAnsiTheme="minorHAnsi"/>
          <w:color w:val="auto"/>
          <w:szCs w:val="24"/>
        </w:rPr>
        <w:t>§4.129, with a later examination and rating per</w:t>
      </w:r>
      <w:r w:rsidR="00BF6116" w:rsidRPr="002038CD">
        <w:rPr>
          <w:rFonts w:asciiTheme="minorHAnsi" w:hAnsiTheme="minorHAnsi"/>
          <w:color w:val="auto"/>
          <w:szCs w:val="24"/>
        </w:rPr>
        <w:t xml:space="preserve"> §4.130.  </w:t>
      </w:r>
      <w:r w:rsidR="002038CD" w:rsidRPr="002038CD">
        <w:rPr>
          <w:rFonts w:asciiTheme="minorHAnsi" w:hAnsiTheme="minorHAnsi"/>
          <w:color w:val="auto"/>
          <w:szCs w:val="24"/>
        </w:rPr>
        <w:t>The Board considered and debated three possible approaches</w:t>
      </w:r>
      <w:r w:rsidR="00BF6116" w:rsidRPr="002038CD">
        <w:rPr>
          <w:rFonts w:asciiTheme="minorHAnsi" w:hAnsiTheme="minorHAnsi"/>
          <w:color w:val="auto"/>
          <w:szCs w:val="24"/>
        </w:rPr>
        <w:t xml:space="preserve">: 1) </w:t>
      </w:r>
      <w:r w:rsidR="00873E53" w:rsidRPr="002038CD">
        <w:rPr>
          <w:rFonts w:asciiTheme="minorHAnsi" w:hAnsiTheme="minorHAnsi"/>
          <w:color w:val="auto"/>
          <w:szCs w:val="24"/>
        </w:rPr>
        <w:t>an</w:t>
      </w:r>
      <w:r w:rsidR="00D20514">
        <w:rPr>
          <w:rFonts w:asciiTheme="minorHAnsi" w:hAnsiTheme="minorHAnsi"/>
          <w:color w:val="auto"/>
          <w:szCs w:val="24"/>
        </w:rPr>
        <w:t xml:space="preserve"> assigned</w:t>
      </w:r>
      <w:r w:rsidR="00BF6116" w:rsidRPr="002038CD">
        <w:rPr>
          <w:rFonts w:asciiTheme="minorHAnsi" w:hAnsiTheme="minorHAnsi"/>
          <w:color w:val="auto"/>
          <w:szCs w:val="24"/>
        </w:rPr>
        <w:t xml:space="preserve"> </w:t>
      </w:r>
      <w:r w:rsidR="00D20514" w:rsidRPr="002038CD">
        <w:rPr>
          <w:rFonts w:asciiTheme="minorHAnsi" w:hAnsiTheme="minorHAnsi"/>
          <w:color w:val="auto"/>
          <w:szCs w:val="24"/>
        </w:rPr>
        <w:t xml:space="preserve">code </w:t>
      </w:r>
      <w:r w:rsidR="00D20514">
        <w:rPr>
          <w:rFonts w:asciiTheme="minorHAnsi" w:hAnsiTheme="minorHAnsi"/>
          <w:color w:val="auto"/>
          <w:szCs w:val="24"/>
        </w:rPr>
        <w:t xml:space="preserve">of </w:t>
      </w:r>
      <w:r w:rsidR="00BF6116" w:rsidRPr="002038CD">
        <w:rPr>
          <w:rFonts w:asciiTheme="minorHAnsi" w:hAnsiTheme="minorHAnsi"/>
          <w:color w:val="auto"/>
          <w:szCs w:val="24"/>
        </w:rPr>
        <w:t>8045</w:t>
      </w:r>
      <w:r w:rsidR="002038CD" w:rsidRPr="002038CD">
        <w:rPr>
          <w:rFonts w:asciiTheme="minorHAnsi" w:hAnsiTheme="minorHAnsi"/>
          <w:color w:val="auto"/>
          <w:szCs w:val="24"/>
        </w:rPr>
        <w:t xml:space="preserve"> </w:t>
      </w:r>
      <w:r w:rsidR="00D20514">
        <w:rPr>
          <w:rFonts w:asciiTheme="minorHAnsi" w:hAnsiTheme="minorHAnsi"/>
          <w:color w:val="auto"/>
          <w:szCs w:val="24"/>
        </w:rPr>
        <w:t>with the requisite</w:t>
      </w:r>
      <w:r w:rsidR="00D20514" w:rsidRPr="002038CD">
        <w:rPr>
          <w:rFonts w:asciiTheme="minorHAnsi" w:hAnsiTheme="minorHAnsi"/>
          <w:color w:val="auto"/>
          <w:szCs w:val="24"/>
        </w:rPr>
        <w:t xml:space="preserve"> </w:t>
      </w:r>
      <w:r w:rsidR="00BF6116" w:rsidRPr="002038CD">
        <w:rPr>
          <w:rFonts w:asciiTheme="minorHAnsi" w:hAnsiTheme="minorHAnsi"/>
          <w:color w:val="auto"/>
          <w:szCs w:val="24"/>
        </w:rPr>
        <w:t>10% rating (basically a non-</w:t>
      </w:r>
      <w:proofErr w:type="spellStart"/>
      <w:r w:rsidR="00BF6116" w:rsidRPr="002038CD">
        <w:rPr>
          <w:rFonts w:asciiTheme="minorHAnsi" w:hAnsiTheme="minorHAnsi"/>
          <w:color w:val="auto"/>
          <w:szCs w:val="24"/>
        </w:rPr>
        <w:t>recha</w:t>
      </w:r>
      <w:r w:rsidR="002038CD" w:rsidRPr="002038CD">
        <w:rPr>
          <w:rFonts w:asciiTheme="minorHAnsi" w:hAnsiTheme="minorHAnsi"/>
          <w:color w:val="auto"/>
          <w:szCs w:val="24"/>
        </w:rPr>
        <w:t>racterization</w:t>
      </w:r>
      <w:proofErr w:type="spellEnd"/>
      <w:r w:rsidR="002038CD" w:rsidRPr="002038CD">
        <w:rPr>
          <w:rFonts w:asciiTheme="minorHAnsi" w:hAnsiTheme="minorHAnsi"/>
          <w:color w:val="auto"/>
          <w:szCs w:val="24"/>
        </w:rPr>
        <w:t xml:space="preserve"> of the PEB’s decision</w:t>
      </w:r>
      <w:r w:rsidR="00BF6116" w:rsidRPr="002038CD">
        <w:rPr>
          <w:rFonts w:asciiTheme="minorHAnsi" w:hAnsiTheme="minorHAnsi"/>
          <w:color w:val="auto"/>
          <w:szCs w:val="24"/>
        </w:rPr>
        <w:t xml:space="preserve"> for this condition).  That is a</w:t>
      </w:r>
      <w:r w:rsidR="002038CD" w:rsidRPr="002038CD">
        <w:rPr>
          <w:rFonts w:asciiTheme="minorHAnsi" w:hAnsiTheme="minorHAnsi"/>
          <w:color w:val="auto"/>
          <w:szCs w:val="24"/>
        </w:rPr>
        <w:t>rguably a</w:t>
      </w:r>
      <w:r w:rsidR="00BF6116" w:rsidRPr="002038CD">
        <w:rPr>
          <w:rFonts w:asciiTheme="minorHAnsi" w:hAnsiTheme="minorHAnsi"/>
          <w:color w:val="auto"/>
          <w:szCs w:val="24"/>
        </w:rPr>
        <w:t xml:space="preserve"> somewhat </w:t>
      </w:r>
      <w:r w:rsidR="00C9474B">
        <w:rPr>
          <w:rFonts w:asciiTheme="minorHAnsi" w:hAnsiTheme="minorHAnsi"/>
          <w:color w:val="auto"/>
          <w:szCs w:val="24"/>
        </w:rPr>
        <w:t>meager</w:t>
      </w:r>
      <w:r w:rsidR="00C9474B" w:rsidRPr="002038CD">
        <w:rPr>
          <w:rFonts w:asciiTheme="minorHAnsi" w:hAnsiTheme="minorHAnsi"/>
          <w:color w:val="auto"/>
          <w:szCs w:val="24"/>
        </w:rPr>
        <w:t xml:space="preserve"> </w:t>
      </w:r>
      <w:r w:rsidR="00BF6116" w:rsidRPr="002038CD">
        <w:rPr>
          <w:rFonts w:asciiTheme="minorHAnsi" w:hAnsiTheme="minorHAnsi"/>
          <w:color w:val="auto"/>
          <w:szCs w:val="24"/>
        </w:rPr>
        <w:t xml:space="preserve">rating for the true disability, but for </w:t>
      </w:r>
      <w:r w:rsidR="002038CD" w:rsidRPr="002038CD">
        <w:rPr>
          <w:rFonts w:asciiTheme="minorHAnsi" w:hAnsiTheme="minorHAnsi"/>
          <w:color w:val="auto"/>
          <w:szCs w:val="24"/>
        </w:rPr>
        <w:t>a “</w:t>
      </w:r>
      <w:r w:rsidR="00BF6116" w:rsidRPr="002038CD">
        <w:rPr>
          <w:rFonts w:asciiTheme="minorHAnsi" w:hAnsiTheme="minorHAnsi"/>
          <w:color w:val="auto"/>
          <w:szCs w:val="24"/>
        </w:rPr>
        <w:t>cognitive-only</w:t>
      </w:r>
      <w:r w:rsidR="002038CD" w:rsidRPr="002038CD">
        <w:rPr>
          <w:rFonts w:asciiTheme="minorHAnsi" w:hAnsiTheme="minorHAnsi"/>
          <w:color w:val="auto"/>
          <w:szCs w:val="24"/>
        </w:rPr>
        <w:t>”</w:t>
      </w:r>
      <w:r w:rsidR="00BF6116" w:rsidRPr="002038CD">
        <w:rPr>
          <w:rFonts w:asciiTheme="minorHAnsi" w:hAnsiTheme="minorHAnsi"/>
          <w:color w:val="auto"/>
          <w:szCs w:val="24"/>
        </w:rPr>
        <w:t xml:space="preserve"> unfit</w:t>
      </w:r>
      <w:r w:rsidR="002038CD" w:rsidRPr="002038CD">
        <w:rPr>
          <w:rFonts w:asciiTheme="minorHAnsi" w:hAnsiTheme="minorHAnsi"/>
          <w:color w:val="auto"/>
          <w:szCs w:val="24"/>
        </w:rPr>
        <w:t>ting condition</w:t>
      </w:r>
      <w:r w:rsidR="00BF6116" w:rsidRPr="002038CD">
        <w:rPr>
          <w:rFonts w:asciiTheme="minorHAnsi" w:hAnsiTheme="minorHAnsi"/>
          <w:color w:val="auto"/>
          <w:szCs w:val="24"/>
        </w:rPr>
        <w:t xml:space="preserve"> this is the </w:t>
      </w:r>
      <w:r w:rsidR="00C9474B">
        <w:rPr>
          <w:rFonts w:asciiTheme="minorHAnsi" w:hAnsiTheme="minorHAnsi"/>
          <w:color w:val="auto"/>
          <w:szCs w:val="24"/>
        </w:rPr>
        <w:t>only achievable</w:t>
      </w:r>
      <w:r w:rsidR="00BF6116" w:rsidRPr="002038CD">
        <w:rPr>
          <w:rFonts w:asciiTheme="minorHAnsi" w:hAnsiTheme="minorHAnsi"/>
          <w:color w:val="auto"/>
          <w:szCs w:val="24"/>
        </w:rPr>
        <w:t xml:space="preserve"> </w:t>
      </w:r>
      <w:r w:rsidR="00C9474B" w:rsidRPr="002038CD">
        <w:rPr>
          <w:rFonts w:asciiTheme="minorHAnsi" w:hAnsiTheme="minorHAnsi"/>
          <w:color w:val="auto"/>
          <w:szCs w:val="24"/>
        </w:rPr>
        <w:t xml:space="preserve">rating </w:t>
      </w:r>
      <w:r w:rsidR="00C9474B">
        <w:rPr>
          <w:rFonts w:asciiTheme="minorHAnsi" w:hAnsiTheme="minorHAnsi"/>
          <w:color w:val="auto"/>
          <w:szCs w:val="24"/>
        </w:rPr>
        <w:t xml:space="preserve">IAW the </w:t>
      </w:r>
      <w:r w:rsidR="00BF6116" w:rsidRPr="002038CD">
        <w:rPr>
          <w:rFonts w:asciiTheme="minorHAnsi" w:hAnsiTheme="minorHAnsi"/>
          <w:color w:val="auto"/>
          <w:szCs w:val="24"/>
        </w:rPr>
        <w:lastRenderedPageBreak/>
        <w:t>VASRD</w:t>
      </w:r>
      <w:r w:rsidR="00C9474B">
        <w:rPr>
          <w:rFonts w:asciiTheme="minorHAnsi" w:hAnsiTheme="minorHAnsi"/>
          <w:color w:val="auto"/>
          <w:szCs w:val="24"/>
        </w:rPr>
        <w:t xml:space="preserve"> in effect</w:t>
      </w:r>
      <w:r w:rsidR="00873E53">
        <w:rPr>
          <w:rFonts w:asciiTheme="minorHAnsi" w:hAnsiTheme="minorHAnsi"/>
          <w:color w:val="auto"/>
          <w:szCs w:val="24"/>
        </w:rPr>
        <w:t>; 2) c</w:t>
      </w:r>
      <w:r w:rsidR="00BF6116" w:rsidRPr="002038CD">
        <w:rPr>
          <w:rFonts w:asciiTheme="minorHAnsi" w:hAnsiTheme="minorHAnsi"/>
          <w:color w:val="auto"/>
          <w:szCs w:val="24"/>
        </w:rPr>
        <w:t xml:space="preserve">oncede </w:t>
      </w:r>
      <w:r w:rsidR="002038CD" w:rsidRPr="002038CD">
        <w:rPr>
          <w:rFonts w:asciiTheme="minorHAnsi" w:hAnsiTheme="minorHAnsi"/>
          <w:color w:val="auto"/>
          <w:szCs w:val="24"/>
        </w:rPr>
        <w:t xml:space="preserve">the application of </w:t>
      </w:r>
      <w:r w:rsidR="00C9474B">
        <w:rPr>
          <w:rFonts w:asciiTheme="minorHAnsi" w:hAnsiTheme="minorHAnsi"/>
          <w:color w:val="auto"/>
          <w:szCs w:val="24"/>
        </w:rPr>
        <w:t>§4.129 despite the absence of a</w:t>
      </w:r>
      <w:r w:rsidR="002038CD" w:rsidRPr="002038CD">
        <w:rPr>
          <w:rFonts w:asciiTheme="minorHAnsi" w:hAnsiTheme="minorHAnsi"/>
          <w:color w:val="auto"/>
          <w:szCs w:val="24"/>
        </w:rPr>
        <w:t xml:space="preserve"> </w:t>
      </w:r>
      <w:r w:rsidR="00C9474B">
        <w:rPr>
          <w:rFonts w:asciiTheme="minorHAnsi" w:hAnsiTheme="minorHAnsi"/>
          <w:color w:val="auto"/>
          <w:szCs w:val="24"/>
        </w:rPr>
        <w:t>defensibly</w:t>
      </w:r>
      <w:r w:rsidR="002038CD" w:rsidRPr="002038CD">
        <w:rPr>
          <w:rFonts w:asciiTheme="minorHAnsi" w:hAnsiTheme="minorHAnsi"/>
          <w:color w:val="auto"/>
          <w:szCs w:val="24"/>
        </w:rPr>
        <w:t xml:space="preserve"> unfitting </w:t>
      </w:r>
      <w:r w:rsidR="002038CD" w:rsidRPr="00727FDC">
        <w:rPr>
          <w:rFonts w:asciiTheme="minorHAnsi" w:hAnsiTheme="minorHAnsi"/>
          <w:color w:val="auto"/>
          <w:szCs w:val="24"/>
        </w:rPr>
        <w:t>psychiatric condition</w:t>
      </w:r>
      <w:r w:rsidR="00873E53">
        <w:rPr>
          <w:rFonts w:asciiTheme="minorHAnsi" w:hAnsiTheme="minorHAnsi"/>
          <w:color w:val="auto"/>
          <w:szCs w:val="24"/>
        </w:rPr>
        <w:t>; and 3) a</w:t>
      </w:r>
      <w:r w:rsidR="00BF6116" w:rsidRPr="00727FDC">
        <w:rPr>
          <w:rFonts w:asciiTheme="minorHAnsi" w:hAnsiTheme="minorHAnsi"/>
          <w:color w:val="auto"/>
          <w:szCs w:val="24"/>
        </w:rPr>
        <w:t xml:space="preserve">pply the 9034-derived </w:t>
      </w:r>
      <w:r w:rsidR="002038CD" w:rsidRPr="00727FDC">
        <w:rPr>
          <w:rFonts w:asciiTheme="minorHAnsi" w:hAnsiTheme="minorHAnsi"/>
          <w:color w:val="auto"/>
          <w:szCs w:val="24"/>
        </w:rPr>
        <w:t>§4</w:t>
      </w:r>
      <w:r w:rsidR="00BF6116" w:rsidRPr="00727FDC">
        <w:rPr>
          <w:rFonts w:asciiTheme="minorHAnsi" w:hAnsiTheme="minorHAnsi"/>
          <w:color w:val="auto"/>
          <w:szCs w:val="24"/>
        </w:rPr>
        <w:t xml:space="preserve">.130 scale to achieve a fairer rating, but </w:t>
      </w:r>
      <w:r w:rsidR="001435D2">
        <w:rPr>
          <w:rFonts w:asciiTheme="minorHAnsi" w:hAnsiTheme="minorHAnsi"/>
          <w:color w:val="auto"/>
          <w:szCs w:val="24"/>
        </w:rPr>
        <w:t>defer application of</w:t>
      </w:r>
      <w:r w:rsidR="00BF6116" w:rsidRPr="00727FDC">
        <w:rPr>
          <w:rFonts w:asciiTheme="minorHAnsi" w:hAnsiTheme="minorHAnsi"/>
          <w:color w:val="auto"/>
          <w:szCs w:val="24"/>
        </w:rPr>
        <w:t xml:space="preserve"> </w:t>
      </w:r>
      <w:r w:rsidR="002038CD" w:rsidRPr="00727FDC">
        <w:rPr>
          <w:rFonts w:asciiTheme="minorHAnsi" w:hAnsiTheme="minorHAnsi"/>
          <w:color w:val="auto"/>
          <w:szCs w:val="24"/>
        </w:rPr>
        <w:t>§4</w:t>
      </w:r>
      <w:r w:rsidR="00BF6116" w:rsidRPr="00727FDC">
        <w:rPr>
          <w:rFonts w:asciiTheme="minorHAnsi" w:hAnsiTheme="minorHAnsi"/>
          <w:color w:val="auto"/>
          <w:szCs w:val="24"/>
        </w:rPr>
        <w:t>.129.  Th</w:t>
      </w:r>
      <w:r w:rsidR="002038CD" w:rsidRPr="00727FDC">
        <w:rPr>
          <w:rFonts w:asciiTheme="minorHAnsi" w:hAnsiTheme="minorHAnsi"/>
          <w:color w:val="auto"/>
          <w:szCs w:val="24"/>
        </w:rPr>
        <w:t>is i</w:t>
      </w:r>
      <w:r w:rsidR="00BF6116" w:rsidRPr="00727FDC">
        <w:rPr>
          <w:rFonts w:asciiTheme="minorHAnsi" w:hAnsiTheme="minorHAnsi"/>
          <w:color w:val="auto"/>
          <w:szCs w:val="24"/>
        </w:rPr>
        <w:t xml:space="preserve">s </w:t>
      </w:r>
      <w:r w:rsidR="002038CD" w:rsidRPr="00727FDC">
        <w:rPr>
          <w:rFonts w:asciiTheme="minorHAnsi" w:hAnsiTheme="minorHAnsi"/>
          <w:color w:val="auto"/>
          <w:szCs w:val="24"/>
        </w:rPr>
        <w:t xml:space="preserve">a </w:t>
      </w:r>
      <w:r w:rsidR="00BF6116" w:rsidRPr="00727FDC">
        <w:rPr>
          <w:rFonts w:asciiTheme="minorHAnsi" w:hAnsiTheme="minorHAnsi"/>
          <w:color w:val="auto"/>
          <w:szCs w:val="24"/>
        </w:rPr>
        <w:t>legit</w:t>
      </w:r>
      <w:r w:rsidR="002038CD" w:rsidRPr="00727FDC">
        <w:rPr>
          <w:rFonts w:asciiTheme="minorHAnsi" w:hAnsiTheme="minorHAnsi"/>
          <w:color w:val="auto"/>
          <w:szCs w:val="24"/>
        </w:rPr>
        <w:t>imate approach</w:t>
      </w:r>
      <w:r w:rsidR="00BF6116" w:rsidRPr="00727FDC">
        <w:rPr>
          <w:rFonts w:asciiTheme="minorHAnsi" w:hAnsiTheme="minorHAnsi"/>
          <w:color w:val="auto"/>
          <w:szCs w:val="24"/>
        </w:rPr>
        <w:t xml:space="preserve"> because </w:t>
      </w:r>
      <w:r w:rsidR="002038CD" w:rsidRPr="00727FDC">
        <w:rPr>
          <w:rFonts w:asciiTheme="minorHAnsi" w:hAnsiTheme="minorHAnsi"/>
          <w:color w:val="auto"/>
          <w:szCs w:val="24"/>
        </w:rPr>
        <w:t>absent</w:t>
      </w:r>
      <w:r w:rsidR="00BF6116" w:rsidRPr="00727FDC">
        <w:rPr>
          <w:rFonts w:asciiTheme="minorHAnsi" w:hAnsiTheme="minorHAnsi"/>
          <w:color w:val="auto"/>
          <w:szCs w:val="24"/>
        </w:rPr>
        <w:t xml:space="preserve"> the p</w:t>
      </w:r>
      <w:r w:rsidR="002038CD" w:rsidRPr="00727FDC">
        <w:rPr>
          <w:rFonts w:asciiTheme="minorHAnsi" w:hAnsiTheme="minorHAnsi"/>
          <w:color w:val="auto"/>
          <w:szCs w:val="24"/>
        </w:rPr>
        <w:t>sychiatric cause for separation</w:t>
      </w:r>
      <w:r w:rsidR="00BF6116" w:rsidRPr="00727FDC">
        <w:rPr>
          <w:rFonts w:asciiTheme="minorHAnsi" w:hAnsiTheme="minorHAnsi"/>
          <w:color w:val="auto"/>
          <w:szCs w:val="24"/>
        </w:rPr>
        <w:t xml:space="preserve"> </w:t>
      </w:r>
      <w:r w:rsidR="002038CD" w:rsidRPr="00727FDC">
        <w:rPr>
          <w:rFonts w:asciiTheme="minorHAnsi" w:hAnsiTheme="minorHAnsi"/>
          <w:color w:val="auto"/>
          <w:szCs w:val="24"/>
        </w:rPr>
        <w:t>there is no</w:t>
      </w:r>
      <w:r w:rsidR="00BF6116" w:rsidRPr="00727FDC">
        <w:rPr>
          <w:rFonts w:asciiTheme="minorHAnsi" w:hAnsiTheme="minorHAnsi"/>
          <w:color w:val="auto"/>
          <w:szCs w:val="24"/>
        </w:rPr>
        <w:t xml:space="preserve"> applicability of </w:t>
      </w:r>
      <w:r w:rsidR="002038CD" w:rsidRPr="00727FDC">
        <w:rPr>
          <w:rFonts w:asciiTheme="minorHAnsi" w:hAnsiTheme="minorHAnsi"/>
          <w:color w:val="auto"/>
          <w:szCs w:val="24"/>
        </w:rPr>
        <w:t>§4.129.</w:t>
      </w:r>
      <w:r w:rsidR="0075703A" w:rsidRPr="00727FDC">
        <w:rPr>
          <w:rFonts w:asciiTheme="minorHAnsi" w:hAnsiTheme="minorHAnsi"/>
          <w:color w:val="auto"/>
          <w:szCs w:val="24"/>
        </w:rPr>
        <w:t xml:space="preserve">  </w:t>
      </w:r>
      <w:r w:rsidR="00FC1C70" w:rsidRPr="00727FDC">
        <w:rPr>
          <w:rFonts w:asciiTheme="minorHAnsi" w:hAnsiTheme="minorHAnsi"/>
          <w:color w:val="auto"/>
          <w:szCs w:val="24"/>
        </w:rPr>
        <w:t>After a lengthy discussion of the advantages and drawbacks of each of the above approaches</w:t>
      </w:r>
      <w:r w:rsidR="00873E53">
        <w:rPr>
          <w:rFonts w:asciiTheme="minorHAnsi" w:hAnsiTheme="minorHAnsi"/>
          <w:color w:val="auto"/>
          <w:szCs w:val="24"/>
        </w:rPr>
        <w:t>; (</w:t>
      </w:r>
      <w:r w:rsidR="00FC1C70" w:rsidRPr="00727FDC">
        <w:rPr>
          <w:rFonts w:asciiTheme="minorHAnsi" w:hAnsiTheme="minorHAnsi"/>
          <w:color w:val="auto"/>
          <w:szCs w:val="24"/>
        </w:rPr>
        <w:t>mindful of</w:t>
      </w:r>
      <w:r w:rsidR="001435D2">
        <w:rPr>
          <w:rFonts w:asciiTheme="minorHAnsi" w:hAnsiTheme="minorHAnsi"/>
          <w:color w:val="auto"/>
          <w:szCs w:val="24"/>
        </w:rPr>
        <w:t xml:space="preserve">: </w:t>
      </w:r>
      <w:r w:rsidR="00B83D52" w:rsidRPr="00727FDC">
        <w:rPr>
          <w:rFonts w:asciiTheme="minorHAnsi" w:hAnsiTheme="minorHAnsi"/>
          <w:color w:val="auto"/>
          <w:szCs w:val="24"/>
        </w:rPr>
        <w:t>the legit</w:t>
      </w:r>
      <w:r w:rsidR="001435D2">
        <w:rPr>
          <w:rFonts w:asciiTheme="minorHAnsi" w:hAnsiTheme="minorHAnsi"/>
          <w:color w:val="auto"/>
          <w:szCs w:val="24"/>
        </w:rPr>
        <w:t xml:space="preserve">imacy of the PEB’s approach, </w:t>
      </w:r>
      <w:r w:rsidR="00B83D52" w:rsidRPr="00727FDC">
        <w:rPr>
          <w:rFonts w:asciiTheme="minorHAnsi" w:hAnsiTheme="minorHAnsi"/>
          <w:color w:val="auto"/>
          <w:szCs w:val="24"/>
        </w:rPr>
        <w:t>the absence of evidence that the psychiatric component of the CI’s conditio</w:t>
      </w:r>
      <w:r w:rsidR="001435D2">
        <w:rPr>
          <w:rFonts w:asciiTheme="minorHAnsi" w:hAnsiTheme="minorHAnsi"/>
          <w:color w:val="auto"/>
          <w:szCs w:val="24"/>
        </w:rPr>
        <w:t xml:space="preserve">n impacted duty performance, </w:t>
      </w:r>
      <w:r w:rsidR="00B83D52" w:rsidRPr="00727FDC">
        <w:rPr>
          <w:rFonts w:asciiTheme="minorHAnsi" w:hAnsiTheme="minorHAnsi"/>
          <w:color w:val="auto"/>
          <w:szCs w:val="24"/>
        </w:rPr>
        <w:t>VASRD §4.3 (reasonable doubt), and</w:t>
      </w:r>
      <w:r w:rsidR="009C0E18" w:rsidRPr="00727FDC">
        <w:rPr>
          <w:rFonts w:asciiTheme="minorHAnsi" w:hAnsiTheme="minorHAnsi"/>
          <w:color w:val="auto"/>
          <w:szCs w:val="24"/>
        </w:rPr>
        <w:t xml:space="preserve"> </w:t>
      </w:r>
      <w:r w:rsidR="00B83D52" w:rsidRPr="00727FDC">
        <w:rPr>
          <w:rFonts w:asciiTheme="minorHAnsi" w:hAnsiTheme="minorHAnsi"/>
          <w:color w:val="auto"/>
          <w:szCs w:val="24"/>
        </w:rPr>
        <w:t>VASRD §4.7 (higher of two evaluations)</w:t>
      </w:r>
      <w:r w:rsidR="001435D2">
        <w:rPr>
          <w:rFonts w:asciiTheme="minorHAnsi" w:hAnsiTheme="minorHAnsi"/>
          <w:color w:val="auto"/>
          <w:szCs w:val="24"/>
        </w:rPr>
        <w:t>;</w:t>
      </w:r>
      <w:r w:rsidR="009C0E18" w:rsidRPr="00727FDC">
        <w:rPr>
          <w:rFonts w:asciiTheme="minorHAnsi" w:hAnsiTheme="minorHAnsi"/>
          <w:color w:val="auto"/>
          <w:szCs w:val="24"/>
        </w:rPr>
        <w:t xml:space="preserve"> the Board </w:t>
      </w:r>
      <w:r w:rsidR="001435D2">
        <w:rPr>
          <w:rFonts w:asciiTheme="minorHAnsi" w:hAnsiTheme="minorHAnsi"/>
          <w:color w:val="auto"/>
          <w:szCs w:val="24"/>
        </w:rPr>
        <w:t>determined that</w:t>
      </w:r>
      <w:r w:rsidR="009C0E18" w:rsidRPr="00727FDC">
        <w:rPr>
          <w:rFonts w:asciiTheme="minorHAnsi" w:hAnsiTheme="minorHAnsi"/>
          <w:color w:val="auto"/>
          <w:szCs w:val="24"/>
        </w:rPr>
        <w:t xml:space="preserve"> </w:t>
      </w:r>
      <w:r w:rsidR="001435D2" w:rsidRPr="00727FDC">
        <w:rPr>
          <w:rFonts w:asciiTheme="minorHAnsi" w:hAnsiTheme="minorHAnsi"/>
          <w:color w:val="auto"/>
          <w:szCs w:val="24"/>
        </w:rPr>
        <w:t xml:space="preserve">the most fair and just rating approach </w:t>
      </w:r>
      <w:r w:rsidR="001435D2">
        <w:rPr>
          <w:rFonts w:asciiTheme="minorHAnsi" w:hAnsiTheme="minorHAnsi"/>
          <w:color w:val="auto"/>
          <w:szCs w:val="24"/>
        </w:rPr>
        <w:t xml:space="preserve">was the third </w:t>
      </w:r>
      <w:r w:rsidR="009C0E18" w:rsidRPr="00727FDC">
        <w:rPr>
          <w:rFonts w:asciiTheme="minorHAnsi" w:hAnsiTheme="minorHAnsi"/>
          <w:color w:val="auto"/>
          <w:szCs w:val="24"/>
        </w:rPr>
        <w:t xml:space="preserve">option </w:t>
      </w:r>
      <w:r w:rsidR="001435D2">
        <w:rPr>
          <w:rFonts w:asciiTheme="minorHAnsi" w:hAnsiTheme="minorHAnsi"/>
          <w:color w:val="auto"/>
          <w:szCs w:val="24"/>
        </w:rPr>
        <w:t>above -</w:t>
      </w:r>
      <w:r w:rsidR="009C0E18" w:rsidRPr="00727FDC">
        <w:rPr>
          <w:rFonts w:asciiTheme="minorHAnsi" w:hAnsiTheme="minorHAnsi"/>
          <w:color w:val="auto"/>
          <w:szCs w:val="24"/>
        </w:rPr>
        <w:t xml:space="preserve"> TBI rated analogously to dementia</w:t>
      </w:r>
      <w:r w:rsidR="001435D2">
        <w:rPr>
          <w:rFonts w:asciiTheme="minorHAnsi" w:hAnsiTheme="minorHAnsi"/>
          <w:color w:val="auto"/>
          <w:szCs w:val="24"/>
        </w:rPr>
        <w:t xml:space="preserve"> (8045-9304) without the stipulation of </w:t>
      </w:r>
      <w:r w:rsidR="001435D2" w:rsidRPr="00727FDC">
        <w:rPr>
          <w:rFonts w:asciiTheme="minorHAnsi" w:hAnsiTheme="minorHAnsi"/>
          <w:color w:val="auto"/>
          <w:szCs w:val="24"/>
        </w:rPr>
        <w:t>§4.129</w:t>
      </w:r>
      <w:r w:rsidR="001435D2">
        <w:rPr>
          <w:rFonts w:asciiTheme="minorHAnsi" w:hAnsiTheme="minorHAnsi"/>
          <w:color w:val="auto"/>
          <w:szCs w:val="24"/>
        </w:rPr>
        <w:t>.</w:t>
      </w:r>
    </w:p>
    <w:p w:rsidR="002038CD" w:rsidRPr="002038CD" w:rsidRDefault="002038CD" w:rsidP="00777463">
      <w:pPr>
        <w:tabs>
          <w:tab w:val="left" w:pos="288"/>
          <w:tab w:val="left" w:pos="4752"/>
        </w:tabs>
        <w:spacing w:line="240" w:lineRule="exact"/>
        <w:jc w:val="both"/>
        <w:rPr>
          <w:rFonts w:asciiTheme="minorHAnsi" w:hAnsiTheme="minorHAnsi"/>
          <w:color w:val="auto"/>
          <w:szCs w:val="24"/>
        </w:rPr>
      </w:pPr>
    </w:p>
    <w:p w:rsidR="00E3257C" w:rsidRDefault="00E3257C" w:rsidP="00777463">
      <w:pPr>
        <w:tabs>
          <w:tab w:val="left" w:pos="288"/>
          <w:tab w:val="left" w:pos="4752"/>
        </w:tabs>
        <w:spacing w:line="240" w:lineRule="exact"/>
        <w:jc w:val="both"/>
        <w:rPr>
          <w:rFonts w:asciiTheme="minorHAnsi" w:hAnsiTheme="minorHAnsi"/>
          <w:color w:val="auto"/>
          <w:szCs w:val="24"/>
        </w:rPr>
      </w:pPr>
      <w:r w:rsidRPr="00777463">
        <w:rPr>
          <w:rFonts w:asciiTheme="minorHAnsi" w:hAnsiTheme="minorHAnsi"/>
          <w:color w:val="auto"/>
          <w:szCs w:val="24"/>
        </w:rPr>
        <w:t xml:space="preserve">The CI’s symptoms at the time of the MEB and VA pre-separation psychiatric exams could best be described as moderate.  </w:t>
      </w:r>
      <w:r w:rsidR="007E6A90" w:rsidRPr="00777463">
        <w:rPr>
          <w:rFonts w:asciiTheme="minorHAnsi" w:hAnsiTheme="minorHAnsi"/>
          <w:color w:val="auto"/>
          <w:szCs w:val="24"/>
        </w:rPr>
        <w:t xml:space="preserve">Following redeployment he had endorsed some combat stress symptoms such as avoidance, </w:t>
      </w:r>
      <w:proofErr w:type="spellStart"/>
      <w:r w:rsidR="007E6A90" w:rsidRPr="00777463">
        <w:rPr>
          <w:rFonts w:asciiTheme="minorHAnsi" w:hAnsiTheme="minorHAnsi"/>
          <w:color w:val="auto"/>
          <w:szCs w:val="24"/>
        </w:rPr>
        <w:t>hypervigilance</w:t>
      </w:r>
      <w:proofErr w:type="spellEnd"/>
      <w:r w:rsidR="007E6A90" w:rsidRPr="00777463">
        <w:rPr>
          <w:rFonts w:asciiTheme="minorHAnsi" w:hAnsiTheme="minorHAnsi"/>
          <w:color w:val="auto"/>
          <w:szCs w:val="24"/>
        </w:rPr>
        <w:t xml:space="preserve"> and recurring bad dreams.  These symptoms had abated with counseling by the chaplain.  However, at the time of the MEB he began treatment in the behavioral health clinic for his cognitive disorder symptoms that re-awakened these quiescent posttraumatic stress symptoms.  </w:t>
      </w:r>
      <w:r w:rsidRPr="00777463">
        <w:rPr>
          <w:rFonts w:asciiTheme="minorHAnsi" w:hAnsiTheme="minorHAnsi"/>
          <w:color w:val="auto"/>
          <w:szCs w:val="24"/>
        </w:rPr>
        <w:t xml:space="preserve">He </w:t>
      </w:r>
      <w:r w:rsidR="007E6A90" w:rsidRPr="00777463">
        <w:rPr>
          <w:rFonts w:asciiTheme="minorHAnsi" w:hAnsiTheme="minorHAnsi"/>
          <w:color w:val="auto"/>
          <w:szCs w:val="24"/>
        </w:rPr>
        <w:t xml:space="preserve">then </w:t>
      </w:r>
      <w:r w:rsidRPr="00777463">
        <w:rPr>
          <w:rFonts w:asciiTheme="minorHAnsi" w:hAnsiTheme="minorHAnsi"/>
          <w:color w:val="auto"/>
          <w:szCs w:val="24"/>
        </w:rPr>
        <w:t xml:space="preserve">endorsed a number of symptoms including </w:t>
      </w:r>
      <w:r w:rsidR="00A15256" w:rsidRPr="00777463">
        <w:rPr>
          <w:rFonts w:asciiTheme="minorHAnsi" w:hAnsiTheme="minorHAnsi"/>
          <w:color w:val="auto"/>
          <w:szCs w:val="24"/>
        </w:rPr>
        <w:t>depression, poor sleep, memory difficulties, intrusive thoughts</w:t>
      </w:r>
      <w:r w:rsidR="001F2309" w:rsidRPr="00777463">
        <w:rPr>
          <w:rFonts w:asciiTheme="minorHAnsi" w:hAnsiTheme="minorHAnsi"/>
          <w:color w:val="auto"/>
          <w:szCs w:val="24"/>
        </w:rPr>
        <w:t xml:space="preserve">, avoidance </w:t>
      </w:r>
      <w:r w:rsidRPr="00777463">
        <w:rPr>
          <w:rFonts w:asciiTheme="minorHAnsi" w:hAnsiTheme="minorHAnsi"/>
          <w:color w:val="auto"/>
          <w:szCs w:val="24"/>
        </w:rPr>
        <w:t xml:space="preserve">and </w:t>
      </w:r>
      <w:proofErr w:type="spellStart"/>
      <w:r w:rsidRPr="00777463">
        <w:rPr>
          <w:rFonts w:asciiTheme="minorHAnsi" w:hAnsiTheme="minorHAnsi"/>
          <w:color w:val="auto"/>
          <w:szCs w:val="24"/>
        </w:rPr>
        <w:t>hyperarousal</w:t>
      </w:r>
      <w:proofErr w:type="spellEnd"/>
      <w:r w:rsidRPr="00777463">
        <w:rPr>
          <w:rFonts w:asciiTheme="minorHAnsi" w:hAnsiTheme="minorHAnsi"/>
          <w:color w:val="auto"/>
          <w:szCs w:val="24"/>
        </w:rPr>
        <w:t xml:space="preserve">.  </w:t>
      </w:r>
      <w:r w:rsidR="004D2B76" w:rsidRPr="00777463">
        <w:rPr>
          <w:rFonts w:asciiTheme="minorHAnsi" w:hAnsiTheme="minorHAnsi"/>
          <w:color w:val="auto"/>
          <w:szCs w:val="24"/>
        </w:rPr>
        <w:t xml:space="preserve">He was in an intact marriage and had good relations with his wife and children.  The Commander’s statement assessed the CI’s performance as adequate </w:t>
      </w:r>
      <w:r w:rsidR="001279CF">
        <w:rPr>
          <w:rFonts w:asciiTheme="minorHAnsi" w:hAnsiTheme="minorHAnsi"/>
          <w:color w:val="auto"/>
          <w:szCs w:val="24"/>
        </w:rPr>
        <w:t>although</w:t>
      </w:r>
      <w:r w:rsidR="004D2B76" w:rsidRPr="00777463">
        <w:rPr>
          <w:rFonts w:asciiTheme="minorHAnsi" w:hAnsiTheme="minorHAnsi"/>
          <w:color w:val="auto"/>
          <w:szCs w:val="24"/>
        </w:rPr>
        <w:t xml:space="preserve"> </w:t>
      </w:r>
      <w:r w:rsidR="007E6A90" w:rsidRPr="00777463">
        <w:rPr>
          <w:rFonts w:asciiTheme="minorHAnsi" w:hAnsiTheme="minorHAnsi"/>
          <w:color w:val="auto"/>
          <w:szCs w:val="24"/>
        </w:rPr>
        <w:t>diminished since his ankle injury 18 months earlier</w:t>
      </w:r>
      <w:r w:rsidR="00EA2CA9" w:rsidRPr="00777463">
        <w:rPr>
          <w:rFonts w:asciiTheme="minorHAnsi" w:hAnsiTheme="minorHAnsi"/>
          <w:color w:val="auto"/>
          <w:szCs w:val="24"/>
        </w:rPr>
        <w:t xml:space="preserve"> and appeared to attribute all </w:t>
      </w:r>
      <w:r w:rsidR="001279CF" w:rsidRPr="00777463">
        <w:rPr>
          <w:rFonts w:asciiTheme="minorHAnsi" w:hAnsiTheme="minorHAnsi"/>
          <w:color w:val="auto"/>
          <w:szCs w:val="24"/>
        </w:rPr>
        <w:t xml:space="preserve">limitations </w:t>
      </w:r>
      <w:r w:rsidR="00EA2CA9" w:rsidRPr="00777463">
        <w:rPr>
          <w:rFonts w:asciiTheme="minorHAnsi" w:hAnsiTheme="minorHAnsi"/>
          <w:color w:val="auto"/>
          <w:szCs w:val="24"/>
        </w:rPr>
        <w:t xml:space="preserve">to the </w:t>
      </w:r>
      <w:r w:rsidR="001279CF">
        <w:rPr>
          <w:rFonts w:asciiTheme="minorHAnsi" w:hAnsiTheme="minorHAnsi"/>
          <w:color w:val="auto"/>
          <w:szCs w:val="24"/>
        </w:rPr>
        <w:t>orthopedic</w:t>
      </w:r>
      <w:r w:rsidR="001279CF" w:rsidRPr="001279CF">
        <w:rPr>
          <w:rFonts w:asciiTheme="minorHAnsi" w:hAnsiTheme="minorHAnsi"/>
          <w:color w:val="auto"/>
          <w:szCs w:val="24"/>
        </w:rPr>
        <w:t xml:space="preserve"> </w:t>
      </w:r>
      <w:r w:rsidR="001279CF" w:rsidRPr="00777463">
        <w:rPr>
          <w:rFonts w:asciiTheme="minorHAnsi" w:hAnsiTheme="minorHAnsi"/>
          <w:color w:val="auto"/>
          <w:szCs w:val="24"/>
        </w:rPr>
        <w:t>impairment</w:t>
      </w:r>
      <w:r w:rsidR="007E6A90" w:rsidRPr="00777463">
        <w:rPr>
          <w:rFonts w:asciiTheme="minorHAnsi" w:hAnsiTheme="minorHAnsi"/>
          <w:color w:val="auto"/>
          <w:szCs w:val="24"/>
        </w:rPr>
        <w:t>.  The B</w:t>
      </w:r>
      <w:r w:rsidR="00873E53">
        <w:rPr>
          <w:rFonts w:asciiTheme="minorHAnsi" w:hAnsiTheme="minorHAnsi"/>
          <w:color w:val="auto"/>
          <w:szCs w:val="24"/>
        </w:rPr>
        <w:t>oard notes that at the time the</w:t>
      </w:r>
      <w:r w:rsidR="007E6A90" w:rsidRPr="00777463">
        <w:rPr>
          <w:rFonts w:asciiTheme="minorHAnsi" w:hAnsiTheme="minorHAnsi"/>
          <w:color w:val="auto"/>
          <w:szCs w:val="24"/>
        </w:rPr>
        <w:t xml:space="preserve"> Commander’s statement was written the CI</w:t>
      </w:r>
      <w:r w:rsidR="00DA6D1C" w:rsidRPr="00777463">
        <w:rPr>
          <w:rFonts w:asciiTheme="minorHAnsi" w:hAnsiTheme="minorHAnsi"/>
          <w:color w:val="auto"/>
          <w:szCs w:val="24"/>
        </w:rPr>
        <w:t>’s post</w:t>
      </w:r>
      <w:r w:rsidR="00873E53">
        <w:rPr>
          <w:rFonts w:asciiTheme="minorHAnsi" w:hAnsiTheme="minorHAnsi"/>
          <w:color w:val="auto"/>
          <w:szCs w:val="24"/>
        </w:rPr>
        <w:t xml:space="preserve"> </w:t>
      </w:r>
      <w:r w:rsidR="00DA6D1C" w:rsidRPr="00777463">
        <w:rPr>
          <w:rFonts w:asciiTheme="minorHAnsi" w:hAnsiTheme="minorHAnsi"/>
          <w:color w:val="auto"/>
          <w:szCs w:val="24"/>
        </w:rPr>
        <w:t>traumatic stress symptoms had re-emerged, but he</w:t>
      </w:r>
      <w:r w:rsidR="007E6A90" w:rsidRPr="00777463">
        <w:rPr>
          <w:rFonts w:asciiTheme="minorHAnsi" w:hAnsiTheme="minorHAnsi"/>
          <w:color w:val="auto"/>
          <w:szCs w:val="24"/>
        </w:rPr>
        <w:t xml:space="preserve"> had </w:t>
      </w:r>
      <w:r w:rsidR="00EA2CA9" w:rsidRPr="00777463">
        <w:rPr>
          <w:rFonts w:asciiTheme="minorHAnsi" w:hAnsiTheme="minorHAnsi"/>
          <w:color w:val="auto"/>
          <w:szCs w:val="24"/>
        </w:rPr>
        <w:t xml:space="preserve">not yet been profiled for a psychiatric condition. </w:t>
      </w:r>
      <w:r w:rsidR="007E6A90" w:rsidRPr="00777463">
        <w:rPr>
          <w:rFonts w:asciiTheme="minorHAnsi" w:hAnsiTheme="minorHAnsi"/>
          <w:color w:val="auto"/>
          <w:szCs w:val="24"/>
        </w:rPr>
        <w:t xml:space="preserve"> </w:t>
      </w:r>
      <w:r w:rsidRPr="00777463">
        <w:rPr>
          <w:rFonts w:asciiTheme="minorHAnsi" w:hAnsiTheme="minorHAnsi"/>
          <w:color w:val="auto"/>
          <w:szCs w:val="24"/>
        </w:rPr>
        <w:t>Both the MEB and VA psychiatrist</w:t>
      </w:r>
      <w:r w:rsidR="00A15256" w:rsidRPr="00777463">
        <w:rPr>
          <w:rFonts w:asciiTheme="minorHAnsi" w:hAnsiTheme="minorHAnsi"/>
          <w:color w:val="auto"/>
          <w:szCs w:val="24"/>
        </w:rPr>
        <w:t xml:space="preserve"> noted that the CI’s symptoms overlapped diagnoses of cognitive disorder, depression and anxiety disorder/</w:t>
      </w:r>
      <w:r w:rsidR="00A15256" w:rsidRPr="00873E53">
        <w:rPr>
          <w:rFonts w:asciiTheme="minorHAnsi" w:hAnsiTheme="minorHAnsi"/>
          <w:color w:val="auto"/>
          <w:szCs w:val="24"/>
        </w:rPr>
        <w:t>PTSD.</w:t>
      </w:r>
      <w:r w:rsidR="00A15256" w:rsidRPr="00777463">
        <w:rPr>
          <w:rFonts w:asciiTheme="minorHAnsi" w:hAnsiTheme="minorHAnsi"/>
          <w:color w:val="auto"/>
          <w:szCs w:val="24"/>
        </w:rPr>
        <w:t xml:space="preserve">  </w:t>
      </w:r>
      <w:r w:rsidR="00E732AD" w:rsidRPr="00777463">
        <w:rPr>
          <w:rFonts w:asciiTheme="minorHAnsi" w:hAnsiTheme="minorHAnsi"/>
          <w:color w:val="auto"/>
          <w:szCs w:val="24"/>
        </w:rPr>
        <w:t xml:space="preserve">Since psychiatric impairment cannot be apportioned between these conditions, this issue does not affect the Board’s recommendations.  Both examiners described essentially normal mental status exams </w:t>
      </w:r>
      <w:r w:rsidR="00443443" w:rsidRPr="00777463">
        <w:rPr>
          <w:rFonts w:asciiTheme="minorHAnsi" w:hAnsiTheme="minorHAnsi"/>
          <w:color w:val="auto"/>
          <w:szCs w:val="24"/>
        </w:rPr>
        <w:t xml:space="preserve">(MSE) </w:t>
      </w:r>
      <w:r w:rsidR="00956E2F" w:rsidRPr="00777463">
        <w:rPr>
          <w:rFonts w:asciiTheme="minorHAnsi" w:hAnsiTheme="minorHAnsi"/>
          <w:color w:val="auto"/>
          <w:szCs w:val="24"/>
        </w:rPr>
        <w:t xml:space="preserve">with a full affect, a somewhat depressed mood and some discernable short-term memory difficulties.  </w:t>
      </w:r>
      <w:r w:rsidR="00A15256" w:rsidRPr="00777463">
        <w:rPr>
          <w:rFonts w:asciiTheme="minorHAnsi" w:hAnsiTheme="minorHAnsi"/>
          <w:color w:val="auto"/>
          <w:szCs w:val="24"/>
        </w:rPr>
        <w:t xml:space="preserve">Both the MEB and VA examiners estimated the CI’s social and occupational impairment as moderate in severity, and assigned a Global Assessment of Functioning (GAF) of 60 and 55 respectively, </w:t>
      </w:r>
      <w:r w:rsidR="001F2309" w:rsidRPr="00777463">
        <w:rPr>
          <w:rFonts w:asciiTheme="minorHAnsi" w:hAnsiTheme="minorHAnsi"/>
          <w:color w:val="auto"/>
          <w:szCs w:val="24"/>
        </w:rPr>
        <w:t>connoting moderate</w:t>
      </w:r>
      <w:r w:rsidR="00A15256" w:rsidRPr="00777463">
        <w:rPr>
          <w:rFonts w:asciiTheme="minorHAnsi" w:hAnsiTheme="minorHAnsi"/>
          <w:color w:val="auto"/>
          <w:szCs w:val="24"/>
        </w:rPr>
        <w:t xml:space="preserve"> symptoms or moderate social and occupational impairment.</w:t>
      </w:r>
    </w:p>
    <w:p w:rsidR="002038CD" w:rsidRPr="00777463" w:rsidRDefault="002038CD" w:rsidP="00777463">
      <w:pPr>
        <w:tabs>
          <w:tab w:val="left" w:pos="288"/>
          <w:tab w:val="left" w:pos="4752"/>
        </w:tabs>
        <w:spacing w:line="240" w:lineRule="exact"/>
        <w:jc w:val="both"/>
        <w:rPr>
          <w:rFonts w:asciiTheme="minorHAnsi" w:hAnsiTheme="minorHAnsi"/>
          <w:color w:val="auto"/>
          <w:szCs w:val="24"/>
        </w:rPr>
      </w:pPr>
    </w:p>
    <w:p w:rsidR="005A5FB6" w:rsidRPr="00EE4E39" w:rsidRDefault="00032DB2" w:rsidP="00777463">
      <w:pPr>
        <w:tabs>
          <w:tab w:val="left" w:pos="288"/>
          <w:tab w:val="left" w:pos="4752"/>
        </w:tabs>
        <w:spacing w:line="240" w:lineRule="exact"/>
        <w:jc w:val="both"/>
        <w:rPr>
          <w:rFonts w:asciiTheme="minorHAnsi" w:hAnsiTheme="minorHAnsi"/>
          <w:color w:val="auto"/>
          <w:szCs w:val="24"/>
        </w:rPr>
      </w:pPr>
      <w:r w:rsidRPr="00777463">
        <w:rPr>
          <w:rFonts w:asciiTheme="minorHAnsi" w:hAnsiTheme="minorHAnsi"/>
          <w:color w:val="auto"/>
          <w:szCs w:val="24"/>
        </w:rPr>
        <w:t xml:space="preserve">The Board directs its attention to its rating recommendations based on the evidence just described.  </w:t>
      </w:r>
      <w:r w:rsidR="005A5FB6" w:rsidRPr="00777463">
        <w:rPr>
          <w:rFonts w:asciiTheme="minorHAnsi" w:hAnsiTheme="minorHAnsi"/>
          <w:color w:val="auto"/>
          <w:szCs w:val="24"/>
        </w:rPr>
        <w:t xml:space="preserve">The VA rating decision assigned a 50% rating based on §4.129 criteria.  Both the MEB and initial VA examinations were most consistent with the general description for a §4.130 rating of 30%, “occupational and social impairment with occasional decrease in work efficiency and intermittent periods of inability to perform occupational tasks (although generally functioning satisfactorily, with routine behavior, self-care, and conversation normal).”  The general description for a </w:t>
      </w:r>
      <w:r w:rsidR="00D718F5">
        <w:rPr>
          <w:rFonts w:asciiTheme="minorHAnsi" w:hAnsiTheme="minorHAnsi"/>
          <w:color w:val="auto"/>
          <w:szCs w:val="24"/>
        </w:rPr>
        <w:t>1</w:t>
      </w:r>
      <w:r w:rsidR="005A5FB6" w:rsidRPr="00777463">
        <w:rPr>
          <w:rFonts w:asciiTheme="minorHAnsi" w:hAnsiTheme="minorHAnsi"/>
          <w:color w:val="auto"/>
          <w:szCs w:val="24"/>
        </w:rPr>
        <w:t>0% rating,</w:t>
      </w:r>
      <w:r w:rsidR="00D718F5">
        <w:rPr>
          <w:rFonts w:asciiTheme="minorHAnsi" w:hAnsiTheme="minorHAnsi"/>
          <w:color w:val="auto"/>
          <w:szCs w:val="24"/>
        </w:rPr>
        <w:t xml:space="preserve"> </w:t>
      </w:r>
      <w:r w:rsidR="00D718F5" w:rsidRPr="00D718F5">
        <w:rPr>
          <w:rFonts w:asciiTheme="minorHAnsi" w:hAnsiTheme="minorHAnsi"/>
          <w:color w:val="auto"/>
          <w:szCs w:val="24"/>
        </w:rPr>
        <w:t>‘occupational and social impairment due to mild or transient symptoms which decrease work efficiency … only during periods of significant stress, or; symptoms controlled by continuous medication’</w:t>
      </w:r>
      <w:r w:rsidR="005A5FB6" w:rsidRPr="00D718F5">
        <w:rPr>
          <w:rFonts w:asciiTheme="minorHAnsi" w:hAnsiTheme="minorHAnsi"/>
          <w:color w:val="auto"/>
          <w:szCs w:val="24"/>
        </w:rPr>
        <w:t xml:space="preserve"> may also be considered </w:t>
      </w:r>
      <w:r w:rsidR="00D718F5" w:rsidRPr="00D718F5">
        <w:rPr>
          <w:rFonts w:asciiTheme="minorHAnsi" w:hAnsiTheme="minorHAnsi"/>
          <w:color w:val="auto"/>
          <w:szCs w:val="24"/>
        </w:rPr>
        <w:t xml:space="preserve">based on </w:t>
      </w:r>
      <w:r w:rsidR="005A5FB6" w:rsidRPr="00D718F5">
        <w:rPr>
          <w:rFonts w:asciiTheme="minorHAnsi" w:hAnsiTheme="minorHAnsi"/>
          <w:color w:val="auto"/>
          <w:szCs w:val="24"/>
        </w:rPr>
        <w:t>the CI’s functional abilities at the time of sepa</w:t>
      </w:r>
      <w:r w:rsidR="0075703A">
        <w:rPr>
          <w:rFonts w:asciiTheme="minorHAnsi" w:hAnsiTheme="minorHAnsi"/>
          <w:color w:val="auto"/>
          <w:szCs w:val="24"/>
        </w:rPr>
        <w:t>ration.  However, t</w:t>
      </w:r>
      <w:r w:rsidR="005A5FB6" w:rsidRPr="00D718F5">
        <w:rPr>
          <w:rFonts w:asciiTheme="minorHAnsi" w:hAnsiTheme="minorHAnsi"/>
          <w:color w:val="auto"/>
          <w:szCs w:val="24"/>
        </w:rPr>
        <w:t>he VA examiner did state that the “combined impact of his cognitive disorder, his depression, and his PTSD is greater</w:t>
      </w:r>
      <w:r w:rsidR="00B12DB4" w:rsidRPr="00D718F5">
        <w:rPr>
          <w:rFonts w:asciiTheme="minorHAnsi" w:hAnsiTheme="minorHAnsi"/>
          <w:color w:val="auto"/>
          <w:szCs w:val="24"/>
        </w:rPr>
        <w:t xml:space="preserve"> </w:t>
      </w:r>
      <w:r w:rsidR="005A5FB6" w:rsidRPr="00D718F5">
        <w:rPr>
          <w:rFonts w:asciiTheme="minorHAnsi" w:hAnsiTheme="minorHAnsi"/>
          <w:color w:val="auto"/>
          <w:szCs w:val="24"/>
        </w:rPr>
        <w:t xml:space="preserve">than the impact of any of them taken individually,” and that the “vocational outlook thus is quite clouded.”  In addition to the general description of occupational and social impairment, the §4.130 general formula fleshes out each rating description with a list of features or symptoms as examples for this level of impairment.   This helps to determine a potential level of psychiatric impairment regardless of how well or poorly the veteran is actually faring with work and social activities at the time.  Of six such descriptors under the 30% rating, three were </w:t>
      </w:r>
      <w:r w:rsidR="00EE4E39" w:rsidRPr="00D718F5">
        <w:rPr>
          <w:rFonts w:asciiTheme="minorHAnsi" w:hAnsiTheme="minorHAnsi"/>
          <w:color w:val="auto"/>
          <w:szCs w:val="24"/>
        </w:rPr>
        <w:t>present at separation</w:t>
      </w:r>
      <w:r w:rsidR="005A5FB6" w:rsidRPr="00D718F5">
        <w:rPr>
          <w:rFonts w:asciiTheme="minorHAnsi" w:hAnsiTheme="minorHAnsi"/>
          <w:color w:val="auto"/>
          <w:szCs w:val="24"/>
        </w:rPr>
        <w:t>.  Of the nine descriptors under the 50% rating, t</w:t>
      </w:r>
      <w:r w:rsidR="00EE4E39" w:rsidRPr="00D718F5">
        <w:rPr>
          <w:rFonts w:asciiTheme="minorHAnsi" w:hAnsiTheme="minorHAnsi"/>
          <w:color w:val="auto"/>
          <w:szCs w:val="24"/>
        </w:rPr>
        <w:t>hree</w:t>
      </w:r>
      <w:r w:rsidR="005A5FB6" w:rsidRPr="00D718F5">
        <w:rPr>
          <w:rFonts w:asciiTheme="minorHAnsi" w:hAnsiTheme="minorHAnsi"/>
          <w:color w:val="auto"/>
          <w:szCs w:val="24"/>
        </w:rPr>
        <w:t xml:space="preserve"> were </w:t>
      </w:r>
      <w:r w:rsidR="00EE4E39" w:rsidRPr="00D718F5">
        <w:rPr>
          <w:rFonts w:asciiTheme="minorHAnsi" w:hAnsiTheme="minorHAnsi"/>
          <w:color w:val="auto"/>
          <w:szCs w:val="24"/>
        </w:rPr>
        <w:t>present at separation</w:t>
      </w:r>
      <w:r w:rsidR="005A5FB6" w:rsidRPr="00D718F5">
        <w:rPr>
          <w:rFonts w:asciiTheme="minorHAnsi" w:hAnsiTheme="minorHAnsi"/>
          <w:color w:val="auto"/>
          <w:szCs w:val="24"/>
        </w:rPr>
        <w:t xml:space="preserve">.  The deliberation was focused primarily on a </w:t>
      </w:r>
      <w:r w:rsidR="00D718F5" w:rsidRPr="00D718F5">
        <w:rPr>
          <w:rFonts w:asciiTheme="minorHAnsi" w:hAnsiTheme="minorHAnsi"/>
          <w:color w:val="auto"/>
          <w:szCs w:val="24"/>
        </w:rPr>
        <w:t>1</w:t>
      </w:r>
      <w:r w:rsidR="005A5FB6" w:rsidRPr="00D718F5">
        <w:rPr>
          <w:rFonts w:asciiTheme="minorHAnsi" w:hAnsiTheme="minorHAnsi"/>
          <w:color w:val="auto"/>
          <w:szCs w:val="24"/>
        </w:rPr>
        <w:t xml:space="preserve">0% vs. </w:t>
      </w:r>
      <w:r w:rsidR="00D718F5" w:rsidRPr="00D718F5">
        <w:rPr>
          <w:rFonts w:asciiTheme="minorHAnsi" w:hAnsiTheme="minorHAnsi"/>
          <w:color w:val="auto"/>
          <w:szCs w:val="24"/>
        </w:rPr>
        <w:t>3</w:t>
      </w:r>
      <w:r w:rsidR="005A5FB6" w:rsidRPr="00D718F5">
        <w:rPr>
          <w:rFonts w:asciiTheme="minorHAnsi" w:hAnsiTheme="minorHAnsi"/>
          <w:color w:val="auto"/>
          <w:szCs w:val="24"/>
        </w:rPr>
        <w:t>0% permanent rating recommendation</w:t>
      </w:r>
      <w:r w:rsidR="00D718F5" w:rsidRPr="00D718F5">
        <w:rPr>
          <w:rFonts w:asciiTheme="minorHAnsi" w:hAnsiTheme="minorHAnsi"/>
          <w:color w:val="auto"/>
          <w:szCs w:val="24"/>
        </w:rPr>
        <w:t xml:space="preserve">.  All members agreed that the </w:t>
      </w:r>
      <w:r w:rsidR="005A5FB6" w:rsidRPr="00D718F5">
        <w:rPr>
          <w:rFonts w:asciiTheme="minorHAnsi" w:hAnsiTheme="minorHAnsi"/>
          <w:color w:val="auto"/>
          <w:szCs w:val="24"/>
        </w:rPr>
        <w:t xml:space="preserve">0% threshold was well exceeded and that the </w:t>
      </w:r>
      <w:r w:rsidR="00D718F5" w:rsidRPr="00D718F5">
        <w:rPr>
          <w:rFonts w:asciiTheme="minorHAnsi" w:hAnsiTheme="minorHAnsi"/>
          <w:color w:val="auto"/>
          <w:szCs w:val="24"/>
        </w:rPr>
        <w:t>5</w:t>
      </w:r>
      <w:r w:rsidR="005A5FB6" w:rsidRPr="00D718F5">
        <w:rPr>
          <w:rFonts w:asciiTheme="minorHAnsi" w:hAnsiTheme="minorHAnsi"/>
          <w:color w:val="auto"/>
          <w:szCs w:val="24"/>
        </w:rPr>
        <w:t xml:space="preserve">0% threshold was not approached.  </w:t>
      </w:r>
      <w:r w:rsidR="00EE4E39" w:rsidRPr="00D718F5">
        <w:rPr>
          <w:rFonts w:asciiTheme="minorHAnsi" w:hAnsiTheme="minorHAnsi"/>
          <w:color w:val="auto"/>
          <w:szCs w:val="24"/>
        </w:rPr>
        <w:t xml:space="preserve">The Board considered that the CI was successfully </w:t>
      </w:r>
      <w:r w:rsidR="00D718F5" w:rsidRPr="00D718F5">
        <w:rPr>
          <w:rFonts w:asciiTheme="minorHAnsi" w:hAnsiTheme="minorHAnsi"/>
          <w:color w:val="auto"/>
          <w:szCs w:val="24"/>
        </w:rPr>
        <w:lastRenderedPageBreak/>
        <w:t>managing his assigned military duties throughout the MEB period.</w:t>
      </w:r>
      <w:r w:rsidR="00EE4E39" w:rsidRPr="00D718F5">
        <w:rPr>
          <w:rFonts w:asciiTheme="minorHAnsi" w:hAnsiTheme="minorHAnsi"/>
          <w:color w:val="auto"/>
          <w:szCs w:val="24"/>
        </w:rPr>
        <w:t xml:space="preserve">  After due deliberation, and in consideration of all the evidence and VASRD §4.3 (reasonable doubt), the Board recommends </w:t>
      </w:r>
      <w:r w:rsidR="00D718F5" w:rsidRPr="00D718F5">
        <w:rPr>
          <w:rFonts w:asciiTheme="minorHAnsi" w:hAnsiTheme="minorHAnsi"/>
          <w:color w:val="auto"/>
          <w:szCs w:val="24"/>
        </w:rPr>
        <w:t>3</w:t>
      </w:r>
      <w:r w:rsidR="00EE4E39" w:rsidRPr="00D718F5">
        <w:rPr>
          <w:rFonts w:asciiTheme="minorHAnsi" w:hAnsiTheme="minorHAnsi"/>
          <w:color w:val="auto"/>
          <w:szCs w:val="24"/>
        </w:rPr>
        <w:t xml:space="preserve">0% as the fair separation </w:t>
      </w:r>
      <w:r w:rsidR="00EE4E39" w:rsidRPr="001279CF">
        <w:rPr>
          <w:rFonts w:asciiTheme="minorHAnsi" w:hAnsiTheme="minorHAnsi"/>
          <w:color w:val="auto"/>
          <w:szCs w:val="24"/>
        </w:rPr>
        <w:t xml:space="preserve">rating for </w:t>
      </w:r>
      <w:r w:rsidR="00B559DB">
        <w:rPr>
          <w:rFonts w:asciiTheme="minorHAnsi" w:hAnsiTheme="minorHAnsi"/>
          <w:color w:val="auto"/>
          <w:szCs w:val="24"/>
        </w:rPr>
        <w:t xml:space="preserve">the cognitive/psychiatric impairment in this case.  This is appropriately applied to the single condition, </w:t>
      </w:r>
      <w:r w:rsidR="00FC1C70" w:rsidRPr="001279CF">
        <w:rPr>
          <w:rFonts w:asciiTheme="minorHAnsi" w:hAnsiTheme="minorHAnsi"/>
          <w:color w:val="auto"/>
          <w:szCs w:val="24"/>
        </w:rPr>
        <w:t>Concussive Injury with Cognitive and Psychiatric Impairment</w:t>
      </w:r>
      <w:r w:rsidR="00B559DB">
        <w:rPr>
          <w:rFonts w:asciiTheme="minorHAnsi" w:hAnsiTheme="minorHAnsi"/>
          <w:color w:val="auto"/>
          <w:szCs w:val="24"/>
        </w:rPr>
        <w:t>, coded 8045-9304</w:t>
      </w:r>
      <w:r w:rsidR="00EE4E39" w:rsidRPr="001279CF">
        <w:rPr>
          <w:rFonts w:asciiTheme="minorHAnsi" w:hAnsiTheme="minorHAnsi"/>
          <w:color w:val="auto"/>
          <w:szCs w:val="24"/>
        </w:rPr>
        <w:t>.</w:t>
      </w:r>
    </w:p>
    <w:p w:rsidR="00E3257C" w:rsidRPr="00E3257C" w:rsidRDefault="00E3257C" w:rsidP="00777463">
      <w:pPr>
        <w:tabs>
          <w:tab w:val="left" w:pos="288"/>
          <w:tab w:val="left" w:pos="4752"/>
        </w:tabs>
        <w:spacing w:line="240" w:lineRule="exact"/>
        <w:jc w:val="both"/>
        <w:rPr>
          <w:rFonts w:asciiTheme="minorHAnsi" w:hAnsiTheme="minorHAnsi"/>
          <w:color w:val="auto"/>
          <w:szCs w:val="24"/>
          <w:highlight w:val="lightGray"/>
        </w:rPr>
      </w:pPr>
    </w:p>
    <w:p w:rsidR="00601C3F" w:rsidRPr="00FD368E" w:rsidRDefault="00601C3F" w:rsidP="00777463">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Right Ankle</w:t>
      </w:r>
      <w:r w:rsidR="002C6E5B" w:rsidRPr="00542C9A">
        <w:rPr>
          <w:rFonts w:asciiTheme="minorHAnsi" w:hAnsiTheme="minorHAnsi"/>
          <w:color w:val="auto"/>
          <w:szCs w:val="24"/>
          <w:u w:val="single"/>
        </w:rPr>
        <w:t xml:space="preserve"> Condition</w:t>
      </w:r>
      <w:r w:rsidR="002C6E5B" w:rsidRPr="00542C9A">
        <w:rPr>
          <w:rFonts w:asciiTheme="minorHAnsi" w:hAnsiTheme="minorHAnsi"/>
          <w:color w:val="auto"/>
          <w:szCs w:val="24"/>
        </w:rPr>
        <w:t>.</w:t>
      </w:r>
      <w:proofErr w:type="gramEnd"/>
      <w:r w:rsidR="002C6E5B" w:rsidRPr="00542C9A">
        <w:rPr>
          <w:rFonts w:asciiTheme="minorHAnsi" w:hAnsiTheme="minorHAnsi"/>
          <w:color w:val="auto"/>
          <w:szCs w:val="24"/>
        </w:rPr>
        <w:t xml:space="preserve">  </w:t>
      </w:r>
      <w:r w:rsidR="00066FEA">
        <w:rPr>
          <w:rFonts w:asciiTheme="minorHAnsi" w:hAnsiTheme="minorHAnsi"/>
          <w:color w:val="auto"/>
          <w:szCs w:val="24"/>
        </w:rPr>
        <w:t>The MEB examination of the ankle demonstrated joint line tenderness and “1+” anterior instability.  It described a “full”</w:t>
      </w:r>
      <w:r w:rsidR="00066FEA" w:rsidRPr="00066FEA">
        <w:rPr>
          <w:rFonts w:asciiTheme="minorHAnsi" w:hAnsiTheme="minorHAnsi"/>
          <w:color w:val="auto"/>
          <w:szCs w:val="24"/>
        </w:rPr>
        <w:t xml:space="preserve"> </w:t>
      </w:r>
      <w:r w:rsidR="00066FEA">
        <w:rPr>
          <w:rFonts w:asciiTheme="minorHAnsi" w:hAnsiTheme="minorHAnsi"/>
          <w:color w:val="auto"/>
          <w:szCs w:val="24"/>
        </w:rPr>
        <w:t xml:space="preserve">range-of-motion (ROM) without goniometric measurements.  The pre-separation VA C&amp;P examination </w:t>
      </w:r>
      <w:r w:rsidR="009926AF">
        <w:rPr>
          <w:rFonts w:asciiTheme="minorHAnsi" w:hAnsiTheme="minorHAnsi"/>
          <w:color w:val="auto"/>
          <w:szCs w:val="24"/>
        </w:rPr>
        <w:t>provided goniometric measurements for normal ROM.  This exam described “</w:t>
      </w:r>
      <w:r w:rsidR="009926AF" w:rsidRPr="009926AF">
        <w:rPr>
          <w:rFonts w:asciiTheme="minorHAnsi" w:hAnsiTheme="minorHAnsi"/>
          <w:color w:val="auto"/>
          <w:szCs w:val="24"/>
        </w:rPr>
        <w:t>inversion laxity of the bilateral ankles</w:t>
      </w:r>
      <w:r w:rsidR="009926AF">
        <w:rPr>
          <w:rFonts w:asciiTheme="minorHAnsi" w:hAnsiTheme="minorHAnsi"/>
          <w:color w:val="auto"/>
          <w:szCs w:val="24"/>
        </w:rPr>
        <w:t>”.  The VA exam included the specific statement, “</w:t>
      </w:r>
      <w:r w:rsidR="009926AF" w:rsidRPr="00535341">
        <w:rPr>
          <w:rFonts w:asciiTheme="minorHAnsi" w:eastAsia="HiddenHorzOCR" w:hAnsiTheme="minorHAnsi" w:cs="HiddenHorzOCR"/>
          <w:color w:val="auto"/>
          <w:szCs w:val="24"/>
        </w:rPr>
        <w:t>The function was not additionally limited by pain, fatigue, weakness, or lack of endurance following the five repetitions.</w:t>
      </w:r>
      <w:r w:rsidR="009926AF">
        <w:rPr>
          <w:rFonts w:asciiTheme="minorHAnsi" w:eastAsia="HiddenHorzOCR" w:hAnsiTheme="minorHAnsi" w:cs="HiddenHorzOCR"/>
          <w:color w:val="auto"/>
          <w:szCs w:val="24"/>
        </w:rPr>
        <w:t xml:space="preserve">”  Both examiners documented a normal gait.  </w:t>
      </w:r>
      <w:r w:rsidRPr="00601C3F">
        <w:rPr>
          <w:rFonts w:asciiTheme="minorHAnsi" w:hAnsiTheme="minorHAnsi"/>
          <w:color w:val="auto"/>
          <w:szCs w:val="24"/>
        </w:rPr>
        <w:t xml:space="preserve">The </w:t>
      </w:r>
      <w:r>
        <w:rPr>
          <w:rFonts w:asciiTheme="minorHAnsi" w:hAnsiTheme="minorHAnsi"/>
          <w:color w:val="auto"/>
          <w:szCs w:val="24"/>
        </w:rPr>
        <w:t>PEB</w:t>
      </w:r>
      <w:r w:rsidRPr="00601C3F">
        <w:rPr>
          <w:rFonts w:asciiTheme="minorHAnsi" w:hAnsiTheme="minorHAnsi"/>
          <w:color w:val="auto"/>
          <w:szCs w:val="24"/>
        </w:rPr>
        <w:t xml:space="preserve"> and VA chose different coding options for the right ankle condition </w:t>
      </w:r>
      <w:r w:rsidR="00DF126E">
        <w:rPr>
          <w:rFonts w:asciiTheme="minorHAnsi" w:hAnsiTheme="minorHAnsi"/>
          <w:color w:val="auto"/>
          <w:szCs w:val="24"/>
        </w:rPr>
        <w:t xml:space="preserve">that yielded different </w:t>
      </w:r>
      <w:r w:rsidRPr="00601C3F">
        <w:rPr>
          <w:rFonts w:asciiTheme="minorHAnsi" w:hAnsiTheme="minorHAnsi"/>
          <w:color w:val="auto"/>
          <w:szCs w:val="24"/>
        </w:rPr>
        <w:t>rating</w:t>
      </w:r>
      <w:r w:rsidR="00DF126E">
        <w:rPr>
          <w:rFonts w:asciiTheme="minorHAnsi" w:hAnsiTheme="minorHAnsi"/>
          <w:color w:val="auto"/>
          <w:szCs w:val="24"/>
        </w:rPr>
        <w:t>s</w:t>
      </w:r>
      <w:r w:rsidRPr="00601C3F">
        <w:rPr>
          <w:rFonts w:asciiTheme="minorHAnsi" w:hAnsiTheme="minorHAnsi"/>
          <w:color w:val="auto"/>
          <w:szCs w:val="24"/>
        </w:rPr>
        <w:t xml:space="preserve">.  The PEB rated </w:t>
      </w:r>
      <w:r w:rsidR="003D5B10">
        <w:rPr>
          <w:rFonts w:asciiTheme="minorHAnsi" w:hAnsiTheme="minorHAnsi"/>
          <w:color w:val="auto"/>
          <w:szCs w:val="24"/>
        </w:rPr>
        <w:t xml:space="preserve">the ankle </w:t>
      </w:r>
      <w:r w:rsidRPr="00601C3F">
        <w:rPr>
          <w:rFonts w:asciiTheme="minorHAnsi" w:hAnsiTheme="minorHAnsi"/>
          <w:color w:val="auto"/>
          <w:szCs w:val="24"/>
        </w:rPr>
        <w:t>by analogy as degenerative arthritis at 0%, consistent with §4.71a standards.  The VA</w:t>
      </w:r>
      <w:r w:rsidR="00381728">
        <w:rPr>
          <w:rFonts w:asciiTheme="minorHAnsi" w:hAnsiTheme="minorHAnsi"/>
          <w:color w:val="auto"/>
          <w:szCs w:val="24"/>
        </w:rPr>
        <w:t>, which</w:t>
      </w:r>
      <w:r w:rsidRPr="00601C3F">
        <w:rPr>
          <w:rFonts w:asciiTheme="minorHAnsi" w:hAnsiTheme="minorHAnsi"/>
          <w:color w:val="auto"/>
          <w:szCs w:val="24"/>
        </w:rPr>
        <w:t xml:space="preserve"> </w:t>
      </w:r>
      <w:r w:rsidR="00381728" w:rsidRPr="00601C3F">
        <w:rPr>
          <w:rFonts w:asciiTheme="minorHAnsi" w:hAnsiTheme="minorHAnsi"/>
          <w:color w:val="auto"/>
          <w:szCs w:val="24"/>
        </w:rPr>
        <w:t>had previously rated this ankle at 10% for moderate limitation of motion</w:t>
      </w:r>
      <w:r w:rsidR="00381728">
        <w:rPr>
          <w:rFonts w:asciiTheme="minorHAnsi" w:hAnsiTheme="minorHAnsi"/>
          <w:color w:val="auto"/>
          <w:szCs w:val="24"/>
        </w:rPr>
        <w:t>,</w:t>
      </w:r>
      <w:r w:rsidR="00381728" w:rsidRPr="00601C3F">
        <w:rPr>
          <w:rFonts w:asciiTheme="minorHAnsi" w:hAnsiTheme="minorHAnsi"/>
          <w:color w:val="auto"/>
          <w:szCs w:val="24"/>
        </w:rPr>
        <w:t xml:space="preserve"> </w:t>
      </w:r>
      <w:r w:rsidR="00381728">
        <w:rPr>
          <w:rFonts w:asciiTheme="minorHAnsi" w:hAnsiTheme="minorHAnsi"/>
          <w:color w:val="auto"/>
          <w:szCs w:val="24"/>
        </w:rPr>
        <w:t>chose coding</w:t>
      </w:r>
      <w:r w:rsidRPr="00601C3F">
        <w:rPr>
          <w:rFonts w:asciiTheme="minorHAnsi" w:hAnsiTheme="minorHAnsi"/>
          <w:color w:val="auto"/>
          <w:szCs w:val="24"/>
        </w:rPr>
        <w:t xml:space="preserve"> for tibia-fibula </w:t>
      </w:r>
      <w:proofErr w:type="spellStart"/>
      <w:r w:rsidRPr="00601C3F">
        <w:rPr>
          <w:rFonts w:asciiTheme="minorHAnsi" w:hAnsiTheme="minorHAnsi"/>
          <w:color w:val="auto"/>
          <w:szCs w:val="24"/>
        </w:rPr>
        <w:t>malunion</w:t>
      </w:r>
      <w:proofErr w:type="spellEnd"/>
      <w:r w:rsidRPr="00601C3F">
        <w:rPr>
          <w:rFonts w:asciiTheme="minorHAnsi" w:hAnsiTheme="minorHAnsi"/>
          <w:color w:val="auto"/>
          <w:szCs w:val="24"/>
        </w:rPr>
        <w:t xml:space="preserve"> with slight ankle </w:t>
      </w:r>
      <w:r w:rsidR="00381728">
        <w:rPr>
          <w:rFonts w:asciiTheme="minorHAnsi" w:hAnsiTheme="minorHAnsi"/>
          <w:color w:val="auto"/>
          <w:szCs w:val="24"/>
        </w:rPr>
        <w:t>inst</w:t>
      </w:r>
      <w:r w:rsidRPr="00601C3F">
        <w:rPr>
          <w:rFonts w:asciiTheme="minorHAnsi" w:hAnsiTheme="minorHAnsi"/>
          <w:color w:val="auto"/>
          <w:szCs w:val="24"/>
        </w:rPr>
        <w:t xml:space="preserve">ability rated at 10%.  </w:t>
      </w:r>
      <w:r w:rsidR="009926AF">
        <w:rPr>
          <w:rFonts w:asciiTheme="minorHAnsi" w:hAnsiTheme="minorHAnsi"/>
          <w:color w:val="auto"/>
          <w:szCs w:val="24"/>
        </w:rPr>
        <w:t>The instability component was specifically quoted in the rating decision as the rationale for a compensable rating.  The code chosen by the VA</w:t>
      </w:r>
      <w:r w:rsidR="00381728">
        <w:rPr>
          <w:rFonts w:asciiTheme="minorHAnsi" w:hAnsiTheme="minorHAnsi"/>
          <w:color w:val="auto"/>
          <w:szCs w:val="24"/>
        </w:rPr>
        <w:t xml:space="preserve"> is not supported by the</w:t>
      </w:r>
      <w:r w:rsidRPr="00601C3F">
        <w:rPr>
          <w:rFonts w:asciiTheme="minorHAnsi" w:hAnsiTheme="minorHAnsi"/>
          <w:color w:val="auto"/>
          <w:szCs w:val="24"/>
        </w:rPr>
        <w:t xml:space="preserve"> </w:t>
      </w:r>
      <w:r w:rsidR="00381728">
        <w:rPr>
          <w:rFonts w:asciiTheme="minorHAnsi" w:hAnsiTheme="minorHAnsi"/>
          <w:color w:val="auto"/>
          <w:szCs w:val="24"/>
        </w:rPr>
        <w:t>pathology as a</w:t>
      </w:r>
      <w:r w:rsidR="00381728" w:rsidRPr="00381728">
        <w:rPr>
          <w:rFonts w:asciiTheme="minorHAnsi" w:hAnsiTheme="minorHAnsi"/>
          <w:color w:val="auto"/>
          <w:szCs w:val="24"/>
        </w:rPr>
        <w:t xml:space="preserve"> </w:t>
      </w:r>
      <w:r w:rsidR="00381728">
        <w:rPr>
          <w:rFonts w:asciiTheme="minorHAnsi" w:hAnsiTheme="minorHAnsi"/>
          <w:color w:val="auto"/>
          <w:szCs w:val="24"/>
        </w:rPr>
        <w:t xml:space="preserve">direct coding choice, but could be rational if used as an analogous coding.  </w:t>
      </w:r>
      <w:r w:rsidR="009926AF">
        <w:rPr>
          <w:rFonts w:asciiTheme="minorHAnsi" w:hAnsiTheme="minorHAnsi"/>
          <w:color w:val="auto"/>
          <w:szCs w:val="24"/>
        </w:rPr>
        <w:t xml:space="preserve">The core question facing the Board, independent of its coding choice, is whether a compensable rating under the VASRD is applicable in this ankle case with no compensable </w:t>
      </w:r>
      <w:r w:rsidR="00B47B1C">
        <w:rPr>
          <w:rFonts w:asciiTheme="minorHAnsi" w:hAnsiTheme="minorHAnsi"/>
          <w:color w:val="auto"/>
          <w:szCs w:val="24"/>
        </w:rPr>
        <w:t xml:space="preserve">ROM impairment.  The two pathways to a compensable </w:t>
      </w:r>
      <w:r w:rsidR="00B47B1C" w:rsidRPr="00B47B1C">
        <w:rPr>
          <w:rFonts w:asciiTheme="minorHAnsi" w:hAnsiTheme="minorHAnsi"/>
          <w:color w:val="auto"/>
          <w:szCs w:val="24"/>
        </w:rPr>
        <w:t xml:space="preserve">rating are </w:t>
      </w:r>
      <w:r w:rsidR="00B47B1C" w:rsidRPr="00B47B1C">
        <w:rPr>
          <w:rFonts w:ascii="Calibri" w:hAnsi="Calibri"/>
          <w:color w:val="auto"/>
          <w:szCs w:val="24"/>
        </w:rPr>
        <w:t xml:space="preserve">§4.59 (painful motion) and §4.40 (functional loss).  </w:t>
      </w:r>
      <w:r w:rsidR="00B47B1C">
        <w:rPr>
          <w:rFonts w:ascii="Calibri" w:hAnsi="Calibri"/>
          <w:color w:val="auto"/>
          <w:szCs w:val="24"/>
        </w:rPr>
        <w:t>Pa</w:t>
      </w:r>
      <w:r w:rsidR="00B559DB">
        <w:rPr>
          <w:rFonts w:ascii="Calibri" w:hAnsi="Calibri"/>
          <w:color w:val="auto"/>
          <w:szCs w:val="24"/>
        </w:rPr>
        <w:t xml:space="preserve">inful motion was specifically </w:t>
      </w:r>
      <w:r w:rsidR="00B47B1C">
        <w:rPr>
          <w:rFonts w:ascii="Calibri" w:hAnsi="Calibri"/>
          <w:color w:val="auto"/>
          <w:szCs w:val="24"/>
        </w:rPr>
        <w:t>e</w:t>
      </w:r>
      <w:r w:rsidR="00B559DB">
        <w:rPr>
          <w:rFonts w:ascii="Calibri" w:hAnsi="Calibri"/>
          <w:color w:val="auto"/>
          <w:szCs w:val="24"/>
        </w:rPr>
        <w:t>x</w:t>
      </w:r>
      <w:r w:rsidR="00B47B1C">
        <w:rPr>
          <w:rFonts w:ascii="Calibri" w:hAnsi="Calibri"/>
          <w:color w:val="auto"/>
          <w:szCs w:val="24"/>
        </w:rPr>
        <w:t>cluded by the VA exam</w:t>
      </w:r>
      <w:r w:rsidR="00B559DB">
        <w:rPr>
          <w:rFonts w:ascii="Calibri" w:hAnsi="Calibri"/>
          <w:color w:val="auto"/>
          <w:szCs w:val="24"/>
        </w:rPr>
        <w:t>iner</w:t>
      </w:r>
      <w:r w:rsidR="00B47B1C">
        <w:rPr>
          <w:rFonts w:ascii="Calibri" w:hAnsi="Calibri"/>
          <w:color w:val="auto"/>
          <w:szCs w:val="24"/>
        </w:rPr>
        <w:t xml:space="preserve"> and was not documented on the MEB exam.  Application of </w:t>
      </w:r>
      <w:r w:rsidR="00B47B1C" w:rsidRPr="00B47B1C">
        <w:rPr>
          <w:rFonts w:ascii="Calibri" w:hAnsi="Calibri"/>
          <w:color w:val="auto"/>
          <w:szCs w:val="24"/>
        </w:rPr>
        <w:t xml:space="preserve">§4.59 </w:t>
      </w:r>
      <w:r w:rsidR="00B47B1C">
        <w:rPr>
          <w:rFonts w:ascii="Calibri" w:hAnsi="Calibri"/>
          <w:color w:val="auto"/>
          <w:szCs w:val="24"/>
        </w:rPr>
        <w:t xml:space="preserve">would thus be speculative if appropriate at all.  </w:t>
      </w:r>
      <w:r w:rsidR="00542ECA">
        <w:rPr>
          <w:rFonts w:ascii="Calibri" w:hAnsi="Calibri"/>
          <w:color w:val="auto"/>
          <w:szCs w:val="24"/>
        </w:rPr>
        <w:t xml:space="preserve">Conversely there are two rationales incorporated in </w:t>
      </w:r>
      <w:r w:rsidR="00542ECA" w:rsidRPr="00B47B1C">
        <w:rPr>
          <w:rFonts w:ascii="Calibri" w:hAnsi="Calibri"/>
          <w:color w:val="auto"/>
          <w:szCs w:val="24"/>
        </w:rPr>
        <w:t>§4.40</w:t>
      </w:r>
      <w:r w:rsidR="00542ECA">
        <w:rPr>
          <w:rFonts w:ascii="Calibri" w:hAnsi="Calibri"/>
          <w:color w:val="auto"/>
          <w:szCs w:val="24"/>
        </w:rPr>
        <w:t xml:space="preserve"> </w:t>
      </w:r>
      <w:r w:rsidR="00F134DD">
        <w:rPr>
          <w:rFonts w:ascii="Calibri" w:hAnsi="Calibri"/>
          <w:color w:val="auto"/>
          <w:szCs w:val="24"/>
        </w:rPr>
        <w:t xml:space="preserve">which are </w:t>
      </w:r>
      <w:r w:rsidR="00542ECA">
        <w:rPr>
          <w:rFonts w:ascii="Calibri" w:hAnsi="Calibri"/>
          <w:color w:val="auto"/>
          <w:szCs w:val="24"/>
        </w:rPr>
        <w:t xml:space="preserve">applicable to this case.  The instability component (documented more precisely by the MEB examiner) fits with this language in </w:t>
      </w:r>
      <w:r w:rsidR="00542ECA" w:rsidRPr="00B47B1C">
        <w:rPr>
          <w:rFonts w:ascii="Calibri" w:hAnsi="Calibri"/>
          <w:color w:val="auto"/>
          <w:szCs w:val="24"/>
        </w:rPr>
        <w:t>§4.40</w:t>
      </w:r>
      <w:r w:rsidR="00542ECA">
        <w:rPr>
          <w:rFonts w:ascii="Calibri" w:hAnsi="Calibri"/>
          <w:color w:val="auto"/>
          <w:szCs w:val="24"/>
        </w:rPr>
        <w:t xml:space="preserve">, “… </w:t>
      </w:r>
      <w:r w:rsidR="00542ECA" w:rsidRPr="00542ECA">
        <w:rPr>
          <w:rFonts w:ascii="Calibri" w:hAnsi="Calibri"/>
          <w:color w:val="auto"/>
          <w:szCs w:val="24"/>
        </w:rPr>
        <w:t xml:space="preserve">functional loss may be due to absence of part, or all, of the necessary bones, joints and muscles, or associated structures, or to deformity, adhesions, defective </w:t>
      </w:r>
      <w:proofErr w:type="spellStart"/>
      <w:r w:rsidR="00542ECA" w:rsidRPr="00542ECA">
        <w:rPr>
          <w:rFonts w:ascii="Calibri" w:hAnsi="Calibri"/>
          <w:color w:val="auto"/>
          <w:szCs w:val="24"/>
        </w:rPr>
        <w:t>innervation</w:t>
      </w:r>
      <w:proofErr w:type="spellEnd"/>
      <w:r w:rsidR="00542ECA" w:rsidRPr="00542ECA">
        <w:rPr>
          <w:rFonts w:ascii="Calibri" w:hAnsi="Calibri"/>
          <w:color w:val="auto"/>
          <w:szCs w:val="24"/>
        </w:rPr>
        <w:t>, or other pathology</w:t>
      </w:r>
      <w:r w:rsidR="00542ECA">
        <w:rPr>
          <w:rFonts w:ascii="Calibri" w:hAnsi="Calibri"/>
          <w:color w:val="auto"/>
          <w:szCs w:val="24"/>
        </w:rPr>
        <w:t xml:space="preserve">…”.  </w:t>
      </w:r>
      <w:r w:rsidR="00FD368E">
        <w:rPr>
          <w:rFonts w:asciiTheme="minorHAnsi" w:hAnsiTheme="minorHAnsi"/>
          <w:color w:val="auto"/>
          <w:szCs w:val="24"/>
        </w:rPr>
        <w:t xml:space="preserve">The Commander’s statement specifically implicated ankle instability as impeding physical requirements.  </w:t>
      </w:r>
      <w:r w:rsidR="00542ECA">
        <w:rPr>
          <w:rFonts w:ascii="Calibri" w:hAnsi="Calibri"/>
          <w:color w:val="auto"/>
          <w:szCs w:val="24"/>
        </w:rPr>
        <w:t xml:space="preserve">MEB and VA evidence also documents pain with use, referred to in </w:t>
      </w:r>
      <w:r w:rsidR="00542ECA" w:rsidRPr="00B47B1C">
        <w:rPr>
          <w:rFonts w:ascii="Calibri" w:hAnsi="Calibri"/>
          <w:color w:val="auto"/>
          <w:szCs w:val="24"/>
        </w:rPr>
        <w:t>§4.40</w:t>
      </w:r>
      <w:r w:rsidR="00542ECA">
        <w:rPr>
          <w:rFonts w:ascii="Calibri" w:hAnsi="Calibri"/>
          <w:color w:val="auto"/>
          <w:szCs w:val="24"/>
        </w:rPr>
        <w:t xml:space="preserve"> as “… </w:t>
      </w:r>
      <w:r w:rsidR="00542ECA" w:rsidRPr="00542ECA">
        <w:rPr>
          <w:rFonts w:ascii="Calibri" w:hAnsi="Calibri"/>
          <w:color w:val="auto"/>
          <w:szCs w:val="24"/>
        </w:rPr>
        <w:t>a part which becomes painful on use must be regarded as seriously disabled</w:t>
      </w:r>
      <w:r w:rsidR="00542ECA">
        <w:rPr>
          <w:rFonts w:ascii="Calibri" w:hAnsi="Calibri"/>
          <w:color w:val="auto"/>
          <w:szCs w:val="24"/>
        </w:rPr>
        <w:t xml:space="preserve">.”  </w:t>
      </w:r>
      <w:r w:rsidR="00381728" w:rsidRPr="00B47B1C">
        <w:rPr>
          <w:rFonts w:asciiTheme="minorHAnsi" w:hAnsiTheme="minorHAnsi"/>
          <w:color w:val="auto"/>
          <w:szCs w:val="24"/>
        </w:rPr>
        <w:t>The Board deliberated the</w:t>
      </w:r>
      <w:r w:rsidR="00381728">
        <w:rPr>
          <w:rFonts w:asciiTheme="minorHAnsi" w:hAnsiTheme="minorHAnsi"/>
          <w:color w:val="auto"/>
          <w:szCs w:val="24"/>
        </w:rPr>
        <w:t xml:space="preserve"> merits of various coding options, and </w:t>
      </w:r>
      <w:r w:rsidR="00FD368E">
        <w:rPr>
          <w:rFonts w:asciiTheme="minorHAnsi" w:hAnsiTheme="minorHAnsi"/>
          <w:color w:val="auto"/>
          <w:szCs w:val="24"/>
        </w:rPr>
        <w:t xml:space="preserve">the Action Officer opined that 5010-5003 (traumatic arthritis) was the better clinical fit in this case.  </w:t>
      </w:r>
      <w:r w:rsidR="00381728" w:rsidRPr="00381728">
        <w:rPr>
          <w:rFonts w:asciiTheme="minorHAnsi" w:hAnsiTheme="minorHAnsi"/>
          <w:color w:val="auto"/>
          <w:szCs w:val="24"/>
        </w:rPr>
        <w:t xml:space="preserve">After due deliberation, considering all of the evidence and mindful of </w:t>
      </w:r>
      <w:r w:rsidR="00381728">
        <w:rPr>
          <w:rFonts w:asciiTheme="minorHAnsi" w:hAnsiTheme="minorHAnsi"/>
          <w:color w:val="auto"/>
          <w:szCs w:val="24"/>
        </w:rPr>
        <w:t xml:space="preserve">VASRD §4.3 (reasonable doubt), </w:t>
      </w:r>
      <w:r w:rsidR="00381728" w:rsidRPr="00381728">
        <w:rPr>
          <w:rFonts w:asciiTheme="minorHAnsi" w:hAnsiTheme="minorHAnsi"/>
          <w:color w:val="auto"/>
          <w:szCs w:val="24"/>
        </w:rPr>
        <w:t xml:space="preserve">the Board recommends a separation rating of </w:t>
      </w:r>
      <w:r w:rsidR="00381728">
        <w:rPr>
          <w:rFonts w:asciiTheme="minorHAnsi" w:hAnsiTheme="minorHAnsi"/>
          <w:color w:val="auto"/>
          <w:szCs w:val="24"/>
        </w:rPr>
        <w:t>1</w:t>
      </w:r>
      <w:r w:rsidR="00381728" w:rsidRPr="00381728">
        <w:rPr>
          <w:rFonts w:asciiTheme="minorHAnsi" w:hAnsiTheme="minorHAnsi"/>
          <w:color w:val="auto"/>
          <w:szCs w:val="24"/>
        </w:rPr>
        <w:t xml:space="preserve">0% </w:t>
      </w:r>
      <w:r w:rsidR="00FD368E">
        <w:rPr>
          <w:rFonts w:asciiTheme="minorHAnsi" w:hAnsiTheme="minorHAnsi"/>
          <w:color w:val="auto"/>
          <w:szCs w:val="24"/>
        </w:rPr>
        <w:t xml:space="preserve">(invoking VASRD </w:t>
      </w:r>
      <w:r w:rsidR="00FD368E" w:rsidRPr="00B47B1C">
        <w:rPr>
          <w:rFonts w:ascii="Calibri" w:hAnsi="Calibri"/>
          <w:color w:val="auto"/>
          <w:szCs w:val="24"/>
        </w:rPr>
        <w:t>§4.40</w:t>
      </w:r>
      <w:r w:rsidR="00FD368E">
        <w:rPr>
          <w:rFonts w:ascii="Calibri" w:hAnsi="Calibri"/>
          <w:color w:val="auto"/>
          <w:szCs w:val="24"/>
        </w:rPr>
        <w:t xml:space="preserve">) </w:t>
      </w:r>
      <w:r w:rsidR="00381728" w:rsidRPr="00381728">
        <w:rPr>
          <w:rFonts w:asciiTheme="minorHAnsi" w:hAnsiTheme="minorHAnsi"/>
          <w:color w:val="auto"/>
          <w:szCs w:val="24"/>
        </w:rPr>
        <w:t xml:space="preserve">for the </w:t>
      </w:r>
      <w:r w:rsidR="00381728">
        <w:rPr>
          <w:rFonts w:asciiTheme="minorHAnsi" w:hAnsiTheme="minorHAnsi"/>
          <w:color w:val="auto"/>
          <w:szCs w:val="24"/>
        </w:rPr>
        <w:t>right ankle</w:t>
      </w:r>
      <w:r w:rsidR="00381728" w:rsidRPr="00381728">
        <w:rPr>
          <w:rFonts w:asciiTheme="minorHAnsi" w:hAnsiTheme="minorHAnsi"/>
          <w:color w:val="auto"/>
          <w:szCs w:val="24"/>
        </w:rPr>
        <w:t xml:space="preserve"> condition</w:t>
      </w:r>
      <w:r w:rsidR="00381728">
        <w:rPr>
          <w:rFonts w:asciiTheme="minorHAnsi" w:hAnsiTheme="minorHAnsi"/>
          <w:color w:val="auto"/>
          <w:szCs w:val="24"/>
        </w:rPr>
        <w:t xml:space="preserve"> coded </w:t>
      </w:r>
      <w:r w:rsidR="00FD368E">
        <w:rPr>
          <w:rFonts w:asciiTheme="minorHAnsi" w:hAnsiTheme="minorHAnsi"/>
          <w:color w:val="auto"/>
          <w:szCs w:val="24"/>
        </w:rPr>
        <w:t>5010-5003</w:t>
      </w:r>
      <w:r w:rsidR="00381728" w:rsidRPr="00381728">
        <w:rPr>
          <w:rFonts w:asciiTheme="minorHAnsi" w:hAnsiTheme="minorHAnsi"/>
          <w:color w:val="auto"/>
          <w:szCs w:val="24"/>
        </w:rPr>
        <w:t>.</w:t>
      </w:r>
    </w:p>
    <w:p w:rsidR="00601C3F" w:rsidRDefault="00601C3F" w:rsidP="00777463">
      <w:pPr>
        <w:tabs>
          <w:tab w:val="left" w:pos="288"/>
          <w:tab w:val="left" w:pos="4752"/>
        </w:tabs>
        <w:spacing w:line="240" w:lineRule="exact"/>
        <w:jc w:val="both"/>
        <w:rPr>
          <w:rFonts w:asciiTheme="minorHAnsi" w:hAnsiTheme="minorHAnsi"/>
          <w:color w:val="auto"/>
          <w:szCs w:val="24"/>
        </w:rPr>
      </w:pPr>
    </w:p>
    <w:p w:rsidR="00771857" w:rsidRPr="00763D46" w:rsidRDefault="00601C3F" w:rsidP="00771857">
      <w:pPr>
        <w:tabs>
          <w:tab w:val="left" w:pos="288"/>
          <w:tab w:val="left" w:pos="4752"/>
        </w:tabs>
        <w:spacing w:line="240" w:lineRule="exact"/>
        <w:jc w:val="both"/>
        <w:rPr>
          <w:rFonts w:asciiTheme="minorHAnsi" w:hAnsiTheme="minorHAnsi"/>
          <w:color w:val="auto"/>
          <w:szCs w:val="24"/>
        </w:rPr>
      </w:pPr>
      <w:proofErr w:type="gramStart"/>
      <w:r w:rsidRPr="00771857">
        <w:rPr>
          <w:rFonts w:asciiTheme="minorHAnsi" w:hAnsiTheme="minorHAnsi"/>
          <w:color w:val="auto"/>
          <w:szCs w:val="24"/>
          <w:u w:val="single"/>
        </w:rPr>
        <w:t>Low Back Condition</w:t>
      </w:r>
      <w:r w:rsidRPr="00542C9A">
        <w:rPr>
          <w:rFonts w:asciiTheme="minorHAnsi" w:hAnsiTheme="minorHAnsi"/>
          <w:color w:val="auto"/>
          <w:szCs w:val="24"/>
        </w:rPr>
        <w:t>.</w:t>
      </w:r>
      <w:proofErr w:type="gramEnd"/>
      <w:r w:rsidRPr="00542C9A">
        <w:rPr>
          <w:rFonts w:asciiTheme="minorHAnsi" w:hAnsiTheme="minorHAnsi"/>
          <w:color w:val="auto"/>
          <w:szCs w:val="24"/>
        </w:rPr>
        <w:t xml:space="preserve">  </w:t>
      </w:r>
      <w:r w:rsidR="00771857">
        <w:rPr>
          <w:rFonts w:asciiTheme="minorHAnsi" w:hAnsiTheme="minorHAnsi"/>
          <w:color w:val="auto"/>
          <w:szCs w:val="24"/>
        </w:rPr>
        <w:t>The NARSUM back exam was fairly cursory and consisted of the following entry, “</w:t>
      </w:r>
      <w:r w:rsidR="00771857" w:rsidRPr="00771857">
        <w:rPr>
          <w:rFonts w:asciiTheme="minorHAnsi" w:hAnsiTheme="minorHAnsi"/>
          <w:color w:val="auto"/>
          <w:szCs w:val="24"/>
        </w:rPr>
        <w:t xml:space="preserve">Examination of the lumbar spine shows full range of motion. </w:t>
      </w:r>
      <w:r w:rsidR="00873E53">
        <w:rPr>
          <w:rFonts w:asciiTheme="minorHAnsi" w:hAnsiTheme="minorHAnsi"/>
          <w:color w:val="auto"/>
          <w:szCs w:val="24"/>
        </w:rPr>
        <w:t xml:space="preserve"> </w:t>
      </w:r>
      <w:r w:rsidR="00771857" w:rsidRPr="00771857">
        <w:rPr>
          <w:rFonts w:asciiTheme="minorHAnsi" w:hAnsiTheme="minorHAnsi"/>
          <w:color w:val="auto"/>
          <w:szCs w:val="24"/>
        </w:rPr>
        <w:t xml:space="preserve">Waddell signs are negative for 5/5. </w:t>
      </w:r>
      <w:r w:rsidR="00873E53">
        <w:rPr>
          <w:rFonts w:asciiTheme="minorHAnsi" w:hAnsiTheme="minorHAnsi"/>
          <w:color w:val="auto"/>
          <w:szCs w:val="24"/>
        </w:rPr>
        <w:t xml:space="preserve"> </w:t>
      </w:r>
      <w:r w:rsidR="00771857" w:rsidRPr="00771857">
        <w:rPr>
          <w:rFonts w:asciiTheme="minorHAnsi" w:hAnsiTheme="minorHAnsi"/>
          <w:color w:val="auto"/>
          <w:szCs w:val="24"/>
        </w:rPr>
        <w:t>Straight leg raise is negative bilaterally.</w:t>
      </w:r>
      <w:r w:rsidR="00771857">
        <w:rPr>
          <w:rFonts w:asciiTheme="minorHAnsi" w:hAnsiTheme="minorHAnsi"/>
          <w:color w:val="auto"/>
          <w:szCs w:val="24"/>
        </w:rPr>
        <w:t xml:space="preserve">”  No goniometric measurements were provided by the MEB.  The pre-separation VA C&amp;P examination provided goniometric measurements of 80⁰ flexion and </w:t>
      </w:r>
      <w:r w:rsidR="00771857" w:rsidRPr="00771857">
        <w:rPr>
          <w:rFonts w:asciiTheme="minorHAnsi" w:hAnsiTheme="minorHAnsi"/>
          <w:color w:val="auto"/>
          <w:szCs w:val="24"/>
        </w:rPr>
        <w:t>220⁰</w:t>
      </w:r>
      <w:r w:rsidR="00771857">
        <w:rPr>
          <w:rFonts w:asciiTheme="minorHAnsi" w:hAnsiTheme="minorHAnsi"/>
          <w:color w:val="auto"/>
          <w:szCs w:val="24"/>
        </w:rPr>
        <w:t xml:space="preserve"> combined ROM.  The VA examiner documented mild tenderness and painful motion on lateral excursion.  </w:t>
      </w:r>
      <w:r w:rsidR="00737F16">
        <w:rPr>
          <w:rFonts w:asciiTheme="minorHAnsi" w:hAnsiTheme="minorHAnsi"/>
          <w:color w:val="auto"/>
          <w:szCs w:val="24"/>
        </w:rPr>
        <w:t xml:space="preserve">Both the NARSUM and C&amp;P examiners documented normal gait (under ankle exam in the NARSUM) and no abnormal spinal contour is in evidence.  There was a paucity of other clinical evidence in the service records which was useful for </w:t>
      </w:r>
      <w:r w:rsidR="00737F16" w:rsidRPr="00737F16">
        <w:rPr>
          <w:rFonts w:asciiTheme="minorHAnsi" w:hAnsiTheme="minorHAnsi"/>
          <w:color w:val="auto"/>
          <w:szCs w:val="24"/>
        </w:rPr>
        <w:t>§4.71a</w:t>
      </w:r>
      <w:r w:rsidR="00737F16" w:rsidRPr="00F5755D">
        <w:rPr>
          <w:rFonts w:asciiTheme="minorHAnsi" w:eastAsiaTheme="minorHAnsi" w:hAnsiTheme="minorHAnsi"/>
          <w:color w:val="auto"/>
          <w:sz w:val="22"/>
          <w:szCs w:val="22"/>
        </w:rPr>
        <w:t xml:space="preserve"> </w:t>
      </w:r>
      <w:r w:rsidR="00737F16">
        <w:rPr>
          <w:rFonts w:asciiTheme="minorHAnsi" w:hAnsiTheme="minorHAnsi"/>
          <w:color w:val="auto"/>
          <w:szCs w:val="24"/>
        </w:rPr>
        <w:t xml:space="preserve">rating purposes, and of note there was no lumbar impairment implicated in the Commander’s statement.  The Board must consider the heavy probative value advantage of the VA exam since it was the only one compliant with the </w:t>
      </w:r>
      <w:r w:rsidR="00737F16" w:rsidRPr="00763D46">
        <w:rPr>
          <w:rFonts w:asciiTheme="minorHAnsi" w:hAnsiTheme="minorHAnsi"/>
          <w:color w:val="auto"/>
          <w:szCs w:val="24"/>
        </w:rPr>
        <w:t xml:space="preserve">VASRD </w:t>
      </w:r>
      <w:r w:rsidR="00763D46" w:rsidRPr="00763D46">
        <w:rPr>
          <w:rFonts w:ascii="Calibri" w:hAnsi="Calibri"/>
          <w:color w:val="auto"/>
          <w:szCs w:val="24"/>
        </w:rPr>
        <w:t xml:space="preserve">§4.46 (accurate measurement) </w:t>
      </w:r>
      <w:r w:rsidR="00763D46">
        <w:rPr>
          <w:rFonts w:ascii="Calibri" w:hAnsi="Calibri"/>
          <w:color w:val="auto"/>
          <w:szCs w:val="24"/>
        </w:rPr>
        <w:t>mandate</w:t>
      </w:r>
      <w:r w:rsidR="00763D46" w:rsidRPr="00763D46">
        <w:rPr>
          <w:rFonts w:ascii="Calibri" w:hAnsi="Calibri"/>
          <w:color w:val="auto"/>
          <w:szCs w:val="24"/>
        </w:rPr>
        <w:t xml:space="preserve"> for goniometric measurem</w:t>
      </w:r>
      <w:r w:rsidR="00763D46">
        <w:rPr>
          <w:rFonts w:ascii="Calibri" w:hAnsi="Calibri"/>
          <w:color w:val="auto"/>
          <w:szCs w:val="24"/>
        </w:rPr>
        <w:t xml:space="preserve">ents.  The VA exam was also superior in detail and </w:t>
      </w:r>
      <w:r w:rsidR="00B559DB">
        <w:rPr>
          <w:rFonts w:ascii="Calibri" w:hAnsi="Calibri"/>
          <w:color w:val="auto"/>
          <w:szCs w:val="24"/>
        </w:rPr>
        <w:t xml:space="preserve">credibly </w:t>
      </w:r>
      <w:r w:rsidR="00763D46">
        <w:rPr>
          <w:rFonts w:ascii="Calibri" w:hAnsi="Calibri"/>
          <w:color w:val="auto"/>
          <w:szCs w:val="24"/>
        </w:rPr>
        <w:t xml:space="preserve">evidenced spinal tenderness and painful motion.  The flexion measurement, </w:t>
      </w:r>
      <w:r w:rsidR="00B559DB">
        <w:rPr>
          <w:rFonts w:ascii="Calibri" w:hAnsi="Calibri"/>
          <w:color w:val="auto"/>
          <w:szCs w:val="24"/>
        </w:rPr>
        <w:t xml:space="preserve">the </w:t>
      </w:r>
      <w:r w:rsidR="00763D46">
        <w:rPr>
          <w:rFonts w:ascii="Calibri" w:hAnsi="Calibri"/>
          <w:color w:val="auto"/>
          <w:szCs w:val="24"/>
        </w:rPr>
        <w:t xml:space="preserve">tenderness, or painful motion would </w:t>
      </w:r>
      <w:r w:rsidR="00B559DB">
        <w:rPr>
          <w:rFonts w:ascii="Calibri" w:hAnsi="Calibri"/>
          <w:color w:val="auto"/>
          <w:szCs w:val="24"/>
        </w:rPr>
        <w:t>individually</w:t>
      </w:r>
      <w:r w:rsidR="00763D46">
        <w:rPr>
          <w:rFonts w:ascii="Calibri" w:hAnsi="Calibri"/>
          <w:color w:val="auto"/>
          <w:szCs w:val="24"/>
        </w:rPr>
        <w:t xml:space="preserve"> confer a 10% rating IAW VASRD </w:t>
      </w:r>
      <w:r w:rsidR="00763D46" w:rsidRPr="00737F16">
        <w:rPr>
          <w:rFonts w:asciiTheme="minorHAnsi" w:hAnsiTheme="minorHAnsi"/>
          <w:color w:val="auto"/>
          <w:szCs w:val="24"/>
        </w:rPr>
        <w:t>§4.71a</w:t>
      </w:r>
      <w:r w:rsidR="00763D46">
        <w:rPr>
          <w:rFonts w:asciiTheme="minorHAnsi" w:hAnsiTheme="minorHAnsi"/>
          <w:color w:val="auto"/>
          <w:szCs w:val="24"/>
        </w:rPr>
        <w:t xml:space="preserve">.  The PEB code of 5237 is a better fit with the evidence at separation since the VA coding for disc disease and </w:t>
      </w:r>
      <w:proofErr w:type="spellStart"/>
      <w:r w:rsidR="00763D46">
        <w:rPr>
          <w:rFonts w:asciiTheme="minorHAnsi" w:hAnsiTheme="minorHAnsi"/>
          <w:color w:val="auto"/>
          <w:szCs w:val="24"/>
        </w:rPr>
        <w:t>radicular</w:t>
      </w:r>
      <w:proofErr w:type="spellEnd"/>
      <w:r w:rsidR="00763D46">
        <w:rPr>
          <w:rFonts w:asciiTheme="minorHAnsi" w:hAnsiTheme="minorHAnsi"/>
          <w:color w:val="auto"/>
          <w:szCs w:val="24"/>
        </w:rPr>
        <w:t xml:space="preserve"> symptoms was not well supported by the clinical picture. </w:t>
      </w:r>
      <w:r w:rsidR="00763D46" w:rsidRPr="00763D46">
        <w:rPr>
          <w:rFonts w:asciiTheme="minorHAnsi" w:hAnsiTheme="minorHAnsi"/>
          <w:color w:val="auto"/>
          <w:szCs w:val="24"/>
        </w:rPr>
        <w:t xml:space="preserve"> </w:t>
      </w:r>
      <w:r w:rsidR="00763D46" w:rsidRPr="00AB17E4">
        <w:rPr>
          <w:rFonts w:asciiTheme="minorHAnsi" w:hAnsiTheme="minorHAnsi"/>
          <w:color w:val="auto"/>
          <w:szCs w:val="24"/>
        </w:rPr>
        <w:t xml:space="preserve">After due deliberation, considering all </w:t>
      </w:r>
      <w:r w:rsidR="00763D46" w:rsidRPr="00AB17E4">
        <w:rPr>
          <w:rFonts w:asciiTheme="minorHAnsi" w:hAnsiTheme="minorHAnsi"/>
          <w:color w:val="auto"/>
          <w:szCs w:val="24"/>
        </w:rPr>
        <w:lastRenderedPageBreak/>
        <w:t xml:space="preserve">of the evidence and mindful of VASRD §4.3 (reasonable doubt), the Board recommends a separation rating </w:t>
      </w:r>
      <w:r w:rsidR="00763D46" w:rsidRPr="00763D46">
        <w:rPr>
          <w:rFonts w:asciiTheme="minorHAnsi" w:hAnsiTheme="minorHAnsi"/>
          <w:color w:val="auto"/>
          <w:szCs w:val="24"/>
        </w:rPr>
        <w:t>of 10% for</w:t>
      </w:r>
      <w:r w:rsidR="00763D46" w:rsidRPr="00AB17E4">
        <w:rPr>
          <w:rFonts w:asciiTheme="minorHAnsi" w:hAnsiTheme="minorHAnsi"/>
          <w:color w:val="auto"/>
          <w:szCs w:val="24"/>
        </w:rPr>
        <w:t xml:space="preserve"> the </w:t>
      </w:r>
      <w:r w:rsidR="00763D46">
        <w:rPr>
          <w:rFonts w:asciiTheme="minorHAnsi" w:hAnsiTheme="minorHAnsi"/>
          <w:color w:val="auto"/>
          <w:szCs w:val="24"/>
        </w:rPr>
        <w:t>back pain</w:t>
      </w:r>
      <w:r w:rsidR="00763D46" w:rsidRPr="00AB17E4">
        <w:rPr>
          <w:rFonts w:asciiTheme="minorHAnsi" w:hAnsiTheme="minorHAnsi"/>
          <w:color w:val="auto"/>
          <w:szCs w:val="24"/>
        </w:rPr>
        <w:t xml:space="preserve"> condition coded </w:t>
      </w:r>
      <w:r w:rsidR="00763D46">
        <w:rPr>
          <w:rFonts w:asciiTheme="minorHAnsi" w:hAnsiTheme="minorHAnsi"/>
          <w:color w:val="auto"/>
          <w:szCs w:val="24"/>
        </w:rPr>
        <w:t>5237</w:t>
      </w:r>
      <w:r w:rsidR="00763D46" w:rsidRPr="00AB17E4">
        <w:rPr>
          <w:rFonts w:asciiTheme="minorHAnsi" w:hAnsiTheme="minorHAnsi"/>
          <w:color w:val="auto"/>
          <w:szCs w:val="24"/>
        </w:rPr>
        <w:t>.</w:t>
      </w:r>
    </w:p>
    <w:p w:rsidR="00F07052" w:rsidRPr="00763D46" w:rsidRDefault="00AB17E4" w:rsidP="00777463">
      <w:pPr>
        <w:tabs>
          <w:tab w:val="left" w:pos="288"/>
          <w:tab w:val="left" w:pos="4752"/>
        </w:tabs>
        <w:spacing w:line="240" w:lineRule="exact"/>
        <w:jc w:val="both"/>
        <w:rPr>
          <w:rFonts w:asciiTheme="minorHAnsi" w:hAnsiTheme="minorHAnsi"/>
          <w:color w:val="auto"/>
          <w:szCs w:val="24"/>
        </w:rPr>
      </w:pPr>
      <w:r w:rsidRPr="00AB17E4">
        <w:rPr>
          <w:rFonts w:asciiTheme="minorHAnsi" w:hAnsiTheme="minorHAnsi"/>
          <w:color w:val="auto"/>
          <w:szCs w:val="24"/>
        </w:rPr>
        <w:t xml:space="preserve"> </w:t>
      </w:r>
    </w:p>
    <w:p w:rsidR="0073254D" w:rsidRPr="00AE3316" w:rsidRDefault="0073254D" w:rsidP="001435D2">
      <w:pPr>
        <w:spacing w:line="240" w:lineRule="exact"/>
        <w:jc w:val="both"/>
        <w:rPr>
          <w:rFonts w:asciiTheme="minorHAnsi" w:hAnsiTheme="minorHAnsi"/>
          <w:color w:val="auto"/>
          <w:szCs w:val="24"/>
        </w:rPr>
      </w:pPr>
      <w:proofErr w:type="gramStart"/>
      <w:r w:rsidRPr="00542C9A">
        <w:rPr>
          <w:rFonts w:asciiTheme="minorHAnsi" w:hAnsiTheme="minorHAnsi"/>
          <w:color w:val="auto"/>
          <w:szCs w:val="24"/>
          <w:u w:val="single"/>
        </w:rPr>
        <w:t xml:space="preserve">Other </w:t>
      </w:r>
      <w:r w:rsidR="00AB17E4">
        <w:rPr>
          <w:rFonts w:asciiTheme="minorHAnsi" w:hAnsiTheme="minorHAnsi"/>
          <w:color w:val="auto"/>
          <w:szCs w:val="24"/>
          <w:u w:val="single"/>
        </w:rPr>
        <w:t>PEB</w:t>
      </w:r>
      <w:r w:rsidRPr="00542C9A">
        <w:rPr>
          <w:rFonts w:asciiTheme="minorHAnsi" w:hAnsiTheme="minorHAnsi"/>
          <w:color w:val="auto"/>
          <w:szCs w:val="24"/>
          <w:u w:val="single"/>
        </w:rPr>
        <w:t xml:space="preserve"> Conditions</w:t>
      </w:r>
      <w:r w:rsidRPr="00542C9A">
        <w:rPr>
          <w:rFonts w:asciiTheme="minorHAnsi" w:hAnsiTheme="minorHAnsi"/>
          <w:color w:val="auto"/>
          <w:szCs w:val="24"/>
        </w:rPr>
        <w:t>.</w:t>
      </w:r>
      <w:proofErr w:type="gramEnd"/>
      <w:r w:rsidRPr="00542C9A">
        <w:rPr>
          <w:rFonts w:asciiTheme="minorHAnsi" w:hAnsiTheme="minorHAnsi"/>
          <w:color w:val="auto"/>
          <w:szCs w:val="24"/>
        </w:rPr>
        <w:t xml:space="preserve">  </w:t>
      </w:r>
      <w:r w:rsidR="007E6C49" w:rsidRPr="00F36C6D">
        <w:rPr>
          <w:rFonts w:asciiTheme="minorHAnsi" w:hAnsiTheme="minorHAnsi"/>
          <w:color w:val="auto"/>
          <w:szCs w:val="24"/>
        </w:rPr>
        <w:t xml:space="preserve">Cervical spine </w:t>
      </w:r>
      <w:r w:rsidR="00A10BA3">
        <w:rPr>
          <w:rFonts w:asciiTheme="minorHAnsi" w:hAnsiTheme="minorHAnsi"/>
          <w:color w:val="auto"/>
          <w:szCs w:val="24"/>
        </w:rPr>
        <w:t>degenerative disc disease</w:t>
      </w:r>
      <w:r w:rsidR="007E6C49">
        <w:rPr>
          <w:rFonts w:asciiTheme="minorHAnsi" w:hAnsiTheme="minorHAnsi"/>
          <w:color w:val="auto"/>
          <w:szCs w:val="24"/>
        </w:rPr>
        <w:t xml:space="preserve"> </w:t>
      </w:r>
      <w:r w:rsidR="00A10BA3">
        <w:rPr>
          <w:rFonts w:asciiTheme="minorHAnsi" w:hAnsiTheme="minorHAnsi"/>
          <w:color w:val="auto"/>
          <w:szCs w:val="24"/>
        </w:rPr>
        <w:t xml:space="preserve">(DDD) </w:t>
      </w:r>
      <w:r w:rsidR="007E6C49">
        <w:rPr>
          <w:rFonts w:asciiTheme="minorHAnsi" w:hAnsiTheme="minorHAnsi"/>
          <w:color w:val="auto"/>
          <w:szCs w:val="24"/>
        </w:rPr>
        <w:t>and</w:t>
      </w:r>
      <w:r w:rsidR="00F36C6D" w:rsidRPr="00F36C6D">
        <w:rPr>
          <w:rFonts w:asciiTheme="minorHAnsi" w:hAnsiTheme="minorHAnsi"/>
          <w:color w:val="auto"/>
          <w:szCs w:val="24"/>
        </w:rPr>
        <w:t xml:space="preserve"> migraine headaches</w:t>
      </w:r>
      <w:r w:rsidR="007E6C49">
        <w:rPr>
          <w:rFonts w:asciiTheme="minorHAnsi" w:hAnsiTheme="minorHAnsi"/>
          <w:color w:val="auto"/>
          <w:szCs w:val="24"/>
        </w:rPr>
        <w:t xml:space="preserve"> were addressed in the NARSUM and forwarded to the PEB as medically unacceptable. </w:t>
      </w:r>
      <w:r w:rsidR="00F36C6D" w:rsidRPr="00F36C6D">
        <w:rPr>
          <w:rFonts w:asciiTheme="minorHAnsi" w:hAnsiTheme="minorHAnsi"/>
          <w:color w:val="auto"/>
          <w:szCs w:val="24"/>
        </w:rPr>
        <w:t xml:space="preserve"> </w:t>
      </w:r>
      <w:r w:rsidR="00A10BA3">
        <w:rPr>
          <w:rFonts w:asciiTheme="minorHAnsi" w:hAnsiTheme="minorHAnsi"/>
          <w:color w:val="auto"/>
          <w:szCs w:val="24"/>
        </w:rPr>
        <w:t xml:space="preserve">There was no history of trauma preceding the neck DDD.  </w:t>
      </w:r>
      <w:r w:rsidR="00752597">
        <w:rPr>
          <w:rFonts w:asciiTheme="minorHAnsi" w:hAnsiTheme="minorHAnsi"/>
          <w:color w:val="auto"/>
          <w:szCs w:val="24"/>
        </w:rPr>
        <w:t>The condition</w:t>
      </w:r>
      <w:r w:rsidR="00A10BA3">
        <w:rPr>
          <w:rFonts w:asciiTheme="minorHAnsi" w:hAnsiTheme="minorHAnsi"/>
          <w:color w:val="auto"/>
          <w:szCs w:val="24"/>
        </w:rPr>
        <w:t xml:space="preserve"> was chronic and stable over a period of one to two years</w:t>
      </w:r>
      <w:r w:rsidR="00752597">
        <w:rPr>
          <w:rFonts w:asciiTheme="minorHAnsi" w:hAnsiTheme="minorHAnsi"/>
          <w:color w:val="auto"/>
          <w:szCs w:val="24"/>
        </w:rPr>
        <w:t xml:space="preserve">, and </w:t>
      </w:r>
      <w:r w:rsidR="00752597" w:rsidRPr="00752597">
        <w:rPr>
          <w:rFonts w:asciiTheme="minorHAnsi" w:hAnsiTheme="minorHAnsi"/>
          <w:color w:val="auto"/>
          <w:szCs w:val="24"/>
        </w:rPr>
        <w:t xml:space="preserve">was not profiled or implicated in the Commander’s statement as </w:t>
      </w:r>
      <w:proofErr w:type="gramStart"/>
      <w:r w:rsidR="00752597" w:rsidRPr="00752597">
        <w:rPr>
          <w:rFonts w:asciiTheme="minorHAnsi" w:hAnsiTheme="minorHAnsi"/>
          <w:color w:val="auto"/>
          <w:szCs w:val="24"/>
        </w:rPr>
        <w:t>a duty</w:t>
      </w:r>
      <w:proofErr w:type="gramEnd"/>
      <w:r w:rsidR="00752597" w:rsidRPr="00752597">
        <w:rPr>
          <w:rFonts w:asciiTheme="minorHAnsi" w:hAnsiTheme="minorHAnsi"/>
          <w:color w:val="auto"/>
          <w:szCs w:val="24"/>
        </w:rPr>
        <w:t xml:space="preserve"> impairment.  </w:t>
      </w:r>
      <w:r w:rsidR="00A10BA3">
        <w:rPr>
          <w:rFonts w:asciiTheme="minorHAnsi" w:hAnsiTheme="minorHAnsi"/>
          <w:color w:val="auto"/>
          <w:szCs w:val="24"/>
        </w:rPr>
        <w:t xml:space="preserve">Weekly migraine headaches had been present for six years in a stable pattern.  The condition </w:t>
      </w:r>
      <w:r w:rsidR="00752597">
        <w:rPr>
          <w:rFonts w:asciiTheme="minorHAnsi" w:hAnsiTheme="minorHAnsi"/>
          <w:color w:val="auto"/>
          <w:szCs w:val="24"/>
        </w:rPr>
        <w:t>did not appear on the CI’s profile until after the MEB had begun, and was not</w:t>
      </w:r>
      <w:r w:rsidR="00A10BA3">
        <w:rPr>
          <w:rFonts w:asciiTheme="minorHAnsi" w:hAnsiTheme="minorHAnsi"/>
          <w:color w:val="auto"/>
          <w:szCs w:val="24"/>
        </w:rPr>
        <w:t xml:space="preserve"> implicated in the Commander’s statement as duty impair</w:t>
      </w:r>
      <w:r w:rsidR="0095547F">
        <w:rPr>
          <w:rFonts w:asciiTheme="minorHAnsi" w:hAnsiTheme="minorHAnsi"/>
          <w:color w:val="auto"/>
          <w:szCs w:val="24"/>
        </w:rPr>
        <w:t>ing</w:t>
      </w:r>
      <w:r w:rsidR="00A10BA3">
        <w:rPr>
          <w:rFonts w:asciiTheme="minorHAnsi" w:hAnsiTheme="minorHAnsi"/>
          <w:color w:val="auto"/>
          <w:szCs w:val="24"/>
        </w:rPr>
        <w:t xml:space="preserve">.  </w:t>
      </w:r>
      <w:r w:rsidR="00752597" w:rsidRPr="00F36C6D">
        <w:rPr>
          <w:rFonts w:asciiTheme="minorHAnsi" w:hAnsiTheme="minorHAnsi"/>
          <w:color w:val="auto"/>
          <w:szCs w:val="24"/>
        </w:rPr>
        <w:t>Left</w:t>
      </w:r>
      <w:r w:rsidR="00F36C6D" w:rsidRPr="00F36C6D">
        <w:rPr>
          <w:rFonts w:asciiTheme="minorHAnsi" w:hAnsiTheme="minorHAnsi"/>
          <w:color w:val="auto"/>
          <w:szCs w:val="24"/>
        </w:rPr>
        <w:t xml:space="preserve"> ankle pain, intraocular hypertension, </w:t>
      </w:r>
      <w:r w:rsidR="007E6C49" w:rsidRPr="007E6C49">
        <w:rPr>
          <w:rFonts w:asciiTheme="minorHAnsi" w:hAnsiTheme="minorHAnsi"/>
          <w:color w:val="auto"/>
          <w:szCs w:val="24"/>
        </w:rPr>
        <w:t xml:space="preserve">cervical spine </w:t>
      </w:r>
      <w:r w:rsidR="00752597">
        <w:rPr>
          <w:rFonts w:asciiTheme="minorHAnsi" w:hAnsiTheme="minorHAnsi"/>
          <w:color w:val="auto"/>
          <w:szCs w:val="24"/>
        </w:rPr>
        <w:t>degenerative joint disease (</w:t>
      </w:r>
      <w:r w:rsidR="007E6C49" w:rsidRPr="007E6C49">
        <w:rPr>
          <w:rFonts w:asciiTheme="minorHAnsi" w:hAnsiTheme="minorHAnsi"/>
          <w:color w:val="auto"/>
          <w:szCs w:val="24"/>
        </w:rPr>
        <w:t>D</w:t>
      </w:r>
      <w:r w:rsidR="007E6C49">
        <w:rPr>
          <w:rFonts w:asciiTheme="minorHAnsi" w:hAnsiTheme="minorHAnsi"/>
          <w:color w:val="auto"/>
          <w:szCs w:val="24"/>
        </w:rPr>
        <w:t>J</w:t>
      </w:r>
      <w:r w:rsidR="007E6C49" w:rsidRPr="007E6C49">
        <w:rPr>
          <w:rFonts w:asciiTheme="minorHAnsi" w:hAnsiTheme="minorHAnsi"/>
          <w:color w:val="auto"/>
          <w:szCs w:val="24"/>
        </w:rPr>
        <w:t>D</w:t>
      </w:r>
      <w:r w:rsidR="00752597">
        <w:rPr>
          <w:rFonts w:asciiTheme="minorHAnsi" w:hAnsiTheme="minorHAnsi"/>
          <w:color w:val="auto"/>
          <w:szCs w:val="24"/>
        </w:rPr>
        <w:t>)</w:t>
      </w:r>
      <w:r w:rsidR="007E6C49" w:rsidRPr="007E6C49">
        <w:rPr>
          <w:rFonts w:asciiTheme="minorHAnsi" w:hAnsiTheme="minorHAnsi"/>
          <w:color w:val="auto"/>
          <w:szCs w:val="24"/>
        </w:rPr>
        <w:t xml:space="preserve"> </w:t>
      </w:r>
      <w:r w:rsidR="00F36C6D" w:rsidRPr="00F36C6D">
        <w:rPr>
          <w:rFonts w:asciiTheme="minorHAnsi" w:hAnsiTheme="minorHAnsi"/>
          <w:color w:val="auto"/>
          <w:szCs w:val="24"/>
        </w:rPr>
        <w:t xml:space="preserve">and </w:t>
      </w:r>
      <w:r w:rsidR="00752597">
        <w:rPr>
          <w:rFonts w:asciiTheme="minorHAnsi" w:hAnsiTheme="minorHAnsi"/>
          <w:color w:val="auto"/>
          <w:szCs w:val="24"/>
        </w:rPr>
        <w:t>r</w:t>
      </w:r>
      <w:r w:rsidR="007E6C49" w:rsidRPr="00F36C6D">
        <w:rPr>
          <w:rFonts w:asciiTheme="minorHAnsi" w:hAnsiTheme="minorHAnsi"/>
          <w:color w:val="auto"/>
          <w:szCs w:val="24"/>
        </w:rPr>
        <w:t>ight shoulder impingement</w:t>
      </w:r>
      <w:r w:rsidR="00752597">
        <w:rPr>
          <w:rFonts w:asciiTheme="minorHAnsi" w:hAnsiTheme="minorHAnsi"/>
          <w:color w:val="auto"/>
          <w:szCs w:val="24"/>
        </w:rPr>
        <w:t xml:space="preserve"> also appeared on the DA </w:t>
      </w:r>
      <w:r w:rsidR="00873E53">
        <w:rPr>
          <w:rFonts w:asciiTheme="minorHAnsi" w:hAnsiTheme="minorHAnsi"/>
          <w:color w:val="auto"/>
          <w:szCs w:val="24"/>
        </w:rPr>
        <w:t xml:space="preserve">Form </w:t>
      </w:r>
      <w:r w:rsidR="00752597">
        <w:rPr>
          <w:rFonts w:asciiTheme="minorHAnsi" w:hAnsiTheme="minorHAnsi"/>
          <w:color w:val="auto"/>
          <w:szCs w:val="24"/>
        </w:rPr>
        <w:t>3947</w:t>
      </w:r>
      <w:r w:rsidR="00F36C6D" w:rsidRPr="00F36C6D">
        <w:rPr>
          <w:rFonts w:asciiTheme="minorHAnsi" w:hAnsiTheme="minorHAnsi"/>
          <w:color w:val="auto"/>
          <w:szCs w:val="24"/>
        </w:rPr>
        <w:t>.</w:t>
      </w:r>
      <w:r w:rsidR="00752597">
        <w:rPr>
          <w:rFonts w:asciiTheme="minorHAnsi" w:hAnsiTheme="minorHAnsi"/>
          <w:color w:val="auto"/>
          <w:szCs w:val="24"/>
        </w:rPr>
        <w:t xml:space="preserve">  Each of t</w:t>
      </w:r>
      <w:r>
        <w:rPr>
          <w:rFonts w:asciiTheme="minorHAnsi" w:hAnsiTheme="minorHAnsi"/>
          <w:color w:val="auto"/>
          <w:szCs w:val="24"/>
        </w:rPr>
        <w:t>h</w:t>
      </w:r>
      <w:r w:rsidR="00752597">
        <w:rPr>
          <w:rFonts w:asciiTheme="minorHAnsi" w:hAnsiTheme="minorHAnsi"/>
          <w:color w:val="auto"/>
          <w:szCs w:val="24"/>
        </w:rPr>
        <w:t>es</w:t>
      </w:r>
      <w:r>
        <w:rPr>
          <w:rFonts w:asciiTheme="minorHAnsi" w:hAnsiTheme="minorHAnsi"/>
          <w:color w:val="auto"/>
          <w:szCs w:val="24"/>
        </w:rPr>
        <w:t>e condition</w:t>
      </w:r>
      <w:r w:rsidR="00752597">
        <w:rPr>
          <w:rFonts w:asciiTheme="minorHAnsi" w:hAnsiTheme="minorHAnsi"/>
          <w:color w:val="auto"/>
          <w:szCs w:val="24"/>
        </w:rPr>
        <w:t>s</w:t>
      </w:r>
      <w:r>
        <w:rPr>
          <w:rFonts w:asciiTheme="minorHAnsi" w:hAnsiTheme="minorHAnsi"/>
          <w:color w:val="auto"/>
          <w:szCs w:val="24"/>
        </w:rPr>
        <w:t xml:space="preserve"> was judged to be within </w:t>
      </w:r>
      <w:r w:rsidRPr="00752597">
        <w:rPr>
          <w:rFonts w:asciiTheme="minorHAnsi" w:hAnsiTheme="minorHAnsi"/>
          <w:color w:val="auto"/>
          <w:szCs w:val="24"/>
        </w:rPr>
        <w:t xml:space="preserve">AR 40-501 standards, was not profiled and was not identified as </w:t>
      </w:r>
      <w:proofErr w:type="gramStart"/>
      <w:r w:rsidRPr="00752597">
        <w:rPr>
          <w:rFonts w:asciiTheme="minorHAnsi" w:hAnsiTheme="minorHAnsi"/>
          <w:color w:val="auto"/>
          <w:szCs w:val="24"/>
        </w:rPr>
        <w:t>an impairment</w:t>
      </w:r>
      <w:proofErr w:type="gramEnd"/>
      <w:r w:rsidRPr="00752597">
        <w:rPr>
          <w:rFonts w:asciiTheme="minorHAnsi" w:hAnsiTheme="minorHAnsi"/>
          <w:color w:val="auto"/>
          <w:szCs w:val="24"/>
        </w:rPr>
        <w:t xml:space="preserve"> in the</w:t>
      </w:r>
      <w:r>
        <w:rPr>
          <w:rFonts w:asciiTheme="minorHAnsi" w:hAnsiTheme="minorHAnsi"/>
          <w:color w:val="auto"/>
          <w:szCs w:val="24"/>
        </w:rPr>
        <w:t xml:space="preserve"> Commander’s statement</w:t>
      </w:r>
      <w:r w:rsidRPr="00B559DB">
        <w:rPr>
          <w:rFonts w:asciiTheme="minorHAnsi" w:hAnsiTheme="minorHAnsi"/>
          <w:color w:val="auto"/>
          <w:szCs w:val="24"/>
        </w:rPr>
        <w:t xml:space="preserve">.  </w:t>
      </w:r>
      <w:r w:rsidR="00980FAC" w:rsidRPr="00B559DB">
        <w:rPr>
          <w:rFonts w:asciiTheme="minorHAnsi" w:hAnsiTheme="minorHAnsi"/>
          <w:color w:val="auto"/>
          <w:szCs w:val="24"/>
        </w:rPr>
        <w:t xml:space="preserve">As discussed above, the Board agrees with the PEB adjudication of the Anxiety and Depressive Disorder Conditions as not unfitting.  </w:t>
      </w:r>
      <w:r w:rsidRPr="00B559DB">
        <w:rPr>
          <w:rFonts w:asciiTheme="minorHAnsi" w:hAnsiTheme="minorHAnsi"/>
          <w:color w:val="auto"/>
          <w:szCs w:val="24"/>
        </w:rPr>
        <w:t>All evidence considered</w:t>
      </w:r>
      <w:proofErr w:type="gramStart"/>
      <w:r w:rsidRPr="00B559DB">
        <w:rPr>
          <w:rFonts w:asciiTheme="minorHAnsi" w:hAnsiTheme="minorHAnsi"/>
          <w:color w:val="auto"/>
          <w:szCs w:val="24"/>
        </w:rPr>
        <w:t>,</w:t>
      </w:r>
      <w:proofErr w:type="gramEnd"/>
      <w:r w:rsidRPr="00B559DB">
        <w:rPr>
          <w:rFonts w:asciiTheme="minorHAnsi" w:hAnsiTheme="minorHAnsi"/>
          <w:color w:val="auto"/>
          <w:szCs w:val="24"/>
        </w:rPr>
        <w:t xml:space="preserve"> there is not reasonable doubt in the CI’s favor supporting </w:t>
      </w:r>
      <w:proofErr w:type="spellStart"/>
      <w:r w:rsidRPr="00B559DB">
        <w:rPr>
          <w:rFonts w:asciiTheme="minorHAnsi" w:hAnsiTheme="minorHAnsi"/>
          <w:color w:val="auto"/>
          <w:szCs w:val="24"/>
        </w:rPr>
        <w:t>recharacterization</w:t>
      </w:r>
      <w:proofErr w:type="spellEnd"/>
      <w:r w:rsidRPr="00B559DB">
        <w:rPr>
          <w:rFonts w:asciiTheme="minorHAnsi" w:hAnsiTheme="minorHAnsi"/>
          <w:color w:val="auto"/>
          <w:szCs w:val="24"/>
        </w:rPr>
        <w:t xml:space="preserve"> of the PEB fitness adjudication for </w:t>
      </w:r>
      <w:r w:rsidR="00752597" w:rsidRPr="00B559DB">
        <w:rPr>
          <w:rFonts w:asciiTheme="minorHAnsi" w:hAnsiTheme="minorHAnsi"/>
          <w:color w:val="auto"/>
          <w:szCs w:val="24"/>
        </w:rPr>
        <w:t>any of these</w:t>
      </w:r>
      <w:r w:rsidRPr="00B559DB">
        <w:rPr>
          <w:rFonts w:asciiTheme="minorHAnsi" w:hAnsiTheme="minorHAnsi"/>
          <w:color w:val="auto"/>
          <w:szCs w:val="24"/>
        </w:rPr>
        <w:t xml:space="preserve"> condition</w:t>
      </w:r>
      <w:r w:rsidR="00752597" w:rsidRPr="00B559DB">
        <w:rPr>
          <w:rFonts w:asciiTheme="minorHAnsi" w:hAnsiTheme="minorHAnsi"/>
          <w:color w:val="auto"/>
          <w:szCs w:val="24"/>
        </w:rPr>
        <w:t>s</w:t>
      </w:r>
      <w:r w:rsidRPr="00B559DB">
        <w:rPr>
          <w:rFonts w:asciiTheme="minorHAnsi" w:hAnsiTheme="minorHAnsi"/>
          <w:color w:val="auto"/>
          <w:szCs w:val="24"/>
        </w:rPr>
        <w:t>.</w:t>
      </w:r>
    </w:p>
    <w:p w:rsidR="0073254D" w:rsidRDefault="0073254D" w:rsidP="001435D2">
      <w:pPr>
        <w:tabs>
          <w:tab w:val="left" w:pos="288"/>
          <w:tab w:val="left" w:pos="4752"/>
        </w:tabs>
        <w:spacing w:line="240" w:lineRule="exact"/>
        <w:jc w:val="both"/>
        <w:rPr>
          <w:rFonts w:asciiTheme="minorHAnsi" w:hAnsiTheme="minorHAnsi"/>
          <w:color w:val="000080"/>
          <w:szCs w:val="24"/>
          <w:u w:val="single"/>
        </w:rPr>
      </w:pPr>
    </w:p>
    <w:p w:rsidR="005052D4" w:rsidRPr="00542C9A" w:rsidRDefault="005052D4" w:rsidP="00777463">
      <w:pPr>
        <w:tabs>
          <w:tab w:val="left" w:pos="288"/>
          <w:tab w:val="left" w:pos="4752"/>
        </w:tabs>
        <w:spacing w:line="240" w:lineRule="exact"/>
        <w:jc w:val="both"/>
        <w:rPr>
          <w:rFonts w:asciiTheme="minorHAnsi" w:hAnsiTheme="minorHAnsi"/>
          <w:color w:val="auto"/>
          <w:szCs w:val="24"/>
        </w:rPr>
      </w:pPr>
      <w:proofErr w:type="gramStart"/>
      <w:r w:rsidRPr="00542C9A">
        <w:rPr>
          <w:rFonts w:asciiTheme="minorHAnsi" w:hAnsiTheme="minorHAnsi"/>
          <w:color w:val="auto"/>
          <w:szCs w:val="24"/>
          <w:u w:val="single"/>
        </w:rPr>
        <w:t>Other Conditions</w:t>
      </w:r>
      <w:r w:rsidRPr="00542C9A">
        <w:rPr>
          <w:rFonts w:asciiTheme="minorHAnsi" w:hAnsiTheme="minorHAnsi"/>
          <w:color w:val="auto"/>
          <w:szCs w:val="24"/>
        </w:rPr>
        <w:t>.</w:t>
      </w:r>
      <w:proofErr w:type="gramEnd"/>
      <w:r w:rsidRPr="00542C9A">
        <w:rPr>
          <w:rFonts w:asciiTheme="minorHAnsi" w:hAnsiTheme="minorHAnsi"/>
          <w:color w:val="auto"/>
          <w:szCs w:val="24"/>
        </w:rPr>
        <w:t xml:space="preserve">  </w:t>
      </w:r>
      <w:r w:rsidR="00FA7CF3">
        <w:rPr>
          <w:rFonts w:asciiTheme="minorHAnsi" w:hAnsiTheme="minorHAnsi"/>
          <w:color w:val="auto"/>
          <w:szCs w:val="24"/>
        </w:rPr>
        <w:t>B</w:t>
      </w:r>
      <w:r w:rsidR="00512C84">
        <w:rPr>
          <w:rFonts w:asciiTheme="minorHAnsi" w:hAnsiTheme="minorHAnsi"/>
          <w:color w:val="auto"/>
          <w:szCs w:val="24"/>
        </w:rPr>
        <w:t xml:space="preserve">ilateral knee pain appeared in the DES file, and </w:t>
      </w:r>
      <w:r w:rsidR="00FA7CF3">
        <w:rPr>
          <w:rFonts w:asciiTheme="minorHAnsi" w:hAnsiTheme="minorHAnsi"/>
          <w:color w:val="auto"/>
          <w:szCs w:val="24"/>
        </w:rPr>
        <w:t>was</w:t>
      </w:r>
      <w:r w:rsidR="00512C84">
        <w:rPr>
          <w:rFonts w:asciiTheme="minorHAnsi" w:hAnsiTheme="minorHAnsi"/>
          <w:color w:val="auto"/>
          <w:szCs w:val="24"/>
        </w:rPr>
        <w:t xml:space="preserve"> identified by the VA </w:t>
      </w:r>
      <w:r w:rsidR="00FA7CF3">
        <w:rPr>
          <w:rFonts w:asciiTheme="minorHAnsi" w:hAnsiTheme="minorHAnsi"/>
          <w:color w:val="auto"/>
          <w:szCs w:val="24"/>
        </w:rPr>
        <w:t>for compensable rating</w:t>
      </w:r>
      <w:r w:rsidR="00512C84">
        <w:rPr>
          <w:rFonts w:asciiTheme="minorHAnsi" w:hAnsiTheme="minorHAnsi"/>
          <w:color w:val="auto"/>
          <w:szCs w:val="24"/>
        </w:rPr>
        <w:t xml:space="preserve"> within 12 months of separation.</w:t>
      </w:r>
      <w:r w:rsidR="00983013" w:rsidRPr="00983013">
        <w:rPr>
          <w:rFonts w:asciiTheme="minorHAnsi" w:hAnsiTheme="minorHAnsi"/>
          <w:color w:val="auto"/>
          <w:szCs w:val="24"/>
        </w:rPr>
        <w:t xml:space="preserve"> </w:t>
      </w:r>
      <w:r w:rsidR="00983013">
        <w:rPr>
          <w:rFonts w:asciiTheme="minorHAnsi" w:hAnsiTheme="minorHAnsi"/>
          <w:color w:val="auto"/>
          <w:szCs w:val="24"/>
        </w:rPr>
        <w:t xml:space="preserve"> There is no argument favoring any link of </w:t>
      </w:r>
      <w:r w:rsidR="00FA7CF3">
        <w:rPr>
          <w:rFonts w:asciiTheme="minorHAnsi" w:hAnsiTheme="minorHAnsi"/>
          <w:color w:val="auto"/>
          <w:szCs w:val="24"/>
        </w:rPr>
        <w:t>this condition</w:t>
      </w:r>
      <w:r w:rsidR="00983013">
        <w:rPr>
          <w:rFonts w:asciiTheme="minorHAnsi" w:hAnsiTheme="minorHAnsi"/>
          <w:color w:val="auto"/>
          <w:szCs w:val="24"/>
        </w:rPr>
        <w:t xml:space="preserve"> to fitness for </w:t>
      </w:r>
      <w:r w:rsidR="00FA7CF3">
        <w:rPr>
          <w:rFonts w:asciiTheme="minorHAnsi" w:hAnsiTheme="minorHAnsi"/>
          <w:color w:val="auto"/>
          <w:szCs w:val="24"/>
        </w:rPr>
        <w:t>its</w:t>
      </w:r>
      <w:r w:rsidR="00983013">
        <w:rPr>
          <w:rFonts w:asciiTheme="minorHAnsi" w:hAnsiTheme="minorHAnsi"/>
          <w:color w:val="auto"/>
          <w:szCs w:val="24"/>
        </w:rPr>
        <w:t xml:space="preserve"> consideration by the Board as subject to additional Service rating.</w:t>
      </w:r>
      <w:r w:rsidR="00983013" w:rsidRPr="00983013">
        <w:rPr>
          <w:rFonts w:asciiTheme="minorHAnsi" w:hAnsiTheme="minorHAnsi"/>
          <w:color w:val="auto"/>
          <w:szCs w:val="24"/>
        </w:rPr>
        <w:t xml:space="preserve"> </w:t>
      </w:r>
      <w:r w:rsidR="00983013">
        <w:rPr>
          <w:rFonts w:asciiTheme="minorHAnsi" w:hAnsiTheme="minorHAnsi"/>
          <w:color w:val="auto"/>
          <w:szCs w:val="24"/>
        </w:rPr>
        <w:t xml:space="preserve"> Several relatively minor medical conditions were identified in the NARSUM and MEB physical.  These were reviewed by the Action Officer and considered by the Board.  It was determined that none could be argued as unfitting and subject to separation rating.</w:t>
      </w:r>
    </w:p>
    <w:p w:rsidR="007C4397" w:rsidRPr="002E289F" w:rsidRDefault="007C4397" w:rsidP="007C4397">
      <w:pPr>
        <w:tabs>
          <w:tab w:val="left" w:pos="288"/>
          <w:tab w:val="left" w:pos="4752"/>
        </w:tabs>
        <w:spacing w:line="240" w:lineRule="exact"/>
        <w:jc w:val="both"/>
        <w:rPr>
          <w:rFonts w:asciiTheme="minorHAnsi" w:hAnsiTheme="minorHAnsi"/>
          <w:caps/>
          <w:color w:val="auto"/>
          <w:u w:val="single"/>
        </w:rPr>
      </w:pPr>
      <w:r w:rsidRPr="002E289F">
        <w:rPr>
          <w:rFonts w:asciiTheme="minorHAnsi" w:hAnsiTheme="minorHAnsi"/>
          <w:color w:val="auto"/>
          <w:u w:val="single"/>
        </w:rPr>
        <w:t>__</w:t>
      </w:r>
      <w:r w:rsidRPr="002E289F">
        <w:rPr>
          <w:rFonts w:asciiTheme="minorHAnsi" w:hAnsiTheme="minorHAnsi"/>
          <w:color w:val="auto"/>
          <w:u w:val="single"/>
        </w:rPr>
        <w:softHyphen/>
        <w:t>____________________________________________________________________________</w:t>
      </w:r>
    </w:p>
    <w:p w:rsidR="007C4397" w:rsidRDefault="007C4397" w:rsidP="0034286F">
      <w:pPr>
        <w:tabs>
          <w:tab w:val="left" w:pos="288"/>
          <w:tab w:val="left" w:pos="4752"/>
        </w:tabs>
        <w:spacing w:line="240" w:lineRule="exact"/>
        <w:jc w:val="both"/>
        <w:rPr>
          <w:rFonts w:asciiTheme="minorHAnsi" w:hAnsiTheme="minorHAnsi"/>
          <w:color w:val="auto"/>
          <w:szCs w:val="24"/>
          <w:u w:val="single"/>
        </w:rPr>
      </w:pPr>
    </w:p>
    <w:p w:rsidR="00983013" w:rsidRPr="0034286F" w:rsidRDefault="00C56FC8" w:rsidP="0034286F">
      <w:pPr>
        <w:tabs>
          <w:tab w:val="left" w:pos="288"/>
          <w:tab w:val="left" w:pos="4752"/>
        </w:tabs>
        <w:spacing w:line="240" w:lineRule="exact"/>
        <w:jc w:val="both"/>
        <w:rPr>
          <w:rFonts w:asciiTheme="minorHAnsi" w:hAnsiTheme="minorHAnsi"/>
          <w:color w:val="auto"/>
          <w:szCs w:val="24"/>
        </w:rPr>
      </w:pPr>
      <w:r w:rsidRPr="00D718F5">
        <w:rPr>
          <w:rFonts w:asciiTheme="minorHAnsi" w:hAnsiTheme="minorHAnsi"/>
          <w:color w:val="auto"/>
          <w:szCs w:val="24"/>
          <w:u w:val="single"/>
        </w:rPr>
        <w:t>BOARD FINDINGS</w:t>
      </w:r>
      <w:r w:rsidRPr="00D718F5">
        <w:rPr>
          <w:rFonts w:asciiTheme="minorHAnsi" w:hAnsiTheme="minorHAnsi"/>
          <w:color w:val="auto"/>
          <w:szCs w:val="24"/>
        </w:rPr>
        <w:t>:</w:t>
      </w:r>
      <w:r w:rsidRPr="00D718F5">
        <w:rPr>
          <w:rFonts w:asciiTheme="minorHAnsi" w:eastAsiaTheme="minorHAnsi" w:hAnsiTheme="minorHAnsi"/>
          <w:color w:val="auto"/>
          <w:szCs w:val="24"/>
        </w:rPr>
        <w:t xml:space="preserve">  IAW </w:t>
      </w:r>
      <w:proofErr w:type="spellStart"/>
      <w:r w:rsidRPr="00D718F5">
        <w:rPr>
          <w:rFonts w:asciiTheme="minorHAnsi" w:eastAsiaTheme="minorHAnsi" w:hAnsiTheme="minorHAnsi"/>
          <w:color w:val="auto"/>
          <w:szCs w:val="24"/>
        </w:rPr>
        <w:t>DoDI</w:t>
      </w:r>
      <w:proofErr w:type="spellEnd"/>
      <w:r w:rsidRPr="00D718F5">
        <w:rPr>
          <w:rFonts w:asciiTheme="minorHAnsi" w:eastAsiaTheme="minorHAnsi" w:hAnsiTheme="minorHAnsi"/>
          <w:color w:val="auto"/>
          <w:szCs w:val="24"/>
        </w:rPr>
        <w:t xml:space="preserve"> 6040.44, provisions of </w:t>
      </w:r>
      <w:proofErr w:type="spellStart"/>
      <w:r w:rsidRPr="00D718F5">
        <w:rPr>
          <w:rFonts w:asciiTheme="minorHAnsi" w:eastAsiaTheme="minorHAnsi" w:hAnsiTheme="minorHAnsi"/>
          <w:color w:val="auto"/>
          <w:szCs w:val="24"/>
        </w:rPr>
        <w:t>DoD</w:t>
      </w:r>
      <w:proofErr w:type="spellEnd"/>
      <w:r w:rsidRPr="00D718F5">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 </w:t>
      </w:r>
      <w:r w:rsidR="001D68CF" w:rsidRPr="00D718F5">
        <w:rPr>
          <w:rFonts w:asciiTheme="minorHAnsi" w:eastAsiaTheme="minorHAnsi" w:hAnsiTheme="minorHAnsi"/>
          <w:color w:val="auto"/>
          <w:szCs w:val="24"/>
        </w:rPr>
        <w:t xml:space="preserve"> </w:t>
      </w:r>
      <w:r w:rsidR="00983013" w:rsidRPr="00D718F5">
        <w:rPr>
          <w:rFonts w:asciiTheme="minorHAnsi" w:eastAsiaTheme="minorHAnsi" w:hAnsiTheme="minorHAnsi"/>
          <w:color w:val="auto"/>
          <w:szCs w:val="24"/>
        </w:rPr>
        <w:t xml:space="preserve">As discussed above, </w:t>
      </w:r>
      <w:r w:rsidR="00763D46" w:rsidRPr="00D718F5">
        <w:rPr>
          <w:rFonts w:asciiTheme="minorHAnsi" w:eastAsiaTheme="minorHAnsi" w:hAnsiTheme="minorHAnsi"/>
          <w:color w:val="auto"/>
          <w:szCs w:val="24"/>
        </w:rPr>
        <w:t xml:space="preserve">possible </w:t>
      </w:r>
      <w:r w:rsidR="00983013" w:rsidRPr="00D718F5">
        <w:rPr>
          <w:rFonts w:asciiTheme="minorHAnsi" w:eastAsiaTheme="minorHAnsi" w:hAnsiTheme="minorHAnsi"/>
          <w:color w:val="auto"/>
          <w:szCs w:val="24"/>
        </w:rPr>
        <w:t xml:space="preserve">PEB reliance on </w:t>
      </w:r>
      <w:proofErr w:type="spellStart"/>
      <w:r w:rsidR="00983013" w:rsidRPr="00D718F5">
        <w:rPr>
          <w:rFonts w:asciiTheme="minorHAnsi" w:eastAsiaTheme="minorHAnsi" w:hAnsiTheme="minorHAnsi"/>
          <w:color w:val="auto"/>
          <w:szCs w:val="24"/>
        </w:rPr>
        <w:t>DoDI</w:t>
      </w:r>
      <w:proofErr w:type="spellEnd"/>
      <w:r w:rsidR="00983013" w:rsidRPr="00D718F5">
        <w:rPr>
          <w:rFonts w:asciiTheme="minorHAnsi" w:eastAsiaTheme="minorHAnsi" w:hAnsiTheme="minorHAnsi"/>
          <w:color w:val="auto"/>
          <w:szCs w:val="24"/>
        </w:rPr>
        <w:t xml:space="preserve"> 1332.39 for rating the cognitive disorder </w:t>
      </w:r>
      <w:r w:rsidR="00D718F5" w:rsidRPr="00D718F5">
        <w:rPr>
          <w:rFonts w:asciiTheme="minorHAnsi" w:eastAsiaTheme="minorHAnsi" w:hAnsiTheme="minorHAnsi"/>
          <w:color w:val="auto"/>
          <w:szCs w:val="24"/>
        </w:rPr>
        <w:t>may have been</w:t>
      </w:r>
      <w:r w:rsidR="00983013" w:rsidRPr="00D718F5">
        <w:rPr>
          <w:rFonts w:asciiTheme="minorHAnsi" w:eastAsiaTheme="minorHAnsi" w:hAnsiTheme="minorHAnsi"/>
          <w:color w:val="auto"/>
          <w:szCs w:val="24"/>
        </w:rPr>
        <w:t xml:space="preserve"> operant in this case and the condition</w:t>
      </w:r>
      <w:r w:rsidR="00763D46" w:rsidRPr="00D718F5">
        <w:rPr>
          <w:rFonts w:asciiTheme="minorHAnsi" w:eastAsiaTheme="minorHAnsi" w:hAnsiTheme="minorHAnsi"/>
          <w:color w:val="auto"/>
          <w:szCs w:val="24"/>
        </w:rPr>
        <w:t xml:space="preserve"> </w:t>
      </w:r>
      <w:r w:rsidR="00983013" w:rsidRPr="00D718F5">
        <w:rPr>
          <w:rFonts w:asciiTheme="minorHAnsi" w:eastAsiaTheme="minorHAnsi" w:hAnsiTheme="minorHAnsi"/>
          <w:color w:val="auto"/>
          <w:szCs w:val="24"/>
        </w:rPr>
        <w:t>was adjudicated independently of that instruction</w:t>
      </w:r>
      <w:r w:rsidR="00C77A12" w:rsidRPr="00D718F5">
        <w:rPr>
          <w:rFonts w:asciiTheme="minorHAnsi" w:eastAsiaTheme="minorHAnsi" w:hAnsiTheme="minorHAnsi"/>
          <w:color w:val="auto"/>
          <w:szCs w:val="24"/>
        </w:rPr>
        <w:t xml:space="preserve"> </w:t>
      </w:r>
      <w:r w:rsidR="00983013" w:rsidRPr="00D718F5">
        <w:rPr>
          <w:rFonts w:asciiTheme="minorHAnsi" w:eastAsiaTheme="minorHAnsi" w:hAnsiTheme="minorHAnsi"/>
          <w:color w:val="auto"/>
          <w:szCs w:val="24"/>
        </w:rPr>
        <w:t xml:space="preserve">by the Board.  In the matter of the </w:t>
      </w:r>
      <w:r w:rsidR="0095547F" w:rsidRPr="0095547F">
        <w:rPr>
          <w:rFonts w:asciiTheme="minorHAnsi" w:eastAsiaTheme="minorHAnsi" w:hAnsiTheme="minorHAnsi"/>
          <w:color w:val="auto"/>
          <w:szCs w:val="24"/>
        </w:rPr>
        <w:t xml:space="preserve">Concussive Injury with Cognitive and Psychiatric Impairment </w:t>
      </w:r>
      <w:r w:rsidR="00983013" w:rsidRPr="00D718F5">
        <w:rPr>
          <w:rFonts w:asciiTheme="minorHAnsi" w:eastAsiaTheme="minorHAnsi" w:hAnsiTheme="minorHAnsi"/>
          <w:color w:val="auto"/>
          <w:szCs w:val="24"/>
        </w:rPr>
        <w:t xml:space="preserve">condition, the Board unanimously recommends </w:t>
      </w:r>
      <w:r w:rsidR="00D718F5" w:rsidRPr="00D718F5">
        <w:rPr>
          <w:rFonts w:asciiTheme="minorHAnsi" w:eastAsiaTheme="minorHAnsi" w:hAnsiTheme="minorHAnsi"/>
          <w:color w:val="auto"/>
          <w:szCs w:val="24"/>
        </w:rPr>
        <w:t>a rating of 30% coded 8045-9304 IAW VASRD §4.130.</w:t>
      </w:r>
      <w:r w:rsidR="00983013" w:rsidRPr="00D718F5">
        <w:rPr>
          <w:rFonts w:asciiTheme="minorHAnsi" w:eastAsiaTheme="minorHAnsi" w:hAnsiTheme="minorHAnsi"/>
          <w:color w:val="auto"/>
          <w:szCs w:val="24"/>
        </w:rPr>
        <w:t xml:space="preserve">  In the matter of the </w:t>
      </w:r>
      <w:r w:rsidR="00763D46" w:rsidRPr="00D718F5">
        <w:rPr>
          <w:rFonts w:asciiTheme="minorHAnsi" w:eastAsiaTheme="minorHAnsi" w:hAnsiTheme="minorHAnsi"/>
          <w:color w:val="auto"/>
          <w:szCs w:val="24"/>
        </w:rPr>
        <w:t>right a</w:t>
      </w:r>
      <w:r w:rsidR="00983013" w:rsidRPr="00D718F5">
        <w:rPr>
          <w:rFonts w:asciiTheme="minorHAnsi" w:eastAsiaTheme="minorHAnsi" w:hAnsiTheme="minorHAnsi"/>
          <w:color w:val="auto"/>
          <w:szCs w:val="24"/>
        </w:rPr>
        <w:t xml:space="preserve">nkle condition, the Board unanimously recommends a rating of 10% coded </w:t>
      </w:r>
      <w:r w:rsidR="0034286F" w:rsidRPr="00D718F5">
        <w:rPr>
          <w:rFonts w:asciiTheme="minorHAnsi" w:hAnsiTheme="minorHAnsi"/>
          <w:color w:val="auto"/>
          <w:szCs w:val="24"/>
        </w:rPr>
        <w:t xml:space="preserve">5010-5003 </w:t>
      </w:r>
      <w:r w:rsidR="00983013" w:rsidRPr="00D718F5">
        <w:rPr>
          <w:rFonts w:asciiTheme="minorHAnsi" w:eastAsiaTheme="minorHAnsi" w:hAnsiTheme="minorHAnsi"/>
          <w:color w:val="auto"/>
          <w:szCs w:val="24"/>
        </w:rPr>
        <w:t xml:space="preserve">IAW VASRD §4.71a.  In the matter of the </w:t>
      </w:r>
      <w:r w:rsidR="0034286F" w:rsidRPr="00D718F5">
        <w:rPr>
          <w:rFonts w:asciiTheme="minorHAnsi" w:eastAsiaTheme="minorHAnsi" w:hAnsiTheme="minorHAnsi"/>
          <w:color w:val="auto"/>
          <w:szCs w:val="24"/>
        </w:rPr>
        <w:t>low b</w:t>
      </w:r>
      <w:r w:rsidR="00983013" w:rsidRPr="00D718F5">
        <w:rPr>
          <w:rFonts w:asciiTheme="minorHAnsi" w:eastAsiaTheme="minorHAnsi" w:hAnsiTheme="minorHAnsi"/>
          <w:color w:val="auto"/>
          <w:szCs w:val="24"/>
        </w:rPr>
        <w:t xml:space="preserve">ack condition, the Board unanimously recommends a rating of 10% coded 5237 IAW VASRD §4.71a.  </w:t>
      </w:r>
      <w:r w:rsidR="0034286F" w:rsidRPr="00D718F5">
        <w:rPr>
          <w:rFonts w:ascii="Calibri" w:eastAsiaTheme="minorHAnsi" w:hAnsi="Calibri"/>
          <w:color w:val="auto"/>
          <w:szCs w:val="24"/>
        </w:rPr>
        <w:t xml:space="preserve">In the matter of the </w:t>
      </w:r>
      <w:r w:rsidR="0034286F" w:rsidRPr="00D718F5">
        <w:rPr>
          <w:rFonts w:asciiTheme="minorHAnsi" w:hAnsiTheme="minorHAnsi"/>
          <w:color w:val="auto"/>
          <w:szCs w:val="24"/>
        </w:rPr>
        <w:t xml:space="preserve">Anxiety Disorder, Depressive Disorder, cervical conditions, right shoulder condition, migraine headache, left ankle condition and Intraocular Hypertension </w:t>
      </w:r>
      <w:r w:rsidR="0034286F" w:rsidRPr="00D718F5">
        <w:rPr>
          <w:rFonts w:ascii="Calibri" w:eastAsiaTheme="minorHAnsi" w:hAnsi="Calibri"/>
          <w:color w:val="auto"/>
          <w:szCs w:val="24"/>
        </w:rPr>
        <w:t xml:space="preserve">conditions, the Board unanimously recommends no </w:t>
      </w:r>
      <w:proofErr w:type="spellStart"/>
      <w:r w:rsidR="0034286F" w:rsidRPr="00D718F5">
        <w:rPr>
          <w:rFonts w:ascii="Calibri" w:eastAsiaTheme="minorHAnsi" w:hAnsi="Calibri"/>
          <w:color w:val="auto"/>
          <w:szCs w:val="24"/>
        </w:rPr>
        <w:t>recharacterization</w:t>
      </w:r>
      <w:proofErr w:type="spellEnd"/>
      <w:r w:rsidR="0034286F" w:rsidRPr="00D718F5">
        <w:rPr>
          <w:rFonts w:ascii="Calibri" w:eastAsiaTheme="minorHAnsi" w:hAnsi="Calibri"/>
          <w:color w:val="auto"/>
          <w:szCs w:val="24"/>
        </w:rPr>
        <w:t xml:space="preserve"> of the PEB adjudications as not unfitting.</w:t>
      </w:r>
      <w:r w:rsidR="0034286F" w:rsidRPr="00D718F5">
        <w:rPr>
          <w:rFonts w:asciiTheme="minorHAnsi" w:hAnsiTheme="minorHAnsi"/>
          <w:color w:val="auto"/>
          <w:szCs w:val="24"/>
        </w:rPr>
        <w:t xml:space="preserve">  </w:t>
      </w:r>
      <w:r w:rsidR="00983013" w:rsidRPr="00D718F5">
        <w:rPr>
          <w:rFonts w:asciiTheme="minorHAnsi" w:eastAsiaTheme="minorHAnsi" w:hAnsiTheme="minorHAnsi"/>
          <w:color w:val="auto"/>
          <w:szCs w:val="24"/>
        </w:rPr>
        <w:t>The Board unanimously agrees that there were no other conditions eligible for Board consideration which could be recommended as additionally unfitting for rating at separation.</w:t>
      </w:r>
    </w:p>
    <w:p w:rsidR="002E289F" w:rsidRPr="002E289F" w:rsidRDefault="002E289F" w:rsidP="00777463">
      <w:pPr>
        <w:tabs>
          <w:tab w:val="left" w:pos="288"/>
          <w:tab w:val="left" w:pos="4752"/>
        </w:tabs>
        <w:spacing w:line="240" w:lineRule="exact"/>
        <w:jc w:val="both"/>
        <w:rPr>
          <w:rFonts w:asciiTheme="minorHAnsi" w:hAnsiTheme="minorHAnsi"/>
          <w:caps/>
          <w:color w:val="auto"/>
          <w:u w:val="single"/>
        </w:rPr>
      </w:pPr>
      <w:r w:rsidRPr="002E289F">
        <w:rPr>
          <w:rFonts w:asciiTheme="minorHAnsi" w:hAnsiTheme="minorHAnsi"/>
          <w:color w:val="auto"/>
          <w:u w:val="single"/>
        </w:rPr>
        <w:t>__</w:t>
      </w:r>
      <w:r w:rsidRPr="002E289F">
        <w:rPr>
          <w:rFonts w:asciiTheme="minorHAnsi" w:hAnsiTheme="minorHAnsi"/>
          <w:color w:val="auto"/>
          <w:u w:val="single"/>
        </w:rPr>
        <w:softHyphen/>
        <w:t>____________________________________________________________________________</w:t>
      </w:r>
    </w:p>
    <w:p w:rsidR="00FB593A" w:rsidRPr="00D91DA6" w:rsidRDefault="00FB593A" w:rsidP="00777463">
      <w:pPr>
        <w:tabs>
          <w:tab w:val="left" w:pos="288"/>
          <w:tab w:val="left" w:pos="4752"/>
        </w:tabs>
        <w:spacing w:line="240" w:lineRule="exact"/>
        <w:jc w:val="both"/>
        <w:rPr>
          <w:color w:val="000080"/>
        </w:rPr>
      </w:pPr>
    </w:p>
    <w:p w:rsidR="00FB593A" w:rsidRDefault="00C56FC8" w:rsidP="00777463">
      <w:pPr>
        <w:tabs>
          <w:tab w:val="left" w:pos="288"/>
          <w:tab w:val="left" w:pos="4752"/>
        </w:tabs>
        <w:spacing w:line="240" w:lineRule="exact"/>
        <w:jc w:val="both"/>
        <w:rPr>
          <w:color w:val="000080"/>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Pr="00AE3316">
        <w:rPr>
          <w:rFonts w:asciiTheme="minorHAnsi" w:hAnsiTheme="minorHAnsi"/>
          <w:color w:val="000080"/>
          <w:szCs w:val="24"/>
        </w:rPr>
        <w:t xml:space="preserve"> </w:t>
      </w:r>
      <w:r w:rsidR="00F9215D" w:rsidRPr="00F9215D">
        <w:rPr>
          <w:rFonts w:asciiTheme="minorHAnsi" w:hAnsiTheme="minorHAnsi"/>
          <w:color w:val="auto"/>
          <w:szCs w:val="24"/>
        </w:rPr>
        <w:t xml:space="preserve">The Board recommends that the CI’s prior determination be modified as follows and that the discharge with severance pay be </w:t>
      </w:r>
      <w:proofErr w:type="spellStart"/>
      <w:r w:rsidR="00F9215D" w:rsidRPr="00F9215D">
        <w:rPr>
          <w:rFonts w:asciiTheme="minorHAnsi" w:hAnsiTheme="minorHAnsi"/>
          <w:color w:val="auto"/>
          <w:szCs w:val="24"/>
        </w:rPr>
        <w:t>recharacterized</w:t>
      </w:r>
      <w:proofErr w:type="spellEnd"/>
      <w:r w:rsidR="00F9215D" w:rsidRPr="00F9215D">
        <w:rPr>
          <w:rFonts w:asciiTheme="minorHAnsi" w:hAnsiTheme="minorHAnsi"/>
          <w:color w:val="auto"/>
          <w:szCs w:val="24"/>
        </w:rPr>
        <w:t xml:space="preserve"> to reflect permanent disability retirement, effective as of the date of his prior medical separation.</w:t>
      </w:r>
    </w:p>
    <w:p w:rsidR="00FA7CF3" w:rsidRDefault="00FA7CF3" w:rsidP="00190E48">
      <w:pPr>
        <w:tabs>
          <w:tab w:val="left" w:pos="288"/>
          <w:tab w:val="left" w:pos="1710"/>
        </w:tabs>
        <w:spacing w:line="240" w:lineRule="exact"/>
        <w:jc w:val="both"/>
        <w:rPr>
          <w:rFonts w:asciiTheme="minorHAnsi" w:hAnsiTheme="minorHAnsi"/>
          <w:color w:val="auto"/>
          <w:szCs w:val="24"/>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FA7CF3" w:rsidRPr="00CD5BD7" w:rsidTr="00AA7F68">
        <w:trPr>
          <w:trHeight w:val="287"/>
          <w:jc w:val="center"/>
        </w:trPr>
        <w:tc>
          <w:tcPr>
            <w:tcW w:w="6480" w:type="dxa"/>
            <w:shd w:val="clear" w:color="auto" w:fill="D9D9D9"/>
          </w:tcPr>
          <w:p w:rsidR="00FA7CF3" w:rsidRPr="00DC2758" w:rsidRDefault="00FA7CF3" w:rsidP="00AA7F68">
            <w:pPr>
              <w:tabs>
                <w:tab w:val="left" w:pos="288"/>
                <w:tab w:val="left" w:pos="4752"/>
              </w:tabs>
              <w:spacing w:before="20" w:line="240" w:lineRule="exact"/>
              <w:jc w:val="both"/>
              <w:rPr>
                <w:rFonts w:ascii="Calibri" w:hAnsi="Calibri"/>
                <w:b/>
                <w:color w:val="auto"/>
                <w:szCs w:val="24"/>
              </w:rPr>
            </w:pPr>
            <w:r w:rsidRPr="00DC2758">
              <w:rPr>
                <w:rFonts w:ascii="Calibri" w:hAnsi="Calibri"/>
                <w:b/>
                <w:color w:val="auto"/>
                <w:szCs w:val="24"/>
              </w:rPr>
              <w:t>UNFITTING CONDITION</w:t>
            </w:r>
          </w:p>
        </w:tc>
        <w:tc>
          <w:tcPr>
            <w:tcW w:w="1710" w:type="dxa"/>
            <w:shd w:val="clear" w:color="auto" w:fill="D9D9D9"/>
          </w:tcPr>
          <w:p w:rsidR="00FA7CF3" w:rsidRPr="00DC2758" w:rsidRDefault="00FA7CF3" w:rsidP="00AA7F68">
            <w:pPr>
              <w:tabs>
                <w:tab w:val="left" w:pos="288"/>
                <w:tab w:val="left" w:pos="4752"/>
              </w:tabs>
              <w:spacing w:before="20" w:line="240" w:lineRule="exact"/>
              <w:jc w:val="center"/>
              <w:rPr>
                <w:rFonts w:ascii="Calibri" w:hAnsi="Calibri"/>
                <w:b/>
                <w:color w:val="auto"/>
                <w:szCs w:val="24"/>
              </w:rPr>
            </w:pPr>
            <w:r w:rsidRPr="00DC2758">
              <w:rPr>
                <w:rFonts w:ascii="Calibri" w:hAnsi="Calibri"/>
                <w:b/>
                <w:color w:val="auto"/>
                <w:szCs w:val="24"/>
              </w:rPr>
              <w:t>VASRD CODE</w:t>
            </w:r>
          </w:p>
        </w:tc>
        <w:tc>
          <w:tcPr>
            <w:tcW w:w="1170" w:type="dxa"/>
            <w:shd w:val="clear" w:color="auto" w:fill="D9D9D9"/>
          </w:tcPr>
          <w:p w:rsidR="00FA7CF3" w:rsidRPr="00DC2758" w:rsidRDefault="00FA7CF3" w:rsidP="00AA7F68">
            <w:pPr>
              <w:tabs>
                <w:tab w:val="left" w:pos="288"/>
                <w:tab w:val="left" w:pos="4752"/>
              </w:tabs>
              <w:spacing w:before="20" w:line="240" w:lineRule="exact"/>
              <w:jc w:val="center"/>
              <w:rPr>
                <w:rFonts w:ascii="Calibri" w:hAnsi="Calibri"/>
                <w:b/>
                <w:color w:val="auto"/>
                <w:szCs w:val="24"/>
              </w:rPr>
            </w:pPr>
            <w:r w:rsidRPr="00DC2758">
              <w:rPr>
                <w:rFonts w:ascii="Calibri" w:hAnsi="Calibri"/>
                <w:b/>
                <w:color w:val="auto"/>
                <w:szCs w:val="24"/>
              </w:rPr>
              <w:t>RATING</w:t>
            </w:r>
          </w:p>
        </w:tc>
      </w:tr>
      <w:tr w:rsidR="00FA7CF3" w:rsidRPr="00CD5BD7" w:rsidTr="00AA7F68">
        <w:trPr>
          <w:jc w:val="center"/>
        </w:trPr>
        <w:tc>
          <w:tcPr>
            <w:tcW w:w="6480" w:type="dxa"/>
          </w:tcPr>
          <w:p w:rsidR="00FA7CF3" w:rsidRPr="00FA7CF3" w:rsidRDefault="00FA7CF3" w:rsidP="00AA7F68">
            <w:pPr>
              <w:tabs>
                <w:tab w:val="left" w:pos="288"/>
                <w:tab w:val="left" w:pos="4752"/>
              </w:tabs>
              <w:spacing w:before="20" w:line="240" w:lineRule="exact"/>
              <w:jc w:val="both"/>
              <w:rPr>
                <w:rFonts w:ascii="Calibri" w:hAnsi="Calibri"/>
                <w:color w:val="auto"/>
                <w:szCs w:val="24"/>
              </w:rPr>
            </w:pPr>
            <w:r>
              <w:rPr>
                <w:rFonts w:ascii="Calibri" w:hAnsi="Calibri"/>
                <w:color w:val="auto"/>
                <w:szCs w:val="24"/>
              </w:rPr>
              <w:t>Concussive Injury with Cognitive and Psychiatric Impairment</w:t>
            </w:r>
          </w:p>
        </w:tc>
        <w:tc>
          <w:tcPr>
            <w:tcW w:w="1710" w:type="dxa"/>
          </w:tcPr>
          <w:p w:rsidR="00FA7CF3" w:rsidRPr="00FA7CF3" w:rsidRDefault="00FA7CF3" w:rsidP="00AA7F68">
            <w:pPr>
              <w:tabs>
                <w:tab w:val="left" w:pos="288"/>
                <w:tab w:val="left" w:pos="4752"/>
              </w:tabs>
              <w:spacing w:before="20" w:line="240" w:lineRule="exact"/>
              <w:jc w:val="center"/>
              <w:rPr>
                <w:rFonts w:ascii="Calibri" w:hAnsi="Calibri"/>
                <w:color w:val="auto"/>
                <w:szCs w:val="24"/>
              </w:rPr>
            </w:pPr>
            <w:r>
              <w:rPr>
                <w:rFonts w:ascii="Calibri" w:hAnsi="Calibri"/>
                <w:color w:val="auto"/>
                <w:szCs w:val="24"/>
              </w:rPr>
              <w:t>8045-</w:t>
            </w:r>
            <w:r w:rsidRPr="00FA7CF3">
              <w:rPr>
                <w:rFonts w:ascii="Calibri" w:hAnsi="Calibri"/>
                <w:color w:val="auto"/>
                <w:szCs w:val="24"/>
              </w:rPr>
              <w:t>9304</w:t>
            </w:r>
          </w:p>
        </w:tc>
        <w:tc>
          <w:tcPr>
            <w:tcW w:w="1170" w:type="dxa"/>
          </w:tcPr>
          <w:p w:rsidR="00FA7CF3" w:rsidRPr="00CD5BD7" w:rsidRDefault="002F2278" w:rsidP="00AA7F68">
            <w:pPr>
              <w:tabs>
                <w:tab w:val="left" w:pos="288"/>
                <w:tab w:val="left" w:pos="4752"/>
              </w:tabs>
              <w:spacing w:before="20" w:line="240" w:lineRule="exact"/>
              <w:jc w:val="center"/>
              <w:rPr>
                <w:rFonts w:ascii="Calibri" w:hAnsi="Calibri"/>
                <w:color w:val="auto"/>
                <w:szCs w:val="24"/>
              </w:rPr>
            </w:pPr>
            <w:r>
              <w:rPr>
                <w:rFonts w:ascii="Calibri" w:hAnsi="Calibri"/>
                <w:color w:val="auto"/>
                <w:szCs w:val="24"/>
              </w:rPr>
              <w:t>30%</w:t>
            </w:r>
          </w:p>
        </w:tc>
      </w:tr>
      <w:tr w:rsidR="00FA7CF3" w:rsidRPr="00CD5BD7" w:rsidTr="00AA7F68">
        <w:trPr>
          <w:jc w:val="center"/>
        </w:trPr>
        <w:tc>
          <w:tcPr>
            <w:tcW w:w="6480" w:type="dxa"/>
          </w:tcPr>
          <w:p w:rsidR="00FA7CF3" w:rsidRPr="00FA7CF3" w:rsidRDefault="00FA7CF3" w:rsidP="00AA7F68">
            <w:pPr>
              <w:tabs>
                <w:tab w:val="left" w:pos="288"/>
                <w:tab w:val="left" w:pos="4752"/>
              </w:tabs>
              <w:spacing w:before="20" w:line="240" w:lineRule="exact"/>
              <w:jc w:val="both"/>
              <w:rPr>
                <w:rFonts w:ascii="Calibri" w:hAnsi="Calibri"/>
                <w:color w:val="auto"/>
                <w:szCs w:val="24"/>
              </w:rPr>
            </w:pPr>
            <w:r>
              <w:rPr>
                <w:rFonts w:ascii="Calibri" w:hAnsi="Calibri"/>
                <w:color w:val="auto"/>
                <w:szCs w:val="24"/>
              </w:rPr>
              <w:t xml:space="preserve">Traumatic Arthritis </w:t>
            </w:r>
            <w:r w:rsidRPr="00FA7CF3">
              <w:rPr>
                <w:rFonts w:ascii="Calibri" w:hAnsi="Calibri"/>
                <w:color w:val="auto"/>
                <w:szCs w:val="24"/>
              </w:rPr>
              <w:t xml:space="preserve">Right Ankle </w:t>
            </w:r>
          </w:p>
        </w:tc>
        <w:tc>
          <w:tcPr>
            <w:tcW w:w="1710" w:type="dxa"/>
          </w:tcPr>
          <w:p w:rsidR="00FA7CF3" w:rsidRPr="00FA7CF3" w:rsidRDefault="00FA7CF3" w:rsidP="00AA7F68">
            <w:pPr>
              <w:tabs>
                <w:tab w:val="left" w:pos="288"/>
                <w:tab w:val="left" w:pos="4752"/>
              </w:tabs>
              <w:spacing w:before="20" w:line="240" w:lineRule="exact"/>
              <w:jc w:val="center"/>
              <w:rPr>
                <w:rFonts w:ascii="Calibri" w:hAnsi="Calibri"/>
                <w:color w:val="auto"/>
                <w:szCs w:val="24"/>
              </w:rPr>
            </w:pPr>
            <w:r>
              <w:rPr>
                <w:rFonts w:asciiTheme="minorHAnsi" w:hAnsiTheme="minorHAnsi"/>
                <w:color w:val="auto"/>
                <w:szCs w:val="24"/>
              </w:rPr>
              <w:t>5010-5003</w:t>
            </w:r>
          </w:p>
        </w:tc>
        <w:tc>
          <w:tcPr>
            <w:tcW w:w="1170" w:type="dxa"/>
          </w:tcPr>
          <w:p w:rsidR="00FA7CF3" w:rsidRPr="00CD5BD7" w:rsidRDefault="002F2278" w:rsidP="00AA7F68">
            <w:pPr>
              <w:tabs>
                <w:tab w:val="left" w:pos="288"/>
                <w:tab w:val="left" w:pos="4752"/>
              </w:tabs>
              <w:spacing w:before="20" w:line="240" w:lineRule="exact"/>
              <w:jc w:val="center"/>
              <w:rPr>
                <w:rFonts w:ascii="Calibri" w:hAnsi="Calibri"/>
                <w:color w:val="auto"/>
                <w:szCs w:val="24"/>
              </w:rPr>
            </w:pPr>
            <w:r>
              <w:rPr>
                <w:rFonts w:ascii="Calibri" w:hAnsi="Calibri"/>
                <w:color w:val="auto"/>
                <w:szCs w:val="24"/>
              </w:rPr>
              <w:t>10%</w:t>
            </w:r>
          </w:p>
        </w:tc>
      </w:tr>
      <w:tr w:rsidR="00FA7CF3" w:rsidRPr="00CD5BD7" w:rsidTr="00AA7F68">
        <w:trPr>
          <w:jc w:val="center"/>
        </w:trPr>
        <w:tc>
          <w:tcPr>
            <w:tcW w:w="6480" w:type="dxa"/>
          </w:tcPr>
          <w:p w:rsidR="00FA7CF3" w:rsidRPr="00FA7CF3" w:rsidRDefault="00FA7CF3" w:rsidP="00AA7F68">
            <w:pPr>
              <w:tabs>
                <w:tab w:val="left" w:pos="288"/>
                <w:tab w:val="left" w:pos="4752"/>
              </w:tabs>
              <w:spacing w:before="20" w:line="240" w:lineRule="exact"/>
              <w:jc w:val="both"/>
              <w:rPr>
                <w:rFonts w:ascii="Calibri" w:hAnsi="Calibri"/>
                <w:color w:val="auto"/>
                <w:szCs w:val="24"/>
              </w:rPr>
            </w:pPr>
            <w:r w:rsidRPr="00FA7CF3">
              <w:rPr>
                <w:rFonts w:ascii="Calibri" w:hAnsi="Calibri"/>
                <w:color w:val="auto"/>
                <w:szCs w:val="24"/>
              </w:rPr>
              <w:t xml:space="preserve">Low Back </w:t>
            </w:r>
            <w:r>
              <w:rPr>
                <w:rFonts w:ascii="Calibri" w:hAnsi="Calibri"/>
                <w:color w:val="auto"/>
                <w:szCs w:val="24"/>
              </w:rPr>
              <w:t>Strain</w:t>
            </w:r>
          </w:p>
        </w:tc>
        <w:tc>
          <w:tcPr>
            <w:tcW w:w="1710" w:type="dxa"/>
          </w:tcPr>
          <w:p w:rsidR="00FA7CF3" w:rsidRPr="00FA7CF3" w:rsidRDefault="00FA7CF3" w:rsidP="00AA7F68">
            <w:pPr>
              <w:tabs>
                <w:tab w:val="left" w:pos="288"/>
                <w:tab w:val="left" w:pos="4752"/>
              </w:tabs>
              <w:spacing w:before="20" w:line="240" w:lineRule="exact"/>
              <w:jc w:val="center"/>
              <w:rPr>
                <w:rFonts w:ascii="Calibri" w:hAnsi="Calibri"/>
                <w:color w:val="auto"/>
                <w:szCs w:val="24"/>
              </w:rPr>
            </w:pPr>
            <w:r w:rsidRPr="00FA7CF3">
              <w:rPr>
                <w:rFonts w:ascii="Calibri" w:hAnsi="Calibri"/>
                <w:color w:val="auto"/>
                <w:szCs w:val="24"/>
              </w:rPr>
              <w:t>5237</w:t>
            </w:r>
          </w:p>
        </w:tc>
        <w:tc>
          <w:tcPr>
            <w:tcW w:w="1170" w:type="dxa"/>
          </w:tcPr>
          <w:p w:rsidR="00FA7CF3" w:rsidRPr="00CD5BD7" w:rsidRDefault="002F2278" w:rsidP="00AA7F68">
            <w:pPr>
              <w:tabs>
                <w:tab w:val="left" w:pos="288"/>
                <w:tab w:val="left" w:pos="4752"/>
              </w:tabs>
              <w:spacing w:before="20" w:line="240" w:lineRule="exact"/>
              <w:jc w:val="center"/>
              <w:rPr>
                <w:rFonts w:ascii="Calibri" w:hAnsi="Calibri"/>
                <w:color w:val="auto"/>
                <w:szCs w:val="24"/>
              </w:rPr>
            </w:pPr>
            <w:r>
              <w:rPr>
                <w:rFonts w:ascii="Calibri" w:hAnsi="Calibri"/>
                <w:color w:val="auto"/>
                <w:szCs w:val="24"/>
              </w:rPr>
              <w:t>1</w:t>
            </w:r>
            <w:r w:rsidR="00FA7CF3" w:rsidRPr="00CD5BD7">
              <w:rPr>
                <w:rFonts w:ascii="Calibri" w:hAnsi="Calibri"/>
                <w:color w:val="auto"/>
                <w:szCs w:val="24"/>
              </w:rPr>
              <w:t>0%</w:t>
            </w:r>
          </w:p>
        </w:tc>
      </w:tr>
      <w:tr w:rsidR="00FA7CF3" w:rsidRPr="00CD5BD7" w:rsidTr="00AA7F68">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FA7CF3" w:rsidRPr="00DC2758" w:rsidRDefault="00FA7CF3" w:rsidP="00AA7F68">
            <w:pPr>
              <w:tabs>
                <w:tab w:val="left" w:pos="288"/>
                <w:tab w:val="left" w:pos="4752"/>
              </w:tabs>
              <w:spacing w:before="20" w:line="240" w:lineRule="exact"/>
              <w:jc w:val="center"/>
              <w:rPr>
                <w:rFonts w:ascii="Calibri" w:hAnsi="Calibri"/>
                <w:b/>
                <w:color w:val="auto"/>
                <w:szCs w:val="24"/>
              </w:rPr>
            </w:pPr>
            <w:r w:rsidRPr="00DC2758">
              <w:rPr>
                <w:rFonts w:ascii="Calibri" w:hAnsi="Calibri"/>
                <w:b/>
                <w:color w:val="auto"/>
                <w:szCs w:val="24"/>
              </w:rPr>
              <w:t>COMBINED</w:t>
            </w:r>
          </w:p>
        </w:tc>
        <w:tc>
          <w:tcPr>
            <w:tcW w:w="1170" w:type="dxa"/>
            <w:tcBorders>
              <w:bottom w:val="single" w:sz="4" w:space="0" w:color="000000"/>
            </w:tcBorders>
            <w:shd w:val="clear" w:color="auto" w:fill="D9D9D9" w:themeFill="background1" w:themeFillShade="D9"/>
          </w:tcPr>
          <w:p w:rsidR="00FA7CF3" w:rsidRPr="00DC2758" w:rsidRDefault="002F2278" w:rsidP="00AA7F68">
            <w:pPr>
              <w:tabs>
                <w:tab w:val="left" w:pos="288"/>
                <w:tab w:val="left" w:pos="4752"/>
              </w:tabs>
              <w:spacing w:before="20" w:line="240" w:lineRule="exact"/>
              <w:jc w:val="center"/>
              <w:rPr>
                <w:rFonts w:ascii="Calibri" w:hAnsi="Calibri"/>
                <w:b/>
                <w:color w:val="auto"/>
                <w:szCs w:val="24"/>
              </w:rPr>
            </w:pPr>
            <w:r>
              <w:rPr>
                <w:rFonts w:ascii="Calibri" w:hAnsi="Calibri"/>
                <w:b/>
                <w:color w:val="auto"/>
                <w:szCs w:val="24"/>
              </w:rPr>
              <w:t>4</w:t>
            </w:r>
            <w:r w:rsidR="00FA7CF3" w:rsidRPr="00DC2758">
              <w:rPr>
                <w:rFonts w:ascii="Calibri" w:hAnsi="Calibri"/>
                <w:b/>
                <w:color w:val="auto"/>
                <w:szCs w:val="24"/>
              </w:rPr>
              <w:t>0%</w:t>
            </w:r>
          </w:p>
        </w:tc>
      </w:tr>
    </w:tbl>
    <w:p w:rsidR="002E289F" w:rsidRPr="002E289F" w:rsidRDefault="002E289F" w:rsidP="002E289F">
      <w:pPr>
        <w:tabs>
          <w:tab w:val="left" w:pos="288"/>
          <w:tab w:val="left" w:pos="4752"/>
        </w:tabs>
        <w:spacing w:line="240" w:lineRule="exact"/>
        <w:jc w:val="both"/>
        <w:rPr>
          <w:rFonts w:asciiTheme="minorHAnsi" w:hAnsiTheme="minorHAnsi"/>
          <w:caps/>
          <w:color w:val="auto"/>
          <w:u w:val="single"/>
        </w:rPr>
      </w:pPr>
      <w:r w:rsidRPr="002E289F">
        <w:rPr>
          <w:rFonts w:asciiTheme="minorHAnsi" w:hAnsiTheme="minorHAnsi"/>
          <w:color w:val="auto"/>
          <w:u w:val="single"/>
        </w:rPr>
        <w:t>__</w:t>
      </w:r>
      <w:r w:rsidRPr="002E289F">
        <w:rPr>
          <w:rFonts w:asciiTheme="minorHAnsi" w:hAnsiTheme="minorHAnsi"/>
          <w:color w:val="auto"/>
          <w:u w:val="single"/>
        </w:rPr>
        <w:softHyphen/>
        <w:t>____________________________________________________________________________</w:t>
      </w: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w:t>
      </w:r>
      <w:r w:rsidR="0019273F" w:rsidRPr="0085089F">
        <w:rPr>
          <w:rFonts w:asciiTheme="minorHAnsi" w:hAnsiTheme="minorHAnsi"/>
          <w:color w:val="auto"/>
        </w:rPr>
        <w:t>20</w:t>
      </w:r>
      <w:r w:rsidR="009E4D50">
        <w:rPr>
          <w:rFonts w:asciiTheme="minorHAnsi" w:hAnsiTheme="minorHAnsi"/>
          <w:color w:val="auto"/>
        </w:rPr>
        <w:t>090310</w:t>
      </w:r>
      <w:r w:rsidR="00114F20" w:rsidRPr="0085089F">
        <w:rPr>
          <w:rFonts w:asciiTheme="minorHAnsi" w:hAnsiTheme="minorHAnsi"/>
          <w:color w:val="auto"/>
        </w:rPr>
        <w:t>, w/</w:t>
      </w:r>
      <w:proofErr w:type="spellStart"/>
      <w:r w:rsidR="00114F20" w:rsidRPr="0085089F">
        <w:rPr>
          <w:rFonts w:asciiTheme="minorHAnsi" w:hAnsiTheme="minorHAnsi"/>
          <w:color w:val="auto"/>
        </w:rPr>
        <w:t>atchs</w:t>
      </w:r>
      <w:proofErr w:type="spellEnd"/>
      <w:r w:rsidR="00114F20" w:rsidRPr="0085089F">
        <w:rPr>
          <w:rFonts w:asciiTheme="minorHAnsi" w:hAnsiTheme="minorHAnsi"/>
          <w:color w:val="auto"/>
        </w:rPr>
        <w:t>.</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roofErr w:type="gramEnd"/>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9172FF" w:rsidRDefault="009172FF">
      <w:pPr>
        <w:rPr>
          <w:rFonts w:ascii="Calibri" w:hAnsi="Calibri"/>
          <w:b/>
          <w:color w:val="auto"/>
          <w:sz w:val="20"/>
        </w:rPr>
      </w:pPr>
      <w:r>
        <w:rPr>
          <w:rFonts w:ascii="Calibri" w:hAnsi="Calibri"/>
          <w:b/>
          <w:color w:val="auto"/>
          <w:sz w:val="20"/>
        </w:rPr>
        <w:br w:type="page"/>
      </w:r>
    </w:p>
    <w:p w:rsidR="009172FF" w:rsidRDefault="009172FF" w:rsidP="009172FF">
      <w:pPr>
        <w:pStyle w:val="Default"/>
        <w:framePr w:w="13080" w:wrap="auto" w:vAnchor="page" w:hAnchor="page" w:x="1" w:y="1"/>
      </w:pPr>
      <w:r>
        <w:rPr>
          <w:noProof/>
        </w:rPr>
        <w:lastRenderedPageBreak/>
        <w:drawing>
          <wp:inline distT="0" distB="0" distL="0" distR="0">
            <wp:extent cx="7798435" cy="106794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798435" cy="10679430"/>
                    </a:xfrm>
                    <a:prstGeom prst="rect">
                      <a:avLst/>
                    </a:prstGeom>
                    <a:noFill/>
                    <a:ln w="9525">
                      <a:noFill/>
                      <a:miter lim="800000"/>
                      <a:headEnd/>
                      <a:tailEnd/>
                    </a:ln>
                  </pic:spPr>
                </pic:pic>
              </a:graphicData>
            </a:graphic>
          </wp:inline>
        </w:drawing>
      </w:r>
    </w:p>
    <w:p w:rsidR="00777463" w:rsidRDefault="00777463">
      <w:pPr>
        <w:rPr>
          <w:rFonts w:ascii="Calibri" w:hAnsi="Calibri"/>
          <w:b/>
          <w:color w:val="auto"/>
          <w:sz w:val="20"/>
        </w:rPr>
      </w:pPr>
    </w:p>
    <w:sectPr w:rsidR="00777463" w:rsidSect="005000AB">
      <w:footerReference w:type="even" r:id="rId9"/>
      <w:footerReference w:type="defaul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038" w:rsidRDefault="000F7038">
      <w:r>
        <w:separator/>
      </w:r>
    </w:p>
  </w:endnote>
  <w:endnote w:type="continuationSeparator" w:id="0">
    <w:p w:rsidR="000F7038" w:rsidRDefault="000F7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E2F" w:rsidRDefault="00BB03DD">
    <w:pPr>
      <w:pStyle w:val="Footer"/>
      <w:framePr w:wrap="around" w:vAnchor="text" w:hAnchor="margin" w:xAlign="center" w:y="1"/>
      <w:rPr>
        <w:rStyle w:val="PageNumber"/>
      </w:rPr>
    </w:pPr>
    <w:r>
      <w:rPr>
        <w:rStyle w:val="PageNumber"/>
      </w:rPr>
      <w:fldChar w:fldCharType="begin"/>
    </w:r>
    <w:r w:rsidR="00956E2F">
      <w:rPr>
        <w:rStyle w:val="PageNumber"/>
      </w:rPr>
      <w:instrText xml:space="preserve">PAGE  </w:instrText>
    </w:r>
    <w:r>
      <w:rPr>
        <w:rStyle w:val="PageNumber"/>
      </w:rPr>
      <w:fldChar w:fldCharType="separate"/>
    </w:r>
    <w:r w:rsidR="00956E2F">
      <w:rPr>
        <w:rStyle w:val="PageNumber"/>
        <w:noProof/>
      </w:rPr>
      <w:t>2</w:t>
    </w:r>
    <w:r>
      <w:rPr>
        <w:rStyle w:val="PageNumber"/>
      </w:rPr>
      <w:fldChar w:fldCharType="end"/>
    </w:r>
  </w:p>
  <w:p w:rsidR="00956E2F" w:rsidRDefault="00956E2F"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E2F" w:rsidRPr="00AC713F" w:rsidRDefault="00BB03DD">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956E2F"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9172FF">
      <w:rPr>
        <w:rStyle w:val="PageNumber"/>
        <w:rFonts w:asciiTheme="minorHAnsi" w:hAnsiTheme="minorHAnsi"/>
        <w:noProof/>
        <w:color w:val="auto"/>
      </w:rPr>
      <w:t>8</w:t>
    </w:r>
    <w:r w:rsidRPr="00AC713F">
      <w:rPr>
        <w:rStyle w:val="PageNumber"/>
        <w:rFonts w:asciiTheme="minorHAnsi" w:hAnsiTheme="minorHAnsi"/>
        <w:color w:val="auto"/>
      </w:rPr>
      <w:fldChar w:fldCharType="end"/>
    </w:r>
  </w:p>
  <w:p w:rsidR="00956E2F" w:rsidRPr="00AC713F" w:rsidRDefault="00956E2F" w:rsidP="002B0749">
    <w:pPr>
      <w:pStyle w:val="Footer"/>
      <w:jc w:val="right"/>
      <w:rPr>
        <w:rFonts w:asciiTheme="minorHAnsi" w:hAnsiTheme="minorHAnsi"/>
      </w:rPr>
    </w:pPr>
    <w:r>
      <w:tab/>
    </w:r>
    <w:r>
      <w:tab/>
    </w:r>
    <w:r w:rsidRPr="00006679">
      <w:rPr>
        <w:rFonts w:asciiTheme="minorHAnsi" w:hAnsiTheme="minorHAnsi"/>
        <w:caps/>
        <w:color w:val="000080"/>
      </w:rPr>
      <w:t>PD0900232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038" w:rsidRDefault="000F7038">
      <w:r>
        <w:separator/>
      </w:r>
    </w:p>
  </w:footnote>
  <w:footnote w:type="continuationSeparator" w:id="0">
    <w:p w:rsidR="000F7038" w:rsidRDefault="000F70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10305"/>
  </w:hdrShapeDefaults>
  <w:footnotePr>
    <w:numRestart w:val="eachSect"/>
    <w:footnote w:id="-1"/>
    <w:footnote w:id="0"/>
  </w:footnotePr>
  <w:endnotePr>
    <w:endnote w:id="-1"/>
    <w:endnote w:id="0"/>
  </w:endnotePr>
  <w:compat/>
  <w:rsids>
    <w:rsidRoot w:val="001C28D1"/>
    <w:rsid w:val="00000340"/>
    <w:rsid w:val="000059FA"/>
    <w:rsid w:val="00006679"/>
    <w:rsid w:val="00006F87"/>
    <w:rsid w:val="00010ABA"/>
    <w:rsid w:val="00012428"/>
    <w:rsid w:val="00013417"/>
    <w:rsid w:val="000145C2"/>
    <w:rsid w:val="0001473F"/>
    <w:rsid w:val="00014A9E"/>
    <w:rsid w:val="00021361"/>
    <w:rsid w:val="00023913"/>
    <w:rsid w:val="00023D43"/>
    <w:rsid w:val="00032DB2"/>
    <w:rsid w:val="00032E07"/>
    <w:rsid w:val="000332CA"/>
    <w:rsid w:val="0003374E"/>
    <w:rsid w:val="000344E6"/>
    <w:rsid w:val="00035C3A"/>
    <w:rsid w:val="00036E4B"/>
    <w:rsid w:val="000379D0"/>
    <w:rsid w:val="00040FC4"/>
    <w:rsid w:val="000416F8"/>
    <w:rsid w:val="0004178A"/>
    <w:rsid w:val="00042C26"/>
    <w:rsid w:val="00043382"/>
    <w:rsid w:val="00051622"/>
    <w:rsid w:val="00052234"/>
    <w:rsid w:val="00053D7C"/>
    <w:rsid w:val="0005618C"/>
    <w:rsid w:val="000577C9"/>
    <w:rsid w:val="0006431E"/>
    <w:rsid w:val="00066FEA"/>
    <w:rsid w:val="00072433"/>
    <w:rsid w:val="00075702"/>
    <w:rsid w:val="0007722C"/>
    <w:rsid w:val="000775C2"/>
    <w:rsid w:val="000806AD"/>
    <w:rsid w:val="00082482"/>
    <w:rsid w:val="0008708B"/>
    <w:rsid w:val="000870A5"/>
    <w:rsid w:val="00092619"/>
    <w:rsid w:val="00092C66"/>
    <w:rsid w:val="00094E4F"/>
    <w:rsid w:val="000A23DC"/>
    <w:rsid w:val="000A2BCE"/>
    <w:rsid w:val="000A41E3"/>
    <w:rsid w:val="000A4BBA"/>
    <w:rsid w:val="000A5071"/>
    <w:rsid w:val="000B4C99"/>
    <w:rsid w:val="000C06F6"/>
    <w:rsid w:val="000C1D34"/>
    <w:rsid w:val="000C2362"/>
    <w:rsid w:val="000C3C13"/>
    <w:rsid w:val="000C53F9"/>
    <w:rsid w:val="000C5813"/>
    <w:rsid w:val="000C75CF"/>
    <w:rsid w:val="000C7DE4"/>
    <w:rsid w:val="000D15E7"/>
    <w:rsid w:val="000D1A24"/>
    <w:rsid w:val="000D21C7"/>
    <w:rsid w:val="000D248A"/>
    <w:rsid w:val="000D35D8"/>
    <w:rsid w:val="000D43F9"/>
    <w:rsid w:val="000D4717"/>
    <w:rsid w:val="000D6457"/>
    <w:rsid w:val="000D7D55"/>
    <w:rsid w:val="000E0993"/>
    <w:rsid w:val="000E37E0"/>
    <w:rsid w:val="000F02BE"/>
    <w:rsid w:val="000F427B"/>
    <w:rsid w:val="000F7038"/>
    <w:rsid w:val="000F7181"/>
    <w:rsid w:val="001008C1"/>
    <w:rsid w:val="001023DB"/>
    <w:rsid w:val="00103CCF"/>
    <w:rsid w:val="0010417F"/>
    <w:rsid w:val="001042D2"/>
    <w:rsid w:val="0010530E"/>
    <w:rsid w:val="00105C07"/>
    <w:rsid w:val="00107EC5"/>
    <w:rsid w:val="001103CD"/>
    <w:rsid w:val="00113EC3"/>
    <w:rsid w:val="00114F20"/>
    <w:rsid w:val="001211AF"/>
    <w:rsid w:val="001219DF"/>
    <w:rsid w:val="001231DC"/>
    <w:rsid w:val="001272AE"/>
    <w:rsid w:val="001279CF"/>
    <w:rsid w:val="00130E6D"/>
    <w:rsid w:val="001315DD"/>
    <w:rsid w:val="00135385"/>
    <w:rsid w:val="001364D1"/>
    <w:rsid w:val="00142EBA"/>
    <w:rsid w:val="001435D2"/>
    <w:rsid w:val="00143B79"/>
    <w:rsid w:val="00147EA2"/>
    <w:rsid w:val="00150B8A"/>
    <w:rsid w:val="00150DCB"/>
    <w:rsid w:val="00151912"/>
    <w:rsid w:val="00153740"/>
    <w:rsid w:val="001541C5"/>
    <w:rsid w:val="0015623F"/>
    <w:rsid w:val="00156585"/>
    <w:rsid w:val="00156BA9"/>
    <w:rsid w:val="00161761"/>
    <w:rsid w:val="00166182"/>
    <w:rsid w:val="001745DD"/>
    <w:rsid w:val="00177659"/>
    <w:rsid w:val="001779E5"/>
    <w:rsid w:val="00182A4C"/>
    <w:rsid w:val="00183F77"/>
    <w:rsid w:val="00185DA8"/>
    <w:rsid w:val="00185ECB"/>
    <w:rsid w:val="001865E0"/>
    <w:rsid w:val="001870F0"/>
    <w:rsid w:val="00190E48"/>
    <w:rsid w:val="0019273F"/>
    <w:rsid w:val="00193814"/>
    <w:rsid w:val="00193AD5"/>
    <w:rsid w:val="00194930"/>
    <w:rsid w:val="001A08CD"/>
    <w:rsid w:val="001A5320"/>
    <w:rsid w:val="001A5E62"/>
    <w:rsid w:val="001A7538"/>
    <w:rsid w:val="001B0B1A"/>
    <w:rsid w:val="001B4EC2"/>
    <w:rsid w:val="001B5B59"/>
    <w:rsid w:val="001B60E0"/>
    <w:rsid w:val="001B7C8C"/>
    <w:rsid w:val="001C11E8"/>
    <w:rsid w:val="001C181A"/>
    <w:rsid w:val="001C1877"/>
    <w:rsid w:val="001C2053"/>
    <w:rsid w:val="001C252F"/>
    <w:rsid w:val="001C28D1"/>
    <w:rsid w:val="001C4595"/>
    <w:rsid w:val="001C5CFC"/>
    <w:rsid w:val="001C7418"/>
    <w:rsid w:val="001D0051"/>
    <w:rsid w:val="001D2224"/>
    <w:rsid w:val="001D4F88"/>
    <w:rsid w:val="001D68CF"/>
    <w:rsid w:val="001D6A8C"/>
    <w:rsid w:val="001D7A56"/>
    <w:rsid w:val="001E15C0"/>
    <w:rsid w:val="001E18E0"/>
    <w:rsid w:val="001E18E2"/>
    <w:rsid w:val="001E19D0"/>
    <w:rsid w:val="001E2A30"/>
    <w:rsid w:val="001E673E"/>
    <w:rsid w:val="001F2309"/>
    <w:rsid w:val="001F5FF2"/>
    <w:rsid w:val="00200AA0"/>
    <w:rsid w:val="00202325"/>
    <w:rsid w:val="00202736"/>
    <w:rsid w:val="00203652"/>
    <w:rsid w:val="002038CD"/>
    <w:rsid w:val="002060B6"/>
    <w:rsid w:val="002066B5"/>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362E6"/>
    <w:rsid w:val="0024174E"/>
    <w:rsid w:val="0024227D"/>
    <w:rsid w:val="00242D14"/>
    <w:rsid w:val="00246860"/>
    <w:rsid w:val="00246DFF"/>
    <w:rsid w:val="00246E89"/>
    <w:rsid w:val="0025183C"/>
    <w:rsid w:val="002528EC"/>
    <w:rsid w:val="00255049"/>
    <w:rsid w:val="00257DE5"/>
    <w:rsid w:val="00260531"/>
    <w:rsid w:val="0026318D"/>
    <w:rsid w:val="00270864"/>
    <w:rsid w:val="002712F7"/>
    <w:rsid w:val="0027159C"/>
    <w:rsid w:val="00274549"/>
    <w:rsid w:val="00274E46"/>
    <w:rsid w:val="00276C86"/>
    <w:rsid w:val="002810A4"/>
    <w:rsid w:val="00284A26"/>
    <w:rsid w:val="00287006"/>
    <w:rsid w:val="00294437"/>
    <w:rsid w:val="002A3237"/>
    <w:rsid w:val="002A5444"/>
    <w:rsid w:val="002A58B7"/>
    <w:rsid w:val="002A685E"/>
    <w:rsid w:val="002A72C7"/>
    <w:rsid w:val="002B03B2"/>
    <w:rsid w:val="002B0749"/>
    <w:rsid w:val="002B2645"/>
    <w:rsid w:val="002B6FA0"/>
    <w:rsid w:val="002C3309"/>
    <w:rsid w:val="002C5F10"/>
    <w:rsid w:val="002C6E5B"/>
    <w:rsid w:val="002D18B4"/>
    <w:rsid w:val="002D231A"/>
    <w:rsid w:val="002E1877"/>
    <w:rsid w:val="002E1C31"/>
    <w:rsid w:val="002E289F"/>
    <w:rsid w:val="002E333A"/>
    <w:rsid w:val="002E3474"/>
    <w:rsid w:val="002E400C"/>
    <w:rsid w:val="002E49C3"/>
    <w:rsid w:val="002E5114"/>
    <w:rsid w:val="002E7570"/>
    <w:rsid w:val="002E764B"/>
    <w:rsid w:val="002F0E28"/>
    <w:rsid w:val="002F2278"/>
    <w:rsid w:val="002F287E"/>
    <w:rsid w:val="002F2D63"/>
    <w:rsid w:val="002F7F81"/>
    <w:rsid w:val="00300A36"/>
    <w:rsid w:val="0030678B"/>
    <w:rsid w:val="00310CD7"/>
    <w:rsid w:val="0032136A"/>
    <w:rsid w:val="00323E70"/>
    <w:rsid w:val="00325BA2"/>
    <w:rsid w:val="00326F7F"/>
    <w:rsid w:val="00331236"/>
    <w:rsid w:val="003320E8"/>
    <w:rsid w:val="0033555E"/>
    <w:rsid w:val="00336805"/>
    <w:rsid w:val="00337351"/>
    <w:rsid w:val="00341A54"/>
    <w:rsid w:val="0034286F"/>
    <w:rsid w:val="0034669F"/>
    <w:rsid w:val="00347948"/>
    <w:rsid w:val="00351498"/>
    <w:rsid w:val="003523EB"/>
    <w:rsid w:val="00352B22"/>
    <w:rsid w:val="00354547"/>
    <w:rsid w:val="0035554A"/>
    <w:rsid w:val="003567DE"/>
    <w:rsid w:val="003574F3"/>
    <w:rsid w:val="0036319E"/>
    <w:rsid w:val="003632A4"/>
    <w:rsid w:val="00363362"/>
    <w:rsid w:val="00367D4F"/>
    <w:rsid w:val="00370743"/>
    <w:rsid w:val="00370EF5"/>
    <w:rsid w:val="0037135B"/>
    <w:rsid w:val="00371BD1"/>
    <w:rsid w:val="00372251"/>
    <w:rsid w:val="0037520D"/>
    <w:rsid w:val="00375809"/>
    <w:rsid w:val="0037628C"/>
    <w:rsid w:val="00376B81"/>
    <w:rsid w:val="00377BD2"/>
    <w:rsid w:val="00381728"/>
    <w:rsid w:val="003821E1"/>
    <w:rsid w:val="00384866"/>
    <w:rsid w:val="003857D4"/>
    <w:rsid w:val="00385D6F"/>
    <w:rsid w:val="00387095"/>
    <w:rsid w:val="00387B05"/>
    <w:rsid w:val="00390092"/>
    <w:rsid w:val="00393651"/>
    <w:rsid w:val="00395E12"/>
    <w:rsid w:val="00397DB7"/>
    <w:rsid w:val="003A0B55"/>
    <w:rsid w:val="003A27B2"/>
    <w:rsid w:val="003A40B4"/>
    <w:rsid w:val="003A41BA"/>
    <w:rsid w:val="003A6A99"/>
    <w:rsid w:val="003A7FF8"/>
    <w:rsid w:val="003B17AC"/>
    <w:rsid w:val="003B227A"/>
    <w:rsid w:val="003B2DE9"/>
    <w:rsid w:val="003B5854"/>
    <w:rsid w:val="003B6764"/>
    <w:rsid w:val="003C6068"/>
    <w:rsid w:val="003D0DAF"/>
    <w:rsid w:val="003D2BA3"/>
    <w:rsid w:val="003D3C22"/>
    <w:rsid w:val="003D5B10"/>
    <w:rsid w:val="003D7089"/>
    <w:rsid w:val="003D7DDB"/>
    <w:rsid w:val="003E02C7"/>
    <w:rsid w:val="003E0543"/>
    <w:rsid w:val="003E0B5A"/>
    <w:rsid w:val="003E31E3"/>
    <w:rsid w:val="003E46D1"/>
    <w:rsid w:val="003F1358"/>
    <w:rsid w:val="003F58B0"/>
    <w:rsid w:val="004007E9"/>
    <w:rsid w:val="00401825"/>
    <w:rsid w:val="00401BBC"/>
    <w:rsid w:val="00403BFB"/>
    <w:rsid w:val="00404B45"/>
    <w:rsid w:val="00406CC5"/>
    <w:rsid w:val="004074A4"/>
    <w:rsid w:val="004101B2"/>
    <w:rsid w:val="004123D7"/>
    <w:rsid w:val="00412658"/>
    <w:rsid w:val="004161DE"/>
    <w:rsid w:val="004172DB"/>
    <w:rsid w:val="00421485"/>
    <w:rsid w:val="00422B75"/>
    <w:rsid w:val="00427E68"/>
    <w:rsid w:val="00433F36"/>
    <w:rsid w:val="0043503A"/>
    <w:rsid w:val="0044278D"/>
    <w:rsid w:val="00443443"/>
    <w:rsid w:val="0044384F"/>
    <w:rsid w:val="00444F80"/>
    <w:rsid w:val="00446018"/>
    <w:rsid w:val="004543BC"/>
    <w:rsid w:val="0045645D"/>
    <w:rsid w:val="004574C6"/>
    <w:rsid w:val="00457BCF"/>
    <w:rsid w:val="00457DCE"/>
    <w:rsid w:val="00460E3F"/>
    <w:rsid w:val="00466CED"/>
    <w:rsid w:val="00467592"/>
    <w:rsid w:val="00467690"/>
    <w:rsid w:val="004718E7"/>
    <w:rsid w:val="00472535"/>
    <w:rsid w:val="004761CC"/>
    <w:rsid w:val="00480D4A"/>
    <w:rsid w:val="00481DA1"/>
    <w:rsid w:val="0049255F"/>
    <w:rsid w:val="0049445D"/>
    <w:rsid w:val="00495350"/>
    <w:rsid w:val="00497156"/>
    <w:rsid w:val="004A24D2"/>
    <w:rsid w:val="004A3214"/>
    <w:rsid w:val="004A4136"/>
    <w:rsid w:val="004A417B"/>
    <w:rsid w:val="004B03F3"/>
    <w:rsid w:val="004B2536"/>
    <w:rsid w:val="004B6AF3"/>
    <w:rsid w:val="004B715E"/>
    <w:rsid w:val="004B7169"/>
    <w:rsid w:val="004B79C9"/>
    <w:rsid w:val="004B7C59"/>
    <w:rsid w:val="004C5E33"/>
    <w:rsid w:val="004C6CDA"/>
    <w:rsid w:val="004D10D4"/>
    <w:rsid w:val="004D16BD"/>
    <w:rsid w:val="004D2AAB"/>
    <w:rsid w:val="004D2B76"/>
    <w:rsid w:val="004D6F2B"/>
    <w:rsid w:val="004E0248"/>
    <w:rsid w:val="004E21A3"/>
    <w:rsid w:val="004E32EA"/>
    <w:rsid w:val="004E456C"/>
    <w:rsid w:val="004E6866"/>
    <w:rsid w:val="004E7B12"/>
    <w:rsid w:val="004F3222"/>
    <w:rsid w:val="004F3BFA"/>
    <w:rsid w:val="005000AB"/>
    <w:rsid w:val="005025EE"/>
    <w:rsid w:val="005052D4"/>
    <w:rsid w:val="00510588"/>
    <w:rsid w:val="0051146C"/>
    <w:rsid w:val="00512C84"/>
    <w:rsid w:val="00514449"/>
    <w:rsid w:val="005222E7"/>
    <w:rsid w:val="00523A8B"/>
    <w:rsid w:val="00523E04"/>
    <w:rsid w:val="0052590B"/>
    <w:rsid w:val="00526308"/>
    <w:rsid w:val="00526591"/>
    <w:rsid w:val="00527178"/>
    <w:rsid w:val="005278CB"/>
    <w:rsid w:val="00534D42"/>
    <w:rsid w:val="005350A5"/>
    <w:rsid w:val="00536379"/>
    <w:rsid w:val="00537238"/>
    <w:rsid w:val="005400C5"/>
    <w:rsid w:val="00540BEF"/>
    <w:rsid w:val="00542C9A"/>
    <w:rsid w:val="00542ECA"/>
    <w:rsid w:val="005436C2"/>
    <w:rsid w:val="005442D4"/>
    <w:rsid w:val="0054586A"/>
    <w:rsid w:val="0054631F"/>
    <w:rsid w:val="00550736"/>
    <w:rsid w:val="0055288D"/>
    <w:rsid w:val="00555259"/>
    <w:rsid w:val="00555708"/>
    <w:rsid w:val="00560D57"/>
    <w:rsid w:val="00562A94"/>
    <w:rsid w:val="00570373"/>
    <w:rsid w:val="005709F7"/>
    <w:rsid w:val="005710A9"/>
    <w:rsid w:val="00571D1B"/>
    <w:rsid w:val="00577626"/>
    <w:rsid w:val="00593043"/>
    <w:rsid w:val="00595BF0"/>
    <w:rsid w:val="005A1846"/>
    <w:rsid w:val="005A258C"/>
    <w:rsid w:val="005A3560"/>
    <w:rsid w:val="005A4E82"/>
    <w:rsid w:val="005A5FB6"/>
    <w:rsid w:val="005A6C99"/>
    <w:rsid w:val="005A7D5D"/>
    <w:rsid w:val="005B011A"/>
    <w:rsid w:val="005B1D8F"/>
    <w:rsid w:val="005B1E94"/>
    <w:rsid w:val="005B5B3D"/>
    <w:rsid w:val="005C16F3"/>
    <w:rsid w:val="005C3758"/>
    <w:rsid w:val="005C6F94"/>
    <w:rsid w:val="005E0792"/>
    <w:rsid w:val="005E3064"/>
    <w:rsid w:val="005E72B2"/>
    <w:rsid w:val="005F1115"/>
    <w:rsid w:val="005F1AB6"/>
    <w:rsid w:val="005F27F2"/>
    <w:rsid w:val="005F3AFE"/>
    <w:rsid w:val="005F424D"/>
    <w:rsid w:val="005F6B6D"/>
    <w:rsid w:val="00601C3F"/>
    <w:rsid w:val="00605AAB"/>
    <w:rsid w:val="00606BEB"/>
    <w:rsid w:val="0061014A"/>
    <w:rsid w:val="0061054B"/>
    <w:rsid w:val="00613E26"/>
    <w:rsid w:val="00615641"/>
    <w:rsid w:val="00616959"/>
    <w:rsid w:val="006211D0"/>
    <w:rsid w:val="00624D0C"/>
    <w:rsid w:val="006307BA"/>
    <w:rsid w:val="006315BA"/>
    <w:rsid w:val="00634C4A"/>
    <w:rsid w:val="00635122"/>
    <w:rsid w:val="0063532E"/>
    <w:rsid w:val="00637BDC"/>
    <w:rsid w:val="006418C9"/>
    <w:rsid w:val="00642BD6"/>
    <w:rsid w:val="00645046"/>
    <w:rsid w:val="0064527A"/>
    <w:rsid w:val="00645EA2"/>
    <w:rsid w:val="006573F2"/>
    <w:rsid w:val="00662F08"/>
    <w:rsid w:val="00663589"/>
    <w:rsid w:val="006708E3"/>
    <w:rsid w:val="00670DDC"/>
    <w:rsid w:val="00671EB4"/>
    <w:rsid w:val="0067443B"/>
    <w:rsid w:val="00684E2B"/>
    <w:rsid w:val="00690FDA"/>
    <w:rsid w:val="00691E61"/>
    <w:rsid w:val="00693C5E"/>
    <w:rsid w:val="00694EEA"/>
    <w:rsid w:val="006955B4"/>
    <w:rsid w:val="00696476"/>
    <w:rsid w:val="006A10FA"/>
    <w:rsid w:val="006A3417"/>
    <w:rsid w:val="006A40E6"/>
    <w:rsid w:val="006A5C07"/>
    <w:rsid w:val="006A75FA"/>
    <w:rsid w:val="006B07D5"/>
    <w:rsid w:val="006B1309"/>
    <w:rsid w:val="006B3923"/>
    <w:rsid w:val="006B3F3E"/>
    <w:rsid w:val="006B5923"/>
    <w:rsid w:val="006B67D9"/>
    <w:rsid w:val="006B6C14"/>
    <w:rsid w:val="006B715E"/>
    <w:rsid w:val="006C19A1"/>
    <w:rsid w:val="006C1D6E"/>
    <w:rsid w:val="006C3A68"/>
    <w:rsid w:val="006C6AB1"/>
    <w:rsid w:val="006D0750"/>
    <w:rsid w:val="006D2D39"/>
    <w:rsid w:val="006D4E0E"/>
    <w:rsid w:val="006D5CE2"/>
    <w:rsid w:val="006D7CE5"/>
    <w:rsid w:val="006E06D1"/>
    <w:rsid w:val="006E1313"/>
    <w:rsid w:val="006E2DC8"/>
    <w:rsid w:val="006E7356"/>
    <w:rsid w:val="006E77C8"/>
    <w:rsid w:val="006F149D"/>
    <w:rsid w:val="006F1A46"/>
    <w:rsid w:val="006F5A4E"/>
    <w:rsid w:val="00703B6C"/>
    <w:rsid w:val="00705C40"/>
    <w:rsid w:val="00706482"/>
    <w:rsid w:val="00706BEF"/>
    <w:rsid w:val="00711175"/>
    <w:rsid w:val="007116BC"/>
    <w:rsid w:val="0071499D"/>
    <w:rsid w:val="007165CE"/>
    <w:rsid w:val="00720968"/>
    <w:rsid w:val="00720DE7"/>
    <w:rsid w:val="00721D12"/>
    <w:rsid w:val="00721F8B"/>
    <w:rsid w:val="007237CE"/>
    <w:rsid w:val="00724688"/>
    <w:rsid w:val="00727FDC"/>
    <w:rsid w:val="0073062D"/>
    <w:rsid w:val="0073254D"/>
    <w:rsid w:val="00736A49"/>
    <w:rsid w:val="00737F16"/>
    <w:rsid w:val="00743B71"/>
    <w:rsid w:val="00743C2D"/>
    <w:rsid w:val="00743E36"/>
    <w:rsid w:val="007446F7"/>
    <w:rsid w:val="00744EBB"/>
    <w:rsid w:val="00745B0A"/>
    <w:rsid w:val="007468AC"/>
    <w:rsid w:val="00746AE2"/>
    <w:rsid w:val="00750C82"/>
    <w:rsid w:val="00752597"/>
    <w:rsid w:val="0075703A"/>
    <w:rsid w:val="0076100C"/>
    <w:rsid w:val="00763D46"/>
    <w:rsid w:val="007651ED"/>
    <w:rsid w:val="00766C87"/>
    <w:rsid w:val="00771857"/>
    <w:rsid w:val="00777463"/>
    <w:rsid w:val="00781BD4"/>
    <w:rsid w:val="00784832"/>
    <w:rsid w:val="00785D77"/>
    <w:rsid w:val="00786111"/>
    <w:rsid w:val="00791F1E"/>
    <w:rsid w:val="00794F3D"/>
    <w:rsid w:val="00796045"/>
    <w:rsid w:val="007968AC"/>
    <w:rsid w:val="007969AB"/>
    <w:rsid w:val="007A0B39"/>
    <w:rsid w:val="007A14A4"/>
    <w:rsid w:val="007A168F"/>
    <w:rsid w:val="007A28E4"/>
    <w:rsid w:val="007A3BB3"/>
    <w:rsid w:val="007A5AD1"/>
    <w:rsid w:val="007A5B7B"/>
    <w:rsid w:val="007B0A06"/>
    <w:rsid w:val="007B5C5C"/>
    <w:rsid w:val="007B7B37"/>
    <w:rsid w:val="007B7C41"/>
    <w:rsid w:val="007C1801"/>
    <w:rsid w:val="007C433E"/>
    <w:rsid w:val="007C4397"/>
    <w:rsid w:val="007C4452"/>
    <w:rsid w:val="007C4B3C"/>
    <w:rsid w:val="007C4DB1"/>
    <w:rsid w:val="007C6046"/>
    <w:rsid w:val="007D0292"/>
    <w:rsid w:val="007D21AC"/>
    <w:rsid w:val="007D3882"/>
    <w:rsid w:val="007D3C5A"/>
    <w:rsid w:val="007D568A"/>
    <w:rsid w:val="007D574E"/>
    <w:rsid w:val="007D6BFE"/>
    <w:rsid w:val="007E2046"/>
    <w:rsid w:val="007E3883"/>
    <w:rsid w:val="007E4FBB"/>
    <w:rsid w:val="007E55BF"/>
    <w:rsid w:val="007E6A90"/>
    <w:rsid w:val="007E6C49"/>
    <w:rsid w:val="007E7076"/>
    <w:rsid w:val="007E71B1"/>
    <w:rsid w:val="007E7B4E"/>
    <w:rsid w:val="007F0CE2"/>
    <w:rsid w:val="007F0EFF"/>
    <w:rsid w:val="007F1311"/>
    <w:rsid w:val="007F1375"/>
    <w:rsid w:val="00803850"/>
    <w:rsid w:val="00804385"/>
    <w:rsid w:val="00805AFD"/>
    <w:rsid w:val="008078D8"/>
    <w:rsid w:val="00811D5B"/>
    <w:rsid w:val="008131C3"/>
    <w:rsid w:val="00816DA9"/>
    <w:rsid w:val="00817713"/>
    <w:rsid w:val="008220F1"/>
    <w:rsid w:val="0082340B"/>
    <w:rsid w:val="00827DB6"/>
    <w:rsid w:val="008304B2"/>
    <w:rsid w:val="00830999"/>
    <w:rsid w:val="00830D5E"/>
    <w:rsid w:val="00830F69"/>
    <w:rsid w:val="00833418"/>
    <w:rsid w:val="00834458"/>
    <w:rsid w:val="00835841"/>
    <w:rsid w:val="00835C7C"/>
    <w:rsid w:val="00837465"/>
    <w:rsid w:val="00841243"/>
    <w:rsid w:val="00841457"/>
    <w:rsid w:val="0084374E"/>
    <w:rsid w:val="00844842"/>
    <w:rsid w:val="00844DD0"/>
    <w:rsid w:val="00845154"/>
    <w:rsid w:val="0085089F"/>
    <w:rsid w:val="008517FA"/>
    <w:rsid w:val="0085206E"/>
    <w:rsid w:val="00852AD4"/>
    <w:rsid w:val="00852BA8"/>
    <w:rsid w:val="00853718"/>
    <w:rsid w:val="008541EF"/>
    <w:rsid w:val="00856AC7"/>
    <w:rsid w:val="00856FA4"/>
    <w:rsid w:val="0086162B"/>
    <w:rsid w:val="00861D5C"/>
    <w:rsid w:val="00865207"/>
    <w:rsid w:val="008656A7"/>
    <w:rsid w:val="00871262"/>
    <w:rsid w:val="00871D4E"/>
    <w:rsid w:val="00871E7B"/>
    <w:rsid w:val="00873E53"/>
    <w:rsid w:val="00875B51"/>
    <w:rsid w:val="00875F2D"/>
    <w:rsid w:val="008764DC"/>
    <w:rsid w:val="00882CC2"/>
    <w:rsid w:val="00883930"/>
    <w:rsid w:val="00894A2D"/>
    <w:rsid w:val="00896535"/>
    <w:rsid w:val="00896683"/>
    <w:rsid w:val="00897589"/>
    <w:rsid w:val="008A63A9"/>
    <w:rsid w:val="008A7F7E"/>
    <w:rsid w:val="008B04DB"/>
    <w:rsid w:val="008B27FD"/>
    <w:rsid w:val="008B3AF2"/>
    <w:rsid w:val="008B515D"/>
    <w:rsid w:val="008B5D31"/>
    <w:rsid w:val="008B6705"/>
    <w:rsid w:val="008C22F3"/>
    <w:rsid w:val="008C6F21"/>
    <w:rsid w:val="008D795D"/>
    <w:rsid w:val="008D7B07"/>
    <w:rsid w:val="008E1E94"/>
    <w:rsid w:val="008E2D99"/>
    <w:rsid w:val="008E4A60"/>
    <w:rsid w:val="008E744D"/>
    <w:rsid w:val="008F1E08"/>
    <w:rsid w:val="008F210D"/>
    <w:rsid w:val="00900D8F"/>
    <w:rsid w:val="009014E3"/>
    <w:rsid w:val="009026E8"/>
    <w:rsid w:val="0090458B"/>
    <w:rsid w:val="009051C8"/>
    <w:rsid w:val="00906EB7"/>
    <w:rsid w:val="009102BF"/>
    <w:rsid w:val="009115F2"/>
    <w:rsid w:val="00914ADB"/>
    <w:rsid w:val="009172FF"/>
    <w:rsid w:val="00923B25"/>
    <w:rsid w:val="0092402E"/>
    <w:rsid w:val="009259BA"/>
    <w:rsid w:val="00926FCB"/>
    <w:rsid w:val="009324D4"/>
    <w:rsid w:val="0093311A"/>
    <w:rsid w:val="00937552"/>
    <w:rsid w:val="00942645"/>
    <w:rsid w:val="00943BD9"/>
    <w:rsid w:val="009472CB"/>
    <w:rsid w:val="00950A3A"/>
    <w:rsid w:val="00952A19"/>
    <w:rsid w:val="0095340A"/>
    <w:rsid w:val="00953C88"/>
    <w:rsid w:val="00954581"/>
    <w:rsid w:val="0095466C"/>
    <w:rsid w:val="00954E5B"/>
    <w:rsid w:val="0095547F"/>
    <w:rsid w:val="00956E2F"/>
    <w:rsid w:val="009576BC"/>
    <w:rsid w:val="00960357"/>
    <w:rsid w:val="00961507"/>
    <w:rsid w:val="0096168C"/>
    <w:rsid w:val="00961840"/>
    <w:rsid w:val="00962F2D"/>
    <w:rsid w:val="009672CD"/>
    <w:rsid w:val="00972996"/>
    <w:rsid w:val="009732B8"/>
    <w:rsid w:val="00975C72"/>
    <w:rsid w:val="00976869"/>
    <w:rsid w:val="00977740"/>
    <w:rsid w:val="00977CB4"/>
    <w:rsid w:val="009809B8"/>
    <w:rsid w:val="00980FAC"/>
    <w:rsid w:val="0098222D"/>
    <w:rsid w:val="00983013"/>
    <w:rsid w:val="00985099"/>
    <w:rsid w:val="009926AF"/>
    <w:rsid w:val="0099421F"/>
    <w:rsid w:val="009942E1"/>
    <w:rsid w:val="009A0DE3"/>
    <w:rsid w:val="009A1643"/>
    <w:rsid w:val="009A215A"/>
    <w:rsid w:val="009A4F1B"/>
    <w:rsid w:val="009A66C5"/>
    <w:rsid w:val="009A79BA"/>
    <w:rsid w:val="009B14D1"/>
    <w:rsid w:val="009B1534"/>
    <w:rsid w:val="009B1B4B"/>
    <w:rsid w:val="009B2D10"/>
    <w:rsid w:val="009B4A3B"/>
    <w:rsid w:val="009B69D3"/>
    <w:rsid w:val="009B7BA7"/>
    <w:rsid w:val="009C0938"/>
    <w:rsid w:val="009C0E18"/>
    <w:rsid w:val="009C22C8"/>
    <w:rsid w:val="009C313C"/>
    <w:rsid w:val="009C3F82"/>
    <w:rsid w:val="009C72DD"/>
    <w:rsid w:val="009C7DF5"/>
    <w:rsid w:val="009D056C"/>
    <w:rsid w:val="009D060F"/>
    <w:rsid w:val="009D1ADE"/>
    <w:rsid w:val="009E09D0"/>
    <w:rsid w:val="009E1283"/>
    <w:rsid w:val="009E3A7F"/>
    <w:rsid w:val="009E4D50"/>
    <w:rsid w:val="009E57B1"/>
    <w:rsid w:val="009E6379"/>
    <w:rsid w:val="009F7809"/>
    <w:rsid w:val="009F7AF5"/>
    <w:rsid w:val="00A00D14"/>
    <w:rsid w:val="00A01408"/>
    <w:rsid w:val="00A02457"/>
    <w:rsid w:val="00A03190"/>
    <w:rsid w:val="00A0404B"/>
    <w:rsid w:val="00A0798C"/>
    <w:rsid w:val="00A07BDD"/>
    <w:rsid w:val="00A10BA3"/>
    <w:rsid w:val="00A1105B"/>
    <w:rsid w:val="00A12487"/>
    <w:rsid w:val="00A15256"/>
    <w:rsid w:val="00A15B6B"/>
    <w:rsid w:val="00A15EB4"/>
    <w:rsid w:val="00A16384"/>
    <w:rsid w:val="00A16876"/>
    <w:rsid w:val="00A200AA"/>
    <w:rsid w:val="00A20558"/>
    <w:rsid w:val="00A2186F"/>
    <w:rsid w:val="00A2270B"/>
    <w:rsid w:val="00A23B89"/>
    <w:rsid w:val="00A23FE3"/>
    <w:rsid w:val="00A248C3"/>
    <w:rsid w:val="00A2496E"/>
    <w:rsid w:val="00A258B7"/>
    <w:rsid w:val="00A32743"/>
    <w:rsid w:val="00A414A9"/>
    <w:rsid w:val="00A44CCA"/>
    <w:rsid w:val="00A44D75"/>
    <w:rsid w:val="00A47CF1"/>
    <w:rsid w:val="00A50418"/>
    <w:rsid w:val="00A54A47"/>
    <w:rsid w:val="00A56D26"/>
    <w:rsid w:val="00A571A7"/>
    <w:rsid w:val="00A608FB"/>
    <w:rsid w:val="00A60D83"/>
    <w:rsid w:val="00A60F68"/>
    <w:rsid w:val="00A63DF3"/>
    <w:rsid w:val="00A65616"/>
    <w:rsid w:val="00A65C78"/>
    <w:rsid w:val="00A660A8"/>
    <w:rsid w:val="00A67591"/>
    <w:rsid w:val="00A67CA6"/>
    <w:rsid w:val="00A70E7B"/>
    <w:rsid w:val="00A73B84"/>
    <w:rsid w:val="00A7411D"/>
    <w:rsid w:val="00A76094"/>
    <w:rsid w:val="00A768E2"/>
    <w:rsid w:val="00A8041F"/>
    <w:rsid w:val="00A82C52"/>
    <w:rsid w:val="00A86CB6"/>
    <w:rsid w:val="00A90D55"/>
    <w:rsid w:val="00A944D8"/>
    <w:rsid w:val="00A959E7"/>
    <w:rsid w:val="00A95BBA"/>
    <w:rsid w:val="00A961EE"/>
    <w:rsid w:val="00AA04B3"/>
    <w:rsid w:val="00AA1253"/>
    <w:rsid w:val="00AA28EF"/>
    <w:rsid w:val="00AA493E"/>
    <w:rsid w:val="00AA73AF"/>
    <w:rsid w:val="00AB1754"/>
    <w:rsid w:val="00AB17E4"/>
    <w:rsid w:val="00AB27DD"/>
    <w:rsid w:val="00AC439D"/>
    <w:rsid w:val="00AC713F"/>
    <w:rsid w:val="00AD067E"/>
    <w:rsid w:val="00AD2801"/>
    <w:rsid w:val="00AD6870"/>
    <w:rsid w:val="00AD68C5"/>
    <w:rsid w:val="00AE1273"/>
    <w:rsid w:val="00AE2D29"/>
    <w:rsid w:val="00AE4624"/>
    <w:rsid w:val="00AE5E14"/>
    <w:rsid w:val="00AE6115"/>
    <w:rsid w:val="00AE625B"/>
    <w:rsid w:val="00AF1668"/>
    <w:rsid w:val="00AF4FA5"/>
    <w:rsid w:val="00B05A38"/>
    <w:rsid w:val="00B07955"/>
    <w:rsid w:val="00B12DB4"/>
    <w:rsid w:val="00B14FAA"/>
    <w:rsid w:val="00B15D30"/>
    <w:rsid w:val="00B20624"/>
    <w:rsid w:val="00B2286F"/>
    <w:rsid w:val="00B23436"/>
    <w:rsid w:val="00B26354"/>
    <w:rsid w:val="00B26CA0"/>
    <w:rsid w:val="00B32179"/>
    <w:rsid w:val="00B33008"/>
    <w:rsid w:val="00B331A9"/>
    <w:rsid w:val="00B3449A"/>
    <w:rsid w:val="00B36569"/>
    <w:rsid w:val="00B40A05"/>
    <w:rsid w:val="00B40A3E"/>
    <w:rsid w:val="00B427E4"/>
    <w:rsid w:val="00B47B1C"/>
    <w:rsid w:val="00B50227"/>
    <w:rsid w:val="00B50510"/>
    <w:rsid w:val="00B522CD"/>
    <w:rsid w:val="00B55143"/>
    <w:rsid w:val="00B55917"/>
    <w:rsid w:val="00B559DB"/>
    <w:rsid w:val="00B643A6"/>
    <w:rsid w:val="00B64DD6"/>
    <w:rsid w:val="00B66A23"/>
    <w:rsid w:val="00B6710C"/>
    <w:rsid w:val="00B72076"/>
    <w:rsid w:val="00B72303"/>
    <w:rsid w:val="00B737B4"/>
    <w:rsid w:val="00B82277"/>
    <w:rsid w:val="00B83D52"/>
    <w:rsid w:val="00B91676"/>
    <w:rsid w:val="00B95833"/>
    <w:rsid w:val="00B96B02"/>
    <w:rsid w:val="00BA147C"/>
    <w:rsid w:val="00BA1824"/>
    <w:rsid w:val="00BA2D98"/>
    <w:rsid w:val="00BA30D1"/>
    <w:rsid w:val="00BA4609"/>
    <w:rsid w:val="00BA5BE2"/>
    <w:rsid w:val="00BA7F46"/>
    <w:rsid w:val="00BB03DD"/>
    <w:rsid w:val="00BB0A0A"/>
    <w:rsid w:val="00BB45B5"/>
    <w:rsid w:val="00BB6064"/>
    <w:rsid w:val="00BC09D1"/>
    <w:rsid w:val="00BC1CF3"/>
    <w:rsid w:val="00BC7F82"/>
    <w:rsid w:val="00BD40AB"/>
    <w:rsid w:val="00BD6297"/>
    <w:rsid w:val="00BD6806"/>
    <w:rsid w:val="00BD7433"/>
    <w:rsid w:val="00BD7831"/>
    <w:rsid w:val="00BD7C10"/>
    <w:rsid w:val="00BE046F"/>
    <w:rsid w:val="00BE0DEB"/>
    <w:rsid w:val="00BE2FC1"/>
    <w:rsid w:val="00BE6365"/>
    <w:rsid w:val="00BF0B7F"/>
    <w:rsid w:val="00BF4720"/>
    <w:rsid w:val="00BF6116"/>
    <w:rsid w:val="00BF7B63"/>
    <w:rsid w:val="00C038EC"/>
    <w:rsid w:val="00C0511F"/>
    <w:rsid w:val="00C05C6D"/>
    <w:rsid w:val="00C1122B"/>
    <w:rsid w:val="00C13B34"/>
    <w:rsid w:val="00C13F26"/>
    <w:rsid w:val="00C16E9F"/>
    <w:rsid w:val="00C1713D"/>
    <w:rsid w:val="00C177F1"/>
    <w:rsid w:val="00C218D9"/>
    <w:rsid w:val="00C22F3A"/>
    <w:rsid w:val="00C25978"/>
    <w:rsid w:val="00C261C6"/>
    <w:rsid w:val="00C26E7C"/>
    <w:rsid w:val="00C30A97"/>
    <w:rsid w:val="00C31DDC"/>
    <w:rsid w:val="00C34326"/>
    <w:rsid w:val="00C36201"/>
    <w:rsid w:val="00C368E8"/>
    <w:rsid w:val="00C36C3D"/>
    <w:rsid w:val="00C372C7"/>
    <w:rsid w:val="00C41E47"/>
    <w:rsid w:val="00C42443"/>
    <w:rsid w:val="00C42CBA"/>
    <w:rsid w:val="00C5013A"/>
    <w:rsid w:val="00C5019E"/>
    <w:rsid w:val="00C5377C"/>
    <w:rsid w:val="00C53E8A"/>
    <w:rsid w:val="00C54DF3"/>
    <w:rsid w:val="00C560A7"/>
    <w:rsid w:val="00C56FC8"/>
    <w:rsid w:val="00C60F23"/>
    <w:rsid w:val="00C62EB2"/>
    <w:rsid w:val="00C677F1"/>
    <w:rsid w:val="00C71BEC"/>
    <w:rsid w:val="00C74D3A"/>
    <w:rsid w:val="00C77A12"/>
    <w:rsid w:val="00C80511"/>
    <w:rsid w:val="00C826F5"/>
    <w:rsid w:val="00C83740"/>
    <w:rsid w:val="00C84AD1"/>
    <w:rsid w:val="00C85579"/>
    <w:rsid w:val="00C863E5"/>
    <w:rsid w:val="00C931FC"/>
    <w:rsid w:val="00C932C5"/>
    <w:rsid w:val="00C9474B"/>
    <w:rsid w:val="00C9650E"/>
    <w:rsid w:val="00C965B4"/>
    <w:rsid w:val="00CA068D"/>
    <w:rsid w:val="00CA0D29"/>
    <w:rsid w:val="00CA1228"/>
    <w:rsid w:val="00CA282D"/>
    <w:rsid w:val="00CA4670"/>
    <w:rsid w:val="00CA6B1A"/>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563D"/>
    <w:rsid w:val="00CD5653"/>
    <w:rsid w:val="00CD5E6D"/>
    <w:rsid w:val="00CD63C8"/>
    <w:rsid w:val="00CF158D"/>
    <w:rsid w:val="00CF4394"/>
    <w:rsid w:val="00CF6E2A"/>
    <w:rsid w:val="00D000A9"/>
    <w:rsid w:val="00D005DB"/>
    <w:rsid w:val="00D0064E"/>
    <w:rsid w:val="00D00981"/>
    <w:rsid w:val="00D0280D"/>
    <w:rsid w:val="00D02C23"/>
    <w:rsid w:val="00D07A72"/>
    <w:rsid w:val="00D10577"/>
    <w:rsid w:val="00D10A58"/>
    <w:rsid w:val="00D1323B"/>
    <w:rsid w:val="00D14BAE"/>
    <w:rsid w:val="00D1648B"/>
    <w:rsid w:val="00D16819"/>
    <w:rsid w:val="00D16B3D"/>
    <w:rsid w:val="00D20514"/>
    <w:rsid w:val="00D20AC0"/>
    <w:rsid w:val="00D2321B"/>
    <w:rsid w:val="00D23DE4"/>
    <w:rsid w:val="00D26873"/>
    <w:rsid w:val="00D31683"/>
    <w:rsid w:val="00D336C8"/>
    <w:rsid w:val="00D339E8"/>
    <w:rsid w:val="00D3662E"/>
    <w:rsid w:val="00D40B1F"/>
    <w:rsid w:val="00D40D75"/>
    <w:rsid w:val="00D449F0"/>
    <w:rsid w:val="00D500D5"/>
    <w:rsid w:val="00D50C8C"/>
    <w:rsid w:val="00D52393"/>
    <w:rsid w:val="00D523E4"/>
    <w:rsid w:val="00D5279D"/>
    <w:rsid w:val="00D52A1B"/>
    <w:rsid w:val="00D53F14"/>
    <w:rsid w:val="00D54BE4"/>
    <w:rsid w:val="00D60483"/>
    <w:rsid w:val="00D612FC"/>
    <w:rsid w:val="00D61ABB"/>
    <w:rsid w:val="00D63577"/>
    <w:rsid w:val="00D653C0"/>
    <w:rsid w:val="00D67FD7"/>
    <w:rsid w:val="00D718F5"/>
    <w:rsid w:val="00D74261"/>
    <w:rsid w:val="00D7441B"/>
    <w:rsid w:val="00D76AB2"/>
    <w:rsid w:val="00D77FA2"/>
    <w:rsid w:val="00D80490"/>
    <w:rsid w:val="00D829AD"/>
    <w:rsid w:val="00D82EE2"/>
    <w:rsid w:val="00D8545C"/>
    <w:rsid w:val="00D87788"/>
    <w:rsid w:val="00D877C8"/>
    <w:rsid w:val="00D910C2"/>
    <w:rsid w:val="00D9168C"/>
    <w:rsid w:val="00D9189B"/>
    <w:rsid w:val="00D91DA6"/>
    <w:rsid w:val="00D9706F"/>
    <w:rsid w:val="00D972D4"/>
    <w:rsid w:val="00DA195B"/>
    <w:rsid w:val="00DA3FF7"/>
    <w:rsid w:val="00DA6B55"/>
    <w:rsid w:val="00DA6D1C"/>
    <w:rsid w:val="00DB0015"/>
    <w:rsid w:val="00DB2AAD"/>
    <w:rsid w:val="00DB626D"/>
    <w:rsid w:val="00DB6365"/>
    <w:rsid w:val="00DC0BF1"/>
    <w:rsid w:val="00DC41C3"/>
    <w:rsid w:val="00DD3593"/>
    <w:rsid w:val="00DE017A"/>
    <w:rsid w:val="00DE0C67"/>
    <w:rsid w:val="00DE6952"/>
    <w:rsid w:val="00DE7E74"/>
    <w:rsid w:val="00DF126E"/>
    <w:rsid w:val="00DF6EF8"/>
    <w:rsid w:val="00E00A69"/>
    <w:rsid w:val="00E017F0"/>
    <w:rsid w:val="00E01A0E"/>
    <w:rsid w:val="00E02747"/>
    <w:rsid w:val="00E041E4"/>
    <w:rsid w:val="00E1012B"/>
    <w:rsid w:val="00E103C8"/>
    <w:rsid w:val="00E1085B"/>
    <w:rsid w:val="00E1308B"/>
    <w:rsid w:val="00E14581"/>
    <w:rsid w:val="00E15539"/>
    <w:rsid w:val="00E16541"/>
    <w:rsid w:val="00E2536E"/>
    <w:rsid w:val="00E25B8A"/>
    <w:rsid w:val="00E2632B"/>
    <w:rsid w:val="00E322F7"/>
    <w:rsid w:val="00E3257C"/>
    <w:rsid w:val="00E3369B"/>
    <w:rsid w:val="00E35163"/>
    <w:rsid w:val="00E36D76"/>
    <w:rsid w:val="00E37840"/>
    <w:rsid w:val="00E405EA"/>
    <w:rsid w:val="00E408B7"/>
    <w:rsid w:val="00E41637"/>
    <w:rsid w:val="00E42789"/>
    <w:rsid w:val="00E43F59"/>
    <w:rsid w:val="00E464F0"/>
    <w:rsid w:val="00E50BEB"/>
    <w:rsid w:val="00E548FA"/>
    <w:rsid w:val="00E6092F"/>
    <w:rsid w:val="00E62049"/>
    <w:rsid w:val="00E629DA"/>
    <w:rsid w:val="00E6469F"/>
    <w:rsid w:val="00E67FAC"/>
    <w:rsid w:val="00E7200B"/>
    <w:rsid w:val="00E732AD"/>
    <w:rsid w:val="00E738CB"/>
    <w:rsid w:val="00E73C88"/>
    <w:rsid w:val="00E74437"/>
    <w:rsid w:val="00E7443D"/>
    <w:rsid w:val="00E81C3E"/>
    <w:rsid w:val="00E82B6D"/>
    <w:rsid w:val="00EA1177"/>
    <w:rsid w:val="00EA118B"/>
    <w:rsid w:val="00EA11B6"/>
    <w:rsid w:val="00EA2181"/>
    <w:rsid w:val="00EA2CA9"/>
    <w:rsid w:val="00EA2DD8"/>
    <w:rsid w:val="00EA4475"/>
    <w:rsid w:val="00EA681F"/>
    <w:rsid w:val="00EB1213"/>
    <w:rsid w:val="00EB3823"/>
    <w:rsid w:val="00EB47D8"/>
    <w:rsid w:val="00EB57D3"/>
    <w:rsid w:val="00EB5EFD"/>
    <w:rsid w:val="00EB679F"/>
    <w:rsid w:val="00EB76E4"/>
    <w:rsid w:val="00EC0E65"/>
    <w:rsid w:val="00EC2938"/>
    <w:rsid w:val="00EC50C9"/>
    <w:rsid w:val="00EC58B4"/>
    <w:rsid w:val="00EC5BB2"/>
    <w:rsid w:val="00ED12F0"/>
    <w:rsid w:val="00ED4773"/>
    <w:rsid w:val="00ED664B"/>
    <w:rsid w:val="00ED6A61"/>
    <w:rsid w:val="00EE03BB"/>
    <w:rsid w:val="00EE0B44"/>
    <w:rsid w:val="00EE4E39"/>
    <w:rsid w:val="00EE6FE0"/>
    <w:rsid w:val="00EE704A"/>
    <w:rsid w:val="00EE7840"/>
    <w:rsid w:val="00EF4C74"/>
    <w:rsid w:val="00EF5268"/>
    <w:rsid w:val="00EF608E"/>
    <w:rsid w:val="00F0044B"/>
    <w:rsid w:val="00F04957"/>
    <w:rsid w:val="00F05807"/>
    <w:rsid w:val="00F07052"/>
    <w:rsid w:val="00F0706C"/>
    <w:rsid w:val="00F11EBE"/>
    <w:rsid w:val="00F12BA8"/>
    <w:rsid w:val="00F130D0"/>
    <w:rsid w:val="00F134DD"/>
    <w:rsid w:val="00F14933"/>
    <w:rsid w:val="00F1516A"/>
    <w:rsid w:val="00F20613"/>
    <w:rsid w:val="00F21B7E"/>
    <w:rsid w:val="00F22A26"/>
    <w:rsid w:val="00F24072"/>
    <w:rsid w:val="00F26432"/>
    <w:rsid w:val="00F3197A"/>
    <w:rsid w:val="00F32139"/>
    <w:rsid w:val="00F33D56"/>
    <w:rsid w:val="00F34E08"/>
    <w:rsid w:val="00F36C6D"/>
    <w:rsid w:val="00F41D91"/>
    <w:rsid w:val="00F42363"/>
    <w:rsid w:val="00F46964"/>
    <w:rsid w:val="00F46F9A"/>
    <w:rsid w:val="00F5126A"/>
    <w:rsid w:val="00F6636A"/>
    <w:rsid w:val="00F667C5"/>
    <w:rsid w:val="00F67E31"/>
    <w:rsid w:val="00F718A8"/>
    <w:rsid w:val="00F72183"/>
    <w:rsid w:val="00F76D01"/>
    <w:rsid w:val="00F8116A"/>
    <w:rsid w:val="00F81C35"/>
    <w:rsid w:val="00F82981"/>
    <w:rsid w:val="00F82F1C"/>
    <w:rsid w:val="00F8311F"/>
    <w:rsid w:val="00F83248"/>
    <w:rsid w:val="00F83376"/>
    <w:rsid w:val="00F853AE"/>
    <w:rsid w:val="00F9215D"/>
    <w:rsid w:val="00F93C74"/>
    <w:rsid w:val="00F93DCC"/>
    <w:rsid w:val="00F9435D"/>
    <w:rsid w:val="00F97740"/>
    <w:rsid w:val="00FA2F7B"/>
    <w:rsid w:val="00FA7CF3"/>
    <w:rsid w:val="00FB09FE"/>
    <w:rsid w:val="00FB593A"/>
    <w:rsid w:val="00FB6410"/>
    <w:rsid w:val="00FB6E82"/>
    <w:rsid w:val="00FC0042"/>
    <w:rsid w:val="00FC1C70"/>
    <w:rsid w:val="00FC2A13"/>
    <w:rsid w:val="00FC4284"/>
    <w:rsid w:val="00FC4576"/>
    <w:rsid w:val="00FC7DBC"/>
    <w:rsid w:val="00FD076A"/>
    <w:rsid w:val="00FD0AA0"/>
    <w:rsid w:val="00FD1D5A"/>
    <w:rsid w:val="00FD368E"/>
    <w:rsid w:val="00FD5059"/>
    <w:rsid w:val="00FD554D"/>
    <w:rsid w:val="00FD62E8"/>
    <w:rsid w:val="00FE4915"/>
    <w:rsid w:val="00FE6469"/>
    <w:rsid w:val="00FF0FF7"/>
    <w:rsid w:val="00FF1438"/>
    <w:rsid w:val="00FF20B6"/>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0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B4B"/>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9172FF"/>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2987C-F569-4276-8078-2F224CDA7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3010</Words>
  <Characters>17617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13</cp:revision>
  <cp:lastPrinted>2010-12-08T15:04:00Z</cp:lastPrinted>
  <dcterms:created xsi:type="dcterms:W3CDTF">2010-11-29T17:52:00Z</dcterms:created>
  <dcterms:modified xsi:type="dcterms:W3CDTF">2012-02-01T15:36:00Z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