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A65DE6" w:rsidRPr="00A65DE6" w:rsidRDefault="00A65DE6" w:rsidP="00A65DE6">
      <w:pPr>
        <w:tabs>
          <w:tab w:val="left" w:pos="288"/>
          <w:tab w:val="left" w:pos="4752"/>
        </w:tabs>
        <w:spacing w:line="240" w:lineRule="exact"/>
        <w:rPr>
          <w:color w:val="000080"/>
        </w:rPr>
      </w:pPr>
      <w:r w:rsidRPr="00A65DE6">
        <w:rPr>
          <w:color w:val="000080"/>
        </w:rPr>
        <w:t>NAME:</w:t>
      </w:r>
      <w:r w:rsidRPr="00A65DE6">
        <w:rPr>
          <w:color w:val="000080"/>
        </w:rPr>
        <w:tab/>
      </w:r>
      <w:r w:rsidRPr="00A65DE6">
        <w:rPr>
          <w:color w:val="000080"/>
        </w:rPr>
        <w:tab/>
        <w:t>BRANCH OF SERVICE:  ARMY</w:t>
      </w:r>
    </w:p>
    <w:p w:rsidR="006D2EB8" w:rsidRDefault="00A65DE6" w:rsidP="00A65DE6">
      <w:pPr>
        <w:tabs>
          <w:tab w:val="left" w:pos="288"/>
          <w:tab w:val="left" w:pos="4752"/>
        </w:tabs>
        <w:spacing w:line="240" w:lineRule="exact"/>
        <w:rPr>
          <w:color w:val="000080"/>
        </w:rPr>
      </w:pPr>
      <w:r w:rsidRPr="00A65DE6">
        <w:rPr>
          <w:color w:val="000080"/>
        </w:rPr>
        <w:t>CASE NUMBER:  PD0900151</w:t>
      </w:r>
      <w:r w:rsidRPr="00A65DE6">
        <w:rPr>
          <w:color w:val="000080"/>
        </w:rPr>
        <w:tab/>
      </w:r>
      <w:r w:rsidRPr="00A65DE6">
        <w:rPr>
          <w:color w:val="000080"/>
        </w:rPr>
        <w:tab/>
        <w:t>BOARD DATE: 20100325</w:t>
      </w:r>
    </w:p>
    <w:p w:rsidR="00540BEF" w:rsidRDefault="00A65DE6" w:rsidP="00A65DE6">
      <w:pPr>
        <w:tabs>
          <w:tab w:val="left" w:pos="288"/>
          <w:tab w:val="left" w:pos="4752"/>
        </w:tabs>
        <w:spacing w:line="240" w:lineRule="exact"/>
        <w:rPr>
          <w:color w:val="000080"/>
        </w:rPr>
      </w:pPr>
      <w:r w:rsidRPr="00A65DE6">
        <w:rPr>
          <w:color w:val="000080"/>
        </w:rPr>
        <w:t>SEPARATION DATE:  20041022</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743C2D" w:rsidRPr="00A3794A" w:rsidRDefault="002C6E5B" w:rsidP="00A3794A">
      <w:pPr>
        <w:tabs>
          <w:tab w:val="left" w:pos="288"/>
          <w:tab w:val="left" w:pos="4752"/>
        </w:tabs>
        <w:spacing w:line="240" w:lineRule="exact"/>
        <w:jc w:val="both"/>
        <w:rPr>
          <w:color w:val="000080"/>
        </w:rPr>
      </w:pPr>
      <w:r w:rsidRPr="00A3794A">
        <w:rPr>
          <w:color w:val="000080"/>
          <w:u w:val="single"/>
        </w:rPr>
        <w:t>SUMMARY OF CASE</w:t>
      </w:r>
      <w:r w:rsidRPr="00A3794A">
        <w:rPr>
          <w:color w:val="000080"/>
        </w:rPr>
        <w:t xml:space="preserve">:  This covered individual (CI) was </w:t>
      </w:r>
      <w:r w:rsidR="00C67777" w:rsidRPr="00A3794A">
        <w:rPr>
          <w:color w:val="000080"/>
        </w:rPr>
        <w:t>an active duty SP</w:t>
      </w:r>
      <w:r w:rsidR="00A3794A">
        <w:rPr>
          <w:color w:val="000080"/>
        </w:rPr>
        <w:t>C</w:t>
      </w:r>
      <w:r w:rsidR="00C67777" w:rsidRPr="00A3794A">
        <w:rPr>
          <w:color w:val="000080"/>
        </w:rPr>
        <w:t xml:space="preserve"> (admin)</w:t>
      </w:r>
      <w:r w:rsidRPr="00A3794A">
        <w:rPr>
          <w:color w:val="000080"/>
        </w:rPr>
        <w:t xml:space="preserve"> medically separated from the Army in 200</w:t>
      </w:r>
      <w:r w:rsidR="00C67777" w:rsidRPr="00A3794A">
        <w:rPr>
          <w:color w:val="000080"/>
        </w:rPr>
        <w:t>4</w:t>
      </w:r>
      <w:r w:rsidRPr="00A3794A">
        <w:rPr>
          <w:color w:val="000080"/>
        </w:rPr>
        <w:t xml:space="preserve"> after </w:t>
      </w:r>
      <w:r w:rsidR="00C67777" w:rsidRPr="00A3794A">
        <w:rPr>
          <w:color w:val="000080"/>
        </w:rPr>
        <w:t>3</w:t>
      </w:r>
      <w:r w:rsidRPr="00A3794A">
        <w:rPr>
          <w:color w:val="000080"/>
        </w:rPr>
        <w:t xml:space="preserve"> years of service.  The medical basis for the separation was </w:t>
      </w:r>
      <w:r w:rsidR="00C67777" w:rsidRPr="00A3794A">
        <w:rPr>
          <w:color w:val="000080"/>
        </w:rPr>
        <w:t xml:space="preserve">post-traumatic stress disorder (PTSD).  </w:t>
      </w:r>
      <w:r w:rsidR="00657521" w:rsidRPr="00A3794A">
        <w:rPr>
          <w:color w:val="000080"/>
        </w:rPr>
        <w:t xml:space="preserve">This diagnosis proceeded from an </w:t>
      </w:r>
      <w:r w:rsidR="006D2EB8">
        <w:rPr>
          <w:color w:val="000080"/>
        </w:rPr>
        <w:t xml:space="preserve">Operation Iraqi Freedom </w:t>
      </w:r>
      <w:r w:rsidR="00F6671F">
        <w:rPr>
          <w:color w:val="000080"/>
        </w:rPr>
        <w:t xml:space="preserve">(OIF) </w:t>
      </w:r>
      <w:r w:rsidR="00657521" w:rsidRPr="00A3794A">
        <w:rPr>
          <w:color w:val="000080"/>
        </w:rPr>
        <w:t>deployment in 2003</w:t>
      </w:r>
      <w:r w:rsidR="004F2006" w:rsidRPr="00A3794A">
        <w:rPr>
          <w:color w:val="000080"/>
        </w:rPr>
        <w:t xml:space="preserve"> with documented exposure</w:t>
      </w:r>
      <w:r w:rsidR="00657521" w:rsidRPr="00A3794A">
        <w:rPr>
          <w:color w:val="000080"/>
        </w:rPr>
        <w:t xml:space="preserve"> to Criterion </w:t>
      </w:r>
      <w:proofErr w:type="gramStart"/>
      <w:r w:rsidR="00657521" w:rsidRPr="00A3794A">
        <w:rPr>
          <w:color w:val="000080"/>
        </w:rPr>
        <w:t>A</w:t>
      </w:r>
      <w:proofErr w:type="gramEnd"/>
      <w:r w:rsidR="00657521" w:rsidRPr="00A3794A">
        <w:rPr>
          <w:color w:val="000080"/>
        </w:rPr>
        <w:t xml:space="preserve"> stressors</w:t>
      </w:r>
      <w:r w:rsidR="004F2006" w:rsidRPr="00A3794A">
        <w:rPr>
          <w:color w:val="000080"/>
        </w:rPr>
        <w:t>.  He successfully completed the tour, but began to develop characteristic PTSD symptoms after redeployment.  He was initially reluctant to report the symptoms, but became noticeably distressed on the firing range and was referred to Behavioral Health.</w:t>
      </w:r>
      <w:r w:rsidR="00D60B03" w:rsidRPr="00A3794A">
        <w:rPr>
          <w:color w:val="000080"/>
        </w:rPr>
        <w:t xml:space="preserve">  He received an Axis I diagnosis of PTSD which was managed with medications as an outpatient.  He continued to satisfactorily perform within his </w:t>
      </w:r>
      <w:r w:rsidR="006D2EB8" w:rsidRPr="006D2EB8">
        <w:rPr>
          <w:color w:val="000080"/>
        </w:rPr>
        <w:t xml:space="preserve">Military Occupational Specialty </w:t>
      </w:r>
      <w:r w:rsidR="006D2EB8">
        <w:rPr>
          <w:color w:val="000080"/>
        </w:rPr>
        <w:t>(</w:t>
      </w:r>
      <w:r w:rsidR="00D60B03" w:rsidRPr="00A3794A">
        <w:rPr>
          <w:color w:val="000080"/>
        </w:rPr>
        <w:t>MOS</w:t>
      </w:r>
      <w:r w:rsidR="006D2EB8">
        <w:rPr>
          <w:color w:val="000080"/>
        </w:rPr>
        <w:t>)</w:t>
      </w:r>
      <w:r w:rsidR="00D60B03" w:rsidRPr="00A3794A">
        <w:rPr>
          <w:color w:val="000080"/>
        </w:rPr>
        <w:t xml:space="preserve">, but </w:t>
      </w:r>
      <w:r w:rsidR="00C51D13" w:rsidRPr="00A3794A">
        <w:rPr>
          <w:color w:val="000080"/>
        </w:rPr>
        <w:t xml:space="preserve">the firing of </w:t>
      </w:r>
      <w:r w:rsidR="00D60B03" w:rsidRPr="00A3794A">
        <w:rPr>
          <w:color w:val="000080"/>
        </w:rPr>
        <w:t xml:space="preserve">weapons and </w:t>
      </w:r>
      <w:r w:rsidR="00C51D13" w:rsidRPr="00A3794A">
        <w:rPr>
          <w:color w:val="000080"/>
        </w:rPr>
        <w:t xml:space="preserve">donning </w:t>
      </w:r>
      <w:r w:rsidR="00A3794A">
        <w:rPr>
          <w:color w:val="000080"/>
        </w:rPr>
        <w:t xml:space="preserve">of </w:t>
      </w:r>
      <w:r w:rsidR="00D60B03" w:rsidRPr="00A3794A">
        <w:rPr>
          <w:color w:val="000080"/>
        </w:rPr>
        <w:t xml:space="preserve">combat gear </w:t>
      </w:r>
      <w:r w:rsidR="00C51D13" w:rsidRPr="00A3794A">
        <w:rPr>
          <w:color w:val="000080"/>
        </w:rPr>
        <w:t>triggered severe symptoms.</w:t>
      </w:r>
      <w:r w:rsidR="00D60B03" w:rsidRPr="00A3794A">
        <w:rPr>
          <w:color w:val="000080"/>
        </w:rPr>
        <w:t xml:space="preserve"> </w:t>
      </w:r>
      <w:r w:rsidR="00C51D13" w:rsidRPr="00A3794A">
        <w:rPr>
          <w:color w:val="000080"/>
        </w:rPr>
        <w:t xml:space="preserve"> Since</w:t>
      </w:r>
      <w:r w:rsidR="00D60B03" w:rsidRPr="00A3794A">
        <w:rPr>
          <w:color w:val="000080"/>
        </w:rPr>
        <w:t xml:space="preserve"> he could no longer fulfill th</w:t>
      </w:r>
      <w:r w:rsidR="00C51D13" w:rsidRPr="00A3794A">
        <w:rPr>
          <w:color w:val="000080"/>
        </w:rPr>
        <w:t>e requirements of soldiering, h</w:t>
      </w:r>
      <w:r w:rsidR="00D60B03" w:rsidRPr="00A3794A">
        <w:rPr>
          <w:color w:val="000080"/>
        </w:rPr>
        <w:t xml:space="preserve">e was placed on a permanent P3 profile and underwent a </w:t>
      </w:r>
      <w:r w:rsidR="008F4512">
        <w:rPr>
          <w:color w:val="000080"/>
        </w:rPr>
        <w:t>Medical Evaluation B</w:t>
      </w:r>
      <w:r w:rsidR="006D2EB8">
        <w:rPr>
          <w:color w:val="000080"/>
        </w:rPr>
        <w:t>oard (</w:t>
      </w:r>
      <w:r w:rsidR="00D60B03" w:rsidRPr="00A3794A">
        <w:rPr>
          <w:color w:val="000080"/>
        </w:rPr>
        <w:t>MEB</w:t>
      </w:r>
      <w:r w:rsidR="006D2EB8">
        <w:rPr>
          <w:color w:val="000080"/>
        </w:rPr>
        <w:t>)</w:t>
      </w:r>
      <w:r w:rsidR="00D60B03" w:rsidRPr="00A3794A">
        <w:rPr>
          <w:color w:val="000080"/>
        </w:rPr>
        <w:t xml:space="preserve">.  PTSD was referred to the </w:t>
      </w:r>
      <w:r w:rsidR="006D2EB8">
        <w:rPr>
          <w:color w:val="000080"/>
        </w:rPr>
        <w:t>Physical Evaluation Board (</w:t>
      </w:r>
      <w:r w:rsidR="00D60B03" w:rsidRPr="00A3794A">
        <w:rPr>
          <w:color w:val="000080"/>
        </w:rPr>
        <w:t>PEB</w:t>
      </w:r>
      <w:r w:rsidR="006D2EB8">
        <w:rPr>
          <w:color w:val="000080"/>
        </w:rPr>
        <w:t>)</w:t>
      </w:r>
      <w:r w:rsidR="00D60B03" w:rsidRPr="00A3794A">
        <w:rPr>
          <w:color w:val="000080"/>
        </w:rPr>
        <w:t xml:space="preserve"> as medically unacceptable IAW AR 40-501.  Additional conditions of hypertension (HTN) and </w:t>
      </w:r>
      <w:proofErr w:type="spellStart"/>
      <w:r w:rsidR="00D60B03" w:rsidRPr="00A3794A">
        <w:rPr>
          <w:color w:val="000080"/>
        </w:rPr>
        <w:t>nephrolithiasis</w:t>
      </w:r>
      <w:proofErr w:type="spellEnd"/>
      <w:r w:rsidR="00D60B03" w:rsidRPr="00A3794A">
        <w:rPr>
          <w:color w:val="000080"/>
        </w:rPr>
        <w:t xml:space="preserve"> (history of kidney stones) </w:t>
      </w:r>
      <w:r w:rsidR="00AE5E14" w:rsidRPr="00A3794A">
        <w:rPr>
          <w:color w:val="000080"/>
        </w:rPr>
        <w:t xml:space="preserve">were addressed in the </w:t>
      </w:r>
      <w:r w:rsidR="006D2EB8">
        <w:rPr>
          <w:color w:val="000080"/>
        </w:rPr>
        <w:t xml:space="preserve">narrative </w:t>
      </w:r>
      <w:proofErr w:type="gramStart"/>
      <w:r w:rsidR="006D2EB8">
        <w:rPr>
          <w:color w:val="000080"/>
        </w:rPr>
        <w:t>summary</w:t>
      </w:r>
      <w:proofErr w:type="gramEnd"/>
      <w:r w:rsidR="006D2EB8">
        <w:rPr>
          <w:color w:val="000080"/>
        </w:rPr>
        <w:t xml:space="preserve"> (</w:t>
      </w:r>
      <w:r w:rsidR="00AE5E14" w:rsidRPr="00A3794A">
        <w:rPr>
          <w:color w:val="000080"/>
        </w:rPr>
        <w:t>NARSUM</w:t>
      </w:r>
      <w:r w:rsidR="006D2EB8">
        <w:rPr>
          <w:color w:val="000080"/>
        </w:rPr>
        <w:t>)</w:t>
      </w:r>
      <w:r w:rsidR="00AE5E14" w:rsidRPr="00A3794A">
        <w:rPr>
          <w:color w:val="000080"/>
        </w:rPr>
        <w:t xml:space="preserve"> and forwarded to the PEB </w:t>
      </w:r>
      <w:r w:rsidR="009F7809" w:rsidRPr="00A3794A">
        <w:rPr>
          <w:color w:val="000080"/>
        </w:rPr>
        <w:t xml:space="preserve">as </w:t>
      </w:r>
      <w:r w:rsidR="00A3794A">
        <w:rPr>
          <w:color w:val="000080"/>
        </w:rPr>
        <w:t xml:space="preserve">within </w:t>
      </w:r>
      <w:r w:rsidR="00A3794A" w:rsidRPr="00A3794A">
        <w:rPr>
          <w:color w:val="000080"/>
        </w:rPr>
        <w:t>AR 40-501</w:t>
      </w:r>
      <w:r w:rsidR="00A3794A">
        <w:rPr>
          <w:color w:val="000080"/>
        </w:rPr>
        <w:t xml:space="preserve"> standards</w:t>
      </w:r>
      <w:r w:rsidR="00AE5E14" w:rsidRPr="00A3794A">
        <w:rPr>
          <w:color w:val="000080"/>
        </w:rPr>
        <w:t>.</w:t>
      </w:r>
      <w:r w:rsidR="00D60B03" w:rsidRPr="00A3794A">
        <w:rPr>
          <w:color w:val="000080"/>
        </w:rPr>
        <w:t xml:space="preserve">  </w:t>
      </w:r>
      <w:r w:rsidR="00694EEA" w:rsidRPr="00A3794A">
        <w:rPr>
          <w:color w:val="000080"/>
        </w:rPr>
        <w:t xml:space="preserve">Additional conditions supported in the </w:t>
      </w:r>
      <w:r w:rsidR="006D2EB8">
        <w:rPr>
          <w:color w:val="000080"/>
        </w:rPr>
        <w:t>Disability Evaluation System (</w:t>
      </w:r>
      <w:r w:rsidR="00694EEA" w:rsidRPr="00A3794A">
        <w:rPr>
          <w:color w:val="000080"/>
        </w:rPr>
        <w:t>DES</w:t>
      </w:r>
      <w:r w:rsidR="006D2EB8">
        <w:rPr>
          <w:color w:val="000080"/>
        </w:rPr>
        <w:t>)</w:t>
      </w:r>
      <w:r w:rsidR="00694EEA" w:rsidRPr="00A3794A">
        <w:rPr>
          <w:color w:val="000080"/>
        </w:rPr>
        <w:t xml:space="preserve"> packet are discussed below</w:t>
      </w:r>
      <w:r w:rsidR="00AE5E14" w:rsidRPr="00A3794A">
        <w:rPr>
          <w:color w:val="000080"/>
        </w:rPr>
        <w:t xml:space="preserve">, but were not forwarded for PEB </w:t>
      </w:r>
      <w:r w:rsidR="00AE4624" w:rsidRPr="00A3794A">
        <w:rPr>
          <w:color w:val="000080"/>
        </w:rPr>
        <w:t>adjudication</w:t>
      </w:r>
      <w:r w:rsidR="00AE5E14" w:rsidRPr="00A3794A">
        <w:rPr>
          <w:color w:val="000080"/>
        </w:rPr>
        <w:t xml:space="preserve"> on the DA </w:t>
      </w:r>
      <w:r w:rsidR="006D2EB8">
        <w:rPr>
          <w:color w:val="000080"/>
        </w:rPr>
        <w:t xml:space="preserve">Form </w:t>
      </w:r>
      <w:r w:rsidR="00AE5E14" w:rsidRPr="00A3794A">
        <w:rPr>
          <w:color w:val="000080"/>
        </w:rPr>
        <w:t>3947.</w:t>
      </w:r>
      <w:r w:rsidR="00D60B03" w:rsidRPr="00A3794A">
        <w:rPr>
          <w:color w:val="000080"/>
        </w:rPr>
        <w:t xml:space="preserve">  The PEB found the CI unfit for PTSD only and he was medically separated with a disability rating of 10%.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896535" w:rsidRPr="00A3794A" w:rsidRDefault="002C6E5B" w:rsidP="00A3794A">
      <w:pPr>
        <w:tabs>
          <w:tab w:val="left" w:pos="288"/>
          <w:tab w:val="left" w:pos="4752"/>
        </w:tabs>
        <w:spacing w:line="240" w:lineRule="exact"/>
        <w:jc w:val="both"/>
        <w:rPr>
          <w:color w:val="000080"/>
        </w:rPr>
      </w:pPr>
      <w:r w:rsidRPr="00A3794A">
        <w:rPr>
          <w:color w:val="000080"/>
          <w:u w:val="single"/>
        </w:rPr>
        <w:t>CI CONTENTION</w:t>
      </w:r>
      <w:r w:rsidRPr="00A3794A">
        <w:rPr>
          <w:color w:val="000080"/>
        </w:rPr>
        <w:t>:  The CI states:</w:t>
      </w:r>
      <w:r w:rsidR="00C932C5" w:rsidRPr="00A3794A">
        <w:rPr>
          <w:color w:val="000080"/>
        </w:rPr>
        <w:t xml:space="preserve"> ‘</w:t>
      </w:r>
      <w:r w:rsidR="00C67777" w:rsidRPr="00A3794A">
        <w:rPr>
          <w:color w:val="000080"/>
        </w:rPr>
        <w:t>VA s</w:t>
      </w:r>
      <w:r w:rsidR="00A3794A">
        <w:rPr>
          <w:color w:val="000080"/>
        </w:rPr>
        <w:t>chedule for rating disabilities...</w:t>
      </w:r>
      <w:r w:rsidR="00C67777" w:rsidRPr="00A3794A">
        <w:rPr>
          <w:color w:val="000080"/>
        </w:rPr>
        <w:t>was not used in my disability rating from the Army.</w:t>
      </w:r>
      <w:r w:rsidR="00C932C5" w:rsidRPr="00A3794A">
        <w:rPr>
          <w:color w:val="000080"/>
        </w:rPr>
        <w:t>’</w:t>
      </w:r>
      <w:r w:rsidR="00896535" w:rsidRPr="00A3794A">
        <w:rPr>
          <w:color w:val="000080"/>
        </w:rPr>
        <w:t xml:space="preserve">  </w:t>
      </w:r>
      <w:r w:rsidR="00C67777" w:rsidRPr="00A3794A">
        <w:rPr>
          <w:color w:val="000080"/>
        </w:rPr>
        <w:t>He notes his other VA-rated conditions on the application, but does not specifically contend for service ratings</w:t>
      </w:r>
      <w:r w:rsidR="00657521" w:rsidRPr="00A3794A">
        <w:rPr>
          <w:color w:val="000080"/>
        </w:rPr>
        <w:t xml:space="preserve"> for them</w:t>
      </w:r>
      <w:r w:rsidR="00C67777" w:rsidRPr="00A3794A">
        <w:rPr>
          <w:color w:val="000080"/>
        </w:rPr>
        <w: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0A6A72" w:rsidRDefault="000A6A72">
      <w:pPr>
        <w:rPr>
          <w:color w:val="000080"/>
        </w:rPr>
      </w:pPr>
      <w:r>
        <w:rPr>
          <w:color w:val="000080"/>
        </w:rPr>
        <w:br w:type="page"/>
      </w:r>
    </w:p>
    <w:p w:rsidR="001C181A" w:rsidRDefault="001C181A" w:rsidP="00875F2D">
      <w:pPr>
        <w:tabs>
          <w:tab w:val="left" w:pos="288"/>
          <w:tab w:val="left" w:pos="4752"/>
        </w:tabs>
        <w:spacing w:line="240" w:lineRule="exact"/>
        <w:jc w:val="both"/>
        <w:rPr>
          <w:color w:val="000080"/>
        </w:rPr>
      </w:pPr>
    </w:p>
    <w:p w:rsidR="002338CA" w:rsidRPr="00A3794A" w:rsidRDefault="002C6E5B" w:rsidP="00875F2D">
      <w:pPr>
        <w:tabs>
          <w:tab w:val="left" w:pos="288"/>
          <w:tab w:val="left" w:pos="4752"/>
        </w:tabs>
        <w:spacing w:line="240" w:lineRule="exact"/>
        <w:jc w:val="both"/>
        <w:rPr>
          <w:color w:val="000080"/>
        </w:rPr>
      </w:pPr>
      <w:r w:rsidRPr="00A3794A">
        <w:rPr>
          <w:color w:val="000080"/>
          <w:u w:val="single"/>
        </w:rPr>
        <w:t>RATING COMPARISON</w:t>
      </w:r>
      <w:r w:rsidRPr="00A3794A">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180" w:type="dxa"/>
        <w:tblInd w:w="108" w:type="dxa"/>
        <w:tblLayout w:type="fixed"/>
        <w:tblLook w:val="04A0"/>
      </w:tblPr>
      <w:tblGrid>
        <w:gridCol w:w="2520"/>
        <w:gridCol w:w="720"/>
        <w:gridCol w:w="810"/>
        <w:gridCol w:w="2250"/>
        <w:gridCol w:w="1080"/>
        <w:gridCol w:w="810"/>
        <w:gridCol w:w="990"/>
      </w:tblGrid>
      <w:tr w:rsidR="00684E2B" w:rsidTr="00C67777">
        <w:trPr>
          <w:trHeight w:val="233"/>
        </w:trPr>
        <w:tc>
          <w:tcPr>
            <w:tcW w:w="4050" w:type="dxa"/>
            <w:gridSpan w:val="3"/>
            <w:tcBorders>
              <w:right w:val="thinThickThinSmallGap" w:sz="24" w:space="0" w:color="auto"/>
            </w:tcBorders>
            <w:shd w:val="clear" w:color="auto" w:fill="C6D9F1" w:themeFill="text2" w:themeFillTint="33"/>
          </w:tcPr>
          <w:p w:rsidR="00684E2B" w:rsidRPr="00ED3395" w:rsidRDefault="00684E2B" w:rsidP="00C67777">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Service PEB</w:t>
            </w:r>
            <w:r w:rsidR="002B2645" w:rsidRPr="00ED3395">
              <w:rPr>
                <w:rFonts w:cs="Times New Roman"/>
                <w:b/>
                <w:color w:val="002060"/>
                <w:sz w:val="20"/>
                <w:szCs w:val="20"/>
              </w:rPr>
              <w:t xml:space="preserve"> – Dated </w:t>
            </w:r>
            <w:r w:rsidR="00C67777" w:rsidRPr="00ED3395">
              <w:rPr>
                <w:rFonts w:cs="Times New Roman"/>
                <w:b/>
                <w:color w:val="002060"/>
                <w:sz w:val="20"/>
                <w:szCs w:val="20"/>
              </w:rPr>
              <w:t>20040705</w:t>
            </w:r>
          </w:p>
        </w:tc>
        <w:tc>
          <w:tcPr>
            <w:tcW w:w="5130" w:type="dxa"/>
            <w:gridSpan w:val="4"/>
            <w:tcBorders>
              <w:left w:val="thinThickThinSmallGap" w:sz="24" w:space="0" w:color="auto"/>
            </w:tcBorders>
            <w:shd w:val="clear" w:color="auto" w:fill="C6D9F1" w:themeFill="text2" w:themeFillTint="33"/>
          </w:tcPr>
          <w:p w:rsidR="00684E2B" w:rsidRPr="00ED3395" w:rsidRDefault="00684E2B" w:rsidP="00C67777">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VA (</w:t>
            </w:r>
            <w:r w:rsidR="00C67777" w:rsidRPr="00ED3395">
              <w:rPr>
                <w:rFonts w:cs="Times New Roman"/>
                <w:b/>
                <w:color w:val="002060"/>
                <w:sz w:val="20"/>
                <w:szCs w:val="20"/>
              </w:rPr>
              <w:t>Pre-</w:t>
            </w:r>
            <w:r w:rsidRPr="00ED3395">
              <w:rPr>
                <w:rFonts w:cs="Times New Roman"/>
                <w:b/>
                <w:color w:val="002060"/>
                <w:sz w:val="20"/>
                <w:szCs w:val="20"/>
              </w:rPr>
              <w:t>Separation)</w:t>
            </w:r>
            <w:r w:rsidR="000C3C13" w:rsidRPr="00ED3395">
              <w:rPr>
                <w:rFonts w:cs="Times New Roman"/>
                <w:b/>
                <w:color w:val="002060"/>
                <w:sz w:val="20"/>
                <w:szCs w:val="20"/>
              </w:rPr>
              <w:t xml:space="preserve"> – All Effective </w:t>
            </w:r>
            <w:r w:rsidR="00D26732" w:rsidRPr="00ED3395">
              <w:rPr>
                <w:rFonts w:cs="Times New Roman"/>
                <w:b/>
                <w:color w:val="002060"/>
                <w:sz w:val="20"/>
                <w:szCs w:val="20"/>
              </w:rPr>
              <w:t>20041023</w:t>
            </w:r>
          </w:p>
        </w:tc>
      </w:tr>
      <w:tr w:rsidR="002B2645" w:rsidTr="00E66F17">
        <w:trPr>
          <w:trHeight w:val="233"/>
        </w:trPr>
        <w:tc>
          <w:tcPr>
            <w:tcW w:w="2520" w:type="dxa"/>
            <w:tcBorders>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Rating</w:t>
            </w:r>
          </w:p>
        </w:tc>
        <w:tc>
          <w:tcPr>
            <w:tcW w:w="2250" w:type="dxa"/>
            <w:tcBorders>
              <w:left w:val="thinThickThinSmallGap" w:sz="24" w:space="0" w:color="auto"/>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Condition</w:t>
            </w:r>
          </w:p>
        </w:tc>
        <w:tc>
          <w:tcPr>
            <w:tcW w:w="1080" w:type="dxa"/>
            <w:tcBorders>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ED3395" w:rsidRDefault="002B2645"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Exam</w:t>
            </w:r>
          </w:p>
        </w:tc>
      </w:tr>
      <w:tr w:rsidR="00462AAE" w:rsidTr="00E66F17">
        <w:trPr>
          <w:trHeight w:val="210"/>
        </w:trPr>
        <w:tc>
          <w:tcPr>
            <w:tcW w:w="2520" w:type="dxa"/>
            <w:vMerge w:val="restart"/>
            <w:shd w:val="clear" w:color="auto" w:fill="FFFFFF" w:themeFill="background1"/>
          </w:tcPr>
          <w:p w:rsidR="00462AAE" w:rsidRPr="00ED3395" w:rsidRDefault="00462AAE" w:rsidP="00F37554">
            <w:pPr>
              <w:pStyle w:val="ListParagraph"/>
              <w:spacing w:after="0" w:line="240" w:lineRule="auto"/>
              <w:ind w:left="0"/>
              <w:rPr>
                <w:rFonts w:cs="Times New Roman"/>
                <w:color w:val="002060"/>
                <w:sz w:val="18"/>
                <w:szCs w:val="18"/>
              </w:rPr>
            </w:pPr>
            <w:r w:rsidRPr="00ED3395">
              <w:rPr>
                <w:rFonts w:cs="Times New Roman"/>
                <w:color w:val="002060"/>
                <w:sz w:val="18"/>
                <w:szCs w:val="18"/>
              </w:rPr>
              <w:t>PTSD</w:t>
            </w:r>
          </w:p>
        </w:tc>
        <w:tc>
          <w:tcPr>
            <w:tcW w:w="720" w:type="dxa"/>
            <w:vMerge w:val="restart"/>
            <w:shd w:val="clear" w:color="auto" w:fill="FFFFFF" w:themeFill="background1"/>
          </w:tcPr>
          <w:p w:rsidR="00462AAE" w:rsidRPr="00ED3395" w:rsidRDefault="00D26732" w:rsidP="00F3755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9411</w:t>
            </w:r>
          </w:p>
        </w:tc>
        <w:tc>
          <w:tcPr>
            <w:tcW w:w="810" w:type="dxa"/>
            <w:vMerge w:val="restart"/>
            <w:tcBorders>
              <w:right w:val="thinThickThinSmallGap" w:sz="24" w:space="0" w:color="auto"/>
            </w:tcBorders>
            <w:shd w:val="clear" w:color="auto" w:fill="FFFFFF" w:themeFill="background1"/>
          </w:tcPr>
          <w:p w:rsidR="00462AAE" w:rsidRPr="00ED3395" w:rsidRDefault="00D26732" w:rsidP="00F3755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10%</w:t>
            </w:r>
          </w:p>
        </w:tc>
        <w:tc>
          <w:tcPr>
            <w:tcW w:w="2250" w:type="dxa"/>
            <w:vMerge w:val="restart"/>
            <w:tcBorders>
              <w:left w:val="thinThickThinSmallGap" w:sz="24" w:space="0" w:color="auto"/>
            </w:tcBorders>
            <w:shd w:val="clear" w:color="auto" w:fill="FFFFFF" w:themeFill="background1"/>
          </w:tcPr>
          <w:p w:rsidR="00462AAE" w:rsidRPr="00ED3395" w:rsidRDefault="00462AAE" w:rsidP="00D26732">
            <w:pPr>
              <w:pStyle w:val="ListParagraph"/>
              <w:spacing w:after="0" w:line="240" w:lineRule="auto"/>
              <w:ind w:left="0"/>
              <w:rPr>
                <w:rFonts w:cs="Times New Roman"/>
                <w:color w:val="002060"/>
                <w:sz w:val="18"/>
                <w:szCs w:val="18"/>
              </w:rPr>
            </w:pPr>
            <w:r w:rsidRPr="00ED3395">
              <w:rPr>
                <w:rFonts w:cs="Times New Roman"/>
                <w:color w:val="002060"/>
                <w:sz w:val="18"/>
                <w:szCs w:val="18"/>
              </w:rPr>
              <w:t>PTSD</w:t>
            </w:r>
          </w:p>
        </w:tc>
        <w:tc>
          <w:tcPr>
            <w:tcW w:w="1080" w:type="dxa"/>
            <w:vMerge w:val="restart"/>
            <w:shd w:val="clear" w:color="auto" w:fill="FFFFFF" w:themeFill="background1"/>
          </w:tcPr>
          <w:p w:rsidR="00462AAE" w:rsidRPr="00ED3395" w:rsidRDefault="00462AAE" w:rsidP="00D26732">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9411</w:t>
            </w:r>
          </w:p>
        </w:tc>
        <w:tc>
          <w:tcPr>
            <w:tcW w:w="810" w:type="dxa"/>
            <w:tcBorders>
              <w:bottom w:val="single" w:sz="4" w:space="0" w:color="auto"/>
            </w:tcBorders>
            <w:shd w:val="clear" w:color="auto" w:fill="FFFFFF" w:themeFill="background1"/>
          </w:tcPr>
          <w:p w:rsidR="00462AAE" w:rsidRPr="00ED3395" w:rsidRDefault="00462AAE"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30%</w:t>
            </w:r>
          </w:p>
        </w:tc>
        <w:tc>
          <w:tcPr>
            <w:tcW w:w="990" w:type="dxa"/>
            <w:tcBorders>
              <w:bottom w:val="single" w:sz="4" w:space="0" w:color="auto"/>
            </w:tcBorders>
            <w:shd w:val="clear" w:color="auto" w:fill="FFFFFF" w:themeFill="background1"/>
          </w:tcPr>
          <w:p w:rsidR="00462AAE" w:rsidRPr="00ED3395" w:rsidRDefault="00462AAE"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20040802</w:t>
            </w:r>
          </w:p>
        </w:tc>
      </w:tr>
      <w:tr w:rsidR="00462AAE" w:rsidTr="00E66F17">
        <w:trPr>
          <w:trHeight w:val="214"/>
        </w:trPr>
        <w:tc>
          <w:tcPr>
            <w:tcW w:w="2520" w:type="dxa"/>
            <w:vMerge/>
            <w:shd w:val="clear" w:color="auto" w:fill="FFFFFF" w:themeFill="background1"/>
          </w:tcPr>
          <w:p w:rsidR="00462AAE" w:rsidRPr="00ED3395" w:rsidRDefault="00462AAE" w:rsidP="00F37554">
            <w:pPr>
              <w:pStyle w:val="ListParagraph"/>
              <w:spacing w:after="0" w:line="240" w:lineRule="auto"/>
              <w:ind w:left="0"/>
              <w:rPr>
                <w:rFonts w:cs="Times New Roman"/>
                <w:color w:val="002060"/>
                <w:sz w:val="18"/>
                <w:szCs w:val="18"/>
              </w:rPr>
            </w:pPr>
          </w:p>
        </w:tc>
        <w:tc>
          <w:tcPr>
            <w:tcW w:w="720" w:type="dxa"/>
            <w:vMerge/>
            <w:shd w:val="clear" w:color="auto" w:fill="FFFFFF" w:themeFill="background1"/>
          </w:tcPr>
          <w:p w:rsidR="00462AAE" w:rsidRPr="00ED3395" w:rsidRDefault="00462AAE" w:rsidP="00F37554">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462AAE" w:rsidRPr="00ED3395" w:rsidRDefault="00462AAE" w:rsidP="00F37554">
            <w:pPr>
              <w:pStyle w:val="ListParagraph"/>
              <w:spacing w:after="0" w:line="240" w:lineRule="auto"/>
              <w:ind w:left="0"/>
              <w:jc w:val="center"/>
              <w:rPr>
                <w:rFonts w:cs="Times New Roman"/>
                <w:color w:val="002060"/>
                <w:sz w:val="18"/>
                <w:szCs w:val="18"/>
              </w:rPr>
            </w:pPr>
          </w:p>
        </w:tc>
        <w:tc>
          <w:tcPr>
            <w:tcW w:w="2250" w:type="dxa"/>
            <w:vMerge/>
            <w:tcBorders>
              <w:left w:val="thinThickThinSmallGap" w:sz="24" w:space="0" w:color="auto"/>
            </w:tcBorders>
            <w:shd w:val="clear" w:color="auto" w:fill="FFFFFF" w:themeFill="background1"/>
          </w:tcPr>
          <w:p w:rsidR="00462AAE" w:rsidRPr="00ED3395" w:rsidRDefault="00462AAE" w:rsidP="00F37554">
            <w:pPr>
              <w:pStyle w:val="ListParagraph"/>
              <w:spacing w:after="0" w:line="240" w:lineRule="auto"/>
              <w:ind w:left="0"/>
              <w:rPr>
                <w:rFonts w:cs="Times New Roman"/>
                <w:color w:val="002060"/>
                <w:sz w:val="18"/>
                <w:szCs w:val="18"/>
              </w:rPr>
            </w:pPr>
          </w:p>
        </w:tc>
        <w:tc>
          <w:tcPr>
            <w:tcW w:w="1080" w:type="dxa"/>
            <w:vMerge/>
            <w:shd w:val="clear" w:color="auto" w:fill="FFFFFF" w:themeFill="background1"/>
          </w:tcPr>
          <w:p w:rsidR="00462AAE" w:rsidRPr="00ED3395" w:rsidRDefault="00462AAE" w:rsidP="00F37554">
            <w:pPr>
              <w:pStyle w:val="ListParagraph"/>
              <w:spacing w:after="0" w:line="240" w:lineRule="auto"/>
              <w:ind w:left="0"/>
              <w:jc w:val="center"/>
              <w:rPr>
                <w:rFonts w:cs="Times New Roman"/>
                <w:color w:val="002060"/>
                <w:sz w:val="18"/>
                <w:szCs w:val="18"/>
              </w:rPr>
            </w:pPr>
          </w:p>
        </w:tc>
        <w:tc>
          <w:tcPr>
            <w:tcW w:w="810" w:type="dxa"/>
            <w:tcBorders>
              <w:top w:val="single" w:sz="4" w:space="0" w:color="auto"/>
            </w:tcBorders>
            <w:shd w:val="clear" w:color="auto" w:fill="FFFFFF" w:themeFill="background1"/>
          </w:tcPr>
          <w:p w:rsidR="00462AAE" w:rsidRPr="00ED3395" w:rsidRDefault="00A3794A"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30</w:t>
            </w:r>
            <w:r w:rsidR="00462AAE" w:rsidRPr="00ED3395">
              <w:rPr>
                <w:rFonts w:cs="Times New Roman"/>
                <w:color w:val="002060"/>
                <w:sz w:val="18"/>
                <w:szCs w:val="18"/>
              </w:rPr>
              <w:t>%</w:t>
            </w:r>
          </w:p>
        </w:tc>
        <w:tc>
          <w:tcPr>
            <w:tcW w:w="990" w:type="dxa"/>
            <w:tcBorders>
              <w:top w:val="single" w:sz="4" w:space="0" w:color="auto"/>
            </w:tcBorders>
            <w:shd w:val="clear" w:color="auto" w:fill="FFFFFF" w:themeFill="background1"/>
          </w:tcPr>
          <w:p w:rsidR="00462AAE" w:rsidRPr="00ED3395" w:rsidRDefault="00462AAE"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20070110</w:t>
            </w:r>
          </w:p>
        </w:tc>
      </w:tr>
      <w:tr w:rsidR="00D26732" w:rsidTr="00E66F17">
        <w:trPr>
          <w:trHeight w:val="125"/>
        </w:trPr>
        <w:tc>
          <w:tcPr>
            <w:tcW w:w="2520" w:type="dxa"/>
            <w:shd w:val="clear" w:color="auto" w:fill="FFFFFF" w:themeFill="background1"/>
          </w:tcPr>
          <w:p w:rsidR="00D26732" w:rsidRPr="00ED3395" w:rsidRDefault="00D26732" w:rsidP="00F37554">
            <w:pPr>
              <w:pStyle w:val="ListParagraph"/>
              <w:spacing w:after="0" w:line="240" w:lineRule="auto"/>
              <w:ind w:left="0"/>
              <w:rPr>
                <w:rFonts w:cs="Times New Roman"/>
                <w:color w:val="002060"/>
                <w:sz w:val="18"/>
                <w:szCs w:val="18"/>
              </w:rPr>
            </w:pPr>
            <w:r w:rsidRPr="00ED3395">
              <w:rPr>
                <w:rFonts w:cs="Times New Roman"/>
                <w:color w:val="002060"/>
                <w:sz w:val="18"/>
                <w:szCs w:val="18"/>
              </w:rPr>
              <w:t>Borderline HTN</w:t>
            </w:r>
          </w:p>
        </w:tc>
        <w:tc>
          <w:tcPr>
            <w:tcW w:w="1530" w:type="dxa"/>
            <w:gridSpan w:val="2"/>
            <w:tcBorders>
              <w:right w:val="thinThickThinSmallGap" w:sz="24" w:space="0" w:color="auto"/>
            </w:tcBorders>
            <w:shd w:val="clear" w:color="auto" w:fill="FFFFFF" w:themeFill="background1"/>
          </w:tcPr>
          <w:p w:rsidR="00D26732" w:rsidRPr="00ED3395" w:rsidRDefault="00D26732" w:rsidP="00F3755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Not Unfitting</w:t>
            </w:r>
          </w:p>
        </w:tc>
        <w:tc>
          <w:tcPr>
            <w:tcW w:w="2250" w:type="dxa"/>
            <w:tcBorders>
              <w:left w:val="thinThickThinSmallGap" w:sz="24" w:space="0" w:color="auto"/>
            </w:tcBorders>
            <w:shd w:val="clear" w:color="auto" w:fill="FFFFFF" w:themeFill="background1"/>
          </w:tcPr>
          <w:p w:rsidR="00D26732" w:rsidRPr="00ED3395" w:rsidRDefault="00D26732" w:rsidP="00664824">
            <w:pPr>
              <w:pStyle w:val="ListParagraph"/>
              <w:spacing w:after="0" w:line="240" w:lineRule="auto"/>
              <w:ind w:left="0"/>
              <w:rPr>
                <w:color w:val="002060"/>
                <w:sz w:val="18"/>
                <w:szCs w:val="18"/>
              </w:rPr>
            </w:pPr>
            <w:r w:rsidRPr="00ED3395">
              <w:rPr>
                <w:color w:val="002060"/>
                <w:sz w:val="18"/>
                <w:szCs w:val="18"/>
              </w:rPr>
              <w:t>Hypertension</w:t>
            </w:r>
          </w:p>
        </w:tc>
        <w:tc>
          <w:tcPr>
            <w:tcW w:w="1080" w:type="dxa"/>
            <w:shd w:val="clear" w:color="auto" w:fill="FFFFFF" w:themeFill="background1"/>
          </w:tcPr>
          <w:p w:rsidR="00D26732" w:rsidRPr="00ED3395" w:rsidRDefault="00D26732" w:rsidP="0066482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7101</w:t>
            </w:r>
          </w:p>
        </w:tc>
        <w:tc>
          <w:tcPr>
            <w:tcW w:w="810" w:type="dxa"/>
            <w:shd w:val="clear" w:color="auto" w:fill="FFFFFF" w:themeFill="background1"/>
          </w:tcPr>
          <w:p w:rsidR="00D26732" w:rsidRPr="00ED3395" w:rsidRDefault="00D26732"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10%</w:t>
            </w:r>
          </w:p>
        </w:tc>
        <w:tc>
          <w:tcPr>
            <w:tcW w:w="990" w:type="dxa"/>
            <w:shd w:val="clear" w:color="auto" w:fill="FFFFFF" w:themeFill="background1"/>
          </w:tcPr>
          <w:p w:rsidR="00D26732" w:rsidRPr="00ED3395" w:rsidRDefault="00D26732"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D26732" w:rsidTr="00C67777">
        <w:trPr>
          <w:trHeight w:val="188"/>
        </w:trPr>
        <w:tc>
          <w:tcPr>
            <w:tcW w:w="2520" w:type="dxa"/>
            <w:shd w:val="clear" w:color="auto" w:fill="FFFFFF" w:themeFill="background1"/>
          </w:tcPr>
          <w:p w:rsidR="00D26732" w:rsidRPr="00ED3395" w:rsidRDefault="00D26732" w:rsidP="00F37554">
            <w:pPr>
              <w:pStyle w:val="ListParagraph"/>
              <w:spacing w:after="0" w:line="240" w:lineRule="auto"/>
              <w:ind w:left="0"/>
              <w:rPr>
                <w:rFonts w:cs="Times New Roman"/>
                <w:color w:val="002060"/>
                <w:sz w:val="18"/>
                <w:szCs w:val="18"/>
              </w:rPr>
            </w:pPr>
            <w:proofErr w:type="spellStart"/>
            <w:r w:rsidRPr="00ED3395">
              <w:rPr>
                <w:rFonts w:cs="Times New Roman"/>
                <w:color w:val="002060"/>
                <w:sz w:val="18"/>
                <w:szCs w:val="18"/>
              </w:rPr>
              <w:t>Nephrolithiasis</w:t>
            </w:r>
            <w:proofErr w:type="spellEnd"/>
          </w:p>
        </w:tc>
        <w:tc>
          <w:tcPr>
            <w:tcW w:w="1530" w:type="dxa"/>
            <w:gridSpan w:val="2"/>
            <w:tcBorders>
              <w:right w:val="thinThickThinSmallGap" w:sz="24" w:space="0" w:color="auto"/>
            </w:tcBorders>
            <w:shd w:val="clear" w:color="auto" w:fill="FFFFFF" w:themeFill="background1"/>
          </w:tcPr>
          <w:p w:rsidR="00D26732" w:rsidRPr="00ED3395" w:rsidRDefault="00D26732" w:rsidP="00F3755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Not Unfitting</w:t>
            </w:r>
          </w:p>
        </w:tc>
        <w:tc>
          <w:tcPr>
            <w:tcW w:w="2250" w:type="dxa"/>
            <w:tcBorders>
              <w:left w:val="thinThickThinSmallGap" w:sz="24" w:space="0" w:color="auto"/>
              <w:right w:val="single" w:sz="4" w:space="0" w:color="auto"/>
            </w:tcBorders>
            <w:shd w:val="clear" w:color="auto" w:fill="FFFFFF" w:themeFill="background1"/>
          </w:tcPr>
          <w:p w:rsidR="00D26732" w:rsidRPr="00ED3395" w:rsidRDefault="00D26732" w:rsidP="00F37554">
            <w:pPr>
              <w:pStyle w:val="ListParagraph"/>
              <w:spacing w:after="0" w:line="240" w:lineRule="auto"/>
              <w:ind w:left="0"/>
              <w:rPr>
                <w:rFonts w:cs="Times New Roman"/>
                <w:color w:val="002060"/>
                <w:sz w:val="18"/>
                <w:szCs w:val="18"/>
              </w:rPr>
            </w:pPr>
            <w:r w:rsidRPr="00ED3395">
              <w:rPr>
                <w:rFonts w:cs="Times New Roman"/>
                <w:color w:val="002060"/>
                <w:sz w:val="18"/>
                <w:szCs w:val="18"/>
              </w:rPr>
              <w:t>Renal Stones</w:t>
            </w:r>
          </w:p>
        </w:tc>
        <w:tc>
          <w:tcPr>
            <w:tcW w:w="1080" w:type="dxa"/>
            <w:tcBorders>
              <w:left w:val="single" w:sz="4" w:space="0" w:color="auto"/>
            </w:tcBorders>
            <w:shd w:val="clear" w:color="auto" w:fill="FFFFFF" w:themeFill="background1"/>
          </w:tcPr>
          <w:p w:rsidR="00D26732" w:rsidRPr="00ED3395" w:rsidRDefault="00D26732" w:rsidP="00664824">
            <w:pPr>
              <w:pStyle w:val="ListParagraph"/>
              <w:spacing w:after="0" w:line="240" w:lineRule="auto"/>
              <w:ind w:left="0"/>
              <w:jc w:val="center"/>
              <w:rPr>
                <w:rFonts w:cs="Times New Roman"/>
                <w:color w:val="002060"/>
                <w:sz w:val="18"/>
                <w:szCs w:val="18"/>
              </w:rPr>
            </w:pPr>
            <w:r w:rsidRPr="00ED3395">
              <w:rPr>
                <w:color w:val="002060"/>
                <w:sz w:val="18"/>
                <w:szCs w:val="18"/>
              </w:rPr>
              <w:t>7508-7509</w:t>
            </w:r>
          </w:p>
        </w:tc>
        <w:tc>
          <w:tcPr>
            <w:tcW w:w="810" w:type="dxa"/>
            <w:shd w:val="clear" w:color="auto" w:fill="FFFFFF" w:themeFill="background1"/>
          </w:tcPr>
          <w:p w:rsidR="00D26732" w:rsidRPr="00ED3395" w:rsidRDefault="00D26732"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0%</w:t>
            </w:r>
          </w:p>
        </w:tc>
        <w:tc>
          <w:tcPr>
            <w:tcW w:w="990" w:type="dxa"/>
            <w:shd w:val="clear" w:color="auto" w:fill="FFFFFF" w:themeFill="background1"/>
          </w:tcPr>
          <w:p w:rsidR="00D26732" w:rsidRPr="00ED3395" w:rsidRDefault="00D26732"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C67777" w:rsidTr="00E66F17">
        <w:trPr>
          <w:trHeight w:val="143"/>
        </w:trPr>
        <w:tc>
          <w:tcPr>
            <w:tcW w:w="4050" w:type="dxa"/>
            <w:gridSpan w:val="3"/>
            <w:vMerge w:val="restart"/>
            <w:tcBorders>
              <w:righ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jc w:val="center"/>
              <w:rPr>
                <w:rFonts w:cs="Times New Roman"/>
                <w:b/>
                <w:color w:val="002060"/>
                <w:sz w:val="18"/>
                <w:szCs w:val="18"/>
              </w:rPr>
            </w:pPr>
            <w:r w:rsidRPr="00ED3395">
              <w:rPr>
                <w:rFonts w:eastAsiaTheme="minorEastAsia"/>
                <w:color w:val="002060"/>
                <w:sz w:val="18"/>
                <w:szCs w:val="18"/>
              </w:rPr>
              <w:t xml:space="preserve">↓No Additional DA </w:t>
            </w:r>
            <w:r w:rsidR="002967EA">
              <w:rPr>
                <w:rFonts w:eastAsiaTheme="minorEastAsia"/>
                <w:color w:val="002060"/>
                <w:sz w:val="18"/>
                <w:szCs w:val="18"/>
              </w:rPr>
              <w:t xml:space="preserve">Form </w:t>
            </w:r>
            <w:r w:rsidRPr="00ED3395">
              <w:rPr>
                <w:rFonts w:eastAsiaTheme="minorEastAsia"/>
                <w:color w:val="002060"/>
                <w:sz w:val="18"/>
                <w:szCs w:val="18"/>
              </w:rPr>
              <w:t>3947 Entries.↓</w:t>
            </w:r>
          </w:p>
        </w:tc>
        <w:tc>
          <w:tcPr>
            <w:tcW w:w="2250" w:type="dxa"/>
            <w:tcBorders>
              <w:lef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rPr>
                <w:rFonts w:cs="Times New Roman"/>
                <w:color w:val="002060"/>
                <w:sz w:val="18"/>
                <w:szCs w:val="18"/>
              </w:rPr>
            </w:pPr>
            <w:r w:rsidRPr="00ED3395">
              <w:rPr>
                <w:color w:val="002060"/>
                <w:sz w:val="18"/>
                <w:szCs w:val="18"/>
              </w:rPr>
              <w:t>Strain, Lumbar Spine</w:t>
            </w:r>
          </w:p>
        </w:tc>
        <w:tc>
          <w:tcPr>
            <w:tcW w:w="1080" w:type="dxa"/>
            <w:shd w:val="clear" w:color="auto" w:fill="FFFFFF" w:themeFill="background1"/>
          </w:tcPr>
          <w:p w:rsidR="00C67777" w:rsidRPr="00ED3395" w:rsidRDefault="00C67777" w:rsidP="00664824">
            <w:pPr>
              <w:pStyle w:val="ListParagraph"/>
              <w:spacing w:after="0" w:line="240" w:lineRule="auto"/>
              <w:ind w:left="0"/>
              <w:jc w:val="center"/>
              <w:rPr>
                <w:rFonts w:cs="Times New Roman"/>
                <w:color w:val="002060"/>
                <w:sz w:val="18"/>
                <w:szCs w:val="18"/>
              </w:rPr>
            </w:pPr>
            <w:r w:rsidRPr="00ED3395">
              <w:rPr>
                <w:color w:val="002060"/>
                <w:sz w:val="18"/>
                <w:szCs w:val="18"/>
              </w:rPr>
              <w:t>5237</w:t>
            </w:r>
          </w:p>
        </w:tc>
        <w:tc>
          <w:tcPr>
            <w:tcW w:w="81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w:t>
            </w:r>
          </w:p>
        </w:tc>
        <w:tc>
          <w:tcPr>
            <w:tcW w:w="99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C67777" w:rsidTr="00E66F17">
        <w:trPr>
          <w:trHeight w:val="143"/>
        </w:trPr>
        <w:tc>
          <w:tcPr>
            <w:tcW w:w="4050" w:type="dxa"/>
            <w:gridSpan w:val="3"/>
            <w:vMerge/>
            <w:tcBorders>
              <w:righ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jc w:val="center"/>
              <w:rPr>
                <w:rFonts w:eastAsiaTheme="minorEastAsia"/>
                <w:color w:val="002060"/>
                <w:sz w:val="18"/>
                <w:szCs w:val="18"/>
              </w:rPr>
            </w:pPr>
          </w:p>
        </w:tc>
        <w:tc>
          <w:tcPr>
            <w:tcW w:w="2250" w:type="dxa"/>
            <w:tcBorders>
              <w:lef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rPr>
                <w:rFonts w:cs="Times New Roman"/>
                <w:color w:val="002060"/>
                <w:sz w:val="18"/>
                <w:szCs w:val="18"/>
              </w:rPr>
            </w:pPr>
            <w:r w:rsidRPr="00ED3395">
              <w:rPr>
                <w:color w:val="002060"/>
                <w:sz w:val="18"/>
                <w:szCs w:val="18"/>
              </w:rPr>
              <w:t>Strain, Left Knee</w:t>
            </w:r>
          </w:p>
        </w:tc>
        <w:tc>
          <w:tcPr>
            <w:tcW w:w="1080" w:type="dxa"/>
            <w:shd w:val="clear" w:color="auto" w:fill="FFFFFF" w:themeFill="background1"/>
          </w:tcPr>
          <w:p w:rsidR="00C67777" w:rsidRPr="00ED3395" w:rsidRDefault="00C67777" w:rsidP="0066482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5260</w:t>
            </w:r>
          </w:p>
        </w:tc>
        <w:tc>
          <w:tcPr>
            <w:tcW w:w="81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10%</w:t>
            </w:r>
          </w:p>
        </w:tc>
        <w:tc>
          <w:tcPr>
            <w:tcW w:w="99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C67777" w:rsidTr="00E66F17">
        <w:trPr>
          <w:trHeight w:val="143"/>
        </w:trPr>
        <w:tc>
          <w:tcPr>
            <w:tcW w:w="4050" w:type="dxa"/>
            <w:gridSpan w:val="3"/>
            <w:vMerge/>
            <w:tcBorders>
              <w:righ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jc w:val="center"/>
              <w:rPr>
                <w:rFonts w:eastAsiaTheme="minorEastAsia"/>
                <w:color w:val="002060"/>
                <w:sz w:val="18"/>
                <w:szCs w:val="18"/>
              </w:rPr>
            </w:pPr>
          </w:p>
        </w:tc>
        <w:tc>
          <w:tcPr>
            <w:tcW w:w="2250" w:type="dxa"/>
            <w:tcBorders>
              <w:lef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rPr>
                <w:rFonts w:cs="Times New Roman"/>
                <w:color w:val="002060"/>
                <w:sz w:val="18"/>
                <w:szCs w:val="18"/>
              </w:rPr>
            </w:pPr>
            <w:r w:rsidRPr="00ED3395">
              <w:rPr>
                <w:color w:val="002060"/>
                <w:sz w:val="18"/>
                <w:szCs w:val="18"/>
              </w:rPr>
              <w:t>Strain, Left Ankle</w:t>
            </w:r>
          </w:p>
        </w:tc>
        <w:tc>
          <w:tcPr>
            <w:tcW w:w="1080" w:type="dxa"/>
            <w:shd w:val="clear" w:color="auto" w:fill="FFFFFF" w:themeFill="background1"/>
          </w:tcPr>
          <w:p w:rsidR="00C67777" w:rsidRPr="00ED3395" w:rsidRDefault="00C67777" w:rsidP="0066482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5271</w:t>
            </w:r>
          </w:p>
        </w:tc>
        <w:tc>
          <w:tcPr>
            <w:tcW w:w="81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10%</w:t>
            </w:r>
          </w:p>
        </w:tc>
        <w:tc>
          <w:tcPr>
            <w:tcW w:w="990" w:type="dxa"/>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C67777" w:rsidTr="00C67777">
        <w:trPr>
          <w:trHeight w:val="197"/>
        </w:trPr>
        <w:tc>
          <w:tcPr>
            <w:tcW w:w="4050" w:type="dxa"/>
            <w:gridSpan w:val="3"/>
            <w:vMerge/>
            <w:tcBorders>
              <w:right w:val="thinThickThinSmallGap" w:sz="24" w:space="0" w:color="auto"/>
            </w:tcBorders>
            <w:shd w:val="clear" w:color="auto" w:fill="FFFFFF" w:themeFill="background1"/>
          </w:tcPr>
          <w:p w:rsidR="00C67777" w:rsidRPr="00ED3395" w:rsidRDefault="00C67777" w:rsidP="00F37554">
            <w:pPr>
              <w:pStyle w:val="ListParagraph"/>
              <w:spacing w:after="0" w:line="240" w:lineRule="auto"/>
              <w:ind w:left="0"/>
              <w:jc w:val="center"/>
              <w:rPr>
                <w:rFonts w:cs="Times New Roman"/>
                <w:b/>
                <w:color w:val="002060"/>
                <w:sz w:val="18"/>
                <w:szCs w:val="18"/>
              </w:rPr>
            </w:pPr>
          </w:p>
        </w:tc>
        <w:tc>
          <w:tcPr>
            <w:tcW w:w="4140" w:type="dxa"/>
            <w:gridSpan w:val="3"/>
            <w:tcBorders>
              <w:left w:val="thinThickThinSmallGap" w:sz="24" w:space="0" w:color="auto"/>
            </w:tcBorders>
            <w:shd w:val="clear" w:color="auto" w:fill="FFFFFF" w:themeFill="background1"/>
          </w:tcPr>
          <w:p w:rsidR="00C67777" w:rsidRPr="00ED3395" w:rsidRDefault="00C67777" w:rsidP="00C67777">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Non-PEB X  2</w:t>
            </w:r>
          </w:p>
        </w:tc>
        <w:tc>
          <w:tcPr>
            <w:tcW w:w="990" w:type="dxa"/>
            <w:shd w:val="clear" w:color="auto" w:fill="FFFFFF" w:themeFill="background1"/>
          </w:tcPr>
          <w:p w:rsidR="00C67777" w:rsidRPr="00ED3395" w:rsidRDefault="00C67777" w:rsidP="00F37554">
            <w:pPr>
              <w:pStyle w:val="ListParagraph"/>
              <w:spacing w:after="0" w:line="240" w:lineRule="auto"/>
              <w:ind w:left="0"/>
              <w:jc w:val="center"/>
              <w:rPr>
                <w:rFonts w:cs="Times New Roman"/>
                <w:color w:val="002060"/>
                <w:sz w:val="18"/>
                <w:szCs w:val="18"/>
              </w:rPr>
            </w:pPr>
            <w:r w:rsidRPr="00ED3395">
              <w:rPr>
                <w:rFonts w:cs="Times New Roman"/>
                <w:color w:val="002060"/>
                <w:sz w:val="18"/>
                <w:szCs w:val="18"/>
              </w:rPr>
              <w:t>20040809</w:t>
            </w:r>
          </w:p>
        </w:tc>
      </w:tr>
      <w:tr w:rsidR="00D26732" w:rsidTr="00C67777">
        <w:trPr>
          <w:trHeight w:val="242"/>
        </w:trPr>
        <w:tc>
          <w:tcPr>
            <w:tcW w:w="4050" w:type="dxa"/>
            <w:gridSpan w:val="3"/>
            <w:tcBorders>
              <w:right w:val="thinThickThinSmallGap" w:sz="24" w:space="0" w:color="auto"/>
            </w:tcBorders>
            <w:shd w:val="clear" w:color="auto" w:fill="C6D9F1" w:themeFill="text2" w:themeFillTint="33"/>
          </w:tcPr>
          <w:p w:rsidR="00D26732" w:rsidRPr="00ED3395" w:rsidRDefault="00D26732" w:rsidP="00F37554">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TOTAL Combined:  10%</w:t>
            </w:r>
          </w:p>
        </w:tc>
        <w:tc>
          <w:tcPr>
            <w:tcW w:w="5130" w:type="dxa"/>
            <w:gridSpan w:val="4"/>
            <w:tcBorders>
              <w:left w:val="thinThickThinSmallGap" w:sz="24" w:space="0" w:color="auto"/>
            </w:tcBorders>
            <w:shd w:val="clear" w:color="auto" w:fill="C6D9F1" w:themeFill="text2" w:themeFillTint="33"/>
          </w:tcPr>
          <w:p w:rsidR="00D26732" w:rsidRPr="00ED3395" w:rsidRDefault="00D26732" w:rsidP="00E66F17">
            <w:pPr>
              <w:pStyle w:val="ListParagraph"/>
              <w:spacing w:after="0" w:line="240" w:lineRule="auto"/>
              <w:ind w:left="0"/>
              <w:jc w:val="center"/>
              <w:rPr>
                <w:rFonts w:cs="Times New Roman"/>
                <w:b/>
                <w:color w:val="002060"/>
                <w:sz w:val="20"/>
                <w:szCs w:val="20"/>
              </w:rPr>
            </w:pPr>
            <w:r w:rsidRPr="00ED3395">
              <w:rPr>
                <w:rFonts w:cs="Times New Roman"/>
                <w:b/>
                <w:color w:val="002060"/>
                <w:sz w:val="20"/>
                <w:szCs w:val="20"/>
              </w:rPr>
              <w:t xml:space="preserve">TOTAL Combined: 60%                                                                         </w:t>
            </w:r>
            <w:r w:rsidRPr="00ED3395">
              <w:rPr>
                <w:rFonts w:cs="Times New Roman"/>
                <w:color w:val="002060"/>
                <w:sz w:val="20"/>
                <w:szCs w:val="20"/>
              </w:rPr>
              <w:t xml:space="preserve"> </w:t>
            </w:r>
          </w:p>
        </w:tc>
      </w:tr>
    </w:tbl>
    <w:p w:rsidR="002C6E5B" w:rsidRPr="00A3794A" w:rsidRDefault="002C6E5B" w:rsidP="002C6E5B">
      <w:pPr>
        <w:tabs>
          <w:tab w:val="left" w:pos="288"/>
          <w:tab w:val="left" w:pos="4752"/>
        </w:tabs>
        <w:spacing w:line="240" w:lineRule="exact"/>
        <w:jc w:val="both"/>
        <w:rPr>
          <w:color w:val="000080"/>
        </w:rPr>
      </w:pPr>
      <w:r w:rsidRPr="00A3794A">
        <w:rPr>
          <w:color w:val="000080"/>
          <w:u w:val="single"/>
        </w:rPr>
        <w:t>ANALYSIS SUMMARY</w:t>
      </w:r>
      <w:r w:rsidRPr="00A3794A">
        <w:rPr>
          <w:color w:val="000080"/>
        </w:rPr>
        <w:t>:</w:t>
      </w:r>
    </w:p>
    <w:p w:rsidR="002C6E5B" w:rsidRPr="00A3794A" w:rsidRDefault="002C6E5B" w:rsidP="002C6E5B">
      <w:pPr>
        <w:tabs>
          <w:tab w:val="left" w:pos="288"/>
          <w:tab w:val="left" w:pos="4752"/>
        </w:tabs>
        <w:spacing w:line="240" w:lineRule="exact"/>
        <w:jc w:val="both"/>
        <w:rPr>
          <w:color w:val="000080"/>
        </w:rPr>
      </w:pPr>
    </w:p>
    <w:p w:rsidR="008626FD" w:rsidRDefault="008B3B81" w:rsidP="00A3794A">
      <w:pPr>
        <w:tabs>
          <w:tab w:val="left" w:pos="288"/>
          <w:tab w:val="left" w:pos="4752"/>
        </w:tabs>
        <w:spacing w:line="240" w:lineRule="exact"/>
        <w:jc w:val="both"/>
        <w:rPr>
          <w:color w:val="000080"/>
        </w:rPr>
      </w:pPr>
      <w:proofErr w:type="gramStart"/>
      <w:r w:rsidRPr="00A3794A">
        <w:rPr>
          <w:color w:val="000080"/>
          <w:u w:val="single"/>
        </w:rPr>
        <w:t>PTSD</w:t>
      </w:r>
      <w:r w:rsidR="002C6E5B" w:rsidRPr="00A3794A">
        <w:rPr>
          <w:color w:val="000080"/>
        </w:rPr>
        <w:t>.</w:t>
      </w:r>
      <w:proofErr w:type="gramEnd"/>
      <w:r w:rsidR="002C6E5B" w:rsidRPr="00A3794A">
        <w:rPr>
          <w:color w:val="000080"/>
        </w:rPr>
        <w:t xml:space="preserve">  The</w:t>
      </w:r>
      <w:r w:rsidRPr="00A3794A">
        <w:rPr>
          <w:color w:val="000080"/>
        </w:rPr>
        <w:t xml:space="preserve"> PEB rating was based on </w:t>
      </w:r>
      <w:proofErr w:type="spellStart"/>
      <w:r w:rsidRPr="00A3794A">
        <w:rPr>
          <w:color w:val="000080"/>
        </w:rPr>
        <w:t>DoDI</w:t>
      </w:r>
      <w:proofErr w:type="spellEnd"/>
      <w:r w:rsidRPr="00A3794A">
        <w:rPr>
          <w:color w:val="000080"/>
        </w:rPr>
        <w:t xml:space="preserve"> 1332.39 (E2.A1.5) guidance and preceded the </w:t>
      </w:r>
      <w:r w:rsidR="00A27A8D" w:rsidRPr="00A3794A">
        <w:rPr>
          <w:color w:val="000080"/>
        </w:rPr>
        <w:t xml:space="preserve">promulgation of </w:t>
      </w:r>
      <w:r w:rsidR="006D2EB8" w:rsidRPr="006D2EB8">
        <w:rPr>
          <w:color w:val="000080"/>
        </w:rPr>
        <w:t>Veterans Administration Schedule for Rating Disabilities</w:t>
      </w:r>
      <w:r w:rsidR="006D2EB8">
        <w:rPr>
          <w:color w:val="000080"/>
        </w:rPr>
        <w:t xml:space="preserve"> (</w:t>
      </w:r>
      <w:r w:rsidRPr="00A3794A">
        <w:rPr>
          <w:color w:val="000080"/>
        </w:rPr>
        <w:t>VASRD</w:t>
      </w:r>
      <w:r w:rsidR="006D2EB8">
        <w:rPr>
          <w:color w:val="000080"/>
        </w:rPr>
        <w:t>)</w:t>
      </w:r>
      <w:r w:rsidRPr="00A3794A">
        <w:rPr>
          <w:color w:val="000080"/>
        </w:rPr>
        <w:t xml:space="preserve"> §4.129.  IAW </w:t>
      </w:r>
      <w:proofErr w:type="spellStart"/>
      <w:r w:rsidRPr="00A3794A">
        <w:rPr>
          <w:color w:val="000080"/>
        </w:rPr>
        <w:t>DoDI</w:t>
      </w:r>
      <w:proofErr w:type="spellEnd"/>
      <w:r w:rsidRPr="00A3794A">
        <w:rPr>
          <w:color w:val="000080"/>
        </w:rPr>
        <w:t xml:space="preserve"> 6040.44 and DOD guidance (which applies current VASRD §4.129 to all Board cases), the Board is obligated to recommend a minim</w:t>
      </w:r>
      <w:r w:rsidR="00EE7E0E" w:rsidRPr="00A3794A">
        <w:rPr>
          <w:color w:val="000080"/>
        </w:rPr>
        <w:t>um</w:t>
      </w:r>
      <w:r w:rsidRPr="00A3794A">
        <w:rPr>
          <w:color w:val="000080"/>
        </w:rPr>
        <w:t xml:space="preserve"> </w:t>
      </w:r>
      <w:r w:rsidR="00A27A8D" w:rsidRPr="00A3794A">
        <w:rPr>
          <w:color w:val="000080"/>
        </w:rPr>
        <w:t xml:space="preserve">50% rating for a retroactive six month period of </w:t>
      </w:r>
      <w:r w:rsidR="006D2EB8" w:rsidRPr="006D2EB8">
        <w:rPr>
          <w:color w:val="000080"/>
        </w:rPr>
        <w:t>Temporary Disability Retired List</w:t>
      </w:r>
      <w:r w:rsidR="006D2EB8">
        <w:rPr>
          <w:color w:val="000080"/>
        </w:rPr>
        <w:t xml:space="preserve"> (</w:t>
      </w:r>
      <w:r w:rsidR="00A27A8D" w:rsidRPr="00A3794A">
        <w:rPr>
          <w:color w:val="000080"/>
        </w:rPr>
        <w:t>TDRL</w:t>
      </w:r>
      <w:r w:rsidR="006D2EB8">
        <w:rPr>
          <w:color w:val="000080"/>
        </w:rPr>
        <w:t>)</w:t>
      </w:r>
      <w:r w:rsidR="00A27A8D" w:rsidRPr="00A3794A">
        <w:rPr>
          <w:color w:val="000080"/>
        </w:rPr>
        <w:t xml:space="preserve">.  The Board must </w:t>
      </w:r>
      <w:r w:rsidR="00EE7E0E" w:rsidRPr="00A3794A">
        <w:rPr>
          <w:color w:val="000080"/>
        </w:rPr>
        <w:t xml:space="preserve">then determine the most appropriate fit with VASRD §4.130 criteria at six months </w:t>
      </w:r>
      <w:r w:rsidR="000E4554" w:rsidRPr="00A3794A">
        <w:rPr>
          <w:color w:val="000080"/>
        </w:rPr>
        <w:t>for</w:t>
      </w:r>
      <w:r w:rsidR="00EE7E0E" w:rsidRPr="00A3794A">
        <w:rPr>
          <w:color w:val="000080"/>
        </w:rPr>
        <w:t xml:space="preserve"> </w:t>
      </w:r>
      <w:r w:rsidR="000E4554" w:rsidRPr="00A3794A">
        <w:rPr>
          <w:color w:val="000080"/>
        </w:rPr>
        <w:t>its</w:t>
      </w:r>
      <w:r w:rsidR="00EE7E0E" w:rsidRPr="00A3794A">
        <w:rPr>
          <w:color w:val="000080"/>
        </w:rPr>
        <w:t xml:space="preserve"> permanent rating</w:t>
      </w:r>
      <w:r w:rsidR="000E4554" w:rsidRPr="00A3794A">
        <w:rPr>
          <w:color w:val="000080"/>
        </w:rPr>
        <w:t xml:space="preserve"> recommendation</w:t>
      </w:r>
      <w:r w:rsidR="00EE7E0E" w:rsidRPr="00A3794A">
        <w:rPr>
          <w:color w:val="000080"/>
        </w:rPr>
        <w:t>.</w:t>
      </w:r>
      <w:r w:rsidR="000E4554" w:rsidRPr="00A3794A">
        <w:rPr>
          <w:color w:val="000080"/>
        </w:rPr>
        <w:t xml:space="preserve">  In this case, there was no follow-up psychiatric evaluation or other useful rating information for over two years after separation.  The Board therefore has decided that the permanent rating recommendation is most appropriately based on the information at separation.  That was not </w:t>
      </w:r>
      <w:r w:rsidR="00E66F17" w:rsidRPr="00A3794A">
        <w:rPr>
          <w:color w:val="000080"/>
        </w:rPr>
        <w:t>very</w:t>
      </w:r>
      <w:r w:rsidR="000E4554" w:rsidRPr="00A3794A">
        <w:rPr>
          <w:color w:val="000080"/>
        </w:rPr>
        <w:t xml:space="preserve"> problematic in this case because the VA rating examination after two years was not significantly changed from the MEB and pre-separation VA psychiatric evaluations.  A VA rating of 30% ensued from both exams.  </w:t>
      </w:r>
    </w:p>
    <w:p w:rsidR="00F6671F" w:rsidRPr="00A3794A" w:rsidRDefault="00F6671F" w:rsidP="00A3794A">
      <w:pPr>
        <w:tabs>
          <w:tab w:val="left" w:pos="288"/>
          <w:tab w:val="left" w:pos="4752"/>
        </w:tabs>
        <w:spacing w:line="240" w:lineRule="exact"/>
        <w:jc w:val="both"/>
        <w:rPr>
          <w:color w:val="000080"/>
        </w:rPr>
      </w:pPr>
    </w:p>
    <w:p w:rsidR="008626FD" w:rsidRPr="00A3794A" w:rsidRDefault="00A0704B" w:rsidP="00A3794A">
      <w:pPr>
        <w:tabs>
          <w:tab w:val="left" w:pos="288"/>
          <w:tab w:val="left" w:pos="4752"/>
        </w:tabs>
        <w:spacing w:line="240" w:lineRule="exact"/>
        <w:jc w:val="both"/>
        <w:rPr>
          <w:color w:val="000080"/>
        </w:rPr>
      </w:pPr>
      <w:r>
        <w:rPr>
          <w:color w:val="000080"/>
        </w:rPr>
        <w:t xml:space="preserve">The </w:t>
      </w:r>
      <w:proofErr w:type="spellStart"/>
      <w:r>
        <w:rPr>
          <w:color w:val="000080"/>
        </w:rPr>
        <w:t>DoDI</w:t>
      </w:r>
      <w:proofErr w:type="spellEnd"/>
      <w:r>
        <w:rPr>
          <w:color w:val="000080"/>
        </w:rPr>
        <w:t>-</w:t>
      </w:r>
      <w:r w:rsidR="000E4554" w:rsidRPr="00A3794A">
        <w:rPr>
          <w:color w:val="000080"/>
        </w:rPr>
        <w:t>based rating of 10% by the PEB was reasonable.  The Commander’s letter and psychiatric evaluations made it clear that the CI was performing well on the job (albeit with some stress and extra effort).  As noted above</w:t>
      </w:r>
      <w:r>
        <w:rPr>
          <w:color w:val="000080"/>
        </w:rPr>
        <w:t>,</w:t>
      </w:r>
      <w:r w:rsidR="000E4554" w:rsidRPr="00A3794A">
        <w:rPr>
          <w:color w:val="000080"/>
        </w:rPr>
        <w:t xml:space="preserve"> he was unfit primarily because he could not tolerate the military-specific </w:t>
      </w:r>
      <w:r w:rsidR="00F60EEF" w:rsidRPr="00A3794A">
        <w:rPr>
          <w:color w:val="000080"/>
        </w:rPr>
        <w:t xml:space="preserve">PTSD </w:t>
      </w:r>
      <w:r w:rsidR="000E4554" w:rsidRPr="00A3794A">
        <w:rPr>
          <w:color w:val="000080"/>
        </w:rPr>
        <w:t>triggers</w:t>
      </w:r>
      <w:r w:rsidR="00F60EEF" w:rsidRPr="00A3794A">
        <w:rPr>
          <w:color w:val="000080"/>
        </w:rPr>
        <w:t>.  He was prescribed three psycho</w:t>
      </w:r>
      <w:r>
        <w:rPr>
          <w:color w:val="000080"/>
        </w:rPr>
        <w:t>therapeutic</w:t>
      </w:r>
      <w:r w:rsidR="00F60EEF" w:rsidRPr="00A3794A">
        <w:rPr>
          <w:color w:val="000080"/>
        </w:rPr>
        <w:t xml:space="preserve"> medications and was sleeping poorly.  His daily symptoms were those typical of PTSD (</w:t>
      </w:r>
      <w:proofErr w:type="spellStart"/>
      <w:r w:rsidR="00F60EEF" w:rsidRPr="00A3794A">
        <w:rPr>
          <w:color w:val="000080"/>
        </w:rPr>
        <w:t>hypervigilance</w:t>
      </w:r>
      <w:proofErr w:type="spellEnd"/>
      <w:r w:rsidR="00F60EEF" w:rsidRPr="00A3794A">
        <w:rPr>
          <w:color w:val="000080"/>
        </w:rPr>
        <w:t xml:space="preserve">, exaggerated startle response, </w:t>
      </w:r>
      <w:r w:rsidR="00255FB5" w:rsidRPr="00A3794A">
        <w:rPr>
          <w:color w:val="000080"/>
        </w:rPr>
        <w:t>detachment, avoidance, etc.), but the</w:t>
      </w:r>
      <w:r w:rsidR="00E66F17" w:rsidRPr="00A3794A">
        <w:rPr>
          <w:color w:val="000080"/>
        </w:rPr>
        <w:t>y</w:t>
      </w:r>
      <w:r w:rsidR="00255FB5" w:rsidRPr="00A3794A">
        <w:rPr>
          <w:color w:val="000080"/>
        </w:rPr>
        <w:t xml:space="preserve"> were not incapacitating.   He was noted with some decrease in concentration.  He was able to maintain family and social relationships.  His GAF (global assessment of functioning) score was 61, indicative of mild impairment.  His mental status examination was normal per the MEB psychiatrist and significant only for depressed mood and ‘somewhat constricted’ affect per the VA psychiatrist.  There was no suicidal ideation </w:t>
      </w:r>
      <w:r w:rsidR="00E66F17" w:rsidRPr="00A3794A">
        <w:rPr>
          <w:color w:val="000080"/>
        </w:rPr>
        <w:t>and no psychiatric</w:t>
      </w:r>
      <w:r w:rsidR="00942250" w:rsidRPr="00A3794A">
        <w:rPr>
          <w:color w:val="000080"/>
        </w:rPr>
        <w:t xml:space="preserve"> admission</w:t>
      </w:r>
      <w:r w:rsidR="00E66F17" w:rsidRPr="00A3794A">
        <w:rPr>
          <w:color w:val="000080"/>
        </w:rPr>
        <w:t>s</w:t>
      </w:r>
      <w:r w:rsidR="00942250" w:rsidRPr="00A3794A">
        <w:rPr>
          <w:color w:val="000080"/>
        </w:rPr>
        <w:t xml:space="preserve">.  </w:t>
      </w:r>
      <w:r w:rsidR="00E66F17" w:rsidRPr="00A3794A">
        <w:rPr>
          <w:color w:val="000080"/>
        </w:rPr>
        <w:t>This clinical picture is</w:t>
      </w:r>
      <w:r w:rsidR="00942250" w:rsidRPr="00A3794A">
        <w:rPr>
          <w:color w:val="000080"/>
        </w:rPr>
        <w:t xml:space="preserve"> not consistent with the VASRD §4.130 criteria for a 10% rating, i.e., ‘mild or transient symptoms </w:t>
      </w:r>
      <w:r>
        <w:rPr>
          <w:color w:val="000080"/>
        </w:rPr>
        <w:t>which decrease work efficiency...</w:t>
      </w:r>
      <w:r w:rsidR="00942250" w:rsidRPr="00A3794A">
        <w:rPr>
          <w:color w:val="000080"/>
        </w:rPr>
        <w:t xml:space="preserve">only during periods of significant stress’.  Symptoms were constant </w:t>
      </w:r>
      <w:r w:rsidR="00641BF6" w:rsidRPr="00A3794A">
        <w:rPr>
          <w:color w:val="000080"/>
        </w:rPr>
        <w:lastRenderedPageBreak/>
        <w:t>independently</w:t>
      </w:r>
      <w:r w:rsidR="00942250" w:rsidRPr="00A3794A">
        <w:rPr>
          <w:color w:val="000080"/>
        </w:rPr>
        <w:t xml:space="preserve"> of external stressors</w:t>
      </w:r>
      <w:r w:rsidR="00641BF6" w:rsidRPr="00A3794A">
        <w:rPr>
          <w:color w:val="000080"/>
        </w:rPr>
        <w:t xml:space="preserve">.  The CI’s symptoms were consistent with the 30% rating description, i.e., ‘occasional decrease in work efficiency’.  He also displayed most of the ‘due to’ </w:t>
      </w:r>
      <w:r w:rsidR="008626FD" w:rsidRPr="00A3794A">
        <w:rPr>
          <w:color w:val="000080"/>
        </w:rPr>
        <w:t>symptoms exampled in the 30% rating language.  The 50% threshold of ‘reduced reliability and productivity’ was not met and nearly none of the ‘due to’ symptoms exampled for that rating were in evidence.  T</w:t>
      </w:r>
      <w:r w:rsidR="00FB0D51" w:rsidRPr="00A3794A">
        <w:rPr>
          <w:color w:val="000080"/>
        </w:rPr>
        <w:t>he Board therefore recommends 3</w:t>
      </w:r>
      <w:r w:rsidR="008626FD" w:rsidRPr="00A3794A">
        <w:rPr>
          <w:color w:val="000080"/>
        </w:rPr>
        <w:t>0% as the fair permanent rating for PTSD in this case</w:t>
      </w:r>
      <w:r w:rsidR="00FB0D51" w:rsidRPr="00A3794A">
        <w:rPr>
          <w:color w:val="000080"/>
        </w:rPr>
        <w:t>, following the mandated six month TDRL rating of 50%</w:t>
      </w:r>
      <w:r w:rsidR="008626FD" w:rsidRPr="00A3794A">
        <w:rPr>
          <w:color w:val="000080"/>
        </w:rPr>
        <w:t>.</w:t>
      </w:r>
      <w:r w:rsidR="00FB0D51" w:rsidRPr="00A3794A">
        <w:rPr>
          <w:color w:val="000080"/>
        </w:rPr>
        <w:t xml:space="preserve">  This is consistent with the VA rating decision and </w:t>
      </w:r>
      <w:r>
        <w:rPr>
          <w:color w:val="000080"/>
        </w:rPr>
        <w:t>buttressed</w:t>
      </w:r>
      <w:r w:rsidR="00FB0D51" w:rsidRPr="00A3794A">
        <w:rPr>
          <w:color w:val="000080"/>
        </w:rPr>
        <w:t xml:space="preserve"> by evidence of a stable clinical course for over two years after separation.</w:t>
      </w:r>
    </w:p>
    <w:p w:rsidR="00942250" w:rsidRPr="00A3794A" w:rsidRDefault="00942250" w:rsidP="00A3794A">
      <w:pPr>
        <w:tabs>
          <w:tab w:val="left" w:pos="288"/>
          <w:tab w:val="left" w:pos="4752"/>
        </w:tabs>
        <w:spacing w:line="240" w:lineRule="exact"/>
        <w:jc w:val="both"/>
        <w:rPr>
          <w:color w:val="000080"/>
        </w:rPr>
      </w:pPr>
    </w:p>
    <w:p w:rsidR="00F26432" w:rsidRPr="00A3794A" w:rsidRDefault="002C6E5B" w:rsidP="00A3794A">
      <w:pPr>
        <w:tabs>
          <w:tab w:val="left" w:pos="288"/>
          <w:tab w:val="left" w:pos="4752"/>
        </w:tabs>
        <w:spacing w:line="240" w:lineRule="exact"/>
        <w:jc w:val="both"/>
        <w:rPr>
          <w:color w:val="000080"/>
        </w:rPr>
      </w:pPr>
      <w:proofErr w:type="gramStart"/>
      <w:r w:rsidRPr="00A3794A">
        <w:rPr>
          <w:color w:val="000080"/>
          <w:u w:val="single"/>
        </w:rPr>
        <w:t>Other Conditions</w:t>
      </w:r>
      <w:r w:rsidRPr="00A3794A">
        <w:rPr>
          <w:color w:val="000080"/>
        </w:rPr>
        <w:t>.</w:t>
      </w:r>
      <w:proofErr w:type="gramEnd"/>
      <w:r w:rsidRPr="00A3794A">
        <w:rPr>
          <w:color w:val="000080"/>
        </w:rPr>
        <w:t xml:space="preserve">  </w:t>
      </w:r>
      <w:r w:rsidR="00405EA6" w:rsidRPr="00A3794A">
        <w:rPr>
          <w:color w:val="000080"/>
        </w:rPr>
        <w:t xml:space="preserve">HTN and </w:t>
      </w:r>
      <w:proofErr w:type="spellStart"/>
      <w:r w:rsidR="00405EA6" w:rsidRPr="00A3794A">
        <w:rPr>
          <w:color w:val="000080"/>
        </w:rPr>
        <w:t>nephrolithiasis</w:t>
      </w:r>
      <w:proofErr w:type="spellEnd"/>
      <w:r w:rsidR="00405EA6" w:rsidRPr="00A3794A">
        <w:rPr>
          <w:color w:val="000080"/>
        </w:rPr>
        <w:t xml:space="preserve"> were specifically adjudicated as not unfitting by the PEB.  HTN was borderline, asymptomatic and stable on medication (</w:t>
      </w:r>
      <w:proofErr w:type="spellStart"/>
      <w:r w:rsidR="00405EA6" w:rsidRPr="00A3794A">
        <w:rPr>
          <w:color w:val="000080"/>
        </w:rPr>
        <w:t>clonidine</w:t>
      </w:r>
      <w:proofErr w:type="spellEnd"/>
      <w:r w:rsidR="00405EA6" w:rsidRPr="00A3794A">
        <w:rPr>
          <w:color w:val="000080"/>
        </w:rPr>
        <w:t xml:space="preserve">).  There was no active kidney stone disease at the time of separation.  Thus there is no basis for a Board recommendation contrary to the </w:t>
      </w:r>
      <w:r w:rsidR="00365D85" w:rsidRPr="00A3794A">
        <w:rPr>
          <w:color w:val="000080"/>
        </w:rPr>
        <w:t>PEB adjudication</w:t>
      </w:r>
      <w:r w:rsidR="00762562" w:rsidRPr="00A3794A">
        <w:rPr>
          <w:color w:val="000080"/>
        </w:rPr>
        <w:t>s</w:t>
      </w:r>
      <w:r w:rsidR="00365D85" w:rsidRPr="00A3794A">
        <w:rPr>
          <w:color w:val="000080"/>
        </w:rPr>
        <w:t xml:space="preserve">.  </w:t>
      </w:r>
      <w:r w:rsidR="00405EA6" w:rsidRPr="00A3794A">
        <w:rPr>
          <w:color w:val="000080"/>
        </w:rPr>
        <w:t>Some relatively minor orthopedic condit</w:t>
      </w:r>
      <w:r w:rsidR="00F6671F">
        <w:rPr>
          <w:color w:val="000080"/>
        </w:rPr>
        <w:t>ions were noted in the NARSUM and</w:t>
      </w:r>
      <w:r w:rsidR="00405EA6" w:rsidRPr="00A3794A">
        <w:rPr>
          <w:color w:val="000080"/>
        </w:rPr>
        <w:t xml:space="preserve"> documented on the MEB physical.  </w:t>
      </w:r>
      <w:r w:rsidR="00365D85" w:rsidRPr="00A3794A">
        <w:rPr>
          <w:color w:val="000080"/>
        </w:rPr>
        <w:t>These consisted of low back pain with occasional ‘tingling’ of the left leg and past injuries to the left knee and left ankle.  All of these conditions were a consequence of a motor vehicle accident during the OIF deployment.  None of them were profiled or under active treatment at the time of separation.  No orthopedic limitations were mentioned in the Commander’s statement.  There is therefore no foundation for a Board</w:t>
      </w:r>
      <w:r w:rsidR="00E04689" w:rsidRPr="00A3794A">
        <w:rPr>
          <w:color w:val="000080"/>
        </w:rPr>
        <w:t xml:space="preserve"> recommendation that any of these conditions</w:t>
      </w:r>
      <w:r w:rsidR="00365D85" w:rsidRPr="00A3794A">
        <w:rPr>
          <w:color w:val="000080"/>
        </w:rPr>
        <w:t xml:space="preserve"> were additionally unfitting, although all three received compensable </w:t>
      </w:r>
      <w:r w:rsidR="00E04689" w:rsidRPr="00A3794A">
        <w:rPr>
          <w:color w:val="000080"/>
        </w:rPr>
        <w:t xml:space="preserve">ratings from the VA.  The only other condition eligible for DES consideration was an </w:t>
      </w:r>
      <w:r w:rsidR="00762562" w:rsidRPr="00A3794A">
        <w:rPr>
          <w:color w:val="000080"/>
        </w:rPr>
        <w:t>intermittent</w:t>
      </w:r>
      <w:r w:rsidR="00E04689" w:rsidRPr="00A3794A">
        <w:rPr>
          <w:color w:val="000080"/>
        </w:rPr>
        <w:t xml:space="preserve"> rash dating </w:t>
      </w:r>
      <w:r w:rsidR="00FC5F7D">
        <w:rPr>
          <w:color w:val="000080"/>
        </w:rPr>
        <w:t xml:space="preserve">back </w:t>
      </w:r>
      <w:r w:rsidR="00E04689" w:rsidRPr="00A3794A">
        <w:rPr>
          <w:color w:val="000080"/>
        </w:rPr>
        <w:t xml:space="preserve">to the OIF deployment.  This was treated by over-the-counter antifungal medication and was not associated with systemic symptoms.  There are no fitness implications.  </w:t>
      </w:r>
    </w:p>
    <w:p w:rsidR="00E04689" w:rsidRPr="00A3794A" w:rsidRDefault="00E04689" w:rsidP="00A3794A">
      <w:pPr>
        <w:tabs>
          <w:tab w:val="left" w:pos="288"/>
          <w:tab w:val="left" w:pos="4752"/>
        </w:tabs>
        <w:spacing w:line="240" w:lineRule="exact"/>
        <w:jc w:val="both"/>
        <w:rPr>
          <w:color w:val="000080"/>
        </w:rPr>
      </w:pPr>
    </w:p>
    <w:p w:rsidR="00E04689" w:rsidRPr="00A3794A" w:rsidRDefault="00E04689" w:rsidP="00A3794A">
      <w:pPr>
        <w:tabs>
          <w:tab w:val="left" w:pos="288"/>
          <w:tab w:val="left" w:pos="4752"/>
        </w:tabs>
        <w:spacing w:line="240" w:lineRule="exact"/>
        <w:jc w:val="both"/>
        <w:rPr>
          <w:color w:val="000080"/>
        </w:rPr>
      </w:pPr>
      <w:r w:rsidRPr="00A3794A">
        <w:rPr>
          <w:color w:val="000080"/>
        </w:rPr>
        <w:t xml:space="preserve">There are </w:t>
      </w:r>
      <w:r w:rsidR="00762562" w:rsidRPr="00A3794A">
        <w:rPr>
          <w:color w:val="000080"/>
        </w:rPr>
        <w:t xml:space="preserve">therefore </w:t>
      </w:r>
      <w:r w:rsidRPr="00A3794A">
        <w:rPr>
          <w:color w:val="000080"/>
        </w:rPr>
        <w:t xml:space="preserve">no additional conditions </w:t>
      </w:r>
      <w:r w:rsidR="00762562" w:rsidRPr="00A3794A">
        <w:rPr>
          <w:color w:val="000080"/>
        </w:rPr>
        <w:t xml:space="preserve">in this case </w:t>
      </w:r>
      <w:r w:rsidRPr="00A3794A">
        <w:rPr>
          <w:color w:val="000080"/>
        </w:rPr>
        <w:t>appropriate for Board recommendation as ad</w:t>
      </w:r>
      <w:r w:rsidR="00443518" w:rsidRPr="00A3794A">
        <w:rPr>
          <w:color w:val="000080"/>
        </w:rPr>
        <w:t>ditionally unfitting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43518" w:rsidRPr="00A3794A" w:rsidRDefault="00C56FC8" w:rsidP="00A3794A">
      <w:pPr>
        <w:tabs>
          <w:tab w:val="left" w:pos="288"/>
          <w:tab w:val="left" w:pos="4752"/>
        </w:tabs>
        <w:spacing w:line="240" w:lineRule="exact"/>
        <w:jc w:val="both"/>
        <w:rPr>
          <w:color w:val="000080"/>
        </w:rPr>
      </w:pPr>
      <w:r w:rsidRPr="00A3794A">
        <w:rPr>
          <w:color w:val="000080"/>
          <w:u w:val="single"/>
        </w:rPr>
        <w:t>BOARD FINDINGS</w:t>
      </w:r>
      <w:r w:rsidRPr="00A3794A">
        <w:rPr>
          <w:color w:val="000080"/>
        </w:rPr>
        <w:t xml:space="preserve">:  IAW </w:t>
      </w:r>
      <w:proofErr w:type="spellStart"/>
      <w:r w:rsidRPr="00A3794A">
        <w:rPr>
          <w:color w:val="000080"/>
        </w:rPr>
        <w:t>DoDI</w:t>
      </w:r>
      <w:proofErr w:type="spellEnd"/>
      <w:r w:rsidRPr="00A3794A">
        <w:rPr>
          <w:color w:val="000080"/>
        </w:rPr>
        <w:t xml:space="preserve"> 6040.44, provisions of </w:t>
      </w:r>
      <w:proofErr w:type="spellStart"/>
      <w:r w:rsidRPr="00A3794A">
        <w:rPr>
          <w:color w:val="000080"/>
        </w:rPr>
        <w:t>DoD</w:t>
      </w:r>
      <w:proofErr w:type="spellEnd"/>
      <w:r w:rsidRPr="00A3794A">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A3794A">
        <w:rPr>
          <w:color w:val="000080"/>
        </w:rPr>
        <w:t xml:space="preserve"> </w:t>
      </w:r>
      <w:r w:rsidR="00443518" w:rsidRPr="00A3794A">
        <w:rPr>
          <w:color w:val="000080"/>
        </w:rPr>
        <w:t xml:space="preserve">As discussed above, PEB reliance on </w:t>
      </w:r>
      <w:proofErr w:type="spellStart"/>
      <w:r w:rsidR="00443518" w:rsidRPr="00A3794A">
        <w:rPr>
          <w:color w:val="000080"/>
        </w:rPr>
        <w:t>DoDI</w:t>
      </w:r>
      <w:proofErr w:type="spellEnd"/>
      <w:r w:rsidR="00443518" w:rsidRPr="00A3794A">
        <w:rPr>
          <w:color w:val="000080"/>
        </w:rPr>
        <w:t xml:space="preserve"> 1332.39 for rating PTSD was operant in this case and the condition was adjudicated independently of that instruction by the Board.  In the matter of the PTSD condition, the Board unanimously recommends an initial TDRL rating of 50% in retroactive compliance with VASRD §4.129 as DOD directed; and a 30% permanent rating at 6 months IAW VASRD §4.130.  In the matter of the hypertension and </w:t>
      </w:r>
      <w:proofErr w:type="spellStart"/>
      <w:r w:rsidR="00443518" w:rsidRPr="00A3794A">
        <w:rPr>
          <w:color w:val="000080"/>
        </w:rPr>
        <w:t>nephrolithiasis</w:t>
      </w:r>
      <w:proofErr w:type="spellEnd"/>
      <w:r w:rsidR="00443518" w:rsidRPr="00A3794A">
        <w:rPr>
          <w:color w:val="000080"/>
        </w:rPr>
        <w:t xml:space="preserve"> conditions, the Board unanimously recommends no </w:t>
      </w:r>
      <w:proofErr w:type="spellStart"/>
      <w:r w:rsidR="00443518" w:rsidRPr="00A3794A">
        <w:rPr>
          <w:color w:val="000080"/>
        </w:rPr>
        <w:t>recharacterization</w:t>
      </w:r>
      <w:proofErr w:type="spellEnd"/>
      <w:r w:rsidR="00443518" w:rsidRPr="00A3794A">
        <w:rPr>
          <w:color w:val="000080"/>
        </w:rPr>
        <w:t xml:space="preserve"> of the PEB adjudication as not unfitting.  In the matter of the back condition, left ankle condition, left knee condition, skin </w:t>
      </w:r>
      <w:r w:rsidR="00443518" w:rsidRPr="00A3794A">
        <w:rPr>
          <w:color w:val="000080"/>
        </w:rPr>
        <w:lastRenderedPageBreak/>
        <w:t>condition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443518" w:rsidRPr="00A3794A" w:rsidRDefault="00C56FC8" w:rsidP="00A3794A">
      <w:pPr>
        <w:tabs>
          <w:tab w:val="left" w:pos="288"/>
          <w:tab w:val="left" w:pos="4752"/>
        </w:tabs>
        <w:spacing w:line="240" w:lineRule="exact"/>
        <w:jc w:val="both"/>
        <w:rPr>
          <w:color w:val="000080"/>
        </w:rPr>
      </w:pPr>
      <w:r w:rsidRPr="00A3794A">
        <w:rPr>
          <w:color w:val="000080"/>
          <w:u w:val="single"/>
        </w:rPr>
        <w:t>RECOMMENDATION</w:t>
      </w:r>
      <w:r w:rsidRPr="00A3794A">
        <w:rPr>
          <w:color w:val="000080"/>
        </w:rPr>
        <w:t xml:space="preserve">: </w:t>
      </w:r>
      <w:r w:rsidR="00443518" w:rsidRPr="00A3794A">
        <w:rPr>
          <w:color w:val="000080"/>
        </w:rPr>
        <w:t xml:space="preserve">The Board recommends that the CI’s prior determination be modified as follows; TDRL at 50% for 6 months following CI’s prior medical separation (PTSD at minimum of 50% IAW §4.129 and </w:t>
      </w:r>
      <w:proofErr w:type="spellStart"/>
      <w:proofErr w:type="gramStart"/>
      <w:r w:rsidR="00443518" w:rsidRPr="00A3794A">
        <w:rPr>
          <w:color w:val="000080"/>
        </w:rPr>
        <w:t>DoD</w:t>
      </w:r>
      <w:proofErr w:type="spellEnd"/>
      <w:proofErr w:type="gramEnd"/>
      <w:r w:rsidR="00443518" w:rsidRPr="00A3794A">
        <w:rPr>
          <w:color w:val="000080"/>
        </w:rPr>
        <w:t xml:space="preserve"> direction) and then a permanent 30% disability retirement as below.</w:t>
      </w:r>
    </w:p>
    <w:p w:rsidR="00FB593A" w:rsidRPr="00533FB5" w:rsidRDefault="00FB593A" w:rsidP="00875F2D">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046C66" w:rsidRPr="00FB7355" w:rsidTr="00664824">
        <w:tc>
          <w:tcPr>
            <w:tcW w:w="4950" w:type="dxa"/>
            <w:shd w:val="clear" w:color="auto" w:fill="D9D9D9"/>
          </w:tcPr>
          <w:p w:rsidR="00046C66" w:rsidRPr="003543FF" w:rsidRDefault="00046C66" w:rsidP="00664824">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046C66" w:rsidRPr="003543FF" w:rsidRDefault="00046C66" w:rsidP="00664824">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046C66" w:rsidRPr="003543FF" w:rsidRDefault="00046C66" w:rsidP="00664824">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046C66" w:rsidRPr="003543FF" w:rsidRDefault="00046C66" w:rsidP="00664824">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046C66" w:rsidRPr="003543FF" w:rsidRDefault="00046C66" w:rsidP="00664824">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046C66" w:rsidRPr="00FB7355" w:rsidTr="00664824">
        <w:trPr>
          <w:trHeight w:val="305"/>
        </w:trPr>
        <w:tc>
          <w:tcPr>
            <w:tcW w:w="4950" w:type="dxa"/>
          </w:tcPr>
          <w:p w:rsidR="00046C66" w:rsidRPr="0043503A" w:rsidRDefault="00046C66" w:rsidP="00664824">
            <w:pPr>
              <w:tabs>
                <w:tab w:val="left" w:pos="288"/>
                <w:tab w:val="left" w:pos="4752"/>
              </w:tabs>
              <w:spacing w:before="20" w:after="20" w:line="240" w:lineRule="exact"/>
              <w:rPr>
                <w:color w:val="000080"/>
                <w:szCs w:val="24"/>
              </w:rPr>
            </w:pPr>
            <w:r w:rsidRPr="0043503A">
              <w:rPr>
                <w:color w:val="000080"/>
                <w:szCs w:val="24"/>
              </w:rPr>
              <w:t>P</w:t>
            </w:r>
            <w:r>
              <w:rPr>
                <w:color w:val="000080"/>
                <w:szCs w:val="24"/>
              </w:rPr>
              <w:t>ost-Traumatic Stress Disorder</w:t>
            </w:r>
          </w:p>
        </w:tc>
        <w:tc>
          <w:tcPr>
            <w:tcW w:w="1710" w:type="dxa"/>
            <w:tcBorders>
              <w:bottom w:val="single" w:sz="4" w:space="0" w:color="000000"/>
            </w:tcBorders>
          </w:tcPr>
          <w:p w:rsidR="00046C66" w:rsidRPr="0043503A" w:rsidRDefault="00046C66" w:rsidP="00664824">
            <w:pPr>
              <w:tabs>
                <w:tab w:val="left" w:pos="288"/>
                <w:tab w:val="left" w:pos="4752"/>
              </w:tabs>
              <w:spacing w:before="20" w:after="20" w:line="240" w:lineRule="exact"/>
              <w:jc w:val="center"/>
              <w:rPr>
                <w:color w:val="000080"/>
                <w:szCs w:val="24"/>
              </w:rPr>
            </w:pPr>
            <w:r w:rsidRPr="0043503A">
              <w:rPr>
                <w:color w:val="000080"/>
                <w:szCs w:val="24"/>
              </w:rPr>
              <w:t>9411</w:t>
            </w:r>
          </w:p>
        </w:tc>
        <w:tc>
          <w:tcPr>
            <w:tcW w:w="1170" w:type="dxa"/>
            <w:tcBorders>
              <w:bottom w:val="single" w:sz="4" w:space="0" w:color="000000"/>
            </w:tcBorders>
          </w:tcPr>
          <w:p w:rsidR="00046C66" w:rsidRPr="0043503A" w:rsidRDefault="00046C66" w:rsidP="00664824">
            <w:pPr>
              <w:tabs>
                <w:tab w:val="left" w:pos="288"/>
                <w:tab w:val="left" w:pos="4752"/>
              </w:tabs>
              <w:spacing w:before="20" w:after="20" w:line="240" w:lineRule="exact"/>
              <w:jc w:val="center"/>
              <w:rPr>
                <w:color w:val="000080"/>
                <w:szCs w:val="24"/>
              </w:rPr>
            </w:pPr>
            <w:r>
              <w:rPr>
                <w:color w:val="000080"/>
                <w:szCs w:val="24"/>
              </w:rPr>
              <w:t>50</w:t>
            </w:r>
            <w:r w:rsidRPr="0043503A">
              <w:rPr>
                <w:color w:val="000080"/>
                <w:szCs w:val="24"/>
              </w:rPr>
              <w:t>%</w:t>
            </w:r>
          </w:p>
        </w:tc>
        <w:tc>
          <w:tcPr>
            <w:tcW w:w="1530" w:type="dxa"/>
            <w:tcBorders>
              <w:bottom w:val="single" w:sz="4" w:space="0" w:color="000000"/>
            </w:tcBorders>
          </w:tcPr>
          <w:p w:rsidR="00046C66" w:rsidRPr="0043503A" w:rsidRDefault="00046C66" w:rsidP="00664824">
            <w:pPr>
              <w:tabs>
                <w:tab w:val="left" w:pos="288"/>
                <w:tab w:val="left" w:pos="4752"/>
              </w:tabs>
              <w:spacing w:before="20" w:after="20" w:line="240" w:lineRule="exact"/>
              <w:jc w:val="center"/>
              <w:rPr>
                <w:color w:val="000080"/>
                <w:szCs w:val="24"/>
              </w:rPr>
            </w:pPr>
            <w:r>
              <w:rPr>
                <w:color w:val="000080"/>
                <w:szCs w:val="24"/>
              </w:rPr>
              <w:t>30</w:t>
            </w:r>
            <w:r w:rsidRPr="0043503A">
              <w:rPr>
                <w:color w:val="000080"/>
                <w:szCs w:val="24"/>
              </w:rPr>
              <w:t>%</w:t>
            </w:r>
          </w:p>
        </w:tc>
      </w:tr>
      <w:tr w:rsidR="00046C66" w:rsidRPr="00FB7355" w:rsidTr="00664824">
        <w:tblPrEx>
          <w:tblLook w:val="0000"/>
        </w:tblPrEx>
        <w:trPr>
          <w:gridBefore w:val="1"/>
          <w:wBefore w:w="4950" w:type="dxa"/>
          <w:trHeight w:val="350"/>
        </w:trPr>
        <w:tc>
          <w:tcPr>
            <w:tcW w:w="1710" w:type="dxa"/>
            <w:tcBorders>
              <w:left w:val="single" w:sz="4" w:space="0" w:color="auto"/>
            </w:tcBorders>
            <w:shd w:val="pct15" w:color="auto" w:fill="auto"/>
          </w:tcPr>
          <w:p w:rsidR="00046C66" w:rsidRPr="003543FF" w:rsidRDefault="00046C66" w:rsidP="00664824">
            <w:pPr>
              <w:tabs>
                <w:tab w:val="left" w:pos="288"/>
                <w:tab w:val="left" w:pos="4752"/>
              </w:tabs>
              <w:spacing w:before="60"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046C66" w:rsidRPr="004C5A6C" w:rsidRDefault="00046C66" w:rsidP="00664824">
            <w:pPr>
              <w:tabs>
                <w:tab w:val="left" w:pos="288"/>
                <w:tab w:val="left" w:pos="4752"/>
              </w:tabs>
              <w:spacing w:before="60" w:line="240" w:lineRule="exact"/>
              <w:jc w:val="center"/>
              <w:rPr>
                <w:b/>
                <w:color w:val="000080"/>
                <w:szCs w:val="24"/>
              </w:rPr>
            </w:pPr>
            <w:r>
              <w:rPr>
                <w:b/>
                <w:color w:val="000080"/>
                <w:szCs w:val="24"/>
              </w:rPr>
              <w:t>50</w:t>
            </w:r>
            <w:r w:rsidRPr="004C5A6C">
              <w:rPr>
                <w:b/>
                <w:color w:val="000080"/>
                <w:szCs w:val="24"/>
              </w:rPr>
              <w:t>%</w:t>
            </w:r>
          </w:p>
        </w:tc>
        <w:tc>
          <w:tcPr>
            <w:tcW w:w="1530" w:type="dxa"/>
            <w:shd w:val="pct15" w:color="auto" w:fill="auto"/>
          </w:tcPr>
          <w:p w:rsidR="00046C66" w:rsidRPr="004C5A6C" w:rsidRDefault="00046C66" w:rsidP="00664824">
            <w:pPr>
              <w:tabs>
                <w:tab w:val="left" w:pos="288"/>
                <w:tab w:val="left" w:pos="4752"/>
              </w:tabs>
              <w:spacing w:before="60" w:line="240" w:lineRule="exact"/>
              <w:jc w:val="center"/>
              <w:rPr>
                <w:b/>
                <w:color w:val="000080"/>
                <w:szCs w:val="24"/>
              </w:rPr>
            </w:pPr>
            <w:r>
              <w:rPr>
                <w:b/>
                <w:color w:val="000080"/>
                <w:szCs w:val="24"/>
              </w:rPr>
              <w:t>30</w:t>
            </w:r>
            <w:r w:rsidRPr="004C5A6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A65DE6">
        <w:rPr>
          <w:color w:val="000080"/>
        </w:rPr>
        <w:t>0204</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1B7988" w:rsidRDefault="001B7988">
      <w:pPr>
        <w:rPr>
          <w:color w:val="000080"/>
        </w:rPr>
      </w:pPr>
      <w:r>
        <w:rPr>
          <w:color w:val="000080"/>
        </w:rPr>
        <w:br w:type="page"/>
      </w:r>
    </w:p>
    <w:p w:rsidR="001B7988" w:rsidRDefault="001B7988" w:rsidP="001B7988">
      <w:pPr>
        <w:pStyle w:val="Default"/>
        <w:framePr w:w="15561" w:wrap="auto" w:vAnchor="page" w:hAnchor="page" w:x="1" w:y="1"/>
      </w:pPr>
      <w:r>
        <w:rPr>
          <w:noProof/>
        </w:rPr>
        <w:lastRenderedPageBreak/>
        <w:drawing>
          <wp:inline distT="0" distB="0" distL="0" distR="0">
            <wp:extent cx="7800340" cy="10678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678795"/>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2B" w:rsidRDefault="0013682B">
      <w:r>
        <w:separator/>
      </w:r>
    </w:p>
  </w:endnote>
  <w:endnote w:type="continuationSeparator" w:id="0">
    <w:p w:rsidR="0013682B" w:rsidRDefault="0013682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2150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2150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B7988">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A65DE6">
      <w:rPr>
        <w:caps/>
        <w:color w:val="000080"/>
      </w:rPr>
      <w:t>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2B" w:rsidRDefault="0013682B">
      <w:r>
        <w:separator/>
      </w:r>
    </w:p>
  </w:footnote>
  <w:footnote w:type="continuationSeparator" w:id="0">
    <w:p w:rsidR="0013682B" w:rsidRDefault="00136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3105"/>
  </w:hdrShapeDefaults>
  <w:footnotePr>
    <w:numRestart w:val="eachSect"/>
    <w:footnote w:id="-1"/>
    <w:footnote w:id="0"/>
  </w:footnotePr>
  <w:endnotePr>
    <w:endnote w:id="-1"/>
    <w:endnote w:id="0"/>
  </w:endnotePr>
  <w:compat/>
  <w:rsids>
    <w:rsidRoot w:val="001C28D1"/>
    <w:rsid w:val="00000008"/>
    <w:rsid w:val="000046F4"/>
    <w:rsid w:val="000059FA"/>
    <w:rsid w:val="00006F87"/>
    <w:rsid w:val="00010ABA"/>
    <w:rsid w:val="00013417"/>
    <w:rsid w:val="000145C2"/>
    <w:rsid w:val="0001473F"/>
    <w:rsid w:val="00023D43"/>
    <w:rsid w:val="0003374E"/>
    <w:rsid w:val="000344E6"/>
    <w:rsid w:val="00035C3A"/>
    <w:rsid w:val="000379D0"/>
    <w:rsid w:val="00040FC4"/>
    <w:rsid w:val="000416F8"/>
    <w:rsid w:val="00046C66"/>
    <w:rsid w:val="00051622"/>
    <w:rsid w:val="00053D7C"/>
    <w:rsid w:val="000577C9"/>
    <w:rsid w:val="0006431E"/>
    <w:rsid w:val="00072433"/>
    <w:rsid w:val="0008708B"/>
    <w:rsid w:val="00094E4F"/>
    <w:rsid w:val="000A2BCE"/>
    <w:rsid w:val="000A41E3"/>
    <w:rsid w:val="000A4BBA"/>
    <w:rsid w:val="000A5071"/>
    <w:rsid w:val="000A6A72"/>
    <w:rsid w:val="000C3C13"/>
    <w:rsid w:val="000C5813"/>
    <w:rsid w:val="000C7DE4"/>
    <w:rsid w:val="000D15E7"/>
    <w:rsid w:val="000D21C7"/>
    <w:rsid w:val="000D248A"/>
    <w:rsid w:val="000D43F9"/>
    <w:rsid w:val="000D4717"/>
    <w:rsid w:val="000D6457"/>
    <w:rsid w:val="000D7D55"/>
    <w:rsid w:val="000E0993"/>
    <w:rsid w:val="000E4554"/>
    <w:rsid w:val="000F02BE"/>
    <w:rsid w:val="000F427B"/>
    <w:rsid w:val="0010163E"/>
    <w:rsid w:val="00103CCF"/>
    <w:rsid w:val="0010417F"/>
    <w:rsid w:val="001042D2"/>
    <w:rsid w:val="0010530E"/>
    <w:rsid w:val="001103CD"/>
    <w:rsid w:val="00114F20"/>
    <w:rsid w:val="001219DF"/>
    <w:rsid w:val="001231DC"/>
    <w:rsid w:val="001315DD"/>
    <w:rsid w:val="00135385"/>
    <w:rsid w:val="001364D1"/>
    <w:rsid w:val="0013682B"/>
    <w:rsid w:val="001541C5"/>
    <w:rsid w:val="0015623F"/>
    <w:rsid w:val="00166182"/>
    <w:rsid w:val="00177659"/>
    <w:rsid w:val="001779E5"/>
    <w:rsid w:val="00182A4C"/>
    <w:rsid w:val="00183F77"/>
    <w:rsid w:val="00185ECB"/>
    <w:rsid w:val="0019273F"/>
    <w:rsid w:val="00193AD5"/>
    <w:rsid w:val="00194930"/>
    <w:rsid w:val="001A7538"/>
    <w:rsid w:val="001B5B59"/>
    <w:rsid w:val="001B7988"/>
    <w:rsid w:val="001C181A"/>
    <w:rsid w:val="001C2053"/>
    <w:rsid w:val="001C28D1"/>
    <w:rsid w:val="001C5CFC"/>
    <w:rsid w:val="001C7418"/>
    <w:rsid w:val="001D0051"/>
    <w:rsid w:val="001D2224"/>
    <w:rsid w:val="001D68CF"/>
    <w:rsid w:val="001D6A8C"/>
    <w:rsid w:val="001D7A56"/>
    <w:rsid w:val="001E18E0"/>
    <w:rsid w:val="001E18E2"/>
    <w:rsid w:val="00202736"/>
    <w:rsid w:val="002060B6"/>
    <w:rsid w:val="00216049"/>
    <w:rsid w:val="00217C09"/>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5FB5"/>
    <w:rsid w:val="00260531"/>
    <w:rsid w:val="0026318D"/>
    <w:rsid w:val="00270864"/>
    <w:rsid w:val="0027159C"/>
    <w:rsid w:val="00274549"/>
    <w:rsid w:val="00274E46"/>
    <w:rsid w:val="00276C86"/>
    <w:rsid w:val="002967EA"/>
    <w:rsid w:val="002A3237"/>
    <w:rsid w:val="002A72C7"/>
    <w:rsid w:val="002B03B2"/>
    <w:rsid w:val="002B0749"/>
    <w:rsid w:val="002B2645"/>
    <w:rsid w:val="002C6E5B"/>
    <w:rsid w:val="002D18B4"/>
    <w:rsid w:val="002E1877"/>
    <w:rsid w:val="002E1C31"/>
    <w:rsid w:val="002E333A"/>
    <w:rsid w:val="002E3474"/>
    <w:rsid w:val="002E49C3"/>
    <w:rsid w:val="002E7570"/>
    <w:rsid w:val="002E764B"/>
    <w:rsid w:val="002F0E28"/>
    <w:rsid w:val="002F287E"/>
    <w:rsid w:val="002F2B22"/>
    <w:rsid w:val="002F2D63"/>
    <w:rsid w:val="002F7F81"/>
    <w:rsid w:val="0030678B"/>
    <w:rsid w:val="00310CD7"/>
    <w:rsid w:val="00323E70"/>
    <w:rsid w:val="003320E8"/>
    <w:rsid w:val="0033555E"/>
    <w:rsid w:val="00337351"/>
    <w:rsid w:val="00341A54"/>
    <w:rsid w:val="00351498"/>
    <w:rsid w:val="00361B4D"/>
    <w:rsid w:val="0036319E"/>
    <w:rsid w:val="003632A4"/>
    <w:rsid w:val="00363362"/>
    <w:rsid w:val="00365D85"/>
    <w:rsid w:val="00370EF5"/>
    <w:rsid w:val="00372251"/>
    <w:rsid w:val="0037520D"/>
    <w:rsid w:val="0037628C"/>
    <w:rsid w:val="00377BD2"/>
    <w:rsid w:val="00380EDF"/>
    <w:rsid w:val="003821E1"/>
    <w:rsid w:val="00384866"/>
    <w:rsid w:val="003857D4"/>
    <w:rsid w:val="00385D6F"/>
    <w:rsid w:val="00387095"/>
    <w:rsid w:val="00390092"/>
    <w:rsid w:val="00393651"/>
    <w:rsid w:val="003A41BA"/>
    <w:rsid w:val="003A6A99"/>
    <w:rsid w:val="003B227A"/>
    <w:rsid w:val="003D2BA3"/>
    <w:rsid w:val="003D3C22"/>
    <w:rsid w:val="003D7089"/>
    <w:rsid w:val="003D7DDB"/>
    <w:rsid w:val="003E02C7"/>
    <w:rsid w:val="003E0543"/>
    <w:rsid w:val="003E31E3"/>
    <w:rsid w:val="003F58B0"/>
    <w:rsid w:val="004007E9"/>
    <w:rsid w:val="00401825"/>
    <w:rsid w:val="00401BBC"/>
    <w:rsid w:val="00403BFB"/>
    <w:rsid w:val="00404B45"/>
    <w:rsid w:val="00405EA6"/>
    <w:rsid w:val="00406CC5"/>
    <w:rsid w:val="004074A4"/>
    <w:rsid w:val="004101B2"/>
    <w:rsid w:val="004123D7"/>
    <w:rsid w:val="004172DB"/>
    <w:rsid w:val="00422B75"/>
    <w:rsid w:val="00433F36"/>
    <w:rsid w:val="0043503A"/>
    <w:rsid w:val="00443518"/>
    <w:rsid w:val="0044384F"/>
    <w:rsid w:val="00446018"/>
    <w:rsid w:val="004543BC"/>
    <w:rsid w:val="0045645D"/>
    <w:rsid w:val="004574C6"/>
    <w:rsid w:val="00457BCF"/>
    <w:rsid w:val="00460E3F"/>
    <w:rsid w:val="00462AAE"/>
    <w:rsid w:val="00463B24"/>
    <w:rsid w:val="00467592"/>
    <w:rsid w:val="004718E7"/>
    <w:rsid w:val="004761CC"/>
    <w:rsid w:val="00481DA1"/>
    <w:rsid w:val="00484945"/>
    <w:rsid w:val="00495350"/>
    <w:rsid w:val="004A24D2"/>
    <w:rsid w:val="004A4136"/>
    <w:rsid w:val="004A417B"/>
    <w:rsid w:val="004B03F3"/>
    <w:rsid w:val="004B6AF3"/>
    <w:rsid w:val="004B715E"/>
    <w:rsid w:val="004B7169"/>
    <w:rsid w:val="004B79C9"/>
    <w:rsid w:val="004C15DA"/>
    <w:rsid w:val="004C5E33"/>
    <w:rsid w:val="004C6CDA"/>
    <w:rsid w:val="004D10D4"/>
    <w:rsid w:val="004D6F2B"/>
    <w:rsid w:val="004E0248"/>
    <w:rsid w:val="004E32EA"/>
    <w:rsid w:val="004F2006"/>
    <w:rsid w:val="004F3BFA"/>
    <w:rsid w:val="005012C7"/>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60D57"/>
    <w:rsid w:val="00562A94"/>
    <w:rsid w:val="0057028A"/>
    <w:rsid w:val="005710A9"/>
    <w:rsid w:val="00593043"/>
    <w:rsid w:val="005A258C"/>
    <w:rsid w:val="005A3560"/>
    <w:rsid w:val="005A6C99"/>
    <w:rsid w:val="005B011A"/>
    <w:rsid w:val="005B1D8F"/>
    <w:rsid w:val="005F1115"/>
    <w:rsid w:val="005F27F2"/>
    <w:rsid w:val="005F424D"/>
    <w:rsid w:val="00606BEB"/>
    <w:rsid w:val="00613E26"/>
    <w:rsid w:val="00615641"/>
    <w:rsid w:val="00624D0C"/>
    <w:rsid w:val="006307BA"/>
    <w:rsid w:val="00634C4A"/>
    <w:rsid w:val="006418C9"/>
    <w:rsid w:val="00641BF6"/>
    <w:rsid w:val="00645046"/>
    <w:rsid w:val="00645EA2"/>
    <w:rsid w:val="00657521"/>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D2EB8"/>
    <w:rsid w:val="006E06D1"/>
    <w:rsid w:val="006E2DC8"/>
    <w:rsid w:val="006E7356"/>
    <w:rsid w:val="006E77C8"/>
    <w:rsid w:val="006F149D"/>
    <w:rsid w:val="006F1A46"/>
    <w:rsid w:val="006F5A4E"/>
    <w:rsid w:val="00706BEF"/>
    <w:rsid w:val="007116BC"/>
    <w:rsid w:val="007165CE"/>
    <w:rsid w:val="00720968"/>
    <w:rsid w:val="00721D12"/>
    <w:rsid w:val="00721F8B"/>
    <w:rsid w:val="0073254D"/>
    <w:rsid w:val="00736A49"/>
    <w:rsid w:val="00743C2D"/>
    <w:rsid w:val="00744EBB"/>
    <w:rsid w:val="00746AE2"/>
    <w:rsid w:val="0074727F"/>
    <w:rsid w:val="00750C82"/>
    <w:rsid w:val="0076100C"/>
    <w:rsid w:val="00762562"/>
    <w:rsid w:val="007651ED"/>
    <w:rsid w:val="00766C87"/>
    <w:rsid w:val="00781BD4"/>
    <w:rsid w:val="00784832"/>
    <w:rsid w:val="00785D77"/>
    <w:rsid w:val="00791F1E"/>
    <w:rsid w:val="00794F3D"/>
    <w:rsid w:val="007974E0"/>
    <w:rsid w:val="007A0B39"/>
    <w:rsid w:val="007A14A4"/>
    <w:rsid w:val="007A168F"/>
    <w:rsid w:val="007A28E4"/>
    <w:rsid w:val="007A3BB3"/>
    <w:rsid w:val="007A5AD1"/>
    <w:rsid w:val="007A5B7B"/>
    <w:rsid w:val="007B0A06"/>
    <w:rsid w:val="007B5C5C"/>
    <w:rsid w:val="007B7C41"/>
    <w:rsid w:val="007C433E"/>
    <w:rsid w:val="007D0292"/>
    <w:rsid w:val="007D21AC"/>
    <w:rsid w:val="007D568A"/>
    <w:rsid w:val="007D574E"/>
    <w:rsid w:val="007E2046"/>
    <w:rsid w:val="007E4FBB"/>
    <w:rsid w:val="007E55BF"/>
    <w:rsid w:val="007E7B4E"/>
    <w:rsid w:val="007F0CE2"/>
    <w:rsid w:val="007F0EFF"/>
    <w:rsid w:val="007F1375"/>
    <w:rsid w:val="00803850"/>
    <w:rsid w:val="00805AFD"/>
    <w:rsid w:val="00811D5B"/>
    <w:rsid w:val="00817713"/>
    <w:rsid w:val="00830999"/>
    <w:rsid w:val="00830D5E"/>
    <w:rsid w:val="00830F69"/>
    <w:rsid w:val="00834458"/>
    <w:rsid w:val="00835841"/>
    <w:rsid w:val="00837465"/>
    <w:rsid w:val="00841457"/>
    <w:rsid w:val="0084374E"/>
    <w:rsid w:val="00844842"/>
    <w:rsid w:val="0085206E"/>
    <w:rsid w:val="00852AD4"/>
    <w:rsid w:val="00852BA8"/>
    <w:rsid w:val="00853718"/>
    <w:rsid w:val="008541EF"/>
    <w:rsid w:val="00856FA4"/>
    <w:rsid w:val="0086162B"/>
    <w:rsid w:val="008626FD"/>
    <w:rsid w:val="00865207"/>
    <w:rsid w:val="008656A7"/>
    <w:rsid w:val="00871262"/>
    <w:rsid w:val="00871D4E"/>
    <w:rsid w:val="00875B51"/>
    <w:rsid w:val="00875F2D"/>
    <w:rsid w:val="008764DC"/>
    <w:rsid w:val="00883930"/>
    <w:rsid w:val="00896535"/>
    <w:rsid w:val="00896683"/>
    <w:rsid w:val="008A63A9"/>
    <w:rsid w:val="008B04DB"/>
    <w:rsid w:val="008B3B81"/>
    <w:rsid w:val="008B515D"/>
    <w:rsid w:val="008B5D31"/>
    <w:rsid w:val="008B6705"/>
    <w:rsid w:val="008D7B07"/>
    <w:rsid w:val="008E2D99"/>
    <w:rsid w:val="008E4A60"/>
    <w:rsid w:val="008F4512"/>
    <w:rsid w:val="009026E8"/>
    <w:rsid w:val="00906EB7"/>
    <w:rsid w:val="009102BF"/>
    <w:rsid w:val="00914ADB"/>
    <w:rsid w:val="00923B25"/>
    <w:rsid w:val="0092402E"/>
    <w:rsid w:val="00942250"/>
    <w:rsid w:val="00942645"/>
    <w:rsid w:val="00950A3A"/>
    <w:rsid w:val="0095340A"/>
    <w:rsid w:val="00954581"/>
    <w:rsid w:val="0095466C"/>
    <w:rsid w:val="0096168C"/>
    <w:rsid w:val="00961840"/>
    <w:rsid w:val="00962F2D"/>
    <w:rsid w:val="009672CD"/>
    <w:rsid w:val="009732B8"/>
    <w:rsid w:val="00976869"/>
    <w:rsid w:val="00977740"/>
    <w:rsid w:val="00977CB4"/>
    <w:rsid w:val="00985099"/>
    <w:rsid w:val="009A0DE3"/>
    <w:rsid w:val="009A4F1B"/>
    <w:rsid w:val="009A79BA"/>
    <w:rsid w:val="009B1534"/>
    <w:rsid w:val="009B5450"/>
    <w:rsid w:val="009B69D3"/>
    <w:rsid w:val="009B7BA7"/>
    <w:rsid w:val="009C0938"/>
    <w:rsid w:val="009C3F82"/>
    <w:rsid w:val="009C72DD"/>
    <w:rsid w:val="009C7DF5"/>
    <w:rsid w:val="009D056C"/>
    <w:rsid w:val="009D060F"/>
    <w:rsid w:val="009D1ADE"/>
    <w:rsid w:val="009E09D0"/>
    <w:rsid w:val="009E1283"/>
    <w:rsid w:val="009F7809"/>
    <w:rsid w:val="009F7AF5"/>
    <w:rsid w:val="00A00D14"/>
    <w:rsid w:val="00A01408"/>
    <w:rsid w:val="00A02457"/>
    <w:rsid w:val="00A0404B"/>
    <w:rsid w:val="00A0704B"/>
    <w:rsid w:val="00A1105B"/>
    <w:rsid w:val="00A15B6B"/>
    <w:rsid w:val="00A16876"/>
    <w:rsid w:val="00A200AA"/>
    <w:rsid w:val="00A2186F"/>
    <w:rsid w:val="00A2270B"/>
    <w:rsid w:val="00A2496E"/>
    <w:rsid w:val="00A258B7"/>
    <w:rsid w:val="00A27A8D"/>
    <w:rsid w:val="00A32743"/>
    <w:rsid w:val="00A33A94"/>
    <w:rsid w:val="00A3794A"/>
    <w:rsid w:val="00A414A9"/>
    <w:rsid w:val="00A47CF1"/>
    <w:rsid w:val="00A50418"/>
    <w:rsid w:val="00A56D26"/>
    <w:rsid w:val="00A608FB"/>
    <w:rsid w:val="00A65C78"/>
    <w:rsid w:val="00A65DE6"/>
    <w:rsid w:val="00A70E7B"/>
    <w:rsid w:val="00A73B84"/>
    <w:rsid w:val="00A76094"/>
    <w:rsid w:val="00A768E2"/>
    <w:rsid w:val="00A82C52"/>
    <w:rsid w:val="00A86CB6"/>
    <w:rsid w:val="00A90D55"/>
    <w:rsid w:val="00A961EE"/>
    <w:rsid w:val="00AA04B3"/>
    <w:rsid w:val="00AA428E"/>
    <w:rsid w:val="00AA493E"/>
    <w:rsid w:val="00AA6FC4"/>
    <w:rsid w:val="00AA73AF"/>
    <w:rsid w:val="00AB1754"/>
    <w:rsid w:val="00AC439D"/>
    <w:rsid w:val="00AD067E"/>
    <w:rsid w:val="00AD68C5"/>
    <w:rsid w:val="00AE2D29"/>
    <w:rsid w:val="00AE4624"/>
    <w:rsid w:val="00AE5E14"/>
    <w:rsid w:val="00AF4FA5"/>
    <w:rsid w:val="00B15D30"/>
    <w:rsid w:val="00B23436"/>
    <w:rsid w:val="00B32179"/>
    <w:rsid w:val="00B331A9"/>
    <w:rsid w:val="00B40A3E"/>
    <w:rsid w:val="00B50227"/>
    <w:rsid w:val="00B522CD"/>
    <w:rsid w:val="00B54B9A"/>
    <w:rsid w:val="00B55917"/>
    <w:rsid w:val="00B64DD6"/>
    <w:rsid w:val="00B72303"/>
    <w:rsid w:val="00B82277"/>
    <w:rsid w:val="00B91676"/>
    <w:rsid w:val="00B95833"/>
    <w:rsid w:val="00BA2D98"/>
    <w:rsid w:val="00BA30D1"/>
    <w:rsid w:val="00BA4609"/>
    <w:rsid w:val="00BA5BE2"/>
    <w:rsid w:val="00BA747A"/>
    <w:rsid w:val="00BA7F46"/>
    <w:rsid w:val="00BB0A0A"/>
    <w:rsid w:val="00BB45B5"/>
    <w:rsid w:val="00BB6064"/>
    <w:rsid w:val="00BC09D1"/>
    <w:rsid w:val="00BD40AB"/>
    <w:rsid w:val="00BD6806"/>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CBA"/>
    <w:rsid w:val="00C5019E"/>
    <w:rsid w:val="00C51D13"/>
    <w:rsid w:val="00C53E8A"/>
    <w:rsid w:val="00C54DF3"/>
    <w:rsid w:val="00C560A7"/>
    <w:rsid w:val="00C56FC8"/>
    <w:rsid w:val="00C60F23"/>
    <w:rsid w:val="00C62EB2"/>
    <w:rsid w:val="00C67777"/>
    <w:rsid w:val="00C71BEC"/>
    <w:rsid w:val="00C80511"/>
    <w:rsid w:val="00C826F5"/>
    <w:rsid w:val="00C83740"/>
    <w:rsid w:val="00C84AD1"/>
    <w:rsid w:val="00C85579"/>
    <w:rsid w:val="00C931FC"/>
    <w:rsid w:val="00C932C5"/>
    <w:rsid w:val="00C9650E"/>
    <w:rsid w:val="00CA068D"/>
    <w:rsid w:val="00CA282D"/>
    <w:rsid w:val="00CA4670"/>
    <w:rsid w:val="00CA6B1A"/>
    <w:rsid w:val="00CB20DC"/>
    <w:rsid w:val="00CB23DC"/>
    <w:rsid w:val="00CB28E2"/>
    <w:rsid w:val="00CB7FF7"/>
    <w:rsid w:val="00CC19B3"/>
    <w:rsid w:val="00CC2044"/>
    <w:rsid w:val="00CC69EC"/>
    <w:rsid w:val="00CD15BE"/>
    <w:rsid w:val="00CD34C7"/>
    <w:rsid w:val="00CD63C8"/>
    <w:rsid w:val="00CF158D"/>
    <w:rsid w:val="00CF4394"/>
    <w:rsid w:val="00D14BAE"/>
    <w:rsid w:val="00D1648B"/>
    <w:rsid w:val="00D16819"/>
    <w:rsid w:val="00D20AC0"/>
    <w:rsid w:val="00D26732"/>
    <w:rsid w:val="00D336C8"/>
    <w:rsid w:val="00D339E8"/>
    <w:rsid w:val="00D40B1F"/>
    <w:rsid w:val="00D40D75"/>
    <w:rsid w:val="00D50C8C"/>
    <w:rsid w:val="00D52393"/>
    <w:rsid w:val="00D53F14"/>
    <w:rsid w:val="00D54BE4"/>
    <w:rsid w:val="00D60483"/>
    <w:rsid w:val="00D60B03"/>
    <w:rsid w:val="00D63577"/>
    <w:rsid w:val="00D67FD7"/>
    <w:rsid w:val="00D74261"/>
    <w:rsid w:val="00D76AB2"/>
    <w:rsid w:val="00D7749E"/>
    <w:rsid w:val="00D829AD"/>
    <w:rsid w:val="00D82EE2"/>
    <w:rsid w:val="00D8545C"/>
    <w:rsid w:val="00D87788"/>
    <w:rsid w:val="00D877C8"/>
    <w:rsid w:val="00D910C2"/>
    <w:rsid w:val="00D9168C"/>
    <w:rsid w:val="00D9189B"/>
    <w:rsid w:val="00D91DA6"/>
    <w:rsid w:val="00D972D4"/>
    <w:rsid w:val="00DA005D"/>
    <w:rsid w:val="00DA195B"/>
    <w:rsid w:val="00DB0015"/>
    <w:rsid w:val="00DB2AAD"/>
    <w:rsid w:val="00DB6365"/>
    <w:rsid w:val="00DC0BF1"/>
    <w:rsid w:val="00DC41C3"/>
    <w:rsid w:val="00DD3593"/>
    <w:rsid w:val="00DE6952"/>
    <w:rsid w:val="00DE7E74"/>
    <w:rsid w:val="00E00A69"/>
    <w:rsid w:val="00E017F0"/>
    <w:rsid w:val="00E041E4"/>
    <w:rsid w:val="00E04689"/>
    <w:rsid w:val="00E103C8"/>
    <w:rsid w:val="00E1085B"/>
    <w:rsid w:val="00E14581"/>
    <w:rsid w:val="00E15539"/>
    <w:rsid w:val="00E16541"/>
    <w:rsid w:val="00E21504"/>
    <w:rsid w:val="00E254DD"/>
    <w:rsid w:val="00E2632B"/>
    <w:rsid w:val="00E405EA"/>
    <w:rsid w:val="00E408B7"/>
    <w:rsid w:val="00E42789"/>
    <w:rsid w:val="00E43F59"/>
    <w:rsid w:val="00E464F0"/>
    <w:rsid w:val="00E50BEB"/>
    <w:rsid w:val="00E51322"/>
    <w:rsid w:val="00E6092F"/>
    <w:rsid w:val="00E629DA"/>
    <w:rsid w:val="00E66F17"/>
    <w:rsid w:val="00E738CB"/>
    <w:rsid w:val="00E81C3E"/>
    <w:rsid w:val="00E82B6D"/>
    <w:rsid w:val="00EA1177"/>
    <w:rsid w:val="00EA11B6"/>
    <w:rsid w:val="00EA2181"/>
    <w:rsid w:val="00EA2DD8"/>
    <w:rsid w:val="00EA4475"/>
    <w:rsid w:val="00EA681F"/>
    <w:rsid w:val="00EB3823"/>
    <w:rsid w:val="00EB47D8"/>
    <w:rsid w:val="00EB76E4"/>
    <w:rsid w:val="00EC0E65"/>
    <w:rsid w:val="00EC50C9"/>
    <w:rsid w:val="00EC5BB2"/>
    <w:rsid w:val="00ED3395"/>
    <w:rsid w:val="00ED664B"/>
    <w:rsid w:val="00EE0B44"/>
    <w:rsid w:val="00EE7E0E"/>
    <w:rsid w:val="00EF5268"/>
    <w:rsid w:val="00EF608E"/>
    <w:rsid w:val="00F05807"/>
    <w:rsid w:val="00F07052"/>
    <w:rsid w:val="00F0706C"/>
    <w:rsid w:val="00F11EBE"/>
    <w:rsid w:val="00F130D0"/>
    <w:rsid w:val="00F1516A"/>
    <w:rsid w:val="00F22A26"/>
    <w:rsid w:val="00F24072"/>
    <w:rsid w:val="00F26432"/>
    <w:rsid w:val="00F3197A"/>
    <w:rsid w:val="00F32139"/>
    <w:rsid w:val="00F34E08"/>
    <w:rsid w:val="00F41D91"/>
    <w:rsid w:val="00F42363"/>
    <w:rsid w:val="00F46964"/>
    <w:rsid w:val="00F5126A"/>
    <w:rsid w:val="00F60EEF"/>
    <w:rsid w:val="00F6671F"/>
    <w:rsid w:val="00F718A8"/>
    <w:rsid w:val="00F72183"/>
    <w:rsid w:val="00F76D01"/>
    <w:rsid w:val="00F82981"/>
    <w:rsid w:val="00F8311F"/>
    <w:rsid w:val="00F83248"/>
    <w:rsid w:val="00F853AE"/>
    <w:rsid w:val="00F93DCC"/>
    <w:rsid w:val="00F9435D"/>
    <w:rsid w:val="00FB0D51"/>
    <w:rsid w:val="00FB593A"/>
    <w:rsid w:val="00FB6E82"/>
    <w:rsid w:val="00FC2A13"/>
    <w:rsid w:val="00FC4576"/>
    <w:rsid w:val="00FC5F7D"/>
    <w:rsid w:val="00FC7DBC"/>
    <w:rsid w:val="00FD076A"/>
    <w:rsid w:val="00FD0EE4"/>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FC5F7D"/>
    <w:rPr>
      <w:color w:val="008080"/>
      <w:sz w:val="24"/>
    </w:rPr>
  </w:style>
  <w:style w:type="paragraph" w:customStyle="1" w:styleId="Default">
    <w:name w:val="Default"/>
    <w:rsid w:val="001B798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614951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2188963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CE84-5C4D-470F-B131-792D573D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12</cp:revision>
  <cp:lastPrinted>2010-03-31T12:33:00Z</cp:lastPrinted>
  <dcterms:created xsi:type="dcterms:W3CDTF">2010-03-25T15:40:00Z</dcterms:created>
  <dcterms:modified xsi:type="dcterms:W3CDTF">2012-01-26T13:34:00Z</dcterms:modified>
</cp:coreProperties>
</file>