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Default="00540BEF" w:rsidP="00540BEF">
      <w:pPr>
        <w:tabs>
          <w:tab w:val="left" w:pos="288"/>
          <w:tab w:val="left" w:pos="4752"/>
        </w:tabs>
        <w:spacing w:line="240" w:lineRule="exact"/>
        <w:jc w:val="center"/>
        <w:rPr>
          <w:color w:val="000080"/>
        </w:rPr>
      </w:pPr>
      <w:r w:rsidRPr="00D91DA6">
        <w:rPr>
          <w:color w:val="000080"/>
        </w:rPr>
        <w:t>RECORD OF PROCEEDINGS</w:t>
      </w:r>
      <w:r>
        <w:rPr>
          <w:color w:val="000080"/>
        </w:rPr>
        <w:t xml:space="preserve"> </w:t>
      </w:r>
      <w:r w:rsidR="00B5511B">
        <w:rPr>
          <w:color w:val="000080"/>
        </w:rPr>
        <w:t>WITH MINORITY OPINION</w:t>
      </w:r>
    </w:p>
    <w:p w:rsidR="00540BEF" w:rsidRPr="00D91DA6" w:rsidRDefault="00540BEF" w:rsidP="00540BEF">
      <w:pPr>
        <w:tabs>
          <w:tab w:val="left" w:pos="288"/>
          <w:tab w:val="left" w:pos="4752"/>
        </w:tabs>
        <w:spacing w:line="240" w:lineRule="exact"/>
        <w:jc w:val="center"/>
        <w:rPr>
          <w:color w:val="000080"/>
        </w:rPr>
      </w:pPr>
      <w:r w:rsidRPr="00D91DA6">
        <w:rPr>
          <w:color w:val="000080"/>
        </w:rPr>
        <w:t xml:space="preserve">PHYSICAL DISABILITY </w:t>
      </w:r>
      <w:r>
        <w:rPr>
          <w:color w:val="000080"/>
        </w:rPr>
        <w:t>BOARD OF REVIEW</w:t>
      </w:r>
    </w:p>
    <w:p w:rsidR="00540BEF" w:rsidRPr="00D91DA6" w:rsidRDefault="00540BEF" w:rsidP="00540BEF">
      <w:pPr>
        <w:tabs>
          <w:tab w:val="left" w:pos="288"/>
          <w:tab w:val="left" w:pos="4752"/>
        </w:tabs>
        <w:spacing w:line="240" w:lineRule="exact"/>
        <w:jc w:val="both"/>
        <w:rPr>
          <w:color w:val="000080"/>
        </w:rPr>
      </w:pPr>
    </w:p>
    <w:p w:rsidR="00540BEF" w:rsidRPr="00D91DA6" w:rsidRDefault="00540BEF" w:rsidP="00540BEF">
      <w:pPr>
        <w:tabs>
          <w:tab w:val="left" w:pos="288"/>
          <w:tab w:val="left" w:pos="4752"/>
        </w:tabs>
        <w:spacing w:line="240" w:lineRule="exact"/>
        <w:jc w:val="both"/>
        <w:rPr>
          <w:color w:val="000080"/>
        </w:rPr>
      </w:pPr>
      <w:r w:rsidRPr="00D91DA6">
        <w:rPr>
          <w:color w:val="000080"/>
        </w:rPr>
        <w:t>NAME:</w:t>
      </w:r>
      <w:r w:rsidRPr="00D91DA6">
        <w:rPr>
          <w:color w:val="000080"/>
        </w:rPr>
        <w:tab/>
      </w:r>
      <w:r w:rsidRPr="00D91DA6">
        <w:rPr>
          <w:color w:val="000080"/>
        </w:rPr>
        <w:tab/>
      </w:r>
      <w:r>
        <w:rPr>
          <w:color w:val="000080"/>
        </w:rPr>
        <w:t>BRANCH OF SERVICE</w:t>
      </w:r>
      <w:r w:rsidRPr="00D91DA6">
        <w:rPr>
          <w:color w:val="000080"/>
        </w:rPr>
        <w:t xml:space="preserve">: </w:t>
      </w:r>
      <w:r w:rsidR="000E0993">
        <w:rPr>
          <w:color w:val="000080"/>
        </w:rPr>
        <w:t>ARMY</w:t>
      </w:r>
    </w:p>
    <w:p w:rsidR="00604FE9" w:rsidRDefault="00540BEF" w:rsidP="00540BEF">
      <w:pPr>
        <w:tabs>
          <w:tab w:val="left" w:pos="288"/>
          <w:tab w:val="left" w:pos="4752"/>
        </w:tabs>
        <w:spacing w:line="240" w:lineRule="exact"/>
        <w:jc w:val="both"/>
        <w:rPr>
          <w:color w:val="000080"/>
        </w:rPr>
      </w:pPr>
      <w:r>
        <w:rPr>
          <w:color w:val="000080"/>
        </w:rPr>
        <w:t>CASE</w:t>
      </w:r>
      <w:r w:rsidRPr="00D91DA6">
        <w:rPr>
          <w:color w:val="000080"/>
        </w:rPr>
        <w:t xml:space="preserve"> NUMBER:  </w:t>
      </w:r>
      <w:r>
        <w:rPr>
          <w:color w:val="000080"/>
        </w:rPr>
        <w:t>PD0900</w:t>
      </w:r>
      <w:r w:rsidR="00C10356">
        <w:rPr>
          <w:color w:val="000080"/>
        </w:rPr>
        <w:t>148</w:t>
      </w:r>
      <w:r w:rsidRPr="00D91DA6">
        <w:rPr>
          <w:color w:val="000080"/>
        </w:rPr>
        <w:tab/>
      </w:r>
      <w:r w:rsidRPr="00D91DA6">
        <w:rPr>
          <w:color w:val="000080"/>
        </w:rPr>
        <w:tab/>
        <w:t xml:space="preserve">BOARD DATE: </w:t>
      </w:r>
      <w:r w:rsidR="000F02BE">
        <w:rPr>
          <w:color w:val="000080"/>
        </w:rPr>
        <w:t>2010</w:t>
      </w:r>
      <w:r w:rsidR="00C10356">
        <w:rPr>
          <w:color w:val="000080"/>
        </w:rPr>
        <w:t>0415</w:t>
      </w:r>
    </w:p>
    <w:p w:rsidR="00540BEF" w:rsidRDefault="00540BEF" w:rsidP="00540BEF">
      <w:pPr>
        <w:tabs>
          <w:tab w:val="left" w:pos="288"/>
          <w:tab w:val="left" w:pos="4752"/>
        </w:tabs>
        <w:spacing w:line="240" w:lineRule="exact"/>
        <w:jc w:val="both"/>
        <w:rPr>
          <w:color w:val="000080"/>
        </w:rPr>
      </w:pPr>
      <w:r w:rsidRPr="00D91DA6">
        <w:rPr>
          <w:color w:val="000080"/>
        </w:rPr>
        <w:t xml:space="preserve">SEPARATION DATE: </w:t>
      </w:r>
      <w:r w:rsidR="000E0993">
        <w:rPr>
          <w:color w:val="000080"/>
        </w:rPr>
        <w:t>200</w:t>
      </w:r>
      <w:r w:rsidR="00C10356">
        <w:rPr>
          <w:color w:val="000080"/>
        </w:rPr>
        <w:t>70706</w:t>
      </w:r>
    </w:p>
    <w:p w:rsidR="00540BEF" w:rsidRPr="00D91DA6" w:rsidRDefault="00540BEF" w:rsidP="00540BEF">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B522CD" w:rsidRPr="00D91DA6" w:rsidRDefault="00B522CD" w:rsidP="00875F2D">
      <w:pPr>
        <w:tabs>
          <w:tab w:val="left" w:pos="288"/>
          <w:tab w:val="left" w:pos="4752"/>
        </w:tabs>
        <w:spacing w:line="240" w:lineRule="exact"/>
        <w:jc w:val="both"/>
        <w:rPr>
          <w:color w:val="000080"/>
        </w:rPr>
      </w:pPr>
    </w:p>
    <w:p w:rsidR="00E31457" w:rsidRPr="000C0321" w:rsidRDefault="002C6E5B" w:rsidP="000C0321">
      <w:pPr>
        <w:tabs>
          <w:tab w:val="left" w:pos="288"/>
          <w:tab w:val="left" w:pos="4752"/>
        </w:tabs>
        <w:spacing w:line="240" w:lineRule="exact"/>
        <w:jc w:val="both"/>
        <w:rPr>
          <w:color w:val="000080"/>
        </w:rPr>
      </w:pPr>
      <w:r w:rsidRPr="000C0321">
        <w:rPr>
          <w:color w:val="000080"/>
          <w:u w:val="single"/>
        </w:rPr>
        <w:t>SUMMARY OF CASE</w:t>
      </w:r>
      <w:r w:rsidRPr="000C0321">
        <w:rPr>
          <w:color w:val="000080"/>
        </w:rPr>
        <w:t xml:space="preserve">:  This covered individual (CI) was </w:t>
      </w:r>
      <w:r w:rsidR="0090254A" w:rsidRPr="000C0321">
        <w:rPr>
          <w:color w:val="000080"/>
        </w:rPr>
        <w:t>a Guard SSG</w:t>
      </w:r>
      <w:r w:rsidR="00604FE9">
        <w:rPr>
          <w:color w:val="000080"/>
        </w:rPr>
        <w:t>,</w:t>
      </w:r>
      <w:r w:rsidR="00E322F7" w:rsidRPr="000C0321">
        <w:rPr>
          <w:color w:val="000080"/>
        </w:rPr>
        <w:t xml:space="preserve"> </w:t>
      </w:r>
      <w:r w:rsidR="0090254A" w:rsidRPr="000C0321">
        <w:rPr>
          <w:color w:val="000080"/>
        </w:rPr>
        <w:t>Attack Helicopter Repair</w:t>
      </w:r>
      <w:r w:rsidR="00604FE9">
        <w:rPr>
          <w:color w:val="000080"/>
        </w:rPr>
        <w:t xml:space="preserve">, </w:t>
      </w:r>
      <w:r w:rsidRPr="000C0321">
        <w:rPr>
          <w:color w:val="000080"/>
        </w:rPr>
        <w:t>medically separated from the Army</w:t>
      </w:r>
      <w:r w:rsidR="0090254A" w:rsidRPr="000C0321">
        <w:rPr>
          <w:color w:val="000080"/>
        </w:rPr>
        <w:t xml:space="preserve"> in 2007</w:t>
      </w:r>
      <w:r w:rsidRPr="000C0321">
        <w:rPr>
          <w:color w:val="000080"/>
        </w:rPr>
        <w:t xml:space="preserve"> after </w:t>
      </w:r>
      <w:r w:rsidR="0090254A" w:rsidRPr="000C0321">
        <w:rPr>
          <w:color w:val="000080"/>
        </w:rPr>
        <w:t>23</w:t>
      </w:r>
      <w:r w:rsidRPr="000C0321">
        <w:rPr>
          <w:color w:val="000080"/>
        </w:rPr>
        <w:t xml:space="preserve"> years of </w:t>
      </w:r>
      <w:r w:rsidR="0090254A" w:rsidRPr="000C0321">
        <w:rPr>
          <w:color w:val="000080"/>
        </w:rPr>
        <w:t>combined service.  The medical base</w:t>
      </w:r>
      <w:r w:rsidRPr="000C0321">
        <w:rPr>
          <w:color w:val="000080"/>
        </w:rPr>
        <w:t xml:space="preserve">s for the separation </w:t>
      </w:r>
      <w:r w:rsidR="0090254A" w:rsidRPr="000C0321">
        <w:rPr>
          <w:color w:val="000080"/>
        </w:rPr>
        <w:t xml:space="preserve">were cervical and lumbar spine conditions.  He experienced an onset of neck and back pain handling cargo three weeks after arrival in theater for a 2006 </w:t>
      </w:r>
      <w:r w:rsidR="00604FE9">
        <w:rPr>
          <w:color w:val="000080"/>
        </w:rPr>
        <w:t>Operation Iraqi Freedom (</w:t>
      </w:r>
      <w:r w:rsidR="0090254A" w:rsidRPr="000C0321">
        <w:rPr>
          <w:color w:val="000080"/>
        </w:rPr>
        <w:t>OIF</w:t>
      </w:r>
      <w:r w:rsidR="00604FE9">
        <w:rPr>
          <w:color w:val="000080"/>
        </w:rPr>
        <w:t>)</w:t>
      </w:r>
      <w:r w:rsidR="0090254A" w:rsidRPr="000C0321">
        <w:rPr>
          <w:color w:val="000080"/>
        </w:rPr>
        <w:t xml:space="preserve"> </w:t>
      </w:r>
      <w:r w:rsidR="00065E9F" w:rsidRPr="000C0321">
        <w:rPr>
          <w:color w:val="000080"/>
        </w:rPr>
        <w:t>deployment</w:t>
      </w:r>
      <w:r w:rsidR="0090254A" w:rsidRPr="000C0321">
        <w:rPr>
          <w:color w:val="000080"/>
        </w:rPr>
        <w:t xml:space="preserve">.  He was placed on light duty until a return home on </w:t>
      </w:r>
      <w:r w:rsidR="00604FE9" w:rsidRPr="00604FE9">
        <w:rPr>
          <w:color w:val="000080"/>
        </w:rPr>
        <w:t>Rest and Recuperation</w:t>
      </w:r>
      <w:r w:rsidR="00604FE9">
        <w:rPr>
          <w:color w:val="000080"/>
        </w:rPr>
        <w:t xml:space="preserve"> (</w:t>
      </w:r>
      <w:r w:rsidR="0090254A" w:rsidRPr="000C0321">
        <w:rPr>
          <w:color w:val="000080"/>
        </w:rPr>
        <w:t>R&amp;R</w:t>
      </w:r>
      <w:r w:rsidR="00604FE9">
        <w:rPr>
          <w:color w:val="000080"/>
        </w:rPr>
        <w:t>)</w:t>
      </w:r>
      <w:r w:rsidR="0090254A" w:rsidRPr="000C0321">
        <w:rPr>
          <w:color w:val="000080"/>
        </w:rPr>
        <w:t xml:space="preserve"> one month later</w:t>
      </w:r>
      <w:r w:rsidR="00F0745A" w:rsidRPr="000C0321">
        <w:rPr>
          <w:color w:val="000080"/>
        </w:rPr>
        <w:t xml:space="preserve"> where he sought further medical care</w:t>
      </w:r>
      <w:r w:rsidR="0090254A" w:rsidRPr="000C0321">
        <w:rPr>
          <w:color w:val="000080"/>
        </w:rPr>
        <w:t xml:space="preserve">.  </w:t>
      </w:r>
      <w:r w:rsidRPr="000C0321">
        <w:rPr>
          <w:color w:val="000080"/>
        </w:rPr>
        <w:t xml:space="preserve"> </w:t>
      </w:r>
      <w:r w:rsidR="0090254A" w:rsidRPr="000C0321">
        <w:rPr>
          <w:color w:val="000080"/>
        </w:rPr>
        <w:t xml:space="preserve">He returned to Iraq, but was promptly sent to Kuwait for </w:t>
      </w:r>
      <w:r w:rsidR="00D43A3E" w:rsidRPr="000C0321">
        <w:rPr>
          <w:color w:val="000080"/>
        </w:rPr>
        <w:t xml:space="preserve">physical therapy (PT) </w:t>
      </w:r>
      <w:r w:rsidR="00034772" w:rsidRPr="000C0321">
        <w:rPr>
          <w:color w:val="000080"/>
        </w:rPr>
        <w:t>where</w:t>
      </w:r>
      <w:r w:rsidR="00D43A3E" w:rsidRPr="000C0321">
        <w:rPr>
          <w:color w:val="000080"/>
        </w:rPr>
        <w:t xml:space="preserve"> a cervical </w:t>
      </w:r>
      <w:r w:rsidR="00604FE9" w:rsidRPr="00604FE9">
        <w:rPr>
          <w:color w:val="000080"/>
        </w:rPr>
        <w:t xml:space="preserve">Magnetic Resonance Imaging </w:t>
      </w:r>
      <w:r w:rsidR="00604FE9">
        <w:rPr>
          <w:color w:val="000080"/>
        </w:rPr>
        <w:t>(</w:t>
      </w:r>
      <w:r w:rsidR="00D43A3E" w:rsidRPr="000C0321">
        <w:rPr>
          <w:color w:val="000080"/>
        </w:rPr>
        <w:t>MRI</w:t>
      </w:r>
      <w:r w:rsidR="00604FE9">
        <w:rPr>
          <w:color w:val="000080"/>
        </w:rPr>
        <w:t>)</w:t>
      </w:r>
      <w:r w:rsidR="00D43A3E" w:rsidRPr="000C0321">
        <w:rPr>
          <w:color w:val="000080"/>
        </w:rPr>
        <w:t xml:space="preserve"> was obtained.  Multilevel degenerative changes ‘consistent with chronic </w:t>
      </w:r>
      <w:proofErr w:type="spellStart"/>
      <w:r w:rsidR="00D43A3E" w:rsidRPr="000C0321">
        <w:rPr>
          <w:color w:val="000080"/>
        </w:rPr>
        <w:t>discogenic</w:t>
      </w:r>
      <w:proofErr w:type="spellEnd"/>
      <w:r w:rsidR="00D43A3E" w:rsidRPr="000C0321">
        <w:rPr>
          <w:color w:val="000080"/>
        </w:rPr>
        <w:t xml:space="preserve"> pathology’ was demonstrated and he </w:t>
      </w:r>
      <w:r w:rsidR="00034772" w:rsidRPr="000C0321">
        <w:rPr>
          <w:color w:val="000080"/>
        </w:rPr>
        <w:t>was transferred</w:t>
      </w:r>
      <w:r w:rsidR="00D43A3E" w:rsidRPr="000C0321">
        <w:rPr>
          <w:color w:val="000080"/>
        </w:rPr>
        <w:t xml:space="preserve"> to </w:t>
      </w:r>
      <w:proofErr w:type="spellStart"/>
      <w:r w:rsidR="00D43A3E" w:rsidRPr="000C0321">
        <w:rPr>
          <w:color w:val="000080"/>
        </w:rPr>
        <w:t>Landstuhl</w:t>
      </w:r>
      <w:proofErr w:type="spellEnd"/>
      <w:r w:rsidR="00D43A3E" w:rsidRPr="000C0321">
        <w:rPr>
          <w:color w:val="000080"/>
        </w:rPr>
        <w:t xml:space="preserve">.  Conservative measures, including epidural injections, were unsuccessful in allowing him to return to theater and he was medically evacuated.  </w:t>
      </w:r>
      <w:r w:rsidR="00E55EEE" w:rsidRPr="000C0321">
        <w:rPr>
          <w:color w:val="000080"/>
        </w:rPr>
        <w:t xml:space="preserve">He remained on active duty Medical Hold status and was further evaluated and treated at a CONUS Hub facility.  </w:t>
      </w:r>
      <w:r w:rsidR="00F0745A" w:rsidRPr="000C0321">
        <w:rPr>
          <w:color w:val="000080"/>
        </w:rPr>
        <w:t xml:space="preserve">A lumbar MRI at that time demonstrated degenerative changes and three-level disc disease at the L2-L5 levels.  A repeat cervical MRI demonstrated degenerative changes and spinal </w:t>
      </w:r>
      <w:proofErr w:type="spellStart"/>
      <w:r w:rsidR="00F0745A" w:rsidRPr="000C0321">
        <w:rPr>
          <w:color w:val="000080"/>
        </w:rPr>
        <w:t>stenosis</w:t>
      </w:r>
      <w:proofErr w:type="spellEnd"/>
      <w:r w:rsidR="00F0745A" w:rsidRPr="000C0321">
        <w:rPr>
          <w:color w:val="000080"/>
        </w:rPr>
        <w:t xml:space="preserve"> at the C3-C7 levels (indeterminate disc abnormalities).  </w:t>
      </w:r>
      <w:r w:rsidR="00065E9F" w:rsidRPr="000C0321">
        <w:rPr>
          <w:color w:val="000080"/>
        </w:rPr>
        <w:t xml:space="preserve">There are intermittent and variable </w:t>
      </w:r>
      <w:proofErr w:type="spellStart"/>
      <w:r w:rsidR="00065E9F" w:rsidRPr="000C0321">
        <w:rPr>
          <w:color w:val="000080"/>
        </w:rPr>
        <w:t>radicular</w:t>
      </w:r>
      <w:proofErr w:type="spellEnd"/>
      <w:r w:rsidR="00065E9F" w:rsidRPr="000C0321">
        <w:rPr>
          <w:color w:val="000080"/>
        </w:rPr>
        <w:t xml:space="preserve"> symptoms in evidence, but no consistent </w:t>
      </w:r>
      <w:proofErr w:type="spellStart"/>
      <w:r w:rsidR="00065E9F" w:rsidRPr="000C0321">
        <w:rPr>
          <w:color w:val="000080"/>
        </w:rPr>
        <w:t>radiculopathy</w:t>
      </w:r>
      <w:proofErr w:type="spellEnd"/>
      <w:r w:rsidR="00065E9F" w:rsidRPr="000C0321">
        <w:rPr>
          <w:color w:val="000080"/>
        </w:rPr>
        <w:t xml:space="preserve"> or any neurological deficits on exam.  </w:t>
      </w:r>
      <w:r w:rsidR="00F0745A" w:rsidRPr="000C0321">
        <w:rPr>
          <w:color w:val="000080"/>
        </w:rPr>
        <w:t xml:space="preserve">Surgical options were discussed, but deferred.  He did not respond adequately to continued conservative measures to perform within his </w:t>
      </w:r>
      <w:r w:rsidR="00604FE9">
        <w:rPr>
          <w:color w:val="000080"/>
        </w:rPr>
        <w:t>military occupational specialty (</w:t>
      </w:r>
      <w:r w:rsidR="00F0745A" w:rsidRPr="000C0321">
        <w:rPr>
          <w:color w:val="000080"/>
        </w:rPr>
        <w:t>MOS</w:t>
      </w:r>
      <w:r w:rsidR="00604FE9">
        <w:rPr>
          <w:color w:val="000080"/>
        </w:rPr>
        <w:t>)</w:t>
      </w:r>
      <w:r w:rsidR="00F0745A" w:rsidRPr="000C0321">
        <w:rPr>
          <w:color w:val="000080"/>
        </w:rPr>
        <w:t xml:space="preserve"> or participate in the </w:t>
      </w:r>
      <w:r w:rsidR="00604FE9">
        <w:rPr>
          <w:color w:val="000080"/>
        </w:rPr>
        <w:t>Army Physical Fitness Test (</w:t>
      </w:r>
      <w:r w:rsidR="00F0745A" w:rsidRPr="000C0321">
        <w:rPr>
          <w:color w:val="000080"/>
        </w:rPr>
        <w:t>APFT</w:t>
      </w:r>
      <w:r w:rsidR="00604FE9">
        <w:rPr>
          <w:color w:val="000080"/>
        </w:rPr>
        <w:t>)</w:t>
      </w:r>
      <w:r w:rsidR="00F0745A" w:rsidRPr="000C0321">
        <w:rPr>
          <w:color w:val="000080"/>
        </w:rPr>
        <w:t xml:space="preserve">.  He was issued permanent U3 and L3 profiles and underwent a </w:t>
      </w:r>
      <w:r w:rsidR="00604FE9">
        <w:rPr>
          <w:color w:val="000080"/>
        </w:rPr>
        <w:t>Medical Evaluation Board (</w:t>
      </w:r>
      <w:r w:rsidR="00F0745A" w:rsidRPr="000C0321">
        <w:rPr>
          <w:color w:val="000080"/>
        </w:rPr>
        <w:t>MEB</w:t>
      </w:r>
      <w:r w:rsidR="00604FE9">
        <w:rPr>
          <w:color w:val="000080"/>
        </w:rPr>
        <w:t>)</w:t>
      </w:r>
      <w:r w:rsidR="00F0745A" w:rsidRPr="000C0321">
        <w:rPr>
          <w:color w:val="000080"/>
        </w:rPr>
        <w:t xml:space="preserve">.  The cervical and lumbar conditions were forwarded to the </w:t>
      </w:r>
      <w:r w:rsidR="00604FE9">
        <w:rPr>
          <w:color w:val="000080"/>
        </w:rPr>
        <w:t>Physical Evaluation Board (</w:t>
      </w:r>
      <w:r w:rsidR="00F0745A" w:rsidRPr="000C0321">
        <w:rPr>
          <w:color w:val="000080"/>
        </w:rPr>
        <w:t>PEB</w:t>
      </w:r>
      <w:r w:rsidR="00604FE9">
        <w:rPr>
          <w:color w:val="000080"/>
        </w:rPr>
        <w:t>)</w:t>
      </w:r>
      <w:r w:rsidR="00F0745A" w:rsidRPr="000C0321">
        <w:rPr>
          <w:color w:val="000080"/>
        </w:rPr>
        <w:t xml:space="preserve"> as medically unacceptable IAW AR 40-501.  </w:t>
      </w:r>
      <w:r w:rsidR="004163AB" w:rsidRPr="000C0321">
        <w:rPr>
          <w:color w:val="000080"/>
        </w:rPr>
        <w:t xml:space="preserve">Depression and </w:t>
      </w:r>
      <w:r w:rsidR="00F0745A" w:rsidRPr="000C0321">
        <w:rPr>
          <w:color w:val="000080"/>
        </w:rPr>
        <w:t>right foot condition</w:t>
      </w:r>
      <w:r w:rsidR="004163AB" w:rsidRPr="000C0321">
        <w:rPr>
          <w:color w:val="000080"/>
        </w:rPr>
        <w:t>s</w:t>
      </w:r>
      <w:r w:rsidR="00F0745A" w:rsidRPr="000C0321">
        <w:rPr>
          <w:color w:val="000080"/>
        </w:rPr>
        <w:t xml:space="preserve"> were addressed in the </w:t>
      </w:r>
      <w:r w:rsidR="00604FE9">
        <w:rPr>
          <w:color w:val="000080"/>
        </w:rPr>
        <w:t>narrative summary (</w:t>
      </w:r>
      <w:r w:rsidR="00F0745A" w:rsidRPr="000C0321">
        <w:rPr>
          <w:color w:val="000080"/>
        </w:rPr>
        <w:t>NARSUM</w:t>
      </w:r>
      <w:r w:rsidR="00604FE9">
        <w:rPr>
          <w:color w:val="000080"/>
        </w:rPr>
        <w:t>)</w:t>
      </w:r>
      <w:r w:rsidR="00F0745A" w:rsidRPr="000C0321">
        <w:rPr>
          <w:color w:val="000080"/>
        </w:rPr>
        <w:t xml:space="preserve"> and forwarded to the PEB on the DA </w:t>
      </w:r>
      <w:r w:rsidR="00604FE9">
        <w:rPr>
          <w:color w:val="000080"/>
        </w:rPr>
        <w:t xml:space="preserve">Form </w:t>
      </w:r>
      <w:r w:rsidR="00F0745A" w:rsidRPr="000C0321">
        <w:rPr>
          <w:color w:val="000080"/>
        </w:rPr>
        <w:t>3947</w:t>
      </w:r>
      <w:r w:rsidR="004163AB" w:rsidRPr="000C0321">
        <w:rPr>
          <w:color w:val="000080"/>
        </w:rPr>
        <w:t>.</w:t>
      </w:r>
      <w:r w:rsidR="00F0745A" w:rsidRPr="000C0321">
        <w:rPr>
          <w:color w:val="000080"/>
        </w:rPr>
        <w:t xml:space="preserve"> </w:t>
      </w:r>
      <w:r w:rsidR="004163AB" w:rsidRPr="000C0321">
        <w:rPr>
          <w:color w:val="000080"/>
        </w:rPr>
        <w:t xml:space="preserve"> Both were designated as within AR 40-501 standards.  </w:t>
      </w:r>
      <w:r w:rsidR="00E31457" w:rsidRPr="000C0321">
        <w:rPr>
          <w:color w:val="000080"/>
        </w:rPr>
        <w:t xml:space="preserve">Additional conditions supported in the </w:t>
      </w:r>
      <w:r w:rsidR="00604FE9">
        <w:rPr>
          <w:color w:val="000080"/>
        </w:rPr>
        <w:t>Disability Evaluation System (</w:t>
      </w:r>
      <w:r w:rsidR="00E31457" w:rsidRPr="000C0321">
        <w:rPr>
          <w:color w:val="000080"/>
        </w:rPr>
        <w:t>DES</w:t>
      </w:r>
      <w:r w:rsidR="00604FE9">
        <w:rPr>
          <w:color w:val="000080"/>
        </w:rPr>
        <w:t>)</w:t>
      </w:r>
      <w:r w:rsidR="00E31457" w:rsidRPr="000C0321">
        <w:rPr>
          <w:color w:val="000080"/>
        </w:rPr>
        <w:t xml:space="preserve"> packet are discussed below, but were not forwarded for PEB adjudication.  The PEB found the CI unfit only for the neck and back conditions, rated 10% each, and he was medically separated with a combined disability rating of 20%.</w:t>
      </w:r>
    </w:p>
    <w:p w:rsidR="00923B2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923B25" w:rsidRPr="00D91DA6" w:rsidRDefault="00923B25" w:rsidP="00875F2D">
      <w:pPr>
        <w:tabs>
          <w:tab w:val="left" w:pos="288"/>
          <w:tab w:val="left" w:pos="4752"/>
        </w:tabs>
        <w:spacing w:line="240" w:lineRule="exact"/>
        <w:jc w:val="both"/>
        <w:rPr>
          <w:color w:val="000080"/>
        </w:rPr>
      </w:pPr>
    </w:p>
    <w:p w:rsidR="003E0B5A" w:rsidRPr="000C0321" w:rsidRDefault="002C6E5B" w:rsidP="000C0321">
      <w:pPr>
        <w:tabs>
          <w:tab w:val="left" w:pos="288"/>
          <w:tab w:val="left" w:pos="4752"/>
        </w:tabs>
        <w:spacing w:line="240" w:lineRule="exact"/>
        <w:jc w:val="both"/>
        <w:rPr>
          <w:color w:val="000080"/>
        </w:rPr>
      </w:pPr>
      <w:r w:rsidRPr="000C0321">
        <w:rPr>
          <w:color w:val="000080"/>
          <w:u w:val="single"/>
        </w:rPr>
        <w:t>CI CONTENTION</w:t>
      </w:r>
      <w:r w:rsidRPr="000C0321">
        <w:rPr>
          <w:color w:val="000080"/>
        </w:rPr>
        <w:t>:  The CI states:</w:t>
      </w:r>
      <w:r w:rsidR="00C932C5" w:rsidRPr="000C0321">
        <w:rPr>
          <w:color w:val="000080"/>
        </w:rPr>
        <w:t xml:space="preserve"> ‘</w:t>
      </w:r>
      <w:r w:rsidR="00E31457" w:rsidRPr="000C0321">
        <w:rPr>
          <w:color w:val="000080"/>
        </w:rPr>
        <w:t>I was given a 30% Disability Rating from the VA for my unfitting conditions. I would like the PDBR to change the c</w:t>
      </w:r>
      <w:r w:rsidR="00EB012A">
        <w:rPr>
          <w:color w:val="000080"/>
        </w:rPr>
        <w:t>urrent 20% to 30% and consider t</w:t>
      </w:r>
      <w:r w:rsidR="00E31457" w:rsidRPr="000C0321">
        <w:rPr>
          <w:color w:val="000080"/>
        </w:rPr>
        <w:t xml:space="preserve">he </w:t>
      </w:r>
      <w:r w:rsidR="00EB012A">
        <w:rPr>
          <w:color w:val="000080"/>
        </w:rPr>
        <w:t>Veterans Administration Schedule for Rating Disabilities (</w:t>
      </w:r>
      <w:r w:rsidR="00E31457" w:rsidRPr="000C0321">
        <w:rPr>
          <w:color w:val="000080"/>
        </w:rPr>
        <w:t>VASRD</w:t>
      </w:r>
      <w:r w:rsidR="00EB012A">
        <w:rPr>
          <w:color w:val="000080"/>
        </w:rPr>
        <w:t>)</w:t>
      </w:r>
      <w:r w:rsidR="00E31457" w:rsidRPr="000C0321">
        <w:rPr>
          <w:color w:val="000080"/>
        </w:rPr>
        <w:t xml:space="preserve"> that the VA uses for disability ratings given to veterans. I do not feel </w:t>
      </w:r>
      <w:r w:rsidR="00E31457" w:rsidRPr="000C0321">
        <w:rPr>
          <w:color w:val="000080"/>
        </w:rPr>
        <w:lastRenderedPageBreak/>
        <w:t>that I received any compensation for my injuries in IRAQ.</w:t>
      </w:r>
      <w:r w:rsidR="00C932C5" w:rsidRPr="000C0321">
        <w:rPr>
          <w:color w:val="000080"/>
        </w:rPr>
        <w:t>’</w:t>
      </w:r>
      <w:r w:rsidR="00E31457" w:rsidRPr="000C0321">
        <w:rPr>
          <w:color w:val="000080"/>
        </w:rPr>
        <w:t xml:space="preserve">  </w:t>
      </w:r>
      <w:r w:rsidR="003E0B5A" w:rsidRPr="000C0321">
        <w:rPr>
          <w:color w:val="000080"/>
        </w:rPr>
        <w:t>He notes his other VA-rated conditions on the application, but does not specifically contend for service ratings for them.</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1C181A" w:rsidRDefault="001C181A" w:rsidP="00875F2D">
      <w:pPr>
        <w:tabs>
          <w:tab w:val="left" w:pos="288"/>
          <w:tab w:val="left" w:pos="4752"/>
        </w:tabs>
        <w:spacing w:line="240" w:lineRule="exact"/>
        <w:jc w:val="both"/>
        <w:rPr>
          <w:color w:val="000080"/>
        </w:rPr>
      </w:pPr>
    </w:p>
    <w:p w:rsidR="002338CA" w:rsidRPr="000C0321" w:rsidRDefault="002C6E5B" w:rsidP="000C0321">
      <w:pPr>
        <w:tabs>
          <w:tab w:val="left" w:pos="288"/>
          <w:tab w:val="left" w:pos="4752"/>
        </w:tabs>
        <w:spacing w:line="240" w:lineRule="exact"/>
        <w:jc w:val="both"/>
        <w:rPr>
          <w:color w:val="000080"/>
        </w:rPr>
      </w:pPr>
      <w:r w:rsidRPr="000C0321">
        <w:rPr>
          <w:color w:val="000080"/>
          <w:u w:val="single"/>
        </w:rPr>
        <w:t>RATING COMPARISON</w:t>
      </w:r>
      <w:r w:rsidRPr="000C0321">
        <w:rPr>
          <w:color w:val="000080"/>
        </w:rPr>
        <w:t>:</w:t>
      </w:r>
    </w:p>
    <w:p w:rsidR="00F82981" w:rsidRDefault="00F82981" w:rsidP="00875F2D">
      <w:pPr>
        <w:tabs>
          <w:tab w:val="left" w:pos="288"/>
          <w:tab w:val="left" w:pos="4752"/>
        </w:tabs>
        <w:spacing w:line="240" w:lineRule="exact"/>
        <w:jc w:val="both"/>
        <w:rPr>
          <w:color w:val="000080"/>
        </w:rPr>
      </w:pPr>
    </w:p>
    <w:tbl>
      <w:tblPr>
        <w:tblStyle w:val="TableGrid"/>
        <w:tblW w:w="9270" w:type="dxa"/>
        <w:tblInd w:w="108" w:type="dxa"/>
        <w:tblLayout w:type="fixed"/>
        <w:tblLook w:val="04A0"/>
      </w:tblPr>
      <w:tblGrid>
        <w:gridCol w:w="2160"/>
        <w:gridCol w:w="1080"/>
        <w:gridCol w:w="810"/>
        <w:gridCol w:w="2331"/>
        <w:gridCol w:w="9"/>
        <w:gridCol w:w="360"/>
        <w:gridCol w:w="720"/>
        <w:gridCol w:w="810"/>
        <w:gridCol w:w="990"/>
      </w:tblGrid>
      <w:tr w:rsidR="00684E2B" w:rsidRPr="002A685E" w:rsidTr="001008C1">
        <w:trPr>
          <w:trHeight w:val="233"/>
        </w:trPr>
        <w:tc>
          <w:tcPr>
            <w:tcW w:w="4050" w:type="dxa"/>
            <w:gridSpan w:val="3"/>
            <w:tcBorders>
              <w:right w:val="thinThickThinSmallGap" w:sz="24" w:space="0" w:color="auto"/>
            </w:tcBorders>
            <w:shd w:val="clear" w:color="auto" w:fill="C6D9F1" w:themeFill="text2" w:themeFillTint="33"/>
          </w:tcPr>
          <w:p w:rsidR="00684E2B" w:rsidRPr="002A685E" w:rsidRDefault="00684E2B" w:rsidP="00E94F3F">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Service PEB</w:t>
            </w:r>
            <w:r w:rsidR="002B2645" w:rsidRPr="002A685E">
              <w:rPr>
                <w:rFonts w:cs="Times New Roman"/>
                <w:b/>
                <w:color w:val="002060"/>
                <w:sz w:val="20"/>
                <w:szCs w:val="20"/>
              </w:rPr>
              <w:t xml:space="preserve"> – Dated </w:t>
            </w:r>
            <w:r w:rsidR="00E94F3F">
              <w:rPr>
                <w:rFonts w:cs="Times New Roman"/>
                <w:b/>
                <w:color w:val="002060"/>
                <w:sz w:val="20"/>
                <w:szCs w:val="20"/>
              </w:rPr>
              <w:t>20070614</w:t>
            </w:r>
          </w:p>
        </w:tc>
        <w:tc>
          <w:tcPr>
            <w:tcW w:w="5220" w:type="dxa"/>
            <w:gridSpan w:val="6"/>
            <w:tcBorders>
              <w:left w:val="thinThickThinSmallGap" w:sz="24" w:space="0" w:color="auto"/>
            </w:tcBorders>
            <w:shd w:val="clear" w:color="auto" w:fill="C6D9F1" w:themeFill="text2" w:themeFillTint="33"/>
          </w:tcPr>
          <w:p w:rsidR="00684E2B" w:rsidRPr="002A685E" w:rsidRDefault="00684E2B" w:rsidP="00E94F3F">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VA (</w:t>
            </w:r>
            <w:r w:rsidR="00E94F3F">
              <w:rPr>
                <w:rFonts w:cs="Times New Roman"/>
                <w:b/>
                <w:color w:val="002060"/>
                <w:sz w:val="20"/>
                <w:szCs w:val="20"/>
              </w:rPr>
              <w:t>Pre-</w:t>
            </w:r>
            <w:r w:rsidRPr="002A685E">
              <w:rPr>
                <w:rFonts w:cs="Times New Roman"/>
                <w:b/>
                <w:color w:val="002060"/>
                <w:sz w:val="20"/>
                <w:szCs w:val="20"/>
              </w:rPr>
              <w:t>Separation)</w:t>
            </w:r>
            <w:r w:rsidR="000C3C13" w:rsidRPr="002A685E">
              <w:rPr>
                <w:rFonts w:cs="Times New Roman"/>
                <w:b/>
                <w:color w:val="002060"/>
                <w:sz w:val="20"/>
                <w:szCs w:val="20"/>
              </w:rPr>
              <w:t xml:space="preserve"> – All Effective </w:t>
            </w:r>
            <w:r w:rsidR="00857A77">
              <w:rPr>
                <w:rFonts w:cs="Times New Roman"/>
                <w:b/>
                <w:color w:val="002060"/>
                <w:sz w:val="20"/>
                <w:szCs w:val="20"/>
              </w:rPr>
              <w:t>20070707</w:t>
            </w:r>
          </w:p>
        </w:tc>
      </w:tr>
      <w:tr w:rsidR="002B2645" w:rsidRPr="002A685E" w:rsidTr="00050258">
        <w:trPr>
          <w:trHeight w:val="233"/>
        </w:trPr>
        <w:tc>
          <w:tcPr>
            <w:tcW w:w="2160" w:type="dxa"/>
            <w:tcBorders>
              <w:bottom w:val="single" w:sz="4" w:space="0" w:color="000000" w:themeColor="text1"/>
            </w:tcBorders>
            <w:shd w:val="clear" w:color="auto" w:fill="C6D9F1" w:themeFill="text2" w:themeFillTint="33"/>
          </w:tcPr>
          <w:p w:rsidR="002B2645" w:rsidRPr="002A685E" w:rsidRDefault="002B2645" w:rsidP="00C656C7">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Condition</w:t>
            </w:r>
          </w:p>
        </w:tc>
        <w:tc>
          <w:tcPr>
            <w:tcW w:w="1080" w:type="dxa"/>
            <w:tcBorders>
              <w:bottom w:val="single" w:sz="4" w:space="0" w:color="000000" w:themeColor="text1"/>
            </w:tcBorders>
            <w:shd w:val="clear" w:color="auto" w:fill="C6D9F1" w:themeFill="text2" w:themeFillTint="33"/>
          </w:tcPr>
          <w:p w:rsidR="002B2645" w:rsidRPr="002A685E" w:rsidRDefault="002B2645" w:rsidP="00C656C7">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Code</w:t>
            </w:r>
          </w:p>
        </w:tc>
        <w:tc>
          <w:tcPr>
            <w:tcW w:w="810" w:type="dxa"/>
            <w:tcBorders>
              <w:bottom w:val="single" w:sz="4" w:space="0" w:color="000000" w:themeColor="text1"/>
              <w:right w:val="thinThickThinSmallGap" w:sz="24" w:space="0" w:color="auto"/>
            </w:tcBorders>
            <w:shd w:val="clear" w:color="auto" w:fill="C6D9F1" w:themeFill="text2" w:themeFillTint="33"/>
          </w:tcPr>
          <w:p w:rsidR="002B2645" w:rsidRPr="002A685E" w:rsidRDefault="002B2645" w:rsidP="00C656C7">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Rating</w:t>
            </w:r>
          </w:p>
        </w:tc>
        <w:tc>
          <w:tcPr>
            <w:tcW w:w="2700" w:type="dxa"/>
            <w:gridSpan w:val="3"/>
            <w:tcBorders>
              <w:left w:val="thinThickThinSmallGap" w:sz="24" w:space="0" w:color="auto"/>
              <w:bottom w:val="single" w:sz="4" w:space="0" w:color="000000" w:themeColor="text1"/>
            </w:tcBorders>
            <w:shd w:val="clear" w:color="auto" w:fill="C6D9F1" w:themeFill="text2" w:themeFillTint="33"/>
          </w:tcPr>
          <w:p w:rsidR="002B2645" w:rsidRPr="002A685E" w:rsidRDefault="002B2645" w:rsidP="00C656C7">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Condition</w:t>
            </w:r>
          </w:p>
        </w:tc>
        <w:tc>
          <w:tcPr>
            <w:tcW w:w="720" w:type="dxa"/>
            <w:tcBorders>
              <w:bottom w:val="single" w:sz="4" w:space="0" w:color="000000" w:themeColor="text1"/>
            </w:tcBorders>
            <w:shd w:val="clear" w:color="auto" w:fill="C6D9F1" w:themeFill="text2" w:themeFillTint="33"/>
          </w:tcPr>
          <w:p w:rsidR="002B2645" w:rsidRPr="002A685E" w:rsidRDefault="002B2645" w:rsidP="00C656C7">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Code</w:t>
            </w:r>
          </w:p>
        </w:tc>
        <w:tc>
          <w:tcPr>
            <w:tcW w:w="810" w:type="dxa"/>
            <w:tcBorders>
              <w:bottom w:val="single" w:sz="4" w:space="0" w:color="000000" w:themeColor="text1"/>
            </w:tcBorders>
            <w:shd w:val="clear" w:color="auto" w:fill="C6D9F1" w:themeFill="text2" w:themeFillTint="33"/>
          </w:tcPr>
          <w:p w:rsidR="002B2645" w:rsidRPr="002A685E" w:rsidRDefault="002B2645" w:rsidP="00C656C7">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Rating</w:t>
            </w:r>
          </w:p>
        </w:tc>
        <w:tc>
          <w:tcPr>
            <w:tcW w:w="990" w:type="dxa"/>
            <w:tcBorders>
              <w:bottom w:val="single" w:sz="4" w:space="0" w:color="000000" w:themeColor="text1"/>
            </w:tcBorders>
            <w:shd w:val="clear" w:color="auto" w:fill="C6D9F1" w:themeFill="text2" w:themeFillTint="33"/>
          </w:tcPr>
          <w:p w:rsidR="002B2645" w:rsidRPr="002A685E" w:rsidRDefault="002B2645" w:rsidP="00C656C7">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Exam</w:t>
            </w:r>
          </w:p>
        </w:tc>
      </w:tr>
      <w:tr w:rsidR="00857A77" w:rsidRPr="002A685E" w:rsidTr="00050258">
        <w:trPr>
          <w:trHeight w:val="152"/>
        </w:trPr>
        <w:tc>
          <w:tcPr>
            <w:tcW w:w="2160" w:type="dxa"/>
            <w:shd w:val="clear" w:color="auto" w:fill="FFFFFF" w:themeFill="background1"/>
          </w:tcPr>
          <w:p w:rsidR="00857A77" w:rsidRPr="00FD0AA0" w:rsidRDefault="00857A77" w:rsidP="00E94F3F">
            <w:pPr>
              <w:pStyle w:val="ListParagraph"/>
              <w:spacing w:after="0" w:line="240" w:lineRule="auto"/>
              <w:ind w:left="0"/>
              <w:rPr>
                <w:rFonts w:cs="Times New Roman"/>
                <w:color w:val="002060"/>
                <w:sz w:val="18"/>
                <w:szCs w:val="18"/>
              </w:rPr>
            </w:pPr>
            <w:r w:rsidRPr="00E94F3F">
              <w:rPr>
                <w:rFonts w:cs="Times New Roman"/>
                <w:color w:val="002060"/>
                <w:sz w:val="18"/>
                <w:szCs w:val="18"/>
              </w:rPr>
              <w:t>Chronic Neck Pain…</w:t>
            </w:r>
          </w:p>
        </w:tc>
        <w:tc>
          <w:tcPr>
            <w:tcW w:w="1080" w:type="dxa"/>
            <w:shd w:val="clear" w:color="auto" w:fill="FFFFFF" w:themeFill="background1"/>
          </w:tcPr>
          <w:p w:rsidR="00857A77" w:rsidRPr="00E94F3F" w:rsidRDefault="00857A77" w:rsidP="00E94F3F">
            <w:pPr>
              <w:pStyle w:val="ListParagraph"/>
              <w:spacing w:after="0" w:line="240" w:lineRule="auto"/>
              <w:ind w:left="0"/>
              <w:jc w:val="center"/>
              <w:rPr>
                <w:rFonts w:cs="Times New Roman"/>
                <w:color w:val="002060"/>
                <w:sz w:val="18"/>
                <w:szCs w:val="18"/>
              </w:rPr>
            </w:pPr>
            <w:r w:rsidRPr="00E94F3F">
              <w:rPr>
                <w:rFonts w:cs="Times New Roman"/>
                <w:color w:val="002060"/>
                <w:sz w:val="18"/>
                <w:szCs w:val="18"/>
              </w:rPr>
              <w:t>5299-5237</w:t>
            </w:r>
          </w:p>
        </w:tc>
        <w:tc>
          <w:tcPr>
            <w:tcW w:w="810" w:type="dxa"/>
            <w:tcBorders>
              <w:right w:val="thinThickThinSmallGap" w:sz="24" w:space="0" w:color="auto"/>
            </w:tcBorders>
            <w:shd w:val="clear" w:color="auto" w:fill="FFFFFF" w:themeFill="background1"/>
          </w:tcPr>
          <w:p w:rsidR="00857A77" w:rsidRPr="00E94F3F" w:rsidRDefault="00857A77" w:rsidP="00E94F3F">
            <w:pPr>
              <w:pStyle w:val="ListParagraph"/>
              <w:spacing w:after="0" w:line="240" w:lineRule="auto"/>
              <w:ind w:left="0"/>
              <w:jc w:val="center"/>
              <w:rPr>
                <w:rFonts w:cs="Times New Roman"/>
                <w:color w:val="002060"/>
                <w:sz w:val="18"/>
                <w:szCs w:val="18"/>
              </w:rPr>
            </w:pPr>
            <w:r w:rsidRPr="00E94F3F">
              <w:rPr>
                <w:rFonts w:cs="Times New Roman"/>
                <w:color w:val="002060"/>
                <w:sz w:val="18"/>
                <w:szCs w:val="18"/>
              </w:rPr>
              <w:t>10%</w:t>
            </w:r>
          </w:p>
        </w:tc>
        <w:tc>
          <w:tcPr>
            <w:tcW w:w="2700" w:type="dxa"/>
            <w:gridSpan w:val="3"/>
            <w:tcBorders>
              <w:left w:val="thinThickThinSmallGap" w:sz="24" w:space="0" w:color="auto"/>
            </w:tcBorders>
            <w:shd w:val="clear" w:color="auto" w:fill="FFFFFF" w:themeFill="background1"/>
          </w:tcPr>
          <w:p w:rsidR="00857A77" w:rsidRPr="00FD0AA0" w:rsidRDefault="00857A77" w:rsidP="00E94F3F">
            <w:pPr>
              <w:pStyle w:val="ListParagraph"/>
              <w:spacing w:after="0" w:line="240" w:lineRule="auto"/>
              <w:ind w:left="0"/>
              <w:rPr>
                <w:rFonts w:cs="Times New Roman"/>
                <w:color w:val="002060"/>
                <w:sz w:val="18"/>
                <w:szCs w:val="18"/>
              </w:rPr>
            </w:pPr>
            <w:proofErr w:type="spellStart"/>
            <w:r>
              <w:rPr>
                <w:rFonts w:cs="Times New Roman"/>
                <w:color w:val="002060"/>
                <w:sz w:val="18"/>
                <w:szCs w:val="18"/>
              </w:rPr>
              <w:t>Degen</w:t>
            </w:r>
            <w:proofErr w:type="spellEnd"/>
            <w:r>
              <w:rPr>
                <w:rFonts w:cs="Times New Roman"/>
                <w:color w:val="002060"/>
                <w:sz w:val="18"/>
                <w:szCs w:val="18"/>
              </w:rPr>
              <w:t>. Arthritis, Cervical</w:t>
            </w:r>
          </w:p>
        </w:tc>
        <w:tc>
          <w:tcPr>
            <w:tcW w:w="720" w:type="dxa"/>
            <w:shd w:val="clear" w:color="auto" w:fill="FFFFFF" w:themeFill="background1"/>
          </w:tcPr>
          <w:p w:rsidR="00857A77" w:rsidRPr="00FD0AA0" w:rsidRDefault="00857A77" w:rsidP="00E94F3F">
            <w:pPr>
              <w:pStyle w:val="ListParagraph"/>
              <w:spacing w:after="0" w:line="240" w:lineRule="auto"/>
              <w:ind w:left="0"/>
              <w:jc w:val="center"/>
              <w:rPr>
                <w:rFonts w:cs="Times New Roman"/>
                <w:color w:val="002060"/>
                <w:sz w:val="18"/>
                <w:szCs w:val="18"/>
              </w:rPr>
            </w:pPr>
            <w:r>
              <w:rPr>
                <w:rFonts w:cs="Times New Roman"/>
                <w:color w:val="002060"/>
                <w:sz w:val="18"/>
                <w:szCs w:val="18"/>
              </w:rPr>
              <w:t>5242</w:t>
            </w:r>
          </w:p>
        </w:tc>
        <w:tc>
          <w:tcPr>
            <w:tcW w:w="810" w:type="dxa"/>
            <w:shd w:val="clear" w:color="auto" w:fill="FFFFFF" w:themeFill="background1"/>
          </w:tcPr>
          <w:p w:rsidR="00857A77" w:rsidRPr="00FD0AA0" w:rsidRDefault="00857A77" w:rsidP="00E94F3F">
            <w:pPr>
              <w:pStyle w:val="ListParagraph"/>
              <w:spacing w:after="0" w:line="240" w:lineRule="auto"/>
              <w:ind w:left="0"/>
              <w:jc w:val="center"/>
              <w:rPr>
                <w:rFonts w:cs="Times New Roman"/>
                <w:color w:val="002060"/>
                <w:sz w:val="18"/>
                <w:szCs w:val="18"/>
              </w:rPr>
            </w:pPr>
            <w:r>
              <w:rPr>
                <w:rFonts w:cs="Times New Roman"/>
                <w:color w:val="002060"/>
                <w:sz w:val="18"/>
                <w:szCs w:val="18"/>
              </w:rPr>
              <w:t>10%</w:t>
            </w:r>
          </w:p>
        </w:tc>
        <w:tc>
          <w:tcPr>
            <w:tcW w:w="990" w:type="dxa"/>
            <w:shd w:val="clear" w:color="auto" w:fill="FFFFFF" w:themeFill="background1"/>
          </w:tcPr>
          <w:p w:rsidR="00857A77" w:rsidRPr="00FD0AA0" w:rsidRDefault="00050258" w:rsidP="00E94F3F">
            <w:pPr>
              <w:pStyle w:val="ListParagraph"/>
              <w:spacing w:after="0" w:line="240" w:lineRule="auto"/>
              <w:ind w:left="0"/>
              <w:jc w:val="center"/>
              <w:rPr>
                <w:rFonts w:cs="Times New Roman"/>
                <w:color w:val="002060"/>
                <w:sz w:val="18"/>
                <w:szCs w:val="18"/>
              </w:rPr>
            </w:pPr>
            <w:r>
              <w:rPr>
                <w:rFonts w:cs="Times New Roman"/>
                <w:color w:val="002060"/>
                <w:sz w:val="18"/>
                <w:szCs w:val="18"/>
              </w:rPr>
              <w:t>200705</w:t>
            </w:r>
            <w:r w:rsidR="00857A77">
              <w:rPr>
                <w:rFonts w:cs="Times New Roman"/>
                <w:color w:val="002060"/>
                <w:sz w:val="18"/>
                <w:szCs w:val="18"/>
              </w:rPr>
              <w:t>09</w:t>
            </w:r>
          </w:p>
        </w:tc>
      </w:tr>
      <w:tr w:rsidR="00E94F3F" w:rsidRPr="002A685E" w:rsidTr="00E94F3F">
        <w:trPr>
          <w:trHeight w:val="125"/>
        </w:trPr>
        <w:tc>
          <w:tcPr>
            <w:tcW w:w="2160" w:type="dxa"/>
            <w:shd w:val="clear" w:color="auto" w:fill="FFFFFF" w:themeFill="background1"/>
          </w:tcPr>
          <w:p w:rsidR="00E94F3F" w:rsidRPr="00FD0AA0" w:rsidRDefault="00E94F3F" w:rsidP="00E94F3F">
            <w:pPr>
              <w:pStyle w:val="ListParagraph"/>
              <w:spacing w:after="0" w:line="240" w:lineRule="auto"/>
              <w:ind w:left="0"/>
              <w:rPr>
                <w:rFonts w:cs="Times New Roman"/>
                <w:color w:val="002060"/>
                <w:sz w:val="18"/>
                <w:szCs w:val="18"/>
              </w:rPr>
            </w:pPr>
            <w:r>
              <w:rPr>
                <w:rFonts w:cs="Times New Roman"/>
                <w:color w:val="002060"/>
                <w:sz w:val="18"/>
                <w:szCs w:val="18"/>
              </w:rPr>
              <w:t>Low Back Pain…</w:t>
            </w:r>
          </w:p>
        </w:tc>
        <w:tc>
          <w:tcPr>
            <w:tcW w:w="1080" w:type="dxa"/>
            <w:shd w:val="clear" w:color="auto" w:fill="FFFFFF" w:themeFill="background1"/>
          </w:tcPr>
          <w:p w:rsidR="00E94F3F" w:rsidRPr="00E94F3F" w:rsidRDefault="00E94F3F" w:rsidP="00E94F3F">
            <w:pPr>
              <w:pStyle w:val="ListParagraph"/>
              <w:spacing w:after="0" w:line="240" w:lineRule="auto"/>
              <w:ind w:left="0"/>
              <w:jc w:val="center"/>
              <w:rPr>
                <w:rFonts w:cs="Times New Roman"/>
                <w:color w:val="002060"/>
                <w:sz w:val="18"/>
                <w:szCs w:val="18"/>
              </w:rPr>
            </w:pPr>
            <w:r w:rsidRPr="00E94F3F">
              <w:rPr>
                <w:rFonts w:cs="Times New Roman"/>
                <w:color w:val="002060"/>
                <w:sz w:val="18"/>
                <w:szCs w:val="18"/>
              </w:rPr>
              <w:t>5299-5237</w:t>
            </w:r>
          </w:p>
        </w:tc>
        <w:tc>
          <w:tcPr>
            <w:tcW w:w="810" w:type="dxa"/>
            <w:tcBorders>
              <w:right w:val="thinThickThinSmallGap" w:sz="24" w:space="0" w:color="auto"/>
            </w:tcBorders>
            <w:shd w:val="clear" w:color="auto" w:fill="FFFFFF" w:themeFill="background1"/>
          </w:tcPr>
          <w:p w:rsidR="00E94F3F" w:rsidRPr="00E94F3F" w:rsidRDefault="00E94F3F" w:rsidP="00E94F3F">
            <w:pPr>
              <w:pStyle w:val="ListParagraph"/>
              <w:spacing w:after="0" w:line="240" w:lineRule="auto"/>
              <w:ind w:left="0"/>
              <w:jc w:val="center"/>
              <w:rPr>
                <w:rFonts w:cs="Times New Roman"/>
                <w:color w:val="002060"/>
                <w:sz w:val="18"/>
                <w:szCs w:val="18"/>
              </w:rPr>
            </w:pPr>
            <w:r w:rsidRPr="00E94F3F">
              <w:rPr>
                <w:rFonts w:cs="Times New Roman"/>
                <w:color w:val="002060"/>
                <w:sz w:val="18"/>
                <w:szCs w:val="18"/>
              </w:rPr>
              <w:t>10%</w:t>
            </w:r>
          </w:p>
        </w:tc>
        <w:tc>
          <w:tcPr>
            <w:tcW w:w="2340" w:type="dxa"/>
            <w:gridSpan w:val="2"/>
            <w:tcBorders>
              <w:left w:val="thinThickThinSmallGap" w:sz="24" w:space="0" w:color="auto"/>
              <w:right w:val="single" w:sz="4" w:space="0" w:color="auto"/>
            </w:tcBorders>
            <w:shd w:val="clear" w:color="auto" w:fill="FFFFFF" w:themeFill="background1"/>
          </w:tcPr>
          <w:p w:rsidR="00E94F3F" w:rsidRPr="00FD0AA0" w:rsidRDefault="00E94F3F" w:rsidP="00E94F3F">
            <w:pPr>
              <w:pStyle w:val="ListParagraph"/>
              <w:spacing w:after="0" w:line="240" w:lineRule="auto"/>
              <w:ind w:left="0"/>
              <w:rPr>
                <w:rFonts w:cs="Times New Roman"/>
                <w:color w:val="002060"/>
                <w:sz w:val="18"/>
                <w:szCs w:val="18"/>
              </w:rPr>
            </w:pPr>
            <w:r>
              <w:rPr>
                <w:rFonts w:cs="Times New Roman"/>
                <w:color w:val="002060"/>
                <w:sz w:val="18"/>
                <w:szCs w:val="18"/>
              </w:rPr>
              <w:t xml:space="preserve">Bulging Disc, </w:t>
            </w:r>
            <w:proofErr w:type="spellStart"/>
            <w:r>
              <w:rPr>
                <w:rFonts w:cs="Times New Roman"/>
                <w:color w:val="002060"/>
                <w:sz w:val="18"/>
                <w:szCs w:val="18"/>
              </w:rPr>
              <w:t>Thoracolumbar</w:t>
            </w:r>
            <w:proofErr w:type="spellEnd"/>
          </w:p>
        </w:tc>
        <w:tc>
          <w:tcPr>
            <w:tcW w:w="1080" w:type="dxa"/>
            <w:gridSpan w:val="2"/>
            <w:tcBorders>
              <w:left w:val="single" w:sz="4" w:space="0" w:color="auto"/>
            </w:tcBorders>
            <w:shd w:val="clear" w:color="auto" w:fill="FFFFFF" w:themeFill="background1"/>
          </w:tcPr>
          <w:p w:rsidR="00E94F3F" w:rsidRPr="00FD0AA0" w:rsidRDefault="00E94F3F" w:rsidP="00E94F3F">
            <w:pPr>
              <w:pStyle w:val="ListParagraph"/>
              <w:spacing w:after="0" w:line="240" w:lineRule="auto"/>
              <w:ind w:left="0"/>
              <w:jc w:val="center"/>
              <w:rPr>
                <w:rFonts w:cs="Times New Roman"/>
                <w:color w:val="002060"/>
                <w:sz w:val="18"/>
                <w:szCs w:val="18"/>
              </w:rPr>
            </w:pPr>
            <w:r>
              <w:rPr>
                <w:rFonts w:cs="Times New Roman"/>
                <w:color w:val="002060"/>
                <w:sz w:val="18"/>
                <w:szCs w:val="18"/>
              </w:rPr>
              <w:t>5299-5242</w:t>
            </w:r>
          </w:p>
        </w:tc>
        <w:tc>
          <w:tcPr>
            <w:tcW w:w="810" w:type="dxa"/>
            <w:shd w:val="clear" w:color="auto" w:fill="FFFFFF" w:themeFill="background1"/>
          </w:tcPr>
          <w:p w:rsidR="00E94F3F" w:rsidRPr="00FD0AA0" w:rsidRDefault="00E94F3F" w:rsidP="00E94F3F">
            <w:pPr>
              <w:pStyle w:val="ListParagraph"/>
              <w:spacing w:after="0" w:line="240" w:lineRule="auto"/>
              <w:ind w:left="0"/>
              <w:jc w:val="center"/>
              <w:rPr>
                <w:rFonts w:cs="Times New Roman"/>
                <w:color w:val="002060"/>
                <w:sz w:val="18"/>
                <w:szCs w:val="18"/>
              </w:rPr>
            </w:pPr>
            <w:r>
              <w:rPr>
                <w:rFonts w:cs="Times New Roman"/>
                <w:color w:val="002060"/>
                <w:sz w:val="18"/>
                <w:szCs w:val="18"/>
              </w:rPr>
              <w:t>20%</w:t>
            </w:r>
          </w:p>
        </w:tc>
        <w:tc>
          <w:tcPr>
            <w:tcW w:w="990" w:type="dxa"/>
            <w:shd w:val="clear" w:color="auto" w:fill="FFFFFF" w:themeFill="background1"/>
          </w:tcPr>
          <w:p w:rsidR="00E94F3F" w:rsidRPr="00FD0AA0" w:rsidRDefault="00E94F3F" w:rsidP="00E94F3F">
            <w:pPr>
              <w:pStyle w:val="ListParagraph"/>
              <w:spacing w:after="0" w:line="240" w:lineRule="auto"/>
              <w:ind w:left="0"/>
              <w:jc w:val="center"/>
              <w:rPr>
                <w:rFonts w:cs="Times New Roman"/>
                <w:color w:val="002060"/>
                <w:sz w:val="18"/>
                <w:szCs w:val="18"/>
              </w:rPr>
            </w:pPr>
            <w:r>
              <w:rPr>
                <w:rFonts w:cs="Times New Roman"/>
                <w:color w:val="002060"/>
                <w:sz w:val="18"/>
                <w:szCs w:val="18"/>
              </w:rPr>
              <w:t>20070509</w:t>
            </w:r>
          </w:p>
        </w:tc>
      </w:tr>
      <w:tr w:rsidR="00050258" w:rsidRPr="002A685E" w:rsidTr="00050258">
        <w:trPr>
          <w:trHeight w:val="188"/>
        </w:trPr>
        <w:tc>
          <w:tcPr>
            <w:tcW w:w="2160" w:type="dxa"/>
            <w:shd w:val="clear" w:color="auto" w:fill="FFFFFF" w:themeFill="background1"/>
          </w:tcPr>
          <w:p w:rsidR="00050258" w:rsidRPr="00E94F3F" w:rsidRDefault="00050258" w:rsidP="00E94F3F">
            <w:pPr>
              <w:pStyle w:val="ListParagraph"/>
              <w:spacing w:after="0" w:line="240" w:lineRule="auto"/>
              <w:ind w:left="0"/>
              <w:rPr>
                <w:rFonts w:cs="Times New Roman"/>
                <w:color w:val="002060"/>
                <w:sz w:val="18"/>
                <w:szCs w:val="18"/>
              </w:rPr>
            </w:pPr>
            <w:r w:rsidRPr="00E94F3F">
              <w:rPr>
                <w:rFonts w:cs="Times New Roman"/>
                <w:color w:val="002060"/>
                <w:sz w:val="18"/>
                <w:szCs w:val="18"/>
              </w:rPr>
              <w:t xml:space="preserve">Depression </w:t>
            </w:r>
          </w:p>
        </w:tc>
        <w:tc>
          <w:tcPr>
            <w:tcW w:w="1890" w:type="dxa"/>
            <w:gridSpan w:val="2"/>
            <w:tcBorders>
              <w:right w:val="thinThickThinSmallGap" w:sz="24" w:space="0" w:color="auto"/>
            </w:tcBorders>
            <w:shd w:val="clear" w:color="auto" w:fill="FFFFFF" w:themeFill="background1"/>
          </w:tcPr>
          <w:p w:rsidR="00050258" w:rsidRPr="00FD0AA0" w:rsidRDefault="00050258" w:rsidP="00E94F3F">
            <w:pPr>
              <w:pStyle w:val="ListParagraph"/>
              <w:spacing w:after="0" w:line="240" w:lineRule="auto"/>
              <w:ind w:left="0"/>
              <w:jc w:val="center"/>
              <w:rPr>
                <w:rFonts w:cs="Times New Roman"/>
                <w:color w:val="002060"/>
                <w:sz w:val="18"/>
                <w:szCs w:val="18"/>
              </w:rPr>
            </w:pPr>
            <w:r w:rsidRPr="00FD0AA0">
              <w:rPr>
                <w:rFonts w:cs="Times New Roman"/>
                <w:color w:val="002060"/>
                <w:sz w:val="18"/>
                <w:szCs w:val="18"/>
              </w:rPr>
              <w:t>Not Unfitting</w:t>
            </w:r>
          </w:p>
        </w:tc>
        <w:tc>
          <w:tcPr>
            <w:tcW w:w="2700" w:type="dxa"/>
            <w:gridSpan w:val="3"/>
            <w:tcBorders>
              <w:left w:val="thinThickThinSmallGap" w:sz="24" w:space="0" w:color="auto"/>
            </w:tcBorders>
            <w:shd w:val="clear" w:color="auto" w:fill="FFFFFF" w:themeFill="background1"/>
          </w:tcPr>
          <w:p w:rsidR="00050258" w:rsidRPr="00E94F3F" w:rsidRDefault="00050258" w:rsidP="00E94F3F">
            <w:pPr>
              <w:pStyle w:val="ListParagraph"/>
              <w:spacing w:after="0" w:line="240" w:lineRule="auto"/>
              <w:ind w:left="0"/>
              <w:rPr>
                <w:rFonts w:cs="Times New Roman"/>
                <w:color w:val="002060"/>
                <w:sz w:val="18"/>
                <w:szCs w:val="18"/>
              </w:rPr>
            </w:pPr>
            <w:r w:rsidRPr="00E94F3F">
              <w:rPr>
                <w:rFonts w:cs="Times New Roman"/>
                <w:color w:val="002060"/>
                <w:sz w:val="18"/>
                <w:szCs w:val="18"/>
              </w:rPr>
              <w:t>Depression</w:t>
            </w:r>
          </w:p>
        </w:tc>
        <w:tc>
          <w:tcPr>
            <w:tcW w:w="720" w:type="dxa"/>
            <w:shd w:val="clear" w:color="auto" w:fill="FFFFFF" w:themeFill="background1"/>
          </w:tcPr>
          <w:p w:rsidR="00050258" w:rsidRPr="00FD0AA0" w:rsidRDefault="00050258" w:rsidP="00E94F3F">
            <w:pPr>
              <w:pStyle w:val="ListParagraph"/>
              <w:spacing w:after="0" w:line="240" w:lineRule="auto"/>
              <w:ind w:left="0"/>
              <w:jc w:val="center"/>
              <w:rPr>
                <w:rFonts w:cs="Times New Roman"/>
                <w:color w:val="002060"/>
                <w:sz w:val="18"/>
                <w:szCs w:val="18"/>
              </w:rPr>
            </w:pPr>
            <w:r>
              <w:rPr>
                <w:rFonts w:cs="Times New Roman"/>
                <w:color w:val="002060"/>
                <w:sz w:val="18"/>
                <w:szCs w:val="18"/>
              </w:rPr>
              <w:t>9434</w:t>
            </w:r>
          </w:p>
        </w:tc>
        <w:tc>
          <w:tcPr>
            <w:tcW w:w="810" w:type="dxa"/>
            <w:shd w:val="clear" w:color="auto" w:fill="FFFFFF" w:themeFill="background1"/>
          </w:tcPr>
          <w:p w:rsidR="00050258" w:rsidRPr="00FD0AA0" w:rsidRDefault="00050258" w:rsidP="00E94F3F">
            <w:pPr>
              <w:pStyle w:val="ListParagraph"/>
              <w:spacing w:after="0" w:line="240" w:lineRule="auto"/>
              <w:ind w:left="0"/>
              <w:jc w:val="center"/>
              <w:rPr>
                <w:rFonts w:cs="Times New Roman"/>
                <w:color w:val="002060"/>
                <w:sz w:val="18"/>
                <w:szCs w:val="18"/>
              </w:rPr>
            </w:pPr>
            <w:r>
              <w:rPr>
                <w:rFonts w:cs="Times New Roman"/>
                <w:color w:val="002060"/>
                <w:sz w:val="18"/>
                <w:szCs w:val="18"/>
              </w:rPr>
              <w:t>30%</w:t>
            </w:r>
          </w:p>
        </w:tc>
        <w:tc>
          <w:tcPr>
            <w:tcW w:w="990" w:type="dxa"/>
            <w:shd w:val="clear" w:color="auto" w:fill="FFFFFF" w:themeFill="background1"/>
          </w:tcPr>
          <w:p w:rsidR="00050258" w:rsidRPr="00FD0AA0" w:rsidRDefault="00050258" w:rsidP="00E94F3F">
            <w:pPr>
              <w:pStyle w:val="ListParagraph"/>
              <w:spacing w:after="0" w:line="240" w:lineRule="auto"/>
              <w:ind w:left="0"/>
              <w:jc w:val="center"/>
              <w:rPr>
                <w:rFonts w:cs="Times New Roman"/>
                <w:color w:val="002060"/>
                <w:sz w:val="18"/>
                <w:szCs w:val="18"/>
              </w:rPr>
            </w:pPr>
            <w:r>
              <w:rPr>
                <w:rFonts w:cs="Times New Roman"/>
                <w:color w:val="002060"/>
                <w:sz w:val="18"/>
                <w:szCs w:val="18"/>
              </w:rPr>
              <w:t>20070508</w:t>
            </w:r>
          </w:p>
        </w:tc>
      </w:tr>
      <w:tr w:rsidR="00E94F3F" w:rsidRPr="002A685E" w:rsidTr="00C656C7">
        <w:trPr>
          <w:trHeight w:val="188"/>
        </w:trPr>
        <w:tc>
          <w:tcPr>
            <w:tcW w:w="2160" w:type="dxa"/>
            <w:shd w:val="clear" w:color="auto" w:fill="FFFFFF" w:themeFill="background1"/>
          </w:tcPr>
          <w:p w:rsidR="00E94F3F" w:rsidRPr="00E94F3F" w:rsidRDefault="00E94F3F" w:rsidP="00E94F3F">
            <w:pPr>
              <w:pStyle w:val="ListParagraph"/>
              <w:spacing w:after="0" w:line="240" w:lineRule="auto"/>
              <w:ind w:left="0"/>
              <w:rPr>
                <w:rFonts w:cs="Times New Roman"/>
                <w:color w:val="002060"/>
                <w:sz w:val="18"/>
                <w:szCs w:val="18"/>
              </w:rPr>
            </w:pPr>
            <w:r w:rsidRPr="00E94F3F">
              <w:rPr>
                <w:rFonts w:cs="Times New Roman"/>
                <w:color w:val="002060"/>
                <w:sz w:val="18"/>
                <w:szCs w:val="18"/>
              </w:rPr>
              <w:t>Right Foot Pain</w:t>
            </w:r>
          </w:p>
        </w:tc>
        <w:tc>
          <w:tcPr>
            <w:tcW w:w="1890" w:type="dxa"/>
            <w:gridSpan w:val="2"/>
            <w:tcBorders>
              <w:right w:val="thinThickThinSmallGap" w:sz="24" w:space="0" w:color="auto"/>
            </w:tcBorders>
            <w:shd w:val="clear" w:color="auto" w:fill="FFFFFF" w:themeFill="background1"/>
          </w:tcPr>
          <w:p w:rsidR="00E94F3F" w:rsidRPr="00FD0AA0" w:rsidRDefault="00E94F3F" w:rsidP="00E94F3F">
            <w:pPr>
              <w:pStyle w:val="ListParagraph"/>
              <w:spacing w:after="0" w:line="240" w:lineRule="auto"/>
              <w:ind w:left="0"/>
              <w:jc w:val="center"/>
              <w:rPr>
                <w:rFonts w:cs="Times New Roman"/>
                <w:color w:val="002060"/>
                <w:sz w:val="18"/>
                <w:szCs w:val="18"/>
              </w:rPr>
            </w:pPr>
            <w:r w:rsidRPr="00FD0AA0">
              <w:rPr>
                <w:rFonts w:cs="Times New Roman"/>
                <w:color w:val="002060"/>
                <w:sz w:val="18"/>
                <w:szCs w:val="18"/>
              </w:rPr>
              <w:t>Not Unfitting</w:t>
            </w:r>
          </w:p>
        </w:tc>
        <w:tc>
          <w:tcPr>
            <w:tcW w:w="2331" w:type="dxa"/>
            <w:tcBorders>
              <w:left w:val="thinThickThinSmallGap" w:sz="24" w:space="0" w:color="auto"/>
              <w:right w:val="single" w:sz="4" w:space="0" w:color="auto"/>
            </w:tcBorders>
            <w:shd w:val="clear" w:color="auto" w:fill="FFFFFF" w:themeFill="background1"/>
          </w:tcPr>
          <w:p w:rsidR="00E94F3F" w:rsidRPr="00E94F3F" w:rsidRDefault="00E94F3F" w:rsidP="00E94F3F">
            <w:pPr>
              <w:pStyle w:val="ListParagraph"/>
              <w:spacing w:after="0" w:line="240" w:lineRule="auto"/>
              <w:ind w:left="0"/>
              <w:rPr>
                <w:rFonts w:cs="Times New Roman"/>
                <w:color w:val="002060"/>
                <w:sz w:val="18"/>
                <w:szCs w:val="18"/>
              </w:rPr>
            </w:pPr>
            <w:proofErr w:type="spellStart"/>
            <w:r w:rsidRPr="00E94F3F">
              <w:rPr>
                <w:rFonts w:cs="Times New Roman"/>
                <w:color w:val="002060"/>
                <w:sz w:val="18"/>
                <w:szCs w:val="18"/>
              </w:rPr>
              <w:t>Exostosis</w:t>
            </w:r>
            <w:proofErr w:type="spellEnd"/>
            <w:r w:rsidRPr="00E94F3F">
              <w:rPr>
                <w:rFonts w:cs="Times New Roman"/>
                <w:color w:val="002060"/>
                <w:sz w:val="18"/>
                <w:szCs w:val="18"/>
              </w:rPr>
              <w:t>, Right Foot</w:t>
            </w:r>
          </w:p>
        </w:tc>
        <w:tc>
          <w:tcPr>
            <w:tcW w:w="1089" w:type="dxa"/>
            <w:gridSpan w:val="3"/>
            <w:tcBorders>
              <w:left w:val="single" w:sz="4" w:space="0" w:color="auto"/>
            </w:tcBorders>
            <w:shd w:val="clear" w:color="auto" w:fill="FFFFFF" w:themeFill="background1"/>
          </w:tcPr>
          <w:p w:rsidR="00E94F3F" w:rsidRPr="00FD0AA0" w:rsidRDefault="00E94F3F" w:rsidP="00E94F3F">
            <w:pPr>
              <w:pStyle w:val="ListParagraph"/>
              <w:spacing w:after="0" w:line="240" w:lineRule="auto"/>
              <w:ind w:left="0"/>
              <w:jc w:val="center"/>
              <w:rPr>
                <w:rFonts w:cs="Times New Roman"/>
                <w:color w:val="002060"/>
                <w:sz w:val="18"/>
                <w:szCs w:val="18"/>
              </w:rPr>
            </w:pPr>
            <w:r>
              <w:rPr>
                <w:rFonts w:cs="Times New Roman"/>
                <w:color w:val="002060"/>
                <w:sz w:val="18"/>
                <w:szCs w:val="18"/>
              </w:rPr>
              <w:t>5299-5281</w:t>
            </w:r>
          </w:p>
        </w:tc>
        <w:tc>
          <w:tcPr>
            <w:tcW w:w="810" w:type="dxa"/>
            <w:shd w:val="clear" w:color="auto" w:fill="FFFFFF" w:themeFill="background1"/>
          </w:tcPr>
          <w:p w:rsidR="00E94F3F" w:rsidRPr="00FD0AA0" w:rsidRDefault="00E94F3F" w:rsidP="00E94F3F">
            <w:pPr>
              <w:pStyle w:val="ListParagraph"/>
              <w:spacing w:after="0" w:line="240" w:lineRule="auto"/>
              <w:ind w:left="0"/>
              <w:jc w:val="center"/>
              <w:rPr>
                <w:rFonts w:cs="Times New Roman"/>
                <w:color w:val="002060"/>
                <w:sz w:val="18"/>
                <w:szCs w:val="18"/>
              </w:rPr>
            </w:pPr>
            <w:r>
              <w:rPr>
                <w:rFonts w:cs="Times New Roman"/>
                <w:color w:val="002060"/>
                <w:sz w:val="18"/>
                <w:szCs w:val="18"/>
              </w:rPr>
              <w:t>10%</w:t>
            </w:r>
          </w:p>
        </w:tc>
        <w:tc>
          <w:tcPr>
            <w:tcW w:w="990" w:type="dxa"/>
            <w:shd w:val="clear" w:color="auto" w:fill="FFFFFF" w:themeFill="background1"/>
          </w:tcPr>
          <w:p w:rsidR="00E94F3F" w:rsidRPr="00FD0AA0" w:rsidRDefault="00E94F3F" w:rsidP="00E94F3F">
            <w:pPr>
              <w:pStyle w:val="ListParagraph"/>
              <w:spacing w:after="0" w:line="240" w:lineRule="auto"/>
              <w:ind w:left="0"/>
              <w:jc w:val="center"/>
              <w:rPr>
                <w:rFonts w:cs="Times New Roman"/>
                <w:color w:val="002060"/>
                <w:sz w:val="18"/>
                <w:szCs w:val="18"/>
              </w:rPr>
            </w:pPr>
            <w:r>
              <w:rPr>
                <w:rFonts w:cs="Times New Roman"/>
                <w:color w:val="002060"/>
                <w:sz w:val="18"/>
                <w:szCs w:val="18"/>
              </w:rPr>
              <w:t>20070509</w:t>
            </w:r>
          </w:p>
        </w:tc>
      </w:tr>
      <w:tr w:rsidR="00A64C32" w:rsidRPr="002A685E" w:rsidTr="001008C1">
        <w:trPr>
          <w:trHeight w:val="143"/>
        </w:trPr>
        <w:tc>
          <w:tcPr>
            <w:tcW w:w="4050" w:type="dxa"/>
            <w:gridSpan w:val="3"/>
            <w:vMerge w:val="restart"/>
            <w:tcBorders>
              <w:right w:val="thinThickThinSmallGap" w:sz="24" w:space="0" w:color="auto"/>
            </w:tcBorders>
            <w:shd w:val="clear" w:color="auto" w:fill="FFFFFF" w:themeFill="background1"/>
          </w:tcPr>
          <w:p w:rsidR="00A64C32" w:rsidRPr="00E94F3F" w:rsidRDefault="00A64C32" w:rsidP="00C656C7">
            <w:pPr>
              <w:pStyle w:val="ListParagraph"/>
              <w:spacing w:after="0" w:line="240" w:lineRule="auto"/>
              <w:ind w:left="0"/>
              <w:jc w:val="center"/>
              <w:rPr>
                <w:rFonts w:cs="Times New Roman"/>
                <w:color w:val="002060"/>
                <w:sz w:val="18"/>
                <w:szCs w:val="18"/>
              </w:rPr>
            </w:pPr>
            <w:r w:rsidRPr="00E94F3F">
              <w:rPr>
                <w:rFonts w:cs="Times New Roman"/>
                <w:color w:val="002060"/>
                <w:sz w:val="18"/>
                <w:szCs w:val="18"/>
              </w:rPr>
              <w:t xml:space="preserve">↓No Additional DA </w:t>
            </w:r>
            <w:r w:rsidR="00EB012A">
              <w:rPr>
                <w:rFonts w:cs="Times New Roman"/>
                <w:color w:val="002060"/>
                <w:sz w:val="18"/>
                <w:szCs w:val="18"/>
              </w:rPr>
              <w:t xml:space="preserve">Form </w:t>
            </w:r>
            <w:r w:rsidRPr="00E94F3F">
              <w:rPr>
                <w:rFonts w:cs="Times New Roman"/>
                <w:color w:val="002060"/>
                <w:sz w:val="18"/>
                <w:szCs w:val="18"/>
              </w:rPr>
              <w:t>3947 Entries.↓</w:t>
            </w:r>
          </w:p>
        </w:tc>
        <w:tc>
          <w:tcPr>
            <w:tcW w:w="2700" w:type="dxa"/>
            <w:gridSpan w:val="3"/>
            <w:tcBorders>
              <w:left w:val="thinThickThinSmallGap" w:sz="24" w:space="0" w:color="auto"/>
            </w:tcBorders>
            <w:shd w:val="clear" w:color="auto" w:fill="FFFFFF" w:themeFill="background1"/>
          </w:tcPr>
          <w:p w:rsidR="00A64C32" w:rsidRPr="00E94F3F" w:rsidRDefault="00A64C32" w:rsidP="001A0FD9">
            <w:pPr>
              <w:pStyle w:val="ListParagraph"/>
              <w:spacing w:after="0" w:line="240" w:lineRule="auto"/>
              <w:ind w:left="0"/>
              <w:rPr>
                <w:rFonts w:cs="Times New Roman"/>
                <w:color w:val="002060"/>
                <w:sz w:val="18"/>
                <w:szCs w:val="18"/>
              </w:rPr>
            </w:pPr>
            <w:r w:rsidRPr="00E94F3F">
              <w:rPr>
                <w:rFonts w:cs="Times New Roman"/>
                <w:color w:val="002060"/>
                <w:sz w:val="18"/>
                <w:szCs w:val="18"/>
              </w:rPr>
              <w:t>Asthma</w:t>
            </w:r>
          </w:p>
        </w:tc>
        <w:tc>
          <w:tcPr>
            <w:tcW w:w="720" w:type="dxa"/>
            <w:shd w:val="clear" w:color="auto" w:fill="FFFFFF" w:themeFill="background1"/>
          </w:tcPr>
          <w:p w:rsidR="00A64C32" w:rsidRPr="00E94F3F" w:rsidRDefault="00A64C32" w:rsidP="001A0FD9">
            <w:pPr>
              <w:pStyle w:val="ListParagraph"/>
              <w:spacing w:after="0" w:line="240" w:lineRule="auto"/>
              <w:ind w:left="0"/>
              <w:jc w:val="center"/>
              <w:rPr>
                <w:rFonts w:cs="Times New Roman"/>
                <w:color w:val="002060"/>
                <w:sz w:val="18"/>
                <w:szCs w:val="18"/>
              </w:rPr>
            </w:pPr>
            <w:r w:rsidRPr="00E94F3F">
              <w:rPr>
                <w:rFonts w:cs="Times New Roman"/>
                <w:color w:val="002060"/>
                <w:sz w:val="18"/>
                <w:szCs w:val="18"/>
              </w:rPr>
              <w:t>6602</w:t>
            </w:r>
          </w:p>
        </w:tc>
        <w:tc>
          <w:tcPr>
            <w:tcW w:w="810" w:type="dxa"/>
            <w:shd w:val="clear" w:color="auto" w:fill="FFFFFF" w:themeFill="background1"/>
          </w:tcPr>
          <w:p w:rsidR="00A64C32" w:rsidRPr="00E94F3F" w:rsidRDefault="00A64C32" w:rsidP="001A0FD9">
            <w:pPr>
              <w:pStyle w:val="ListParagraph"/>
              <w:spacing w:after="0" w:line="240" w:lineRule="auto"/>
              <w:ind w:left="0"/>
              <w:jc w:val="center"/>
              <w:rPr>
                <w:rFonts w:cs="Times New Roman"/>
                <w:color w:val="002060"/>
                <w:sz w:val="18"/>
                <w:szCs w:val="18"/>
              </w:rPr>
            </w:pPr>
            <w:r w:rsidRPr="00E94F3F">
              <w:rPr>
                <w:rFonts w:cs="Times New Roman"/>
                <w:color w:val="002060"/>
                <w:sz w:val="18"/>
                <w:szCs w:val="18"/>
              </w:rPr>
              <w:t>30%</w:t>
            </w:r>
          </w:p>
        </w:tc>
        <w:tc>
          <w:tcPr>
            <w:tcW w:w="990" w:type="dxa"/>
            <w:shd w:val="clear" w:color="auto" w:fill="FFFFFF" w:themeFill="background1"/>
          </w:tcPr>
          <w:p w:rsidR="00A64C32" w:rsidRDefault="00A64C32" w:rsidP="001A0FD9">
            <w:pPr>
              <w:pStyle w:val="ListParagraph"/>
              <w:spacing w:after="0" w:line="240" w:lineRule="auto"/>
              <w:ind w:left="0"/>
              <w:jc w:val="center"/>
              <w:rPr>
                <w:rFonts w:cs="Times New Roman"/>
                <w:color w:val="002060"/>
                <w:sz w:val="18"/>
                <w:szCs w:val="18"/>
              </w:rPr>
            </w:pPr>
            <w:r>
              <w:rPr>
                <w:rFonts w:cs="Times New Roman"/>
                <w:color w:val="002060"/>
                <w:sz w:val="18"/>
                <w:szCs w:val="18"/>
              </w:rPr>
              <w:t>20070509</w:t>
            </w:r>
          </w:p>
        </w:tc>
      </w:tr>
      <w:tr w:rsidR="00A64C32" w:rsidRPr="002A685E" w:rsidTr="001008C1">
        <w:trPr>
          <w:trHeight w:val="197"/>
        </w:trPr>
        <w:tc>
          <w:tcPr>
            <w:tcW w:w="4050" w:type="dxa"/>
            <w:gridSpan w:val="3"/>
            <w:vMerge/>
            <w:tcBorders>
              <w:right w:val="thinThickThinSmallGap" w:sz="24" w:space="0" w:color="auto"/>
            </w:tcBorders>
            <w:shd w:val="clear" w:color="auto" w:fill="FFFFFF" w:themeFill="background1"/>
          </w:tcPr>
          <w:p w:rsidR="00A64C32" w:rsidRPr="00E94F3F" w:rsidRDefault="00A64C32" w:rsidP="00C656C7">
            <w:pPr>
              <w:pStyle w:val="ListParagraph"/>
              <w:spacing w:after="0" w:line="240" w:lineRule="auto"/>
              <w:ind w:left="0"/>
              <w:jc w:val="center"/>
              <w:rPr>
                <w:rFonts w:cs="Times New Roman"/>
                <w:color w:val="002060"/>
                <w:sz w:val="18"/>
                <w:szCs w:val="18"/>
              </w:rPr>
            </w:pPr>
          </w:p>
        </w:tc>
        <w:tc>
          <w:tcPr>
            <w:tcW w:w="4230" w:type="dxa"/>
            <w:gridSpan w:val="5"/>
            <w:tcBorders>
              <w:left w:val="thinThickThinSmallGap" w:sz="24" w:space="0" w:color="auto"/>
            </w:tcBorders>
            <w:shd w:val="clear" w:color="auto" w:fill="FFFFFF" w:themeFill="background1"/>
          </w:tcPr>
          <w:p w:rsidR="00A64C32" w:rsidRPr="00FD0AA0" w:rsidRDefault="00A64C32" w:rsidP="00690FDA">
            <w:pPr>
              <w:pStyle w:val="ListParagraph"/>
              <w:spacing w:after="0" w:line="240" w:lineRule="auto"/>
              <w:ind w:left="0"/>
              <w:jc w:val="center"/>
              <w:rPr>
                <w:rFonts w:cs="Times New Roman"/>
                <w:color w:val="002060"/>
                <w:sz w:val="18"/>
                <w:szCs w:val="18"/>
              </w:rPr>
            </w:pPr>
            <w:r w:rsidRPr="00FD0AA0">
              <w:rPr>
                <w:rFonts w:cs="Times New Roman"/>
                <w:color w:val="002060"/>
                <w:sz w:val="18"/>
                <w:szCs w:val="18"/>
              </w:rPr>
              <w:t xml:space="preserve">Non-PEB X  </w:t>
            </w:r>
            <w:r>
              <w:rPr>
                <w:rFonts w:cs="Times New Roman"/>
                <w:color w:val="002060"/>
                <w:sz w:val="18"/>
                <w:szCs w:val="18"/>
              </w:rPr>
              <w:t>7</w:t>
            </w:r>
            <w:r w:rsidRPr="00FD0AA0">
              <w:rPr>
                <w:rFonts w:cs="Times New Roman"/>
                <w:color w:val="002060"/>
                <w:sz w:val="18"/>
                <w:szCs w:val="18"/>
              </w:rPr>
              <w:t xml:space="preserve"> </w:t>
            </w:r>
          </w:p>
        </w:tc>
        <w:tc>
          <w:tcPr>
            <w:tcW w:w="990" w:type="dxa"/>
            <w:shd w:val="clear" w:color="auto" w:fill="FFFFFF" w:themeFill="background1"/>
          </w:tcPr>
          <w:p w:rsidR="00A64C32" w:rsidRPr="00FD0AA0" w:rsidRDefault="00A64C32" w:rsidP="00C656C7">
            <w:pPr>
              <w:pStyle w:val="ListParagraph"/>
              <w:spacing w:after="0" w:line="240" w:lineRule="auto"/>
              <w:ind w:left="0"/>
              <w:jc w:val="center"/>
              <w:rPr>
                <w:rFonts w:cs="Times New Roman"/>
                <w:color w:val="002060"/>
                <w:sz w:val="18"/>
                <w:szCs w:val="18"/>
              </w:rPr>
            </w:pPr>
            <w:r>
              <w:rPr>
                <w:rFonts w:cs="Times New Roman"/>
                <w:color w:val="002060"/>
                <w:sz w:val="18"/>
                <w:szCs w:val="18"/>
              </w:rPr>
              <w:t>20070509</w:t>
            </w:r>
          </w:p>
        </w:tc>
      </w:tr>
    </w:tbl>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sidR="00A90D55">
        <w:rPr>
          <w:color w:val="000080"/>
        </w:rPr>
        <w:t>_</w:t>
      </w:r>
    </w:p>
    <w:p w:rsidR="000C0321" w:rsidRDefault="000C0321" w:rsidP="002C6E5B">
      <w:pPr>
        <w:tabs>
          <w:tab w:val="left" w:pos="288"/>
          <w:tab w:val="left" w:pos="4752"/>
        </w:tabs>
        <w:spacing w:line="240" w:lineRule="exact"/>
        <w:jc w:val="both"/>
        <w:rPr>
          <w:color w:val="000080"/>
        </w:rPr>
      </w:pPr>
    </w:p>
    <w:p w:rsidR="002C6E5B" w:rsidRPr="000C0321" w:rsidRDefault="002C6E5B" w:rsidP="002C6E5B">
      <w:pPr>
        <w:tabs>
          <w:tab w:val="left" w:pos="288"/>
          <w:tab w:val="left" w:pos="4752"/>
        </w:tabs>
        <w:spacing w:line="240" w:lineRule="exact"/>
        <w:jc w:val="both"/>
        <w:rPr>
          <w:color w:val="000080"/>
        </w:rPr>
      </w:pPr>
      <w:r w:rsidRPr="000C0321">
        <w:rPr>
          <w:color w:val="000080"/>
          <w:u w:val="single"/>
        </w:rPr>
        <w:t>ANALYSIS SUMMARY</w:t>
      </w:r>
      <w:r w:rsidRPr="000C0321">
        <w:rPr>
          <w:color w:val="000080"/>
        </w:rPr>
        <w:t>:</w:t>
      </w:r>
    </w:p>
    <w:p w:rsidR="00E31457" w:rsidRPr="000C0321" w:rsidRDefault="00E31457" w:rsidP="002C6E5B">
      <w:pPr>
        <w:tabs>
          <w:tab w:val="left" w:pos="288"/>
          <w:tab w:val="left" w:pos="4752"/>
        </w:tabs>
        <w:spacing w:line="240" w:lineRule="exact"/>
        <w:jc w:val="both"/>
        <w:rPr>
          <w:color w:val="000080"/>
        </w:rPr>
      </w:pPr>
    </w:p>
    <w:p w:rsidR="004C5D91" w:rsidRPr="000C0321" w:rsidRDefault="004C5D91" w:rsidP="000C0321">
      <w:pPr>
        <w:tabs>
          <w:tab w:val="left" w:pos="288"/>
          <w:tab w:val="left" w:pos="4752"/>
        </w:tabs>
        <w:spacing w:line="240" w:lineRule="exact"/>
        <w:jc w:val="both"/>
        <w:rPr>
          <w:color w:val="000080"/>
        </w:rPr>
      </w:pPr>
      <w:r w:rsidRPr="000C0321">
        <w:rPr>
          <w:color w:val="000080"/>
        </w:rPr>
        <w:t xml:space="preserve">The Board wishes to note that the probative value and </w:t>
      </w:r>
      <w:r w:rsidR="00E755C7" w:rsidRPr="000C0321">
        <w:rPr>
          <w:color w:val="000080"/>
        </w:rPr>
        <w:t>reliability</w:t>
      </w:r>
      <w:r w:rsidRPr="000C0321">
        <w:rPr>
          <w:color w:val="000080"/>
        </w:rPr>
        <w:t xml:space="preserve"> of a CI’s stated medical history and subjective elements of physical examinations in evidence are generally accepted and unchallenged.  However, the Board must assign limitations to that principle in some cases.  This is such a case.  There are numerous examples of conflicting, implausible and frankly contradicted histories throughout the medical files.  VA rating examinations for </w:t>
      </w:r>
      <w:r w:rsidR="00EB012A">
        <w:rPr>
          <w:color w:val="000080"/>
        </w:rPr>
        <w:t>post-traumatic stress disorder (</w:t>
      </w:r>
      <w:r w:rsidRPr="000C0321">
        <w:rPr>
          <w:color w:val="000080"/>
        </w:rPr>
        <w:t>PTSD</w:t>
      </w:r>
      <w:r w:rsidR="00EB012A">
        <w:rPr>
          <w:color w:val="000080"/>
        </w:rPr>
        <w:t>)</w:t>
      </w:r>
      <w:r w:rsidRPr="000C0321">
        <w:rPr>
          <w:color w:val="000080"/>
        </w:rPr>
        <w:t xml:space="preserve"> and </w:t>
      </w:r>
      <w:r w:rsidR="00EB012A">
        <w:rPr>
          <w:color w:val="000080"/>
        </w:rPr>
        <w:t>traumatic brain injury (</w:t>
      </w:r>
      <w:r w:rsidRPr="000C0321">
        <w:rPr>
          <w:color w:val="000080"/>
        </w:rPr>
        <w:t>TBI</w:t>
      </w:r>
      <w:r w:rsidR="00EB012A">
        <w:rPr>
          <w:color w:val="000080"/>
        </w:rPr>
        <w:t>)</w:t>
      </w:r>
      <w:r w:rsidRPr="000C0321">
        <w:rPr>
          <w:color w:val="000080"/>
        </w:rPr>
        <w:t xml:space="preserve">, for example, contain accounts of events and injuries that were extraordinarily unlikely given the limited combat exposure as described in the summary.  There are four different accounts for a concussive injury, different accounts of the reason for medical evacuation, a stated history that ‘he was injured in an explosion that threw the veteran several feet in the air’ and many other examples beyond the scope of this narrative.  In addition to the implausibility based on the limited deployment exposure, it should be noted that 1) no combat awards are documented on the DD 214, 2) medical records from OIF are in evidence with no corroboration of any trauma, 3) the Post-Deployment Health Assessment was negative for any combat exposure or fear of being killed, and 4) no such injuries or events were documented by military providers at any point during the MEB period.  In light of the above observations and others not included, the Board, regretfully, takes the position that the CI’s credibility as a medical historian and his reliability as an </w:t>
      </w:r>
      <w:proofErr w:type="spellStart"/>
      <w:r w:rsidRPr="000C0321">
        <w:rPr>
          <w:color w:val="000080"/>
        </w:rPr>
        <w:t>examinee</w:t>
      </w:r>
      <w:proofErr w:type="spellEnd"/>
      <w:r w:rsidRPr="000C0321">
        <w:rPr>
          <w:color w:val="000080"/>
        </w:rPr>
        <w:t xml:space="preserve"> for the subjective elements of </w:t>
      </w:r>
      <w:r w:rsidR="00EC7F16">
        <w:rPr>
          <w:color w:val="000080"/>
        </w:rPr>
        <w:t xml:space="preserve">the </w:t>
      </w:r>
      <w:r w:rsidRPr="000C0321">
        <w:rPr>
          <w:color w:val="000080"/>
        </w:rPr>
        <w:t xml:space="preserve">rating examinations are questionable and cannot </w:t>
      </w:r>
      <w:r w:rsidR="00EB012A">
        <w:rPr>
          <w:color w:val="000080"/>
        </w:rPr>
        <w:t xml:space="preserve">therefore </w:t>
      </w:r>
      <w:r w:rsidRPr="000C0321">
        <w:rPr>
          <w:color w:val="000080"/>
        </w:rPr>
        <w:t>be given full weight for purposes of the ensuing recommendations.</w:t>
      </w:r>
    </w:p>
    <w:p w:rsidR="004C5D91" w:rsidRPr="000C0321" w:rsidRDefault="004C5D91" w:rsidP="000C0321">
      <w:pPr>
        <w:tabs>
          <w:tab w:val="left" w:pos="288"/>
          <w:tab w:val="left" w:pos="4752"/>
        </w:tabs>
        <w:spacing w:line="240" w:lineRule="exact"/>
        <w:jc w:val="both"/>
        <w:rPr>
          <w:color w:val="000080"/>
        </w:rPr>
      </w:pPr>
    </w:p>
    <w:p w:rsidR="002C6E5B" w:rsidRPr="000C0321" w:rsidRDefault="00065E9F" w:rsidP="000C0321">
      <w:pPr>
        <w:tabs>
          <w:tab w:val="left" w:pos="288"/>
          <w:tab w:val="left" w:pos="4752"/>
        </w:tabs>
        <w:spacing w:line="240" w:lineRule="exact"/>
        <w:jc w:val="both"/>
        <w:rPr>
          <w:color w:val="000080"/>
        </w:rPr>
      </w:pPr>
      <w:proofErr w:type="gramStart"/>
      <w:r w:rsidRPr="000C0321">
        <w:rPr>
          <w:color w:val="000080"/>
          <w:u w:val="single"/>
        </w:rPr>
        <w:t>Cervical</w:t>
      </w:r>
      <w:r w:rsidR="002C6E5B" w:rsidRPr="000C0321">
        <w:rPr>
          <w:color w:val="000080"/>
          <w:u w:val="single"/>
        </w:rPr>
        <w:t xml:space="preserve"> Condition</w:t>
      </w:r>
      <w:r w:rsidR="002C6E5B" w:rsidRPr="000C0321">
        <w:rPr>
          <w:color w:val="000080"/>
        </w:rPr>
        <w:t>.</w:t>
      </w:r>
      <w:proofErr w:type="gramEnd"/>
      <w:r w:rsidR="002C6E5B" w:rsidRPr="000C0321">
        <w:rPr>
          <w:color w:val="000080"/>
        </w:rPr>
        <w:t xml:space="preserve">  The</w:t>
      </w:r>
      <w:r w:rsidRPr="000C0321">
        <w:rPr>
          <w:color w:val="000080"/>
        </w:rPr>
        <w:t xml:space="preserve"> </w:t>
      </w:r>
      <w:r w:rsidR="001D2AFB" w:rsidRPr="000C0321">
        <w:rPr>
          <w:color w:val="000080"/>
        </w:rPr>
        <w:t xml:space="preserve">PEB DA </w:t>
      </w:r>
      <w:r w:rsidR="00EB012A">
        <w:rPr>
          <w:color w:val="000080"/>
        </w:rPr>
        <w:t xml:space="preserve">Form </w:t>
      </w:r>
      <w:r w:rsidR="001D2AFB" w:rsidRPr="000C0321">
        <w:rPr>
          <w:color w:val="000080"/>
        </w:rPr>
        <w:t xml:space="preserve">199 invoked application of the </w:t>
      </w:r>
      <w:r w:rsidR="00EB012A">
        <w:rPr>
          <w:color w:val="000080"/>
        </w:rPr>
        <w:t>US Army Physical Disability Agency (</w:t>
      </w:r>
      <w:r w:rsidR="001D2AFB" w:rsidRPr="000C0321">
        <w:rPr>
          <w:color w:val="000080"/>
        </w:rPr>
        <w:t>USAPDA</w:t>
      </w:r>
      <w:r w:rsidR="00EB012A">
        <w:rPr>
          <w:color w:val="000080"/>
        </w:rPr>
        <w:t>)</w:t>
      </w:r>
      <w:r w:rsidR="001D2AFB" w:rsidRPr="000C0321">
        <w:rPr>
          <w:color w:val="000080"/>
        </w:rPr>
        <w:t xml:space="preserve"> pain policy for rating this condition.  The NARSUM referenced </w:t>
      </w:r>
      <w:r w:rsidR="0097398C" w:rsidRPr="000C0321">
        <w:rPr>
          <w:color w:val="000080"/>
        </w:rPr>
        <w:t>a</w:t>
      </w:r>
      <w:r w:rsidR="001D2AFB" w:rsidRPr="000C0321">
        <w:rPr>
          <w:color w:val="000080"/>
        </w:rPr>
        <w:t xml:space="preserve"> PT </w:t>
      </w:r>
      <w:r w:rsidR="0097398C" w:rsidRPr="000C0321">
        <w:rPr>
          <w:color w:val="000080"/>
        </w:rPr>
        <w:t xml:space="preserve">goniometric exam (4/3/07) for spine range-of-motion (ROM) evaluation.  An additional PT goniometric examination </w:t>
      </w:r>
      <w:r w:rsidR="001918B4" w:rsidRPr="000C0321">
        <w:rPr>
          <w:color w:val="000080"/>
        </w:rPr>
        <w:t xml:space="preserve">as part of routine intake </w:t>
      </w:r>
      <w:r w:rsidR="0097398C" w:rsidRPr="000C0321">
        <w:rPr>
          <w:color w:val="000080"/>
        </w:rPr>
        <w:lastRenderedPageBreak/>
        <w:t>was performed in close proximity.  These two examinations and the pre-separation VA rating examination are summarized in the chart below.</w:t>
      </w:r>
    </w:p>
    <w:p w:rsidR="00560D57" w:rsidRDefault="00560D57" w:rsidP="002C6E5B">
      <w:pPr>
        <w:tabs>
          <w:tab w:val="left" w:pos="288"/>
          <w:tab w:val="left" w:pos="4752"/>
        </w:tabs>
        <w:spacing w:line="240" w:lineRule="exact"/>
        <w:rPr>
          <w:rFonts w:asciiTheme="minorHAnsi" w:hAnsiTheme="minorHAnsi"/>
          <w:color w:val="auto"/>
          <w:szCs w:val="24"/>
        </w:rPr>
      </w:pPr>
    </w:p>
    <w:tbl>
      <w:tblPr>
        <w:tblW w:w="7466" w:type="dxa"/>
        <w:tblInd w:w="1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0"/>
        <w:gridCol w:w="1616"/>
        <w:gridCol w:w="1710"/>
        <w:gridCol w:w="1980"/>
      </w:tblGrid>
      <w:tr w:rsidR="00560D57" w:rsidRPr="007862B0" w:rsidTr="00384866">
        <w:tc>
          <w:tcPr>
            <w:tcW w:w="2160" w:type="dxa"/>
            <w:shd w:val="clear" w:color="auto" w:fill="C6D9F1" w:themeFill="text2" w:themeFillTint="33"/>
          </w:tcPr>
          <w:p w:rsidR="00560D57" w:rsidRPr="00F81C35" w:rsidRDefault="00FE37AA" w:rsidP="00C656C7">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Cervical</w:t>
            </w:r>
            <w:r w:rsidR="00560D57" w:rsidRPr="00F81C35">
              <w:rPr>
                <w:rFonts w:ascii="Calibri" w:eastAsia="Calibri" w:hAnsi="Calibri" w:cs="Times New Roman"/>
                <w:color w:val="002060"/>
              </w:rPr>
              <w:t xml:space="preserve"> ROM</w:t>
            </w:r>
          </w:p>
        </w:tc>
        <w:tc>
          <w:tcPr>
            <w:tcW w:w="1616" w:type="dxa"/>
            <w:shd w:val="clear" w:color="auto" w:fill="C6D9F1" w:themeFill="text2" w:themeFillTint="33"/>
          </w:tcPr>
          <w:p w:rsidR="00560D57" w:rsidRPr="00F81C35" w:rsidRDefault="00560D57" w:rsidP="00065E9F">
            <w:pPr>
              <w:pStyle w:val="ListParagraph"/>
              <w:spacing w:after="0" w:line="240" w:lineRule="exact"/>
              <w:ind w:left="0"/>
              <w:jc w:val="center"/>
              <w:rPr>
                <w:rFonts w:ascii="Calibri" w:eastAsia="Calibri" w:hAnsi="Calibri" w:cs="Times New Roman"/>
                <w:color w:val="002060"/>
              </w:rPr>
            </w:pPr>
            <w:r w:rsidRPr="00F81C35">
              <w:rPr>
                <w:rFonts w:ascii="Calibri" w:eastAsia="Calibri" w:hAnsi="Calibri" w:cs="Times New Roman"/>
                <w:color w:val="002060"/>
              </w:rPr>
              <w:t xml:space="preserve">P.T. – </w:t>
            </w:r>
            <w:r w:rsidR="00065E9F">
              <w:rPr>
                <w:rFonts w:ascii="Calibri" w:eastAsia="Calibri" w:hAnsi="Calibri" w:cs="Times New Roman"/>
                <w:color w:val="002060"/>
              </w:rPr>
              <w:t>2/14/07</w:t>
            </w:r>
          </w:p>
        </w:tc>
        <w:tc>
          <w:tcPr>
            <w:tcW w:w="1710" w:type="dxa"/>
            <w:shd w:val="clear" w:color="auto" w:fill="C6D9F1" w:themeFill="text2" w:themeFillTint="33"/>
          </w:tcPr>
          <w:p w:rsidR="00560D57" w:rsidRPr="00F81C35" w:rsidRDefault="004163AB" w:rsidP="00C656C7">
            <w:pPr>
              <w:pStyle w:val="ListParagraph"/>
              <w:spacing w:after="0" w:line="240" w:lineRule="exact"/>
              <w:ind w:left="0"/>
              <w:jc w:val="center"/>
              <w:rPr>
                <w:rFonts w:ascii="Calibri" w:eastAsia="Calibri" w:hAnsi="Calibri" w:cs="Times New Roman"/>
                <w:color w:val="002060"/>
              </w:rPr>
            </w:pPr>
            <w:r w:rsidRPr="00F81C35">
              <w:rPr>
                <w:rFonts w:ascii="Calibri" w:eastAsia="Calibri" w:hAnsi="Calibri" w:cs="Times New Roman"/>
                <w:color w:val="002060"/>
              </w:rPr>
              <w:t xml:space="preserve">P.T. – </w:t>
            </w:r>
            <w:r>
              <w:rPr>
                <w:rFonts w:ascii="Calibri" w:eastAsia="Calibri" w:hAnsi="Calibri" w:cs="Times New Roman"/>
                <w:color w:val="002060"/>
              </w:rPr>
              <w:t>4/3/07</w:t>
            </w:r>
          </w:p>
        </w:tc>
        <w:tc>
          <w:tcPr>
            <w:tcW w:w="1980" w:type="dxa"/>
            <w:shd w:val="clear" w:color="auto" w:fill="C6D9F1" w:themeFill="text2" w:themeFillTint="33"/>
          </w:tcPr>
          <w:p w:rsidR="00560D57" w:rsidRPr="00F81C35" w:rsidRDefault="00560D57" w:rsidP="004163AB">
            <w:pPr>
              <w:pStyle w:val="ListParagraph"/>
              <w:spacing w:after="0" w:line="240" w:lineRule="exact"/>
              <w:ind w:left="0"/>
              <w:jc w:val="center"/>
              <w:rPr>
                <w:rFonts w:ascii="Calibri" w:hAnsi="Calibri"/>
                <w:color w:val="002060"/>
              </w:rPr>
            </w:pPr>
            <w:r w:rsidRPr="00F81C35">
              <w:rPr>
                <w:rFonts w:ascii="Calibri" w:eastAsia="Calibri" w:hAnsi="Calibri" w:cs="Times New Roman"/>
                <w:color w:val="002060"/>
              </w:rPr>
              <w:t>VA</w:t>
            </w:r>
            <w:r w:rsidRPr="00F81C35">
              <w:rPr>
                <w:rFonts w:ascii="Calibri" w:hAnsi="Calibri"/>
                <w:color w:val="002060"/>
              </w:rPr>
              <w:t xml:space="preserve"> C&amp;P </w:t>
            </w:r>
            <w:r w:rsidR="004163AB">
              <w:rPr>
                <w:rFonts w:ascii="Calibri" w:hAnsi="Calibri"/>
                <w:color w:val="002060"/>
              </w:rPr>
              <w:t>–</w:t>
            </w:r>
            <w:r w:rsidRPr="00F81C35">
              <w:rPr>
                <w:rFonts w:ascii="Calibri" w:hAnsi="Calibri"/>
                <w:color w:val="002060"/>
              </w:rPr>
              <w:t xml:space="preserve"> </w:t>
            </w:r>
            <w:r w:rsidR="004163AB">
              <w:rPr>
                <w:rFonts w:ascii="Calibri" w:eastAsia="Calibri" w:hAnsi="Calibri" w:cs="Times New Roman"/>
                <w:color w:val="002060"/>
              </w:rPr>
              <w:t>5/9/07</w:t>
            </w:r>
          </w:p>
        </w:tc>
      </w:tr>
      <w:tr w:rsidR="00560D57" w:rsidRPr="00140096" w:rsidTr="00384866">
        <w:tc>
          <w:tcPr>
            <w:tcW w:w="2160" w:type="dxa"/>
          </w:tcPr>
          <w:p w:rsidR="00560D57" w:rsidRPr="00F81C35" w:rsidRDefault="00560D57" w:rsidP="00C656C7">
            <w:pPr>
              <w:pStyle w:val="ListParagraph"/>
              <w:spacing w:after="0" w:line="240" w:lineRule="exact"/>
              <w:ind w:left="0"/>
              <w:rPr>
                <w:rFonts w:ascii="Calibri" w:eastAsia="Calibri" w:hAnsi="Calibri" w:cs="Times New Roman"/>
                <w:color w:val="002060"/>
              </w:rPr>
            </w:pPr>
            <w:r w:rsidRPr="00F81C35">
              <w:rPr>
                <w:rFonts w:ascii="Calibri" w:eastAsia="Calibri" w:hAnsi="Calibri" w:cs="Times New Roman"/>
                <w:color w:val="002060"/>
              </w:rPr>
              <w:t>Flexion</w:t>
            </w:r>
          </w:p>
        </w:tc>
        <w:tc>
          <w:tcPr>
            <w:tcW w:w="1616" w:type="dxa"/>
          </w:tcPr>
          <w:p w:rsidR="00560D57" w:rsidRPr="00F81C35" w:rsidRDefault="004163AB" w:rsidP="00C656C7">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5</w:t>
            </w:r>
            <w:r w:rsidR="00384866" w:rsidRPr="00F81C35">
              <w:rPr>
                <w:rFonts w:ascii="Calibri" w:eastAsia="Calibri" w:hAnsi="Calibri" w:cs="Times New Roman"/>
                <w:color w:val="002060"/>
              </w:rPr>
              <w:t>0</w:t>
            </w:r>
            <w:r w:rsidR="00560D57" w:rsidRPr="00F81C35">
              <w:rPr>
                <w:rFonts w:ascii="Calibri" w:eastAsia="Calibri" w:hAnsi="Calibri" w:cs="Times New Roman"/>
                <w:color w:val="002060"/>
              </w:rPr>
              <w:t>⁰</w:t>
            </w:r>
          </w:p>
        </w:tc>
        <w:tc>
          <w:tcPr>
            <w:tcW w:w="1710" w:type="dxa"/>
          </w:tcPr>
          <w:p w:rsidR="00560D57" w:rsidRPr="00F81C35" w:rsidRDefault="006B046A" w:rsidP="00C656C7">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3</w:t>
            </w:r>
            <w:r w:rsidR="00384866" w:rsidRPr="00F81C35">
              <w:rPr>
                <w:rFonts w:ascii="Calibri" w:eastAsia="Calibri" w:hAnsi="Calibri" w:cs="Times New Roman"/>
                <w:color w:val="002060"/>
              </w:rPr>
              <w:t>0</w:t>
            </w:r>
            <w:r w:rsidR="00560D57" w:rsidRPr="00F81C35">
              <w:rPr>
                <w:rFonts w:ascii="Calibri" w:eastAsia="Calibri" w:hAnsi="Calibri" w:cs="Times New Roman"/>
                <w:color w:val="002060"/>
              </w:rPr>
              <w:t>⁰</w:t>
            </w:r>
          </w:p>
        </w:tc>
        <w:tc>
          <w:tcPr>
            <w:tcW w:w="1980" w:type="dxa"/>
          </w:tcPr>
          <w:p w:rsidR="00560D57" w:rsidRPr="00F81C35" w:rsidRDefault="006B046A" w:rsidP="00C656C7">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3</w:t>
            </w:r>
            <w:r w:rsidR="004D323F">
              <w:rPr>
                <w:rFonts w:ascii="Calibri" w:eastAsia="Calibri" w:hAnsi="Calibri" w:cs="Times New Roman"/>
                <w:color w:val="002060"/>
              </w:rPr>
              <w:t>5</w:t>
            </w:r>
            <w:r w:rsidR="00853B1B" w:rsidRPr="00F81C35">
              <w:rPr>
                <w:rFonts w:ascii="Calibri" w:eastAsia="Calibri" w:hAnsi="Calibri" w:cs="Times New Roman"/>
                <w:color w:val="002060"/>
              </w:rPr>
              <w:t>⁰</w:t>
            </w:r>
          </w:p>
        </w:tc>
      </w:tr>
      <w:tr w:rsidR="00560D57" w:rsidRPr="00D340CE" w:rsidTr="00384866">
        <w:tc>
          <w:tcPr>
            <w:tcW w:w="2160" w:type="dxa"/>
          </w:tcPr>
          <w:p w:rsidR="00560D57" w:rsidRPr="00F81C35" w:rsidRDefault="00560D57" w:rsidP="00C656C7">
            <w:pPr>
              <w:pStyle w:val="ListParagraph"/>
              <w:spacing w:after="0" w:line="240" w:lineRule="exact"/>
              <w:ind w:left="0"/>
              <w:rPr>
                <w:rFonts w:ascii="Calibri" w:eastAsia="Calibri" w:hAnsi="Calibri" w:cs="Times New Roman"/>
                <w:color w:val="002060"/>
              </w:rPr>
            </w:pPr>
            <w:r w:rsidRPr="00F81C35">
              <w:rPr>
                <w:rFonts w:ascii="Calibri" w:eastAsia="Calibri" w:hAnsi="Calibri" w:cs="Times New Roman"/>
                <w:color w:val="002060"/>
              </w:rPr>
              <w:t>Combined</w:t>
            </w:r>
          </w:p>
        </w:tc>
        <w:tc>
          <w:tcPr>
            <w:tcW w:w="1616" w:type="dxa"/>
          </w:tcPr>
          <w:p w:rsidR="00560D57" w:rsidRPr="00F81C35" w:rsidRDefault="004163AB" w:rsidP="00C656C7">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285</w:t>
            </w:r>
            <w:r w:rsidR="00560D57" w:rsidRPr="00F81C35">
              <w:rPr>
                <w:rFonts w:ascii="Calibri" w:eastAsia="Calibri" w:hAnsi="Calibri" w:cs="Times New Roman"/>
                <w:color w:val="002060"/>
              </w:rPr>
              <w:t>⁰</w:t>
            </w:r>
          </w:p>
        </w:tc>
        <w:tc>
          <w:tcPr>
            <w:tcW w:w="1710" w:type="dxa"/>
          </w:tcPr>
          <w:p w:rsidR="00560D57" w:rsidRPr="00F81C35" w:rsidRDefault="006B046A" w:rsidP="00560D57">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21</w:t>
            </w:r>
            <w:r w:rsidR="00384866" w:rsidRPr="00F81C35">
              <w:rPr>
                <w:rFonts w:ascii="Calibri" w:eastAsia="Calibri" w:hAnsi="Calibri" w:cs="Times New Roman"/>
                <w:color w:val="002060"/>
              </w:rPr>
              <w:t>0</w:t>
            </w:r>
            <w:r w:rsidR="00560D57" w:rsidRPr="00F81C35">
              <w:rPr>
                <w:rFonts w:ascii="Calibri" w:eastAsia="Calibri" w:hAnsi="Calibri" w:cs="Times New Roman"/>
                <w:color w:val="002060"/>
              </w:rPr>
              <w:t xml:space="preserve">⁰ </w:t>
            </w:r>
          </w:p>
        </w:tc>
        <w:tc>
          <w:tcPr>
            <w:tcW w:w="1980" w:type="dxa"/>
          </w:tcPr>
          <w:p w:rsidR="00560D57" w:rsidRPr="00F81C35" w:rsidRDefault="004163AB" w:rsidP="00C656C7">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2</w:t>
            </w:r>
            <w:r w:rsidR="006B046A">
              <w:rPr>
                <w:rFonts w:ascii="Calibri" w:eastAsia="Calibri" w:hAnsi="Calibri" w:cs="Times New Roman"/>
                <w:color w:val="002060"/>
              </w:rPr>
              <w:t>4</w:t>
            </w:r>
            <w:r>
              <w:rPr>
                <w:rFonts w:ascii="Calibri" w:eastAsia="Calibri" w:hAnsi="Calibri" w:cs="Times New Roman"/>
                <w:color w:val="002060"/>
              </w:rPr>
              <w:t>5</w:t>
            </w:r>
            <w:r w:rsidR="00560D57" w:rsidRPr="00F81C35">
              <w:rPr>
                <w:rFonts w:ascii="Calibri" w:eastAsia="Calibri" w:hAnsi="Calibri" w:cs="Times New Roman"/>
                <w:color w:val="002060"/>
              </w:rPr>
              <w:t>⁰</w:t>
            </w:r>
          </w:p>
        </w:tc>
      </w:tr>
      <w:tr w:rsidR="00194930" w:rsidRPr="004E0248" w:rsidTr="00384866">
        <w:tc>
          <w:tcPr>
            <w:tcW w:w="2160" w:type="dxa"/>
          </w:tcPr>
          <w:p w:rsidR="00194930" w:rsidRPr="00F81C35" w:rsidRDefault="00194930" w:rsidP="004E0248">
            <w:pPr>
              <w:tabs>
                <w:tab w:val="left" w:pos="288"/>
                <w:tab w:val="left" w:pos="4752"/>
              </w:tabs>
              <w:spacing w:line="240" w:lineRule="exact"/>
              <w:rPr>
                <w:rFonts w:asciiTheme="minorHAnsi" w:eastAsiaTheme="minorHAnsi" w:hAnsiTheme="minorHAnsi"/>
                <w:color w:val="002060"/>
                <w:sz w:val="22"/>
                <w:szCs w:val="22"/>
              </w:rPr>
            </w:pPr>
            <w:r w:rsidRPr="00F81C35">
              <w:rPr>
                <w:rFonts w:asciiTheme="minorHAnsi" w:eastAsiaTheme="minorHAnsi" w:hAnsiTheme="minorHAnsi"/>
                <w:color w:val="002060"/>
                <w:sz w:val="22"/>
                <w:szCs w:val="22"/>
              </w:rPr>
              <w:t>§4.71a Rating</w:t>
            </w:r>
          </w:p>
        </w:tc>
        <w:tc>
          <w:tcPr>
            <w:tcW w:w="1616" w:type="dxa"/>
          </w:tcPr>
          <w:p w:rsidR="00194930" w:rsidRPr="00F81C35" w:rsidRDefault="004163AB" w:rsidP="004E0248">
            <w:pPr>
              <w:tabs>
                <w:tab w:val="left" w:pos="288"/>
                <w:tab w:val="left" w:pos="4752"/>
              </w:tabs>
              <w:spacing w:line="240" w:lineRule="exact"/>
              <w:jc w:val="center"/>
              <w:rPr>
                <w:rFonts w:asciiTheme="minorHAnsi" w:eastAsiaTheme="minorHAnsi" w:hAnsiTheme="minorHAnsi"/>
                <w:color w:val="002060"/>
                <w:sz w:val="22"/>
                <w:szCs w:val="22"/>
              </w:rPr>
            </w:pPr>
            <w:r>
              <w:rPr>
                <w:rFonts w:asciiTheme="minorHAnsi" w:eastAsiaTheme="minorHAnsi" w:hAnsiTheme="minorHAnsi"/>
                <w:color w:val="002060"/>
                <w:sz w:val="22"/>
                <w:szCs w:val="22"/>
              </w:rPr>
              <w:t>1</w:t>
            </w:r>
            <w:r w:rsidR="00384866" w:rsidRPr="00F81C35">
              <w:rPr>
                <w:rFonts w:asciiTheme="minorHAnsi" w:eastAsiaTheme="minorHAnsi" w:hAnsiTheme="minorHAnsi"/>
                <w:color w:val="002060"/>
                <w:sz w:val="22"/>
                <w:szCs w:val="22"/>
              </w:rPr>
              <w:t>0</w:t>
            </w:r>
            <w:r w:rsidR="00194930" w:rsidRPr="00F81C35">
              <w:rPr>
                <w:rFonts w:asciiTheme="minorHAnsi" w:eastAsiaTheme="minorHAnsi" w:hAnsiTheme="minorHAnsi"/>
                <w:color w:val="002060"/>
                <w:sz w:val="22"/>
                <w:szCs w:val="22"/>
              </w:rPr>
              <w:t>%</w:t>
            </w:r>
          </w:p>
        </w:tc>
        <w:tc>
          <w:tcPr>
            <w:tcW w:w="1710" w:type="dxa"/>
          </w:tcPr>
          <w:p w:rsidR="00194930" w:rsidRPr="00F81C35" w:rsidRDefault="006B046A" w:rsidP="004E0248">
            <w:pPr>
              <w:tabs>
                <w:tab w:val="left" w:pos="288"/>
                <w:tab w:val="left" w:pos="4752"/>
              </w:tabs>
              <w:spacing w:line="240" w:lineRule="exact"/>
              <w:jc w:val="center"/>
              <w:rPr>
                <w:rFonts w:asciiTheme="minorHAnsi" w:eastAsiaTheme="minorHAnsi" w:hAnsiTheme="minorHAnsi"/>
                <w:color w:val="002060"/>
                <w:sz w:val="22"/>
                <w:szCs w:val="22"/>
              </w:rPr>
            </w:pPr>
            <w:r>
              <w:rPr>
                <w:rFonts w:asciiTheme="minorHAnsi" w:eastAsiaTheme="minorHAnsi" w:hAnsiTheme="minorHAnsi"/>
                <w:color w:val="002060"/>
                <w:sz w:val="22"/>
                <w:szCs w:val="22"/>
              </w:rPr>
              <w:t>2</w:t>
            </w:r>
            <w:r w:rsidR="00194930" w:rsidRPr="00F81C35">
              <w:rPr>
                <w:rFonts w:asciiTheme="minorHAnsi" w:eastAsiaTheme="minorHAnsi" w:hAnsiTheme="minorHAnsi"/>
                <w:color w:val="002060"/>
                <w:sz w:val="22"/>
                <w:szCs w:val="22"/>
              </w:rPr>
              <w:t>0%</w:t>
            </w:r>
          </w:p>
        </w:tc>
        <w:tc>
          <w:tcPr>
            <w:tcW w:w="1980" w:type="dxa"/>
          </w:tcPr>
          <w:p w:rsidR="00194930" w:rsidRPr="00F81C35" w:rsidRDefault="004D323F" w:rsidP="004E0248">
            <w:pPr>
              <w:tabs>
                <w:tab w:val="left" w:pos="288"/>
                <w:tab w:val="left" w:pos="4752"/>
              </w:tabs>
              <w:spacing w:line="240" w:lineRule="exact"/>
              <w:jc w:val="center"/>
              <w:rPr>
                <w:rFonts w:asciiTheme="minorHAnsi" w:eastAsiaTheme="minorHAnsi" w:hAnsiTheme="minorHAnsi"/>
                <w:color w:val="002060"/>
                <w:sz w:val="22"/>
                <w:szCs w:val="22"/>
              </w:rPr>
            </w:pPr>
            <w:r>
              <w:rPr>
                <w:rFonts w:asciiTheme="minorHAnsi" w:eastAsiaTheme="minorHAnsi" w:hAnsiTheme="minorHAnsi"/>
                <w:color w:val="002060"/>
                <w:sz w:val="22"/>
                <w:szCs w:val="22"/>
              </w:rPr>
              <w:t>1</w:t>
            </w:r>
            <w:r w:rsidR="00194930" w:rsidRPr="00F81C35">
              <w:rPr>
                <w:rFonts w:asciiTheme="minorHAnsi" w:eastAsiaTheme="minorHAnsi" w:hAnsiTheme="minorHAnsi"/>
                <w:color w:val="002060"/>
                <w:sz w:val="22"/>
                <w:szCs w:val="22"/>
              </w:rPr>
              <w:t>0%</w:t>
            </w:r>
          </w:p>
        </w:tc>
      </w:tr>
    </w:tbl>
    <w:p w:rsidR="006B046A" w:rsidRDefault="006B046A" w:rsidP="002C6E5B">
      <w:pPr>
        <w:tabs>
          <w:tab w:val="left" w:pos="288"/>
          <w:tab w:val="left" w:pos="4752"/>
        </w:tabs>
        <w:spacing w:line="240" w:lineRule="exact"/>
        <w:rPr>
          <w:rFonts w:asciiTheme="minorHAnsi" w:eastAsiaTheme="minorHAnsi" w:hAnsiTheme="minorHAnsi"/>
          <w:color w:val="auto"/>
          <w:szCs w:val="24"/>
        </w:rPr>
      </w:pPr>
    </w:p>
    <w:p w:rsidR="0000487E" w:rsidRPr="000C0321" w:rsidRDefault="0097398C" w:rsidP="000C0321">
      <w:pPr>
        <w:tabs>
          <w:tab w:val="left" w:pos="288"/>
          <w:tab w:val="left" w:pos="4752"/>
        </w:tabs>
        <w:spacing w:line="240" w:lineRule="exact"/>
        <w:jc w:val="both"/>
        <w:rPr>
          <w:color w:val="000080"/>
        </w:rPr>
      </w:pPr>
      <w:r w:rsidRPr="000C0321">
        <w:rPr>
          <w:color w:val="000080"/>
        </w:rPr>
        <w:t xml:space="preserve">The NARSUM and VA examiner documented spasm and tenderness; neither documented abnormal gait or contour.  Both exams documented pain as the end-point of measurement, with the VA measuring pain on repetition as well.  </w:t>
      </w:r>
      <w:r w:rsidR="00853B1B">
        <w:rPr>
          <w:color w:val="000080"/>
        </w:rPr>
        <w:t xml:space="preserve">The VA examiner made an ambiguous notation suggesting a 5° deduction for ROM’s after repetition.  If applied this would result in 20% §4.71a rating.  It was obviously not applied by the VA rater, and the Board agreed that the entry was not definitive enough to justify a recommendation on that basis.  </w:t>
      </w:r>
      <w:r w:rsidRPr="000C0321">
        <w:rPr>
          <w:color w:val="000080"/>
        </w:rPr>
        <w:t xml:space="preserve">These findings are tempered with several informal ROM notations in the MEB records documenting ‘normal’ or ‘full’ ROM.  A detailed </w:t>
      </w:r>
      <w:r w:rsidR="0000487E" w:rsidRPr="000C0321">
        <w:rPr>
          <w:color w:val="000080"/>
        </w:rPr>
        <w:t xml:space="preserve">examination in a </w:t>
      </w:r>
      <w:r w:rsidRPr="000C0321">
        <w:rPr>
          <w:color w:val="000080"/>
        </w:rPr>
        <w:t xml:space="preserve">neurosurgical consult, although not providing measurements, </w:t>
      </w:r>
      <w:r w:rsidR="0000487E" w:rsidRPr="000C0321">
        <w:rPr>
          <w:color w:val="000080"/>
        </w:rPr>
        <w:t>stated, ‘</w:t>
      </w:r>
      <w:r w:rsidR="0000487E" w:rsidRPr="00EC7F16">
        <w:rPr>
          <w:i/>
          <w:color w:val="000080"/>
        </w:rPr>
        <w:t>Flexion and extension of the neck is within normal limits.</w:t>
      </w:r>
      <w:r w:rsidR="0000487E" w:rsidRPr="000C0321">
        <w:rPr>
          <w:color w:val="000080"/>
        </w:rPr>
        <w:t>’  Of further note, a VA entry two months after separation stated ‘</w:t>
      </w:r>
      <w:r w:rsidR="0000487E" w:rsidRPr="00EC7F16">
        <w:rPr>
          <w:i/>
          <w:color w:val="000080"/>
        </w:rPr>
        <w:t xml:space="preserve">Exercise routine - He will get on treadmill walk 5 </w:t>
      </w:r>
      <w:proofErr w:type="spellStart"/>
      <w:r w:rsidR="0000487E" w:rsidRPr="00EC7F16">
        <w:rPr>
          <w:i/>
          <w:color w:val="000080"/>
        </w:rPr>
        <w:t>mins</w:t>
      </w:r>
      <w:proofErr w:type="spellEnd"/>
      <w:r w:rsidR="0000487E" w:rsidRPr="00EC7F16">
        <w:rPr>
          <w:i/>
          <w:color w:val="000080"/>
        </w:rPr>
        <w:t xml:space="preserve"> then jog 2 miles on the treadmill - does 4x a week. He lifts weights and does push-ups, other resistance exercise.</w:t>
      </w:r>
      <w:r w:rsidR="0000487E" w:rsidRPr="000C0321">
        <w:rPr>
          <w:color w:val="000080"/>
        </w:rPr>
        <w:t xml:space="preserve">’  </w:t>
      </w:r>
      <w:r w:rsidR="001918B4" w:rsidRPr="000C0321">
        <w:rPr>
          <w:color w:val="000080"/>
        </w:rPr>
        <w:t xml:space="preserve">The measurement of ROM reflecting pain with motion is dependent on the </w:t>
      </w:r>
      <w:proofErr w:type="gramStart"/>
      <w:r w:rsidR="005F689A" w:rsidRPr="000C0321">
        <w:rPr>
          <w:color w:val="000080"/>
        </w:rPr>
        <w:t>examinee</w:t>
      </w:r>
      <w:r w:rsidR="001918B4" w:rsidRPr="000C0321">
        <w:rPr>
          <w:color w:val="000080"/>
        </w:rPr>
        <w:t>’s</w:t>
      </w:r>
      <w:proofErr w:type="gramEnd"/>
      <w:r w:rsidR="001918B4" w:rsidRPr="000C0321">
        <w:rPr>
          <w:color w:val="000080"/>
        </w:rPr>
        <w:t xml:space="preserve"> reported pain</w:t>
      </w:r>
      <w:r w:rsidR="000A31FD" w:rsidRPr="000C0321">
        <w:rPr>
          <w:color w:val="000080"/>
        </w:rPr>
        <w:t xml:space="preserve"> with scant ability </w:t>
      </w:r>
      <w:r w:rsidR="005F689A" w:rsidRPr="000C0321">
        <w:rPr>
          <w:color w:val="000080"/>
        </w:rPr>
        <w:t xml:space="preserve">by the examiner </w:t>
      </w:r>
      <w:r w:rsidR="000A31FD" w:rsidRPr="000C0321">
        <w:rPr>
          <w:color w:val="000080"/>
        </w:rPr>
        <w:t>to objectively confirm it</w:t>
      </w:r>
      <w:r w:rsidR="001918B4" w:rsidRPr="000C0321">
        <w:rPr>
          <w:color w:val="000080"/>
        </w:rPr>
        <w:t xml:space="preserve">.  The MEB rating PT examination and the VA rating examinations were both subject to invalid influence in that regard.  The incidental entry </w:t>
      </w:r>
      <w:r w:rsidR="00CB62BB">
        <w:rPr>
          <w:color w:val="000080"/>
        </w:rPr>
        <w:t>from an unrelated VA examination</w:t>
      </w:r>
      <w:r w:rsidR="001918B4" w:rsidRPr="000C0321">
        <w:rPr>
          <w:color w:val="000080"/>
        </w:rPr>
        <w:t xml:space="preserve"> regarding exercise capabilities is not consistent with the spinal impairment reflected on the </w:t>
      </w:r>
      <w:r w:rsidR="00CB62BB">
        <w:rPr>
          <w:color w:val="000080"/>
        </w:rPr>
        <w:t>formal rating ROM</w:t>
      </w:r>
      <w:r w:rsidR="001918B4" w:rsidRPr="000C0321">
        <w:rPr>
          <w:color w:val="000080"/>
        </w:rPr>
        <w:t xml:space="preserve"> examinations.  </w:t>
      </w:r>
      <w:r w:rsidR="000A31FD" w:rsidRPr="000C0321">
        <w:rPr>
          <w:color w:val="000080"/>
        </w:rPr>
        <w:t xml:space="preserve">All of these factors, coupled with the overall probative value concerns already elaborated, significantly </w:t>
      </w:r>
      <w:r w:rsidR="00CB62BB">
        <w:rPr>
          <w:color w:val="000080"/>
        </w:rPr>
        <w:t>constrains</w:t>
      </w:r>
      <w:r w:rsidR="000A31FD" w:rsidRPr="000C0321">
        <w:rPr>
          <w:color w:val="000080"/>
        </w:rPr>
        <w:t xml:space="preserve"> the reasonable doubt necessary to recommend a more favorable 20% </w:t>
      </w:r>
      <w:r w:rsidR="00FE37AA" w:rsidRPr="000C0321">
        <w:rPr>
          <w:color w:val="000080"/>
        </w:rPr>
        <w:t xml:space="preserve">cervical </w:t>
      </w:r>
      <w:r w:rsidR="000A31FD" w:rsidRPr="000C0321">
        <w:rPr>
          <w:color w:val="000080"/>
        </w:rPr>
        <w:t xml:space="preserve">rating in this case.  </w:t>
      </w:r>
      <w:r w:rsidR="00FE37AA" w:rsidRPr="000C0321">
        <w:rPr>
          <w:color w:val="000080"/>
        </w:rPr>
        <w:t xml:space="preserve">There was no evidence of ratable peripheral nerve impairment.  The Board therefore recommends no </w:t>
      </w:r>
      <w:proofErr w:type="spellStart"/>
      <w:r w:rsidR="00FE37AA" w:rsidRPr="000C0321">
        <w:rPr>
          <w:color w:val="000080"/>
        </w:rPr>
        <w:t>recharacterization</w:t>
      </w:r>
      <w:proofErr w:type="spellEnd"/>
      <w:r w:rsidR="00FE37AA" w:rsidRPr="000C0321">
        <w:rPr>
          <w:color w:val="000080"/>
        </w:rPr>
        <w:t xml:space="preserve"> of the PEB adjudication for the cervical spine condition.</w:t>
      </w:r>
    </w:p>
    <w:p w:rsidR="007E7B4E" w:rsidRPr="000C0321" w:rsidRDefault="007E7B4E" w:rsidP="000C0321">
      <w:pPr>
        <w:tabs>
          <w:tab w:val="left" w:pos="288"/>
          <w:tab w:val="left" w:pos="4752"/>
        </w:tabs>
        <w:spacing w:line="240" w:lineRule="exact"/>
        <w:jc w:val="both"/>
        <w:rPr>
          <w:color w:val="000080"/>
        </w:rPr>
      </w:pPr>
    </w:p>
    <w:p w:rsidR="001D2AFB" w:rsidRPr="000C0321" w:rsidRDefault="001D2AFB" w:rsidP="000C0321">
      <w:pPr>
        <w:tabs>
          <w:tab w:val="left" w:pos="288"/>
          <w:tab w:val="left" w:pos="4752"/>
        </w:tabs>
        <w:spacing w:line="240" w:lineRule="exact"/>
        <w:jc w:val="both"/>
        <w:rPr>
          <w:color w:val="000080"/>
        </w:rPr>
      </w:pPr>
      <w:proofErr w:type="spellStart"/>
      <w:proofErr w:type="gramStart"/>
      <w:r w:rsidRPr="000C0321">
        <w:rPr>
          <w:color w:val="000080"/>
          <w:u w:val="single"/>
        </w:rPr>
        <w:t>Thoracolumbar</w:t>
      </w:r>
      <w:proofErr w:type="spellEnd"/>
      <w:r w:rsidRPr="000C0321">
        <w:rPr>
          <w:color w:val="000080"/>
          <w:u w:val="single"/>
        </w:rPr>
        <w:t xml:space="preserve"> Condition</w:t>
      </w:r>
      <w:r w:rsidRPr="000C0321">
        <w:rPr>
          <w:color w:val="000080"/>
        </w:rPr>
        <w:t>.</w:t>
      </w:r>
      <w:proofErr w:type="gramEnd"/>
      <w:r w:rsidRPr="000C0321">
        <w:rPr>
          <w:color w:val="000080"/>
        </w:rPr>
        <w:t xml:space="preserve">  The PEB DA </w:t>
      </w:r>
      <w:r w:rsidR="00EB012A">
        <w:rPr>
          <w:color w:val="000080"/>
        </w:rPr>
        <w:t xml:space="preserve">Form </w:t>
      </w:r>
      <w:r w:rsidRPr="000C0321">
        <w:rPr>
          <w:color w:val="000080"/>
        </w:rPr>
        <w:t xml:space="preserve">199 invoked application of the USAPDA pain policy for rating this condition.  </w:t>
      </w:r>
      <w:r w:rsidR="00FE37AA" w:rsidRPr="000C0321">
        <w:rPr>
          <w:color w:val="000080"/>
        </w:rPr>
        <w:t xml:space="preserve">There was no separate PT evaluation for </w:t>
      </w:r>
      <w:proofErr w:type="spellStart"/>
      <w:r w:rsidR="00FE37AA" w:rsidRPr="000C0321">
        <w:rPr>
          <w:color w:val="000080"/>
        </w:rPr>
        <w:t>thoracolumbar</w:t>
      </w:r>
      <w:proofErr w:type="spellEnd"/>
      <w:r w:rsidR="00FE37AA" w:rsidRPr="000C0321">
        <w:rPr>
          <w:color w:val="000080"/>
        </w:rPr>
        <w:t xml:space="preserve"> </w:t>
      </w:r>
      <w:r w:rsidR="00840B7C" w:rsidRPr="000C0321">
        <w:rPr>
          <w:color w:val="000080"/>
        </w:rPr>
        <w:t xml:space="preserve">ROM </w:t>
      </w:r>
      <w:r w:rsidR="00FE37AA" w:rsidRPr="000C0321">
        <w:rPr>
          <w:color w:val="000080"/>
        </w:rPr>
        <w:t>measurements as with the cervical condition.  The MEB PT and VA examinations are charted below.</w:t>
      </w:r>
    </w:p>
    <w:p w:rsidR="001D2AFB" w:rsidRPr="000C0321" w:rsidRDefault="001D2AFB" w:rsidP="000C0321">
      <w:pPr>
        <w:tabs>
          <w:tab w:val="left" w:pos="288"/>
          <w:tab w:val="left" w:pos="4752"/>
        </w:tabs>
        <w:spacing w:line="240" w:lineRule="exact"/>
        <w:jc w:val="both"/>
        <w:rPr>
          <w:color w:val="000080"/>
        </w:rPr>
      </w:pPr>
    </w:p>
    <w:tbl>
      <w:tblPr>
        <w:tblW w:w="5850" w:type="dxa"/>
        <w:tblInd w:w="1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0"/>
        <w:gridCol w:w="1710"/>
        <w:gridCol w:w="1980"/>
      </w:tblGrid>
      <w:tr w:rsidR="00FE37AA" w:rsidRPr="007862B0" w:rsidTr="00FE37AA">
        <w:tc>
          <w:tcPr>
            <w:tcW w:w="2160" w:type="dxa"/>
            <w:shd w:val="clear" w:color="auto" w:fill="C6D9F1" w:themeFill="text2" w:themeFillTint="33"/>
          </w:tcPr>
          <w:p w:rsidR="00FE37AA" w:rsidRPr="00F81C35" w:rsidRDefault="00FE37AA" w:rsidP="00C656C7">
            <w:pPr>
              <w:pStyle w:val="ListParagraph"/>
              <w:spacing w:after="0" w:line="240" w:lineRule="exact"/>
              <w:ind w:left="0"/>
              <w:jc w:val="center"/>
              <w:rPr>
                <w:rFonts w:ascii="Calibri" w:eastAsia="Calibri" w:hAnsi="Calibri" w:cs="Times New Roman"/>
                <w:color w:val="002060"/>
              </w:rPr>
            </w:pPr>
            <w:proofErr w:type="spellStart"/>
            <w:r w:rsidRPr="00F81C35">
              <w:rPr>
                <w:rFonts w:ascii="Calibri" w:eastAsia="Calibri" w:hAnsi="Calibri" w:cs="Times New Roman"/>
                <w:color w:val="002060"/>
              </w:rPr>
              <w:t>Thoracolumbar</w:t>
            </w:r>
            <w:proofErr w:type="spellEnd"/>
            <w:r w:rsidRPr="00F81C35">
              <w:rPr>
                <w:rFonts w:ascii="Calibri" w:eastAsia="Calibri" w:hAnsi="Calibri" w:cs="Times New Roman"/>
                <w:color w:val="002060"/>
              </w:rPr>
              <w:t xml:space="preserve"> ROM</w:t>
            </w:r>
          </w:p>
        </w:tc>
        <w:tc>
          <w:tcPr>
            <w:tcW w:w="1710" w:type="dxa"/>
            <w:shd w:val="clear" w:color="auto" w:fill="C6D9F1" w:themeFill="text2" w:themeFillTint="33"/>
          </w:tcPr>
          <w:p w:rsidR="00FE37AA" w:rsidRPr="00F81C35" w:rsidRDefault="00FE37AA" w:rsidP="00C656C7">
            <w:pPr>
              <w:pStyle w:val="ListParagraph"/>
              <w:spacing w:after="0" w:line="240" w:lineRule="exact"/>
              <w:ind w:left="0"/>
              <w:jc w:val="center"/>
              <w:rPr>
                <w:rFonts w:ascii="Calibri" w:eastAsia="Calibri" w:hAnsi="Calibri" w:cs="Times New Roman"/>
                <w:color w:val="002060"/>
              </w:rPr>
            </w:pPr>
            <w:r w:rsidRPr="00F81C35">
              <w:rPr>
                <w:rFonts w:ascii="Calibri" w:eastAsia="Calibri" w:hAnsi="Calibri" w:cs="Times New Roman"/>
                <w:color w:val="002060"/>
              </w:rPr>
              <w:t xml:space="preserve">P.T. – </w:t>
            </w:r>
            <w:r>
              <w:rPr>
                <w:rFonts w:ascii="Calibri" w:eastAsia="Calibri" w:hAnsi="Calibri" w:cs="Times New Roman"/>
                <w:color w:val="002060"/>
              </w:rPr>
              <w:t>4/3/07</w:t>
            </w:r>
          </w:p>
        </w:tc>
        <w:tc>
          <w:tcPr>
            <w:tcW w:w="1980" w:type="dxa"/>
            <w:shd w:val="clear" w:color="auto" w:fill="C6D9F1" w:themeFill="text2" w:themeFillTint="33"/>
          </w:tcPr>
          <w:p w:rsidR="00FE37AA" w:rsidRPr="00F81C35" w:rsidRDefault="00FE37AA" w:rsidP="00C656C7">
            <w:pPr>
              <w:pStyle w:val="ListParagraph"/>
              <w:spacing w:after="0" w:line="240" w:lineRule="exact"/>
              <w:ind w:left="0"/>
              <w:jc w:val="center"/>
              <w:rPr>
                <w:rFonts w:ascii="Calibri" w:hAnsi="Calibri"/>
                <w:color w:val="002060"/>
              </w:rPr>
            </w:pPr>
            <w:r w:rsidRPr="00F81C35">
              <w:rPr>
                <w:rFonts w:ascii="Calibri" w:eastAsia="Calibri" w:hAnsi="Calibri" w:cs="Times New Roman"/>
                <w:color w:val="002060"/>
              </w:rPr>
              <w:t>VA</w:t>
            </w:r>
            <w:r w:rsidRPr="00F81C35">
              <w:rPr>
                <w:rFonts w:ascii="Calibri" w:hAnsi="Calibri"/>
                <w:color w:val="002060"/>
              </w:rPr>
              <w:t xml:space="preserve"> C&amp;P </w:t>
            </w:r>
            <w:r>
              <w:rPr>
                <w:rFonts w:ascii="Calibri" w:hAnsi="Calibri"/>
                <w:color w:val="002060"/>
              </w:rPr>
              <w:t>–</w:t>
            </w:r>
            <w:r w:rsidRPr="00F81C35">
              <w:rPr>
                <w:rFonts w:ascii="Calibri" w:hAnsi="Calibri"/>
                <w:color w:val="002060"/>
              </w:rPr>
              <w:t xml:space="preserve"> </w:t>
            </w:r>
            <w:r>
              <w:rPr>
                <w:rFonts w:ascii="Calibri" w:eastAsia="Calibri" w:hAnsi="Calibri" w:cs="Times New Roman"/>
                <w:color w:val="002060"/>
              </w:rPr>
              <w:t>5/9/07</w:t>
            </w:r>
          </w:p>
        </w:tc>
      </w:tr>
      <w:tr w:rsidR="00FE37AA" w:rsidRPr="00140096" w:rsidTr="00FE37AA">
        <w:tc>
          <w:tcPr>
            <w:tcW w:w="2160" w:type="dxa"/>
          </w:tcPr>
          <w:p w:rsidR="00FE37AA" w:rsidRPr="00F81C35" w:rsidRDefault="00FE37AA" w:rsidP="00C656C7">
            <w:pPr>
              <w:pStyle w:val="ListParagraph"/>
              <w:spacing w:after="0" w:line="240" w:lineRule="exact"/>
              <w:ind w:left="0"/>
              <w:rPr>
                <w:rFonts w:ascii="Calibri" w:eastAsia="Calibri" w:hAnsi="Calibri" w:cs="Times New Roman"/>
                <w:color w:val="002060"/>
              </w:rPr>
            </w:pPr>
            <w:r w:rsidRPr="00F81C35">
              <w:rPr>
                <w:rFonts w:ascii="Calibri" w:eastAsia="Calibri" w:hAnsi="Calibri" w:cs="Times New Roman"/>
                <w:color w:val="002060"/>
              </w:rPr>
              <w:t>Flexion</w:t>
            </w:r>
          </w:p>
        </w:tc>
        <w:tc>
          <w:tcPr>
            <w:tcW w:w="1710" w:type="dxa"/>
          </w:tcPr>
          <w:p w:rsidR="00FE37AA" w:rsidRPr="00F81C35" w:rsidRDefault="00FE37AA" w:rsidP="00C656C7">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85</w:t>
            </w:r>
            <w:r w:rsidRPr="00F81C35">
              <w:rPr>
                <w:rFonts w:ascii="Calibri" w:eastAsia="Calibri" w:hAnsi="Calibri" w:cs="Times New Roman"/>
                <w:color w:val="002060"/>
              </w:rPr>
              <w:t>⁰</w:t>
            </w:r>
          </w:p>
        </w:tc>
        <w:tc>
          <w:tcPr>
            <w:tcW w:w="1980" w:type="dxa"/>
          </w:tcPr>
          <w:p w:rsidR="00FE37AA" w:rsidRPr="00F81C35" w:rsidRDefault="009E69ED" w:rsidP="00C656C7">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50</w:t>
            </w:r>
            <w:r w:rsidR="00FE37AA" w:rsidRPr="00F81C35">
              <w:rPr>
                <w:rFonts w:ascii="Calibri" w:eastAsia="Calibri" w:hAnsi="Calibri" w:cs="Times New Roman"/>
                <w:color w:val="002060"/>
              </w:rPr>
              <w:t>⁰</w:t>
            </w:r>
          </w:p>
        </w:tc>
      </w:tr>
      <w:tr w:rsidR="00FE37AA" w:rsidRPr="00D340CE" w:rsidTr="00FE37AA">
        <w:tc>
          <w:tcPr>
            <w:tcW w:w="2160" w:type="dxa"/>
          </w:tcPr>
          <w:p w:rsidR="00FE37AA" w:rsidRPr="00F81C35" w:rsidRDefault="00FE37AA" w:rsidP="00C656C7">
            <w:pPr>
              <w:pStyle w:val="ListParagraph"/>
              <w:spacing w:after="0" w:line="240" w:lineRule="exact"/>
              <w:ind w:left="0"/>
              <w:rPr>
                <w:rFonts w:ascii="Calibri" w:eastAsia="Calibri" w:hAnsi="Calibri" w:cs="Times New Roman"/>
                <w:color w:val="002060"/>
              </w:rPr>
            </w:pPr>
            <w:r w:rsidRPr="00F81C35">
              <w:rPr>
                <w:rFonts w:ascii="Calibri" w:eastAsia="Calibri" w:hAnsi="Calibri" w:cs="Times New Roman"/>
                <w:color w:val="002060"/>
              </w:rPr>
              <w:t>Combined</w:t>
            </w:r>
          </w:p>
        </w:tc>
        <w:tc>
          <w:tcPr>
            <w:tcW w:w="1710" w:type="dxa"/>
          </w:tcPr>
          <w:p w:rsidR="00FE37AA" w:rsidRPr="00F81C35" w:rsidRDefault="00FE37AA" w:rsidP="00C656C7">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25</w:t>
            </w:r>
            <w:r w:rsidRPr="00F81C35">
              <w:rPr>
                <w:rFonts w:ascii="Calibri" w:eastAsia="Calibri" w:hAnsi="Calibri" w:cs="Times New Roman"/>
                <w:color w:val="002060"/>
              </w:rPr>
              <w:t xml:space="preserve">0⁰ </w:t>
            </w:r>
          </w:p>
        </w:tc>
        <w:tc>
          <w:tcPr>
            <w:tcW w:w="1980" w:type="dxa"/>
          </w:tcPr>
          <w:p w:rsidR="00FE37AA" w:rsidRPr="00F81C35" w:rsidRDefault="009E69ED" w:rsidP="00C656C7">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100</w:t>
            </w:r>
            <w:r w:rsidR="00FE37AA" w:rsidRPr="00F81C35">
              <w:rPr>
                <w:rFonts w:ascii="Calibri" w:eastAsia="Calibri" w:hAnsi="Calibri" w:cs="Times New Roman"/>
                <w:color w:val="002060"/>
              </w:rPr>
              <w:t>⁰</w:t>
            </w:r>
          </w:p>
        </w:tc>
      </w:tr>
      <w:tr w:rsidR="00FE37AA" w:rsidRPr="004E0248" w:rsidTr="00FE37AA">
        <w:tc>
          <w:tcPr>
            <w:tcW w:w="2160" w:type="dxa"/>
          </w:tcPr>
          <w:p w:rsidR="00FE37AA" w:rsidRPr="00F81C35" w:rsidRDefault="00FE37AA" w:rsidP="00C656C7">
            <w:pPr>
              <w:tabs>
                <w:tab w:val="left" w:pos="288"/>
                <w:tab w:val="left" w:pos="4752"/>
              </w:tabs>
              <w:spacing w:line="240" w:lineRule="exact"/>
              <w:rPr>
                <w:rFonts w:asciiTheme="minorHAnsi" w:eastAsiaTheme="minorHAnsi" w:hAnsiTheme="minorHAnsi"/>
                <w:color w:val="002060"/>
                <w:sz w:val="22"/>
                <w:szCs w:val="22"/>
              </w:rPr>
            </w:pPr>
            <w:r w:rsidRPr="00F81C35">
              <w:rPr>
                <w:rFonts w:asciiTheme="minorHAnsi" w:eastAsiaTheme="minorHAnsi" w:hAnsiTheme="minorHAnsi"/>
                <w:color w:val="002060"/>
                <w:sz w:val="22"/>
                <w:szCs w:val="22"/>
              </w:rPr>
              <w:t>§4.71a Rating</w:t>
            </w:r>
          </w:p>
        </w:tc>
        <w:tc>
          <w:tcPr>
            <w:tcW w:w="1710" w:type="dxa"/>
          </w:tcPr>
          <w:p w:rsidR="00FE37AA" w:rsidRPr="00F81C35" w:rsidRDefault="00FE37AA" w:rsidP="00C656C7">
            <w:pPr>
              <w:tabs>
                <w:tab w:val="left" w:pos="288"/>
                <w:tab w:val="left" w:pos="4752"/>
              </w:tabs>
              <w:spacing w:line="240" w:lineRule="exact"/>
              <w:jc w:val="center"/>
              <w:rPr>
                <w:rFonts w:asciiTheme="minorHAnsi" w:eastAsiaTheme="minorHAnsi" w:hAnsiTheme="minorHAnsi"/>
                <w:color w:val="002060"/>
                <w:sz w:val="22"/>
                <w:szCs w:val="22"/>
              </w:rPr>
            </w:pPr>
            <w:r>
              <w:rPr>
                <w:rFonts w:asciiTheme="minorHAnsi" w:eastAsiaTheme="minorHAnsi" w:hAnsiTheme="minorHAnsi"/>
                <w:color w:val="002060"/>
                <w:sz w:val="22"/>
                <w:szCs w:val="22"/>
              </w:rPr>
              <w:t>1</w:t>
            </w:r>
            <w:r w:rsidRPr="00F81C35">
              <w:rPr>
                <w:rFonts w:asciiTheme="minorHAnsi" w:eastAsiaTheme="minorHAnsi" w:hAnsiTheme="minorHAnsi"/>
                <w:color w:val="002060"/>
                <w:sz w:val="22"/>
                <w:szCs w:val="22"/>
              </w:rPr>
              <w:t>0%</w:t>
            </w:r>
          </w:p>
        </w:tc>
        <w:tc>
          <w:tcPr>
            <w:tcW w:w="1980" w:type="dxa"/>
          </w:tcPr>
          <w:p w:rsidR="00FE37AA" w:rsidRPr="00F81C35" w:rsidRDefault="009E69ED" w:rsidP="009E69ED">
            <w:pPr>
              <w:tabs>
                <w:tab w:val="left" w:pos="288"/>
                <w:tab w:val="left" w:pos="4752"/>
              </w:tabs>
              <w:spacing w:line="240" w:lineRule="exact"/>
              <w:jc w:val="center"/>
              <w:rPr>
                <w:rFonts w:asciiTheme="minorHAnsi" w:eastAsiaTheme="minorHAnsi" w:hAnsiTheme="minorHAnsi"/>
                <w:color w:val="002060"/>
                <w:sz w:val="22"/>
                <w:szCs w:val="22"/>
              </w:rPr>
            </w:pPr>
            <w:r>
              <w:rPr>
                <w:rFonts w:asciiTheme="minorHAnsi" w:eastAsiaTheme="minorHAnsi" w:hAnsiTheme="minorHAnsi"/>
                <w:color w:val="002060"/>
                <w:sz w:val="22"/>
                <w:szCs w:val="22"/>
              </w:rPr>
              <w:t>2</w:t>
            </w:r>
            <w:r w:rsidR="00FE37AA" w:rsidRPr="00F81C35">
              <w:rPr>
                <w:rFonts w:asciiTheme="minorHAnsi" w:eastAsiaTheme="minorHAnsi" w:hAnsiTheme="minorHAnsi"/>
                <w:color w:val="002060"/>
                <w:sz w:val="22"/>
                <w:szCs w:val="22"/>
              </w:rPr>
              <w:t>0%</w:t>
            </w:r>
          </w:p>
        </w:tc>
      </w:tr>
    </w:tbl>
    <w:p w:rsidR="00FE37AA" w:rsidRDefault="009E69ED" w:rsidP="00853B1B">
      <w:pPr>
        <w:pStyle w:val="ListParagraph"/>
        <w:spacing w:after="0" w:line="240" w:lineRule="exact"/>
        <w:ind w:left="0"/>
        <w:rPr>
          <w:szCs w:val="24"/>
        </w:rPr>
      </w:pPr>
      <w:r>
        <w:rPr>
          <w:rFonts w:ascii="Calibri" w:eastAsia="Calibri" w:hAnsi="Calibri"/>
          <w:color w:val="002060"/>
        </w:rPr>
        <w:tab/>
      </w:r>
    </w:p>
    <w:p w:rsidR="006A5960" w:rsidRPr="000C0321" w:rsidRDefault="009E69ED" w:rsidP="000C0321">
      <w:pPr>
        <w:tabs>
          <w:tab w:val="left" w:pos="288"/>
          <w:tab w:val="left" w:pos="4752"/>
        </w:tabs>
        <w:spacing w:line="240" w:lineRule="exact"/>
        <w:jc w:val="both"/>
        <w:rPr>
          <w:color w:val="000080"/>
        </w:rPr>
      </w:pPr>
      <w:r w:rsidRPr="000C0321">
        <w:rPr>
          <w:color w:val="000080"/>
        </w:rPr>
        <w:lastRenderedPageBreak/>
        <w:t xml:space="preserve">Both exams documented spasm and tenderness; neither documented abnormal gait or contour.  Both exams documented pain as the end-point of measurement.  </w:t>
      </w:r>
      <w:r w:rsidR="00CB62BB">
        <w:rPr>
          <w:color w:val="000080"/>
        </w:rPr>
        <w:t xml:space="preserve">The same ambiguous 5° deduction note was also entered on the VA </w:t>
      </w:r>
      <w:proofErr w:type="spellStart"/>
      <w:r w:rsidR="00CB62BB">
        <w:rPr>
          <w:color w:val="000080"/>
        </w:rPr>
        <w:t>thoracolumbar</w:t>
      </w:r>
      <w:proofErr w:type="spellEnd"/>
      <w:r w:rsidR="00CB62BB">
        <w:rPr>
          <w:color w:val="000080"/>
        </w:rPr>
        <w:t xml:space="preserve"> exam, but had no rating implications in this instance.  </w:t>
      </w:r>
      <w:r w:rsidRPr="000C0321">
        <w:rPr>
          <w:color w:val="000080"/>
        </w:rPr>
        <w:t xml:space="preserve">Informal ROM exams and the neurosurgical consult note are equivalent to the comments above for the cervical condition.  The caveat noted in the incidental VA note regarding exercise habits is equally applicable to the </w:t>
      </w:r>
      <w:proofErr w:type="spellStart"/>
      <w:r w:rsidRPr="000C0321">
        <w:rPr>
          <w:color w:val="000080"/>
        </w:rPr>
        <w:t>thoracolumbar</w:t>
      </w:r>
      <w:proofErr w:type="spellEnd"/>
      <w:r w:rsidRPr="000C0321">
        <w:rPr>
          <w:color w:val="000080"/>
        </w:rPr>
        <w:t xml:space="preserve"> rating.  </w:t>
      </w:r>
      <w:r w:rsidR="006A5960" w:rsidRPr="000C0321">
        <w:rPr>
          <w:color w:val="000080"/>
        </w:rPr>
        <w:t xml:space="preserve">The reasonable doubt necessary to default to the most favorable examination for a rating recommendation is mitigated on the same basis as elaborated for the cervical condition.  There was no evidence of ratable peripheral nerve impairment.  The Board therefore recommends no </w:t>
      </w:r>
      <w:proofErr w:type="spellStart"/>
      <w:r w:rsidR="006A5960" w:rsidRPr="000C0321">
        <w:rPr>
          <w:color w:val="000080"/>
        </w:rPr>
        <w:t>recharacterization</w:t>
      </w:r>
      <w:proofErr w:type="spellEnd"/>
      <w:r w:rsidR="006A5960" w:rsidRPr="000C0321">
        <w:rPr>
          <w:color w:val="000080"/>
        </w:rPr>
        <w:t xml:space="preserve"> of the PEB adjudication for the lumbar spine condition.</w:t>
      </w:r>
    </w:p>
    <w:p w:rsidR="009E69ED" w:rsidRPr="000C0321" w:rsidRDefault="009E69ED" w:rsidP="000C0321">
      <w:pPr>
        <w:tabs>
          <w:tab w:val="left" w:pos="288"/>
          <w:tab w:val="left" w:pos="4752"/>
        </w:tabs>
        <w:spacing w:line="240" w:lineRule="exact"/>
        <w:jc w:val="both"/>
        <w:rPr>
          <w:color w:val="000080"/>
        </w:rPr>
      </w:pPr>
    </w:p>
    <w:p w:rsidR="007E6B6F" w:rsidRPr="000C0321" w:rsidRDefault="0073254D" w:rsidP="0060255D">
      <w:pPr>
        <w:tabs>
          <w:tab w:val="left" w:pos="288"/>
          <w:tab w:val="left" w:pos="4752"/>
        </w:tabs>
        <w:spacing w:line="240" w:lineRule="exact"/>
        <w:jc w:val="both"/>
        <w:rPr>
          <w:color w:val="000080"/>
        </w:rPr>
      </w:pPr>
      <w:proofErr w:type="gramStart"/>
      <w:r w:rsidRPr="00927653">
        <w:rPr>
          <w:color w:val="000080"/>
          <w:u w:val="single"/>
        </w:rPr>
        <w:t xml:space="preserve">Other DA </w:t>
      </w:r>
      <w:r w:rsidR="00EB012A">
        <w:rPr>
          <w:color w:val="000080"/>
          <w:u w:val="single"/>
        </w:rPr>
        <w:t xml:space="preserve">Form </w:t>
      </w:r>
      <w:r w:rsidRPr="00927653">
        <w:rPr>
          <w:color w:val="000080"/>
          <w:u w:val="single"/>
        </w:rPr>
        <w:t>3947 Conditions</w:t>
      </w:r>
      <w:r w:rsidR="006A5960" w:rsidRPr="00927653">
        <w:rPr>
          <w:color w:val="000080"/>
          <w:u w:val="single"/>
        </w:rPr>
        <w:t xml:space="preserve"> (Depression, R Foot Condition</w:t>
      </w:r>
      <w:r w:rsidRPr="00927653">
        <w:rPr>
          <w:color w:val="000080"/>
          <w:u w:val="single"/>
        </w:rPr>
        <w:t>)</w:t>
      </w:r>
      <w:r w:rsidRPr="000C0321">
        <w:rPr>
          <w:color w:val="000080"/>
        </w:rPr>
        <w:t>.</w:t>
      </w:r>
      <w:proofErr w:type="gramEnd"/>
      <w:r w:rsidRPr="000C0321">
        <w:rPr>
          <w:color w:val="000080"/>
        </w:rPr>
        <w:t xml:space="preserve">  </w:t>
      </w:r>
      <w:r w:rsidR="00C6122D" w:rsidRPr="000C0321">
        <w:rPr>
          <w:color w:val="000080"/>
        </w:rPr>
        <w:t xml:space="preserve">The CI was diagnosed with non-specific depressive disorder shortly prior to separation.  He first presented to Behavioral Health </w:t>
      </w:r>
      <w:r w:rsidR="00BD18A9" w:rsidRPr="000C0321">
        <w:rPr>
          <w:color w:val="000080"/>
        </w:rPr>
        <w:t>less than four months prior to separation</w:t>
      </w:r>
      <w:r w:rsidR="00C656C7" w:rsidRPr="000C0321">
        <w:rPr>
          <w:color w:val="000080"/>
        </w:rPr>
        <w:t>.  He manifested no acute psychiatric features</w:t>
      </w:r>
      <w:r w:rsidR="00BD18A9" w:rsidRPr="000C0321">
        <w:rPr>
          <w:color w:val="000080"/>
        </w:rPr>
        <w:t xml:space="preserve"> and was placed on an anti-depressant</w:t>
      </w:r>
      <w:r w:rsidR="00C656C7" w:rsidRPr="000C0321">
        <w:rPr>
          <w:color w:val="000080"/>
        </w:rPr>
        <w:t xml:space="preserve">.  </w:t>
      </w:r>
      <w:r w:rsidR="00BD18A9" w:rsidRPr="000C0321">
        <w:rPr>
          <w:color w:val="000080"/>
        </w:rPr>
        <w:t>Serial</w:t>
      </w:r>
      <w:r w:rsidR="00C656C7" w:rsidRPr="000C0321">
        <w:rPr>
          <w:color w:val="000080"/>
        </w:rPr>
        <w:t xml:space="preserve"> mental status examinations were normal.  His Axis I PTSD diagnosis did not evolve until after separation.  </w:t>
      </w:r>
      <w:r w:rsidR="0060255D">
        <w:rPr>
          <w:color w:val="000080"/>
        </w:rPr>
        <w:t>The Criterion A stressor applied by the VA was stated as, ‘</w:t>
      </w:r>
      <w:r w:rsidR="0060255D" w:rsidRPr="0060255D">
        <w:rPr>
          <w:color w:val="000080"/>
        </w:rPr>
        <w:t>The patient reports nightmares and flashbacks about</w:t>
      </w:r>
      <w:r w:rsidR="0060255D">
        <w:rPr>
          <w:color w:val="000080"/>
        </w:rPr>
        <w:t xml:space="preserve"> </w:t>
      </w:r>
      <w:r w:rsidR="0060255D" w:rsidRPr="0060255D">
        <w:rPr>
          <w:color w:val="000080"/>
        </w:rPr>
        <w:t xml:space="preserve">his injury in the service. </w:t>
      </w:r>
      <w:r w:rsidR="0060255D">
        <w:rPr>
          <w:color w:val="000080"/>
        </w:rPr>
        <w:t xml:space="preserve"> </w:t>
      </w:r>
      <w:r w:rsidR="0060255D" w:rsidRPr="0060255D">
        <w:rPr>
          <w:color w:val="000080"/>
        </w:rPr>
        <w:t>This basically involves him injuring his back</w:t>
      </w:r>
      <w:r w:rsidR="0060255D">
        <w:rPr>
          <w:color w:val="000080"/>
        </w:rPr>
        <w:t xml:space="preserve"> </w:t>
      </w:r>
      <w:r w:rsidR="0060255D" w:rsidRPr="0060255D">
        <w:rPr>
          <w:color w:val="000080"/>
        </w:rPr>
        <w:t>and neck when a pallet came loose from a plane and hit him.</w:t>
      </w:r>
      <w:r w:rsidR="0060255D">
        <w:rPr>
          <w:color w:val="000080"/>
        </w:rPr>
        <w:t xml:space="preserve">’  </w:t>
      </w:r>
      <w:r w:rsidR="00C656C7" w:rsidRPr="000C0321">
        <w:rPr>
          <w:color w:val="000080"/>
        </w:rPr>
        <w:t>A psychiatrist’s statement to the MEB specified ‘His condition does not disqualify him for continued military service and will not require submission of a medical board addendum.</w:t>
      </w:r>
      <w:r w:rsidR="00BD18A9" w:rsidRPr="000C0321">
        <w:rPr>
          <w:color w:val="000080"/>
        </w:rPr>
        <w:t>’</w:t>
      </w:r>
      <w:r w:rsidR="00C656C7" w:rsidRPr="000C0321">
        <w:rPr>
          <w:color w:val="000080"/>
        </w:rPr>
        <w:t xml:space="preserve">  A psychiatric condition was not noted in the Commander’s statement and no mental impairments were described</w:t>
      </w:r>
      <w:r w:rsidR="00D215FC" w:rsidRPr="000C0321">
        <w:rPr>
          <w:color w:val="000080"/>
        </w:rPr>
        <w:t xml:space="preserve"> by the Commander or in </w:t>
      </w:r>
      <w:r w:rsidR="00BD18A9" w:rsidRPr="000C0321">
        <w:rPr>
          <w:color w:val="000080"/>
        </w:rPr>
        <w:t>enlisted evaluation reports</w:t>
      </w:r>
      <w:r w:rsidR="00C656C7" w:rsidRPr="000C0321">
        <w:rPr>
          <w:color w:val="000080"/>
        </w:rPr>
        <w:t xml:space="preserve">.  </w:t>
      </w:r>
      <w:r w:rsidR="00D215FC" w:rsidRPr="000C0321">
        <w:rPr>
          <w:color w:val="000080"/>
        </w:rPr>
        <w:t xml:space="preserve">The physical profile was S1 without weapon restriction.  There is not reasonable doubt in the CI’s favor supporting </w:t>
      </w:r>
      <w:proofErr w:type="spellStart"/>
      <w:r w:rsidR="00D215FC" w:rsidRPr="000C0321">
        <w:rPr>
          <w:color w:val="000080"/>
        </w:rPr>
        <w:t>recharacterization</w:t>
      </w:r>
      <w:proofErr w:type="spellEnd"/>
      <w:r w:rsidR="00D215FC" w:rsidRPr="000C0321">
        <w:rPr>
          <w:color w:val="000080"/>
        </w:rPr>
        <w:t xml:space="preserve"> of the PEB fitness adjudication for the psychiatric condition.  </w:t>
      </w:r>
    </w:p>
    <w:p w:rsidR="007E6B6F" w:rsidRPr="000C0321" w:rsidRDefault="007E6B6F" w:rsidP="000C0321">
      <w:pPr>
        <w:tabs>
          <w:tab w:val="left" w:pos="288"/>
          <w:tab w:val="left" w:pos="4752"/>
        </w:tabs>
        <w:spacing w:line="240" w:lineRule="exact"/>
        <w:jc w:val="both"/>
        <w:rPr>
          <w:color w:val="000080"/>
        </w:rPr>
      </w:pPr>
    </w:p>
    <w:p w:rsidR="00D215FC" w:rsidRPr="000C0321" w:rsidRDefault="00D215FC" w:rsidP="000C0321">
      <w:pPr>
        <w:tabs>
          <w:tab w:val="left" w:pos="288"/>
          <w:tab w:val="left" w:pos="4752"/>
        </w:tabs>
        <w:spacing w:line="240" w:lineRule="exact"/>
        <w:jc w:val="both"/>
        <w:rPr>
          <w:color w:val="000080"/>
        </w:rPr>
      </w:pPr>
      <w:r w:rsidRPr="000C0321">
        <w:rPr>
          <w:color w:val="000080"/>
        </w:rPr>
        <w:t xml:space="preserve">Although the DA </w:t>
      </w:r>
      <w:r w:rsidR="00EB012A">
        <w:rPr>
          <w:color w:val="000080"/>
        </w:rPr>
        <w:t xml:space="preserve">Form </w:t>
      </w:r>
      <w:r w:rsidRPr="000C0321">
        <w:rPr>
          <w:color w:val="000080"/>
        </w:rPr>
        <w:t xml:space="preserve">3947 forwarded right foot pain as a medically acceptable condition, it was not elaborated in the NARSUM nor is it entirely clear in the service record </w:t>
      </w:r>
      <w:r w:rsidR="00252255" w:rsidRPr="000C0321">
        <w:rPr>
          <w:color w:val="000080"/>
        </w:rPr>
        <w:t xml:space="preserve">what condition was being referred to.  There are two podiatry visits in evidence during the MEB period, but they were for a bilateral congenital foot deformity.  The MEB physical also documented a bilateral hammer toe condition.  The VA rating examiner yielded a diagnosis of </w:t>
      </w:r>
      <w:proofErr w:type="spellStart"/>
      <w:r w:rsidR="00252255" w:rsidRPr="000C0321">
        <w:rPr>
          <w:color w:val="000080"/>
        </w:rPr>
        <w:t>exostosis</w:t>
      </w:r>
      <w:proofErr w:type="spellEnd"/>
      <w:r w:rsidR="00252255" w:rsidRPr="000C0321">
        <w:rPr>
          <w:color w:val="000080"/>
        </w:rPr>
        <w:t xml:space="preserve"> (bone spur) of the right foot for which he was rated 10%.  This was based on a six month history of pain.  A service x-ray of the foot was normal.  The VA exam stated ‘He does not have any limitation with standing and walking.  He does not require any type of support with his shoes.’  A foot condition was not noted on the profile or in the Commander’s statement.  </w:t>
      </w:r>
      <w:r w:rsidR="007E6B6F" w:rsidRPr="000C0321">
        <w:rPr>
          <w:color w:val="000080"/>
        </w:rPr>
        <w:t xml:space="preserve">There is not reasonable doubt in the CI’s favor supporting </w:t>
      </w:r>
      <w:proofErr w:type="spellStart"/>
      <w:r w:rsidR="007E6B6F" w:rsidRPr="000C0321">
        <w:rPr>
          <w:color w:val="000080"/>
        </w:rPr>
        <w:t>recharacterization</w:t>
      </w:r>
      <w:proofErr w:type="spellEnd"/>
      <w:r w:rsidR="007E6B6F" w:rsidRPr="000C0321">
        <w:rPr>
          <w:color w:val="000080"/>
        </w:rPr>
        <w:t xml:space="preserve"> of the PEB fitness adjudication for the right foot condition.  </w:t>
      </w:r>
    </w:p>
    <w:p w:rsidR="007E6B6F" w:rsidRPr="000C0321" w:rsidRDefault="007E6B6F" w:rsidP="000C0321">
      <w:pPr>
        <w:tabs>
          <w:tab w:val="left" w:pos="288"/>
          <w:tab w:val="left" w:pos="4752"/>
        </w:tabs>
        <w:spacing w:line="240" w:lineRule="exact"/>
        <w:jc w:val="both"/>
        <w:rPr>
          <w:color w:val="000080"/>
        </w:rPr>
      </w:pPr>
    </w:p>
    <w:p w:rsidR="00C64BEF" w:rsidRDefault="002C6E5B" w:rsidP="000C0321">
      <w:pPr>
        <w:tabs>
          <w:tab w:val="left" w:pos="288"/>
          <w:tab w:val="left" w:pos="4752"/>
        </w:tabs>
        <w:spacing w:line="240" w:lineRule="exact"/>
        <w:jc w:val="both"/>
        <w:rPr>
          <w:rFonts w:asciiTheme="minorHAnsi" w:eastAsiaTheme="minorHAnsi" w:hAnsiTheme="minorHAnsi"/>
          <w:color w:val="auto"/>
          <w:szCs w:val="24"/>
        </w:rPr>
      </w:pPr>
      <w:proofErr w:type="gramStart"/>
      <w:r w:rsidRPr="000C0321">
        <w:rPr>
          <w:color w:val="000080"/>
          <w:u w:val="single"/>
        </w:rPr>
        <w:lastRenderedPageBreak/>
        <w:t>Other Conditions</w:t>
      </w:r>
      <w:r w:rsidRPr="000C0321">
        <w:rPr>
          <w:color w:val="000080"/>
        </w:rPr>
        <w:t>.</w:t>
      </w:r>
      <w:proofErr w:type="gramEnd"/>
      <w:r w:rsidRPr="000C0321">
        <w:rPr>
          <w:color w:val="000080"/>
        </w:rPr>
        <w:t xml:space="preserve">  </w:t>
      </w:r>
      <w:r w:rsidR="007E6B6F" w:rsidRPr="000C0321">
        <w:rPr>
          <w:color w:val="000080"/>
        </w:rPr>
        <w:t xml:space="preserve">In addition to the conditions already discussed, the CI listed </w:t>
      </w:r>
      <w:r w:rsidR="00BD18A9" w:rsidRPr="000C0321">
        <w:rPr>
          <w:color w:val="000080"/>
        </w:rPr>
        <w:t>multiple</w:t>
      </w:r>
      <w:r w:rsidR="007E6B6F" w:rsidRPr="000C0321">
        <w:rPr>
          <w:color w:val="000080"/>
        </w:rPr>
        <w:t xml:space="preserve"> other conditions or complaints on the MEB physical.  </w:t>
      </w:r>
      <w:r w:rsidR="00E56FD5" w:rsidRPr="000C0321">
        <w:rPr>
          <w:color w:val="000080"/>
        </w:rPr>
        <w:t>Some</w:t>
      </w:r>
      <w:r w:rsidR="007E6B6F" w:rsidRPr="000C0321">
        <w:rPr>
          <w:color w:val="000080"/>
        </w:rPr>
        <w:t xml:space="preserve"> are not relevant for Board consideration as additionally unfitting, but </w:t>
      </w:r>
      <w:r w:rsidR="00E56FD5" w:rsidRPr="000C0321">
        <w:rPr>
          <w:color w:val="000080"/>
        </w:rPr>
        <w:t>some</w:t>
      </w:r>
      <w:r w:rsidR="007E6B6F" w:rsidRPr="000C0321">
        <w:rPr>
          <w:color w:val="000080"/>
        </w:rPr>
        <w:t xml:space="preserve"> merit scrutiny.  </w:t>
      </w:r>
      <w:r w:rsidR="00AF2423" w:rsidRPr="000C0321">
        <w:rPr>
          <w:color w:val="000080"/>
        </w:rPr>
        <w:t xml:space="preserve">None of </w:t>
      </w:r>
      <w:r w:rsidR="00BD18A9" w:rsidRPr="000C0321">
        <w:rPr>
          <w:color w:val="000080"/>
        </w:rPr>
        <w:t>these</w:t>
      </w:r>
      <w:r w:rsidR="00AF2423" w:rsidRPr="000C0321">
        <w:rPr>
          <w:color w:val="000080"/>
        </w:rPr>
        <w:t xml:space="preserve"> conditions were covered by physical profile or noted in the Commander’s statement.  The CI related an intermittent history of wheezing associated with exercise for which he </w:t>
      </w:r>
      <w:r w:rsidR="00BD18A9" w:rsidRPr="000C0321">
        <w:rPr>
          <w:color w:val="000080"/>
        </w:rPr>
        <w:t>periodically used</w:t>
      </w:r>
      <w:r w:rsidR="00AF2423" w:rsidRPr="000C0321">
        <w:rPr>
          <w:color w:val="000080"/>
        </w:rPr>
        <w:t xml:space="preserve"> an inhaler.  He related the onset to toxic fume exposure in Iraq per a VA note.  His MEB medication list does not include a bronchodilator or other asthma medications.  There are no emergency or primary care visits for respiratory symptoms during the MEB period.  The profile was P1.  Bilateral hearing impairment was mentioned.  It was not service connected by the VA and audiometric findings were not compensable.  The profile was H1.  </w:t>
      </w:r>
      <w:r w:rsidR="0070188A" w:rsidRPr="000C0321">
        <w:rPr>
          <w:color w:val="000080"/>
        </w:rPr>
        <w:t xml:space="preserve">The CI had a prior history of right shoulder injury and arthroscopy.  There is no evidence of issues with it until </w:t>
      </w:r>
      <w:r w:rsidR="00E56FD5" w:rsidRPr="000C0321">
        <w:rPr>
          <w:color w:val="000080"/>
        </w:rPr>
        <w:t xml:space="preserve">a complaint of right shoulder pain on the MEB physical.  No abnormal shoulder exams or active complaints are in evidence during the MEB period otherwise.  Similar observations are applicable to left knee and right ankle complaints on the MEB physical.  </w:t>
      </w:r>
      <w:r w:rsidR="00C64BEF" w:rsidRPr="000C0321">
        <w:rPr>
          <w:color w:val="000080"/>
        </w:rPr>
        <w:t xml:space="preserve">Acid reflux (GERD) was noted on the physical.  Although the condition was rated 10% by the VA, the rating examiner described no active symptoms or treatment.  Headaches and dizziness were reported on the physical.  These surfaced in conjunction with a TBI claim to the VA, but were not clinically active during the MEB period.  </w:t>
      </w:r>
      <w:r w:rsidR="007E6B6F" w:rsidRPr="000C0321">
        <w:rPr>
          <w:color w:val="000080"/>
        </w:rPr>
        <w:t xml:space="preserve">The CI was diagnosed with obstructive sleep apnea (OSA) less than </w:t>
      </w:r>
      <w:r w:rsidR="00A64C32" w:rsidRPr="000C0321">
        <w:rPr>
          <w:color w:val="000080"/>
        </w:rPr>
        <w:t>two months prior to separation.</w:t>
      </w:r>
      <w:r w:rsidR="00C64BEF" w:rsidRPr="000C0321">
        <w:rPr>
          <w:color w:val="000080"/>
        </w:rPr>
        <w:t xml:space="preserve">  OSA was not noted in the NARSUM, mentioned on the MEB physical or contended to the PEB.  The same is true of the PTSD diagnosis.  The Board does not have the authority under </w:t>
      </w:r>
      <w:proofErr w:type="spellStart"/>
      <w:r w:rsidR="00C64BEF" w:rsidRPr="000C0321">
        <w:rPr>
          <w:color w:val="000080"/>
        </w:rPr>
        <w:t>DoDI</w:t>
      </w:r>
      <w:proofErr w:type="spellEnd"/>
      <w:r w:rsidR="00C64BEF" w:rsidRPr="000C0321">
        <w:rPr>
          <w:color w:val="000080"/>
        </w:rPr>
        <w:t xml:space="preserve"> 6040.44 to render fitness or rating recommendations for any conditions not considered by the DES.  The OSA, PTSD and any contended conditions not covered above remain eligible for </w:t>
      </w:r>
      <w:r w:rsidR="00EB012A">
        <w:rPr>
          <w:color w:val="000080"/>
        </w:rPr>
        <w:t>Army Board of Correction for Military Records (ABCMR)</w:t>
      </w:r>
      <w:r w:rsidR="00C64BEF" w:rsidRPr="000C0321">
        <w:rPr>
          <w:color w:val="000080"/>
        </w:rPr>
        <w:t xml:space="preserve"> consideration.  </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A90D55" w:rsidRPr="00A90D55" w:rsidRDefault="00A90D55" w:rsidP="00875F2D">
      <w:pPr>
        <w:tabs>
          <w:tab w:val="left" w:pos="288"/>
          <w:tab w:val="left" w:pos="4752"/>
        </w:tabs>
        <w:spacing w:line="240" w:lineRule="exact"/>
        <w:jc w:val="both"/>
        <w:rPr>
          <w:color w:val="000080"/>
        </w:rPr>
      </w:pPr>
    </w:p>
    <w:p w:rsidR="004E3B55" w:rsidRDefault="00C56FC8" w:rsidP="0060255D">
      <w:pPr>
        <w:tabs>
          <w:tab w:val="left" w:pos="288"/>
          <w:tab w:val="left" w:pos="4752"/>
        </w:tabs>
        <w:spacing w:line="240" w:lineRule="exact"/>
        <w:jc w:val="both"/>
        <w:rPr>
          <w:color w:val="000080"/>
        </w:rPr>
      </w:pPr>
      <w:r w:rsidRPr="00927653">
        <w:rPr>
          <w:color w:val="000080"/>
          <w:u w:val="single"/>
        </w:rPr>
        <w:t>BOARD FINDINGS</w:t>
      </w:r>
      <w:r w:rsidRPr="00927653">
        <w:rPr>
          <w:color w:val="000080"/>
        </w:rPr>
        <w:t xml:space="preserve">:  IAW </w:t>
      </w:r>
      <w:proofErr w:type="spellStart"/>
      <w:r w:rsidRPr="00927653">
        <w:rPr>
          <w:color w:val="000080"/>
        </w:rPr>
        <w:t>DoDI</w:t>
      </w:r>
      <w:proofErr w:type="spellEnd"/>
      <w:r w:rsidRPr="00927653">
        <w:rPr>
          <w:color w:val="000080"/>
        </w:rPr>
        <w:t xml:space="preserve"> 6040.44, provisions of </w:t>
      </w:r>
      <w:proofErr w:type="spellStart"/>
      <w:r w:rsidRPr="00927653">
        <w:rPr>
          <w:color w:val="000080"/>
        </w:rPr>
        <w:t>DoD</w:t>
      </w:r>
      <w:proofErr w:type="spellEnd"/>
      <w:r w:rsidRPr="00927653">
        <w:rPr>
          <w:color w:val="000080"/>
        </w:rPr>
        <w:t xml:space="preserve"> or Military Department regulations or guidelines relied upon by the PEB will not be considered by the Board to the extent they were inconsistent with the VASRD in effect at the time of the adjudication. </w:t>
      </w:r>
      <w:r w:rsidR="001D68CF" w:rsidRPr="00927653">
        <w:rPr>
          <w:color w:val="000080"/>
        </w:rPr>
        <w:t xml:space="preserve"> </w:t>
      </w:r>
      <w:r w:rsidR="002321E9" w:rsidRPr="00927653">
        <w:rPr>
          <w:color w:val="000080"/>
        </w:rPr>
        <w:t xml:space="preserve">As discussed above, PEB reliance on the USAPDA pain policy for rating the cervical and lumbar conditions was operant in this case and the conditions were adjudicated independently of that policy by the Board.  In the matter of the cervical condition and IAW VASRD §4.71a, the Board unanimously recommends no change in the PEB adjudication.  In the matter of the </w:t>
      </w:r>
      <w:proofErr w:type="spellStart"/>
      <w:r w:rsidR="002321E9" w:rsidRPr="00927653">
        <w:rPr>
          <w:color w:val="000080"/>
        </w:rPr>
        <w:t>thoracolumbar</w:t>
      </w:r>
      <w:proofErr w:type="spellEnd"/>
      <w:r w:rsidR="002321E9" w:rsidRPr="00927653">
        <w:rPr>
          <w:color w:val="000080"/>
        </w:rPr>
        <w:t xml:space="preserve"> condition and IAW VASRD §4.71a, the Board </w:t>
      </w:r>
      <w:r w:rsidR="00927653" w:rsidRPr="00927653">
        <w:rPr>
          <w:color w:val="000080"/>
        </w:rPr>
        <w:t>by a 2:1 vote</w:t>
      </w:r>
      <w:r w:rsidR="002321E9" w:rsidRPr="00927653">
        <w:rPr>
          <w:color w:val="000080"/>
        </w:rPr>
        <w:t xml:space="preserve"> recommends no change in the PEB adjudication.  </w:t>
      </w:r>
      <w:r w:rsidR="00927653" w:rsidRPr="00927653">
        <w:rPr>
          <w:color w:val="000080"/>
        </w:rPr>
        <w:t xml:space="preserve">The single voter for dissent (who recommended adopting the VA rating of 20%) submitted the </w:t>
      </w:r>
      <w:proofErr w:type="spellStart"/>
      <w:r w:rsidR="00927653" w:rsidRPr="00927653">
        <w:rPr>
          <w:color w:val="000080"/>
        </w:rPr>
        <w:t>addended</w:t>
      </w:r>
      <w:proofErr w:type="spellEnd"/>
      <w:r w:rsidR="00927653" w:rsidRPr="00927653">
        <w:rPr>
          <w:color w:val="000080"/>
        </w:rPr>
        <w:t xml:space="preserve"> minority opinion.  </w:t>
      </w:r>
      <w:r w:rsidR="002321E9" w:rsidRPr="00927653">
        <w:rPr>
          <w:color w:val="000080"/>
        </w:rPr>
        <w:t xml:space="preserve">In the matter of the depression and right foot conditions, the Board unanimously recommends no </w:t>
      </w:r>
      <w:proofErr w:type="spellStart"/>
      <w:r w:rsidR="002321E9" w:rsidRPr="00927653">
        <w:rPr>
          <w:color w:val="000080"/>
        </w:rPr>
        <w:t>recharacterization</w:t>
      </w:r>
      <w:proofErr w:type="spellEnd"/>
      <w:r w:rsidR="002321E9" w:rsidRPr="00927653">
        <w:rPr>
          <w:color w:val="000080"/>
        </w:rPr>
        <w:t xml:space="preserve"> of the PEB adjudication as not unfitting.  In the matter of the asthma, bilateral hearing impairment, right shoulder condition, left </w:t>
      </w:r>
      <w:r w:rsidR="002321E9" w:rsidRPr="00927653">
        <w:rPr>
          <w:color w:val="000080"/>
        </w:rPr>
        <w:lastRenderedPageBreak/>
        <w:t>knee condition, right ankle condition, acid reflux, headache condition</w:t>
      </w:r>
      <w:r w:rsidR="004E3B55" w:rsidRPr="00927653">
        <w:rPr>
          <w:color w:val="000080"/>
        </w:rPr>
        <w:t xml:space="preserve"> </w:t>
      </w:r>
      <w:r w:rsidR="002321E9" w:rsidRPr="00927653">
        <w:rPr>
          <w:color w:val="000080"/>
        </w:rPr>
        <w:t>or any other medical conditions eligible for Board consideration; the Board unanimously agrees that it cannot recommend any findings of unfit for additional rating at separation.</w:t>
      </w:r>
    </w:p>
    <w:p w:rsidR="00EB012A" w:rsidRDefault="00EB012A" w:rsidP="0060255D">
      <w:pPr>
        <w:tabs>
          <w:tab w:val="left" w:pos="288"/>
          <w:tab w:val="left" w:pos="4752"/>
        </w:tabs>
        <w:spacing w:line="240" w:lineRule="exact"/>
        <w:jc w:val="both"/>
        <w:rPr>
          <w:rFonts w:asciiTheme="minorHAnsi" w:hAnsiTheme="minorHAnsi"/>
          <w:color w:val="000080"/>
          <w:szCs w:val="24"/>
          <w:u w:val="single"/>
        </w:rPr>
      </w:pPr>
    </w:p>
    <w:p w:rsidR="004E3B55" w:rsidRPr="00927653" w:rsidRDefault="00C56FC8" w:rsidP="00927653">
      <w:pPr>
        <w:tabs>
          <w:tab w:val="left" w:pos="288"/>
          <w:tab w:val="left" w:pos="4752"/>
        </w:tabs>
        <w:spacing w:line="240" w:lineRule="exact"/>
        <w:jc w:val="both"/>
        <w:rPr>
          <w:color w:val="000080"/>
        </w:rPr>
      </w:pPr>
      <w:r w:rsidRPr="00927653">
        <w:rPr>
          <w:color w:val="000080"/>
          <w:u w:val="single"/>
        </w:rPr>
        <w:t>RECOMMENDATION</w:t>
      </w:r>
      <w:r w:rsidRPr="00927653">
        <w:rPr>
          <w:color w:val="000080"/>
        </w:rPr>
        <w:t xml:space="preserve">: </w:t>
      </w:r>
      <w:r w:rsidR="004E3B55" w:rsidRPr="00927653">
        <w:rPr>
          <w:color w:val="000080"/>
        </w:rPr>
        <w:t xml:space="preserve">The Board therefore recommends that there be no </w:t>
      </w:r>
      <w:proofErr w:type="spellStart"/>
      <w:r w:rsidR="004E3B55" w:rsidRPr="00927653">
        <w:rPr>
          <w:color w:val="000080"/>
        </w:rPr>
        <w:t>recharacterization</w:t>
      </w:r>
      <w:proofErr w:type="spellEnd"/>
      <w:r w:rsidR="004E3B55" w:rsidRPr="00927653">
        <w:rPr>
          <w:color w:val="000080"/>
        </w:rPr>
        <w:t xml:space="preserve"> of the CI’s disability and separation determination.</w:t>
      </w:r>
    </w:p>
    <w:p w:rsidR="00B522CD"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D91DA6" w:rsidRDefault="00D91DA6" w:rsidP="00875F2D">
      <w:pPr>
        <w:tabs>
          <w:tab w:val="left" w:pos="288"/>
          <w:tab w:val="left" w:pos="4752"/>
        </w:tabs>
        <w:spacing w:line="240" w:lineRule="exact"/>
        <w:jc w:val="both"/>
        <w:rPr>
          <w:color w:val="000080"/>
        </w:rPr>
      </w:pPr>
    </w:p>
    <w:p w:rsidR="00D91DA6" w:rsidRDefault="00114F20" w:rsidP="00875F2D">
      <w:pPr>
        <w:tabs>
          <w:tab w:val="left" w:pos="288"/>
          <w:tab w:val="left" w:pos="4752"/>
        </w:tabs>
        <w:spacing w:line="240" w:lineRule="exact"/>
        <w:jc w:val="both"/>
        <w:rPr>
          <w:color w:val="000080"/>
        </w:rPr>
      </w:pPr>
      <w:r>
        <w:rPr>
          <w:color w:val="000080"/>
        </w:rPr>
        <w:t>The following documentary evidence was considered:</w:t>
      </w:r>
    </w:p>
    <w:p w:rsidR="00114F20" w:rsidRDefault="00114F20" w:rsidP="00875F2D">
      <w:pPr>
        <w:tabs>
          <w:tab w:val="left" w:pos="288"/>
          <w:tab w:val="left" w:pos="4752"/>
        </w:tabs>
        <w:spacing w:line="240" w:lineRule="exact"/>
        <w:jc w:val="both"/>
        <w:rPr>
          <w:color w:val="000080"/>
        </w:rPr>
      </w:pPr>
    </w:p>
    <w:p w:rsidR="00114F20" w:rsidRDefault="0051146C" w:rsidP="00875F2D">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w:t>
      </w:r>
      <w:r w:rsidR="0019273F">
        <w:rPr>
          <w:color w:val="000080"/>
        </w:rPr>
        <w:t>2009</w:t>
      </w:r>
      <w:r w:rsidR="00C10356">
        <w:rPr>
          <w:color w:val="000080"/>
        </w:rPr>
        <w:t>0210</w:t>
      </w:r>
      <w:r w:rsidR="00114F20">
        <w:rPr>
          <w:color w:val="000080"/>
        </w:rPr>
        <w:t>, w/</w:t>
      </w:r>
      <w:proofErr w:type="spellStart"/>
      <w:r w:rsidR="00114F20">
        <w:rPr>
          <w:color w:val="000080"/>
        </w:rPr>
        <w:t>atchs</w:t>
      </w:r>
      <w:proofErr w:type="spellEnd"/>
      <w:r w:rsidR="00114F20">
        <w:rPr>
          <w:color w:val="000080"/>
        </w:rPr>
        <w:t>.</w:t>
      </w:r>
    </w:p>
    <w:p w:rsidR="00114F20" w:rsidRDefault="00114F20" w:rsidP="00875F2D">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875F2D">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Pr="00D91DA6" w:rsidRDefault="00114F20" w:rsidP="00875F2D">
      <w:pPr>
        <w:tabs>
          <w:tab w:val="left" w:pos="288"/>
          <w:tab w:val="left" w:pos="4752"/>
        </w:tabs>
        <w:spacing w:line="240" w:lineRule="exact"/>
        <w:jc w:val="both"/>
        <w:rPr>
          <w:color w:val="000080"/>
        </w:rPr>
      </w:pPr>
    </w:p>
    <w:p w:rsidR="00B5511B" w:rsidRDefault="00B5511B">
      <w:pPr>
        <w:rPr>
          <w:color w:val="000080"/>
        </w:rPr>
      </w:pPr>
      <w:r>
        <w:rPr>
          <w:color w:val="000080"/>
        </w:rPr>
        <w:br w:type="page"/>
      </w:r>
    </w:p>
    <w:p w:rsidR="00AA04B3" w:rsidRPr="00EB012A" w:rsidRDefault="00B5511B" w:rsidP="00B5511B">
      <w:pPr>
        <w:tabs>
          <w:tab w:val="left" w:pos="288"/>
          <w:tab w:val="left" w:pos="4320"/>
          <w:tab w:val="left" w:pos="4410"/>
          <w:tab w:val="left" w:pos="4770"/>
          <w:tab w:val="left" w:pos="4860"/>
          <w:tab w:val="left" w:pos="5040"/>
        </w:tabs>
        <w:spacing w:line="240" w:lineRule="exact"/>
        <w:jc w:val="both"/>
        <w:rPr>
          <w:color w:val="002060"/>
          <w:szCs w:val="24"/>
          <w:u w:val="single"/>
        </w:rPr>
      </w:pPr>
      <w:r w:rsidRPr="00EB012A">
        <w:rPr>
          <w:color w:val="002060"/>
          <w:szCs w:val="24"/>
          <w:u w:val="single"/>
        </w:rPr>
        <w:lastRenderedPageBreak/>
        <w:t>MINORITY OPINION</w:t>
      </w:r>
    </w:p>
    <w:p w:rsidR="00B5511B" w:rsidRPr="00A51A68" w:rsidRDefault="00B5511B" w:rsidP="00B5511B">
      <w:pPr>
        <w:tabs>
          <w:tab w:val="left" w:pos="288"/>
          <w:tab w:val="left" w:pos="4320"/>
          <w:tab w:val="left" w:pos="4410"/>
          <w:tab w:val="left" w:pos="4770"/>
          <w:tab w:val="left" w:pos="4860"/>
          <w:tab w:val="left" w:pos="5040"/>
        </w:tabs>
        <w:spacing w:line="240" w:lineRule="exact"/>
        <w:jc w:val="both"/>
        <w:rPr>
          <w:color w:val="002060"/>
          <w:szCs w:val="24"/>
        </w:rPr>
      </w:pPr>
    </w:p>
    <w:p w:rsidR="00B5511B" w:rsidRPr="00EB012A" w:rsidRDefault="00B5511B" w:rsidP="00EB012A">
      <w:pPr>
        <w:pStyle w:val="PlainText"/>
        <w:spacing w:line="240" w:lineRule="exact"/>
        <w:jc w:val="both"/>
        <w:rPr>
          <w:rFonts w:ascii="Courier" w:hAnsi="Courier"/>
          <w:color w:val="002060"/>
          <w:sz w:val="24"/>
          <w:szCs w:val="24"/>
        </w:rPr>
      </w:pPr>
      <w:r w:rsidRPr="00EB012A">
        <w:rPr>
          <w:rFonts w:ascii="Courier" w:hAnsi="Courier"/>
          <w:color w:val="002060"/>
          <w:sz w:val="24"/>
          <w:szCs w:val="24"/>
        </w:rPr>
        <w:t>I non-concur with the Majority</w:t>
      </w:r>
      <w:r w:rsidRPr="00EB012A">
        <w:rPr>
          <w:rFonts w:ascii="Courier" w:hAnsiTheme="minorHAnsi"/>
          <w:color w:val="002060"/>
          <w:sz w:val="24"/>
          <w:szCs w:val="24"/>
        </w:rPr>
        <w:t>’</w:t>
      </w:r>
      <w:r w:rsidRPr="00EB012A">
        <w:rPr>
          <w:rFonts w:ascii="Courier" w:hAnsi="Courier"/>
          <w:color w:val="002060"/>
          <w:sz w:val="24"/>
          <w:szCs w:val="24"/>
        </w:rPr>
        <w:t>s decision and contend that the CI</w:t>
      </w:r>
      <w:r w:rsidR="00EB012A">
        <w:rPr>
          <w:rFonts w:ascii="Courier" w:hAnsi="Courier"/>
          <w:color w:val="002060"/>
          <w:sz w:val="24"/>
          <w:szCs w:val="24"/>
        </w:rPr>
        <w:t xml:space="preserve">  </w:t>
      </w:r>
      <w:r w:rsidRPr="00EB012A">
        <w:rPr>
          <w:rFonts w:ascii="Courier" w:hAnsi="Courier"/>
          <w:color w:val="002060"/>
          <w:sz w:val="24"/>
          <w:szCs w:val="24"/>
        </w:rPr>
        <w:t xml:space="preserve"> should receive a 30% combined disability for 10% (Neck 5242) and 20% (Back 5242):</w:t>
      </w:r>
    </w:p>
    <w:p w:rsidR="00B5511B" w:rsidRPr="00A51A68" w:rsidRDefault="00B5511B" w:rsidP="002E20CE">
      <w:pPr>
        <w:pStyle w:val="PlainText"/>
        <w:spacing w:line="240" w:lineRule="exact"/>
        <w:jc w:val="both"/>
        <w:rPr>
          <w:rFonts w:ascii="Courier" w:hAnsi="Courier"/>
          <w:color w:val="002060"/>
          <w:sz w:val="24"/>
          <w:szCs w:val="24"/>
        </w:rPr>
      </w:pPr>
    </w:p>
    <w:p w:rsidR="00B5511B" w:rsidRDefault="00B5511B" w:rsidP="002E20CE">
      <w:pPr>
        <w:pStyle w:val="PlainText"/>
        <w:numPr>
          <w:ilvl w:val="0"/>
          <w:numId w:val="1"/>
        </w:numPr>
        <w:spacing w:line="240" w:lineRule="exact"/>
        <w:ind w:left="0" w:firstLine="720"/>
        <w:jc w:val="both"/>
        <w:rPr>
          <w:rFonts w:ascii="Courier" w:hAnsi="Courier"/>
          <w:color w:val="002060"/>
          <w:sz w:val="24"/>
          <w:szCs w:val="24"/>
        </w:rPr>
      </w:pPr>
      <w:r w:rsidRPr="00A51A68">
        <w:rPr>
          <w:rFonts w:ascii="Courier" w:hAnsi="Courier"/>
          <w:color w:val="002060"/>
          <w:sz w:val="24"/>
          <w:szCs w:val="24"/>
        </w:rPr>
        <w:t>I believe the CI</w:t>
      </w:r>
      <w:r w:rsidRPr="00A51A68">
        <w:rPr>
          <w:rFonts w:ascii="Courier" w:hAnsiTheme="minorHAnsi"/>
          <w:color w:val="002060"/>
          <w:sz w:val="24"/>
          <w:szCs w:val="24"/>
        </w:rPr>
        <w:t>’</w:t>
      </w:r>
      <w:r w:rsidRPr="00A51A68">
        <w:rPr>
          <w:rFonts w:ascii="Courier" w:hAnsi="Courier"/>
          <w:color w:val="002060"/>
          <w:sz w:val="24"/>
          <w:szCs w:val="24"/>
        </w:rPr>
        <w:t xml:space="preserve">s </w:t>
      </w:r>
      <w:r w:rsidR="00171615">
        <w:rPr>
          <w:rFonts w:ascii="Courier" w:hAnsi="Courier"/>
          <w:color w:val="002060"/>
          <w:sz w:val="24"/>
          <w:szCs w:val="24"/>
        </w:rPr>
        <w:t xml:space="preserve">Military and VA (Neck and Back) </w:t>
      </w:r>
      <w:r w:rsidRPr="00A51A68">
        <w:rPr>
          <w:rFonts w:ascii="Courier" w:hAnsi="Courier"/>
          <w:color w:val="002060"/>
          <w:sz w:val="24"/>
          <w:szCs w:val="24"/>
        </w:rPr>
        <w:t>ROM examinations should be considered independently of his personal military and medical accounts. Although there is some evidence that possible invalid historical information was provided to VA examiners by the CI, the assumption that this would extend to exaggerating physical findings is overly speculative.  The exam evidence speaks for itself</w:t>
      </w:r>
      <w:r w:rsidR="00171615">
        <w:rPr>
          <w:rFonts w:ascii="Courier" w:hAnsi="Courier"/>
          <w:color w:val="002060"/>
          <w:sz w:val="24"/>
          <w:szCs w:val="24"/>
        </w:rPr>
        <w:t>. (See ROM tables below).</w:t>
      </w:r>
      <w:r w:rsidRPr="00A51A68">
        <w:rPr>
          <w:rFonts w:ascii="Courier" w:hAnsi="Courier"/>
          <w:color w:val="002060"/>
          <w:sz w:val="24"/>
          <w:szCs w:val="24"/>
        </w:rPr>
        <w:t xml:space="preserve"> </w:t>
      </w:r>
    </w:p>
    <w:p w:rsidR="00EB012A" w:rsidRDefault="00EB012A" w:rsidP="00EB012A">
      <w:pPr>
        <w:pStyle w:val="PlainText"/>
        <w:spacing w:line="240" w:lineRule="exact"/>
        <w:ind w:left="720"/>
        <w:jc w:val="both"/>
        <w:rPr>
          <w:rFonts w:ascii="Courier" w:hAnsi="Courier"/>
          <w:color w:val="002060"/>
          <w:sz w:val="24"/>
          <w:szCs w:val="24"/>
        </w:rPr>
      </w:pPr>
    </w:p>
    <w:p w:rsidR="00EB012A" w:rsidRDefault="00EB012A" w:rsidP="002E20CE">
      <w:pPr>
        <w:pStyle w:val="PlainText"/>
        <w:numPr>
          <w:ilvl w:val="0"/>
          <w:numId w:val="1"/>
        </w:numPr>
        <w:spacing w:line="240" w:lineRule="exact"/>
        <w:ind w:left="0" w:firstLine="720"/>
        <w:jc w:val="both"/>
        <w:rPr>
          <w:rFonts w:ascii="Courier" w:hAnsi="Courier"/>
          <w:color w:val="002060"/>
          <w:sz w:val="24"/>
          <w:szCs w:val="24"/>
        </w:rPr>
      </w:pPr>
      <w:r w:rsidRPr="00A51A68">
        <w:rPr>
          <w:rFonts w:ascii="Courier" w:hAnsi="Courier"/>
          <w:color w:val="002060"/>
          <w:sz w:val="24"/>
          <w:szCs w:val="24"/>
        </w:rPr>
        <w:t>None of the physicians or medical providers who examined the CI either during service or after separation made any notations indicating that the CI was exaggerating any of his physical symptoms.  In the absence of evidence indicating that the CI</w:t>
      </w:r>
      <w:r w:rsidRPr="00A51A68">
        <w:rPr>
          <w:rFonts w:ascii="Courier" w:hAnsiTheme="minorHAnsi"/>
          <w:color w:val="002060"/>
          <w:sz w:val="24"/>
          <w:szCs w:val="24"/>
        </w:rPr>
        <w:t>’</w:t>
      </w:r>
      <w:r w:rsidRPr="00A51A68">
        <w:rPr>
          <w:rFonts w:ascii="Courier" w:hAnsi="Courier"/>
          <w:color w:val="002060"/>
          <w:sz w:val="24"/>
          <w:szCs w:val="24"/>
        </w:rPr>
        <w:t xml:space="preserve">s back condition is less severe than the objective </w:t>
      </w:r>
      <w:proofErr w:type="gramStart"/>
      <w:r w:rsidRPr="00A51A68">
        <w:rPr>
          <w:rFonts w:ascii="Courier" w:hAnsi="Courier"/>
          <w:color w:val="002060"/>
          <w:sz w:val="24"/>
          <w:szCs w:val="24"/>
        </w:rPr>
        <w:t>examination</w:t>
      </w:r>
      <w:proofErr w:type="gramEnd"/>
      <w:r w:rsidRPr="00A51A68">
        <w:rPr>
          <w:rFonts w:ascii="Courier" w:hAnsi="Courier"/>
          <w:color w:val="002060"/>
          <w:sz w:val="24"/>
          <w:szCs w:val="24"/>
        </w:rPr>
        <w:t xml:space="preserve"> evidence, the evidence must be taken at face value.  It is also illogical that the CI would exaggerate cervical and lumbar ROM differently on separate examinations as the majority opinion in this case would imply. </w:t>
      </w:r>
      <w:r>
        <w:rPr>
          <w:rFonts w:ascii="Courier" w:hAnsi="Courier"/>
          <w:color w:val="002060"/>
          <w:sz w:val="24"/>
          <w:szCs w:val="24"/>
        </w:rPr>
        <w:t>(See ROM tables below).</w:t>
      </w:r>
    </w:p>
    <w:p w:rsidR="00EB012A" w:rsidRDefault="00EB012A" w:rsidP="00EB012A">
      <w:pPr>
        <w:pStyle w:val="PlainText"/>
        <w:spacing w:line="240" w:lineRule="exact"/>
        <w:jc w:val="both"/>
        <w:rPr>
          <w:rFonts w:ascii="Courier" w:hAnsi="Courier"/>
          <w:color w:val="002060"/>
          <w:sz w:val="24"/>
          <w:szCs w:val="24"/>
        </w:rPr>
      </w:pPr>
    </w:p>
    <w:p w:rsidR="00EB012A" w:rsidRDefault="00EB012A" w:rsidP="002E20CE">
      <w:pPr>
        <w:pStyle w:val="PlainText"/>
        <w:numPr>
          <w:ilvl w:val="0"/>
          <w:numId w:val="1"/>
        </w:numPr>
        <w:spacing w:line="240" w:lineRule="exact"/>
        <w:ind w:left="0" w:firstLine="720"/>
        <w:jc w:val="both"/>
        <w:rPr>
          <w:rFonts w:ascii="Courier" w:hAnsi="Courier"/>
          <w:color w:val="002060"/>
          <w:sz w:val="24"/>
          <w:szCs w:val="24"/>
        </w:rPr>
      </w:pPr>
      <w:r w:rsidRPr="00A51A68">
        <w:rPr>
          <w:rFonts w:ascii="Courier" w:hAnsi="Courier"/>
          <w:color w:val="002060"/>
          <w:sz w:val="24"/>
          <w:szCs w:val="24"/>
        </w:rPr>
        <w:t xml:space="preserve">Only the VA </w:t>
      </w:r>
      <w:r>
        <w:rPr>
          <w:rFonts w:ascii="Courier" w:hAnsi="Courier"/>
          <w:color w:val="002060"/>
          <w:sz w:val="24"/>
          <w:szCs w:val="24"/>
        </w:rPr>
        <w:t xml:space="preserve">ROM (Neck and Back) </w:t>
      </w:r>
      <w:r w:rsidRPr="00A51A68">
        <w:rPr>
          <w:rFonts w:ascii="Courier" w:hAnsi="Courier"/>
          <w:color w:val="002060"/>
          <w:sz w:val="24"/>
          <w:szCs w:val="24"/>
        </w:rPr>
        <w:t>examination</w:t>
      </w:r>
      <w:r>
        <w:rPr>
          <w:rFonts w:ascii="Courier" w:hAnsi="Courier"/>
          <w:color w:val="002060"/>
          <w:sz w:val="24"/>
          <w:szCs w:val="24"/>
        </w:rPr>
        <w:t>s</w:t>
      </w:r>
      <w:r w:rsidRPr="00A51A68">
        <w:rPr>
          <w:rFonts w:ascii="Courier" w:hAnsi="Courier"/>
          <w:color w:val="002060"/>
          <w:sz w:val="24"/>
          <w:szCs w:val="24"/>
        </w:rPr>
        <w:t xml:space="preserve"> clearly </w:t>
      </w:r>
      <w:r>
        <w:rPr>
          <w:rFonts w:ascii="Courier" w:hAnsi="Courier"/>
          <w:color w:val="002060"/>
          <w:sz w:val="24"/>
          <w:szCs w:val="24"/>
        </w:rPr>
        <w:t>denote to which ‘degree that pain occurs’.</w:t>
      </w:r>
      <w:r w:rsidRPr="00A51A68">
        <w:rPr>
          <w:rFonts w:ascii="Courier" w:hAnsi="Courier"/>
          <w:color w:val="002060"/>
          <w:sz w:val="24"/>
          <w:szCs w:val="24"/>
        </w:rPr>
        <w:t xml:space="preserve"> The most complete examination has to warrant the most probative value.  In this case, the VA examination</w:t>
      </w:r>
      <w:r>
        <w:rPr>
          <w:rFonts w:ascii="Courier" w:hAnsi="Courier"/>
          <w:color w:val="002060"/>
          <w:sz w:val="24"/>
          <w:szCs w:val="24"/>
        </w:rPr>
        <w:t xml:space="preserve">s </w:t>
      </w:r>
      <w:r w:rsidRPr="00A51A68">
        <w:rPr>
          <w:rFonts w:ascii="Courier" w:hAnsi="Courier"/>
          <w:color w:val="002060"/>
          <w:sz w:val="24"/>
          <w:szCs w:val="24"/>
        </w:rPr>
        <w:t>w</w:t>
      </w:r>
      <w:r>
        <w:rPr>
          <w:rFonts w:ascii="Courier" w:hAnsi="Courier"/>
          <w:color w:val="002060"/>
          <w:sz w:val="24"/>
          <w:szCs w:val="24"/>
        </w:rPr>
        <w:t xml:space="preserve">ere </w:t>
      </w:r>
      <w:r w:rsidRPr="00A51A68">
        <w:rPr>
          <w:rFonts w:ascii="Courier" w:hAnsi="Courier"/>
          <w:color w:val="002060"/>
          <w:sz w:val="24"/>
          <w:szCs w:val="24"/>
        </w:rPr>
        <w:t>the only complete examination</w:t>
      </w:r>
      <w:r>
        <w:rPr>
          <w:rFonts w:ascii="Courier" w:hAnsi="Courier"/>
          <w:color w:val="002060"/>
          <w:sz w:val="24"/>
          <w:szCs w:val="24"/>
        </w:rPr>
        <w:t>s</w:t>
      </w:r>
      <w:r w:rsidRPr="00A51A68">
        <w:rPr>
          <w:rFonts w:ascii="Courier" w:hAnsi="Courier"/>
          <w:color w:val="002060"/>
          <w:sz w:val="24"/>
          <w:szCs w:val="24"/>
        </w:rPr>
        <w:t xml:space="preserve"> in the CI</w:t>
      </w:r>
      <w:r w:rsidRPr="00A51A68">
        <w:rPr>
          <w:rFonts w:ascii="Courier" w:hAnsiTheme="minorHAnsi"/>
          <w:color w:val="002060"/>
          <w:sz w:val="24"/>
          <w:szCs w:val="24"/>
        </w:rPr>
        <w:t>’</w:t>
      </w:r>
      <w:r w:rsidRPr="00A51A68">
        <w:rPr>
          <w:rFonts w:ascii="Courier" w:hAnsi="Courier"/>
          <w:color w:val="002060"/>
          <w:sz w:val="24"/>
          <w:szCs w:val="24"/>
        </w:rPr>
        <w:t>s file.</w:t>
      </w:r>
    </w:p>
    <w:p w:rsidR="00EB012A" w:rsidRDefault="00EB012A" w:rsidP="00EB012A">
      <w:pPr>
        <w:pStyle w:val="PlainText"/>
        <w:spacing w:line="240" w:lineRule="exact"/>
        <w:jc w:val="both"/>
        <w:rPr>
          <w:rFonts w:ascii="Courier" w:hAnsi="Courier"/>
          <w:color w:val="002060"/>
          <w:sz w:val="24"/>
          <w:szCs w:val="24"/>
        </w:rPr>
      </w:pPr>
    </w:p>
    <w:p w:rsidR="00A51A68" w:rsidRDefault="00A51A68" w:rsidP="002E20CE">
      <w:pPr>
        <w:pStyle w:val="PlainText"/>
        <w:spacing w:line="240" w:lineRule="exact"/>
        <w:ind w:left="1860"/>
        <w:jc w:val="both"/>
        <w:rPr>
          <w:rFonts w:ascii="Courier" w:hAnsi="Courier"/>
          <w:color w:val="002060"/>
          <w:sz w:val="24"/>
          <w:szCs w:val="24"/>
        </w:rPr>
      </w:pPr>
    </w:p>
    <w:tbl>
      <w:tblPr>
        <w:tblW w:w="945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0"/>
        <w:gridCol w:w="2700"/>
        <w:gridCol w:w="2520"/>
        <w:gridCol w:w="2610"/>
      </w:tblGrid>
      <w:tr w:rsidR="00B86FDE" w:rsidRPr="00F81C35" w:rsidTr="00F4354E">
        <w:tc>
          <w:tcPr>
            <w:tcW w:w="1620" w:type="dxa"/>
            <w:shd w:val="clear" w:color="auto" w:fill="C6D9F1" w:themeFill="text2" w:themeFillTint="33"/>
          </w:tcPr>
          <w:p w:rsidR="00B86FDE" w:rsidRPr="00F4354E" w:rsidRDefault="00B86FDE" w:rsidP="002E20CE">
            <w:pPr>
              <w:pStyle w:val="ListParagraph"/>
              <w:spacing w:after="0" w:line="240" w:lineRule="exact"/>
              <w:ind w:left="0"/>
              <w:jc w:val="both"/>
              <w:rPr>
                <w:rFonts w:ascii="Calibri" w:eastAsia="Calibri" w:hAnsi="Calibri" w:cs="Times New Roman"/>
                <w:color w:val="002060"/>
                <w:sz w:val="20"/>
                <w:szCs w:val="20"/>
              </w:rPr>
            </w:pPr>
            <w:r w:rsidRPr="00F4354E">
              <w:rPr>
                <w:rFonts w:ascii="Calibri" w:eastAsia="Calibri" w:hAnsi="Calibri" w:cs="Times New Roman"/>
                <w:color w:val="002060"/>
                <w:sz w:val="20"/>
                <w:szCs w:val="20"/>
              </w:rPr>
              <w:t>Cervical ROM</w:t>
            </w:r>
          </w:p>
        </w:tc>
        <w:tc>
          <w:tcPr>
            <w:tcW w:w="2700" w:type="dxa"/>
            <w:shd w:val="clear" w:color="auto" w:fill="C6D9F1" w:themeFill="text2" w:themeFillTint="33"/>
          </w:tcPr>
          <w:p w:rsidR="00B86FDE" w:rsidRPr="00F4354E" w:rsidRDefault="00B86FDE" w:rsidP="002E20CE">
            <w:pPr>
              <w:pStyle w:val="ListParagraph"/>
              <w:spacing w:after="0" w:line="240" w:lineRule="exact"/>
              <w:ind w:left="0"/>
              <w:jc w:val="both"/>
              <w:rPr>
                <w:rFonts w:ascii="Calibri" w:eastAsia="Calibri" w:hAnsi="Calibri" w:cs="Times New Roman"/>
                <w:color w:val="002060"/>
                <w:sz w:val="20"/>
                <w:szCs w:val="20"/>
              </w:rPr>
            </w:pPr>
            <w:r w:rsidRPr="00F4354E">
              <w:rPr>
                <w:rFonts w:ascii="Calibri" w:eastAsia="Calibri" w:hAnsi="Calibri" w:cs="Times New Roman"/>
                <w:color w:val="002060"/>
                <w:sz w:val="20"/>
                <w:szCs w:val="20"/>
              </w:rPr>
              <w:t>P.T. – 2/14/07</w:t>
            </w:r>
          </w:p>
        </w:tc>
        <w:tc>
          <w:tcPr>
            <w:tcW w:w="2520" w:type="dxa"/>
            <w:shd w:val="clear" w:color="auto" w:fill="C6D9F1" w:themeFill="text2" w:themeFillTint="33"/>
          </w:tcPr>
          <w:p w:rsidR="00B86FDE" w:rsidRPr="00F4354E" w:rsidRDefault="00B86FDE" w:rsidP="002E20CE">
            <w:pPr>
              <w:pStyle w:val="ListParagraph"/>
              <w:spacing w:after="0" w:line="240" w:lineRule="exact"/>
              <w:ind w:left="0"/>
              <w:jc w:val="both"/>
              <w:rPr>
                <w:rFonts w:ascii="Calibri" w:eastAsia="Calibri" w:hAnsi="Calibri" w:cs="Times New Roman"/>
                <w:color w:val="002060"/>
                <w:sz w:val="20"/>
                <w:szCs w:val="20"/>
              </w:rPr>
            </w:pPr>
            <w:r w:rsidRPr="00F4354E">
              <w:rPr>
                <w:rFonts w:ascii="Calibri" w:eastAsia="Calibri" w:hAnsi="Calibri" w:cs="Times New Roman"/>
                <w:color w:val="002060"/>
                <w:sz w:val="20"/>
                <w:szCs w:val="20"/>
              </w:rPr>
              <w:t>P.T. – 4/3/07</w:t>
            </w:r>
          </w:p>
        </w:tc>
        <w:tc>
          <w:tcPr>
            <w:tcW w:w="2610" w:type="dxa"/>
            <w:shd w:val="clear" w:color="auto" w:fill="C6D9F1" w:themeFill="text2" w:themeFillTint="33"/>
          </w:tcPr>
          <w:p w:rsidR="00B86FDE" w:rsidRPr="00F4354E" w:rsidRDefault="00B86FDE" w:rsidP="002E20CE">
            <w:pPr>
              <w:pStyle w:val="ListParagraph"/>
              <w:spacing w:after="0" w:line="240" w:lineRule="exact"/>
              <w:ind w:left="0"/>
              <w:jc w:val="both"/>
              <w:rPr>
                <w:rFonts w:ascii="Calibri" w:hAnsi="Calibri"/>
                <w:color w:val="002060"/>
                <w:sz w:val="20"/>
                <w:szCs w:val="20"/>
              </w:rPr>
            </w:pPr>
            <w:r w:rsidRPr="00F4354E">
              <w:rPr>
                <w:rFonts w:ascii="Calibri" w:eastAsia="Calibri" w:hAnsi="Calibri" w:cs="Times New Roman"/>
                <w:color w:val="002060"/>
                <w:sz w:val="20"/>
                <w:szCs w:val="20"/>
              </w:rPr>
              <w:t>VA</w:t>
            </w:r>
            <w:r w:rsidRPr="00F4354E">
              <w:rPr>
                <w:rFonts w:ascii="Calibri" w:hAnsi="Calibri"/>
                <w:color w:val="002060"/>
                <w:sz w:val="20"/>
                <w:szCs w:val="20"/>
              </w:rPr>
              <w:t xml:space="preserve"> C&amp;P – </w:t>
            </w:r>
            <w:r w:rsidRPr="00F4354E">
              <w:rPr>
                <w:rFonts w:ascii="Calibri" w:eastAsia="Calibri" w:hAnsi="Calibri" w:cs="Times New Roman"/>
                <w:color w:val="002060"/>
                <w:sz w:val="20"/>
                <w:szCs w:val="20"/>
              </w:rPr>
              <w:t>5/9/07</w:t>
            </w:r>
          </w:p>
        </w:tc>
      </w:tr>
      <w:tr w:rsidR="00B86FDE" w:rsidRPr="00F81C35" w:rsidTr="00F4354E">
        <w:tc>
          <w:tcPr>
            <w:tcW w:w="1620" w:type="dxa"/>
          </w:tcPr>
          <w:p w:rsidR="00B86FDE" w:rsidRPr="00F4354E" w:rsidRDefault="00B86FDE" w:rsidP="002E20CE">
            <w:pPr>
              <w:pStyle w:val="ListParagraph"/>
              <w:spacing w:after="0" w:line="240" w:lineRule="exact"/>
              <w:ind w:left="0"/>
              <w:jc w:val="both"/>
              <w:rPr>
                <w:rFonts w:ascii="Calibri" w:eastAsia="Calibri" w:hAnsi="Calibri" w:cs="Times New Roman"/>
                <w:color w:val="002060"/>
                <w:sz w:val="20"/>
                <w:szCs w:val="20"/>
              </w:rPr>
            </w:pPr>
            <w:r w:rsidRPr="00F4354E">
              <w:rPr>
                <w:rFonts w:ascii="Calibri" w:eastAsia="Calibri" w:hAnsi="Calibri" w:cs="Times New Roman"/>
                <w:color w:val="002060"/>
                <w:sz w:val="20"/>
                <w:szCs w:val="20"/>
              </w:rPr>
              <w:t>Flexion</w:t>
            </w:r>
          </w:p>
        </w:tc>
        <w:tc>
          <w:tcPr>
            <w:tcW w:w="2700" w:type="dxa"/>
          </w:tcPr>
          <w:p w:rsidR="00B86FDE" w:rsidRPr="00F4354E" w:rsidRDefault="00B86FDE" w:rsidP="002E20CE">
            <w:pPr>
              <w:pStyle w:val="ListParagraph"/>
              <w:spacing w:after="0" w:line="240" w:lineRule="exact"/>
              <w:ind w:left="0"/>
              <w:jc w:val="both"/>
              <w:rPr>
                <w:rFonts w:ascii="Calibri" w:eastAsia="Calibri" w:hAnsi="Calibri" w:cs="Times New Roman"/>
                <w:color w:val="002060"/>
                <w:sz w:val="20"/>
                <w:szCs w:val="20"/>
              </w:rPr>
            </w:pPr>
            <w:r w:rsidRPr="00F4354E">
              <w:rPr>
                <w:rFonts w:ascii="Calibri" w:eastAsia="Calibri" w:hAnsi="Calibri" w:cs="Times New Roman"/>
                <w:color w:val="002060"/>
                <w:sz w:val="20"/>
                <w:szCs w:val="20"/>
              </w:rPr>
              <w:t>50⁰</w:t>
            </w:r>
          </w:p>
        </w:tc>
        <w:tc>
          <w:tcPr>
            <w:tcW w:w="2520" w:type="dxa"/>
          </w:tcPr>
          <w:p w:rsidR="00B86FDE" w:rsidRPr="00F4354E" w:rsidRDefault="00B86FDE" w:rsidP="002E20CE">
            <w:pPr>
              <w:pStyle w:val="ListParagraph"/>
              <w:spacing w:after="0" w:line="240" w:lineRule="exact"/>
              <w:ind w:left="0"/>
              <w:jc w:val="both"/>
              <w:rPr>
                <w:rFonts w:ascii="Calibri" w:eastAsia="Calibri" w:hAnsi="Calibri" w:cs="Times New Roman"/>
                <w:color w:val="002060"/>
                <w:sz w:val="20"/>
                <w:szCs w:val="20"/>
              </w:rPr>
            </w:pPr>
            <w:r w:rsidRPr="00F4354E">
              <w:rPr>
                <w:rFonts w:ascii="Calibri" w:eastAsia="Calibri" w:hAnsi="Calibri" w:cs="Times New Roman"/>
                <w:color w:val="002060"/>
                <w:sz w:val="20"/>
                <w:szCs w:val="20"/>
              </w:rPr>
              <w:t>30⁰</w:t>
            </w:r>
          </w:p>
        </w:tc>
        <w:tc>
          <w:tcPr>
            <w:tcW w:w="2610" w:type="dxa"/>
          </w:tcPr>
          <w:p w:rsidR="00B86FDE" w:rsidRPr="00F4354E" w:rsidRDefault="00B86FDE" w:rsidP="002E20CE">
            <w:pPr>
              <w:pStyle w:val="ListParagraph"/>
              <w:spacing w:after="0" w:line="240" w:lineRule="exact"/>
              <w:ind w:left="0"/>
              <w:jc w:val="both"/>
              <w:rPr>
                <w:rFonts w:ascii="Calibri" w:eastAsia="Calibri" w:hAnsi="Calibri" w:cs="Times New Roman"/>
                <w:color w:val="002060"/>
                <w:sz w:val="20"/>
                <w:szCs w:val="20"/>
              </w:rPr>
            </w:pPr>
            <w:r w:rsidRPr="00F4354E">
              <w:rPr>
                <w:rFonts w:ascii="Calibri" w:eastAsia="Calibri" w:hAnsi="Calibri" w:cs="Times New Roman"/>
                <w:color w:val="002060"/>
                <w:sz w:val="20"/>
                <w:szCs w:val="20"/>
              </w:rPr>
              <w:t>35⁰</w:t>
            </w:r>
            <w:r w:rsidR="002E7437" w:rsidRPr="00F4354E">
              <w:rPr>
                <w:rFonts w:ascii="Calibri" w:eastAsia="Calibri" w:hAnsi="Calibri" w:cs="Times New Roman"/>
                <w:color w:val="002060"/>
                <w:sz w:val="20"/>
                <w:szCs w:val="20"/>
              </w:rPr>
              <w:t xml:space="preserve"> degree that pain occurs</w:t>
            </w:r>
          </w:p>
        </w:tc>
      </w:tr>
      <w:tr w:rsidR="00B86FDE" w:rsidRPr="00F81C35" w:rsidTr="00F4354E">
        <w:tc>
          <w:tcPr>
            <w:tcW w:w="1620" w:type="dxa"/>
          </w:tcPr>
          <w:p w:rsidR="00B86FDE" w:rsidRPr="00F4354E" w:rsidRDefault="00B86FDE" w:rsidP="002E20CE">
            <w:pPr>
              <w:pStyle w:val="ListParagraph"/>
              <w:spacing w:after="0" w:line="240" w:lineRule="exact"/>
              <w:ind w:left="0"/>
              <w:jc w:val="both"/>
              <w:rPr>
                <w:rFonts w:ascii="Calibri" w:eastAsia="Calibri" w:hAnsi="Calibri" w:cs="Times New Roman"/>
                <w:color w:val="002060"/>
                <w:sz w:val="20"/>
                <w:szCs w:val="20"/>
              </w:rPr>
            </w:pPr>
            <w:r w:rsidRPr="00F4354E">
              <w:rPr>
                <w:rFonts w:ascii="Calibri" w:eastAsia="Calibri" w:hAnsi="Calibri" w:cs="Times New Roman"/>
                <w:color w:val="002060"/>
                <w:sz w:val="20"/>
                <w:szCs w:val="20"/>
              </w:rPr>
              <w:t>Combined</w:t>
            </w:r>
          </w:p>
        </w:tc>
        <w:tc>
          <w:tcPr>
            <w:tcW w:w="2700" w:type="dxa"/>
          </w:tcPr>
          <w:p w:rsidR="00B86FDE" w:rsidRPr="00F4354E" w:rsidRDefault="00B86FDE" w:rsidP="002E20CE">
            <w:pPr>
              <w:pStyle w:val="ListParagraph"/>
              <w:spacing w:after="0" w:line="240" w:lineRule="exact"/>
              <w:ind w:left="0"/>
              <w:jc w:val="both"/>
              <w:rPr>
                <w:rFonts w:ascii="Calibri" w:eastAsia="Calibri" w:hAnsi="Calibri" w:cs="Times New Roman"/>
                <w:color w:val="002060"/>
                <w:sz w:val="20"/>
                <w:szCs w:val="20"/>
              </w:rPr>
            </w:pPr>
            <w:r w:rsidRPr="00F4354E">
              <w:rPr>
                <w:rFonts w:ascii="Calibri" w:eastAsia="Calibri" w:hAnsi="Calibri" w:cs="Times New Roman"/>
                <w:color w:val="002060"/>
                <w:sz w:val="20"/>
                <w:szCs w:val="20"/>
              </w:rPr>
              <w:t>285⁰</w:t>
            </w:r>
          </w:p>
        </w:tc>
        <w:tc>
          <w:tcPr>
            <w:tcW w:w="2520" w:type="dxa"/>
          </w:tcPr>
          <w:p w:rsidR="00B86FDE" w:rsidRPr="00F4354E" w:rsidRDefault="00B86FDE" w:rsidP="002E20CE">
            <w:pPr>
              <w:pStyle w:val="ListParagraph"/>
              <w:spacing w:after="0" w:line="240" w:lineRule="exact"/>
              <w:ind w:left="0"/>
              <w:jc w:val="both"/>
              <w:rPr>
                <w:rFonts w:ascii="Calibri" w:eastAsia="Calibri" w:hAnsi="Calibri" w:cs="Times New Roman"/>
                <w:color w:val="002060"/>
                <w:sz w:val="20"/>
                <w:szCs w:val="20"/>
              </w:rPr>
            </w:pPr>
            <w:r w:rsidRPr="00F4354E">
              <w:rPr>
                <w:rFonts w:ascii="Calibri" w:eastAsia="Calibri" w:hAnsi="Calibri" w:cs="Times New Roman"/>
                <w:color w:val="002060"/>
                <w:sz w:val="20"/>
                <w:szCs w:val="20"/>
              </w:rPr>
              <w:t xml:space="preserve">210⁰ </w:t>
            </w:r>
          </w:p>
        </w:tc>
        <w:tc>
          <w:tcPr>
            <w:tcW w:w="2610" w:type="dxa"/>
          </w:tcPr>
          <w:p w:rsidR="00B86FDE" w:rsidRPr="00F4354E" w:rsidRDefault="00B86FDE" w:rsidP="002E20CE">
            <w:pPr>
              <w:pStyle w:val="ListParagraph"/>
              <w:spacing w:after="0" w:line="240" w:lineRule="exact"/>
              <w:ind w:left="0"/>
              <w:jc w:val="both"/>
              <w:rPr>
                <w:rFonts w:ascii="Calibri" w:eastAsia="Calibri" w:hAnsi="Calibri" w:cs="Times New Roman"/>
                <w:color w:val="002060"/>
                <w:sz w:val="20"/>
                <w:szCs w:val="20"/>
              </w:rPr>
            </w:pPr>
            <w:r w:rsidRPr="00F4354E">
              <w:rPr>
                <w:rFonts w:ascii="Calibri" w:eastAsia="Calibri" w:hAnsi="Calibri" w:cs="Times New Roman"/>
                <w:color w:val="002060"/>
                <w:sz w:val="20"/>
                <w:szCs w:val="20"/>
              </w:rPr>
              <w:t>245⁰</w:t>
            </w:r>
          </w:p>
        </w:tc>
      </w:tr>
      <w:tr w:rsidR="00B86FDE" w:rsidRPr="00F81C35" w:rsidTr="00F4354E">
        <w:tc>
          <w:tcPr>
            <w:tcW w:w="1620" w:type="dxa"/>
          </w:tcPr>
          <w:p w:rsidR="00B86FDE" w:rsidRPr="00F4354E" w:rsidRDefault="00B86FDE" w:rsidP="002E20CE">
            <w:pPr>
              <w:tabs>
                <w:tab w:val="left" w:pos="288"/>
                <w:tab w:val="left" w:pos="4752"/>
              </w:tabs>
              <w:spacing w:line="240" w:lineRule="exact"/>
              <w:jc w:val="both"/>
              <w:rPr>
                <w:rFonts w:asciiTheme="minorHAnsi" w:eastAsiaTheme="minorHAnsi" w:hAnsiTheme="minorHAnsi"/>
                <w:color w:val="002060"/>
                <w:sz w:val="20"/>
              </w:rPr>
            </w:pPr>
            <w:r w:rsidRPr="00F4354E">
              <w:rPr>
                <w:rFonts w:asciiTheme="minorHAnsi" w:eastAsiaTheme="minorHAnsi" w:hAnsiTheme="minorHAnsi"/>
                <w:color w:val="002060"/>
                <w:sz w:val="20"/>
              </w:rPr>
              <w:t>§4.71a Rating</w:t>
            </w:r>
          </w:p>
        </w:tc>
        <w:tc>
          <w:tcPr>
            <w:tcW w:w="2700" w:type="dxa"/>
          </w:tcPr>
          <w:p w:rsidR="00B86FDE" w:rsidRPr="00F4354E" w:rsidRDefault="00B86FDE" w:rsidP="002E20CE">
            <w:pPr>
              <w:tabs>
                <w:tab w:val="left" w:pos="288"/>
                <w:tab w:val="left" w:pos="4752"/>
              </w:tabs>
              <w:spacing w:line="240" w:lineRule="exact"/>
              <w:jc w:val="both"/>
              <w:rPr>
                <w:rFonts w:asciiTheme="minorHAnsi" w:eastAsiaTheme="minorHAnsi" w:hAnsiTheme="minorHAnsi"/>
                <w:color w:val="002060"/>
                <w:sz w:val="20"/>
              </w:rPr>
            </w:pPr>
            <w:r w:rsidRPr="00F4354E">
              <w:rPr>
                <w:rFonts w:asciiTheme="minorHAnsi" w:eastAsiaTheme="minorHAnsi" w:hAnsiTheme="minorHAnsi"/>
                <w:color w:val="002060"/>
                <w:sz w:val="20"/>
              </w:rPr>
              <w:t>10%</w:t>
            </w:r>
          </w:p>
        </w:tc>
        <w:tc>
          <w:tcPr>
            <w:tcW w:w="2520" w:type="dxa"/>
          </w:tcPr>
          <w:p w:rsidR="00B86FDE" w:rsidRPr="00F4354E" w:rsidRDefault="00B86FDE" w:rsidP="002E20CE">
            <w:pPr>
              <w:tabs>
                <w:tab w:val="left" w:pos="288"/>
                <w:tab w:val="left" w:pos="4752"/>
              </w:tabs>
              <w:spacing w:line="240" w:lineRule="exact"/>
              <w:jc w:val="both"/>
              <w:rPr>
                <w:rFonts w:asciiTheme="minorHAnsi" w:eastAsiaTheme="minorHAnsi" w:hAnsiTheme="minorHAnsi"/>
                <w:color w:val="002060"/>
                <w:sz w:val="20"/>
              </w:rPr>
            </w:pPr>
            <w:r w:rsidRPr="00F4354E">
              <w:rPr>
                <w:rFonts w:asciiTheme="minorHAnsi" w:eastAsiaTheme="minorHAnsi" w:hAnsiTheme="minorHAnsi"/>
                <w:color w:val="002060"/>
                <w:sz w:val="20"/>
              </w:rPr>
              <w:t>20%</w:t>
            </w:r>
          </w:p>
        </w:tc>
        <w:tc>
          <w:tcPr>
            <w:tcW w:w="2610" w:type="dxa"/>
          </w:tcPr>
          <w:p w:rsidR="00B86FDE" w:rsidRPr="00F4354E" w:rsidRDefault="00B86FDE" w:rsidP="002E20CE">
            <w:pPr>
              <w:tabs>
                <w:tab w:val="left" w:pos="288"/>
                <w:tab w:val="left" w:pos="4752"/>
              </w:tabs>
              <w:spacing w:line="240" w:lineRule="exact"/>
              <w:jc w:val="both"/>
              <w:rPr>
                <w:rFonts w:asciiTheme="minorHAnsi" w:eastAsiaTheme="minorHAnsi" w:hAnsiTheme="minorHAnsi"/>
                <w:color w:val="002060"/>
                <w:sz w:val="20"/>
              </w:rPr>
            </w:pPr>
            <w:r w:rsidRPr="00F4354E">
              <w:rPr>
                <w:rFonts w:asciiTheme="minorHAnsi" w:eastAsiaTheme="minorHAnsi" w:hAnsiTheme="minorHAnsi"/>
                <w:color w:val="002060"/>
                <w:sz w:val="20"/>
                <w:highlight w:val="yellow"/>
              </w:rPr>
              <w:t>10%</w:t>
            </w:r>
          </w:p>
        </w:tc>
      </w:tr>
      <w:tr w:rsidR="00B86FDE" w:rsidRPr="00F81C35" w:rsidTr="00F4354E">
        <w:tc>
          <w:tcPr>
            <w:tcW w:w="1620" w:type="dxa"/>
          </w:tcPr>
          <w:p w:rsidR="00B86FDE" w:rsidRPr="00F4354E" w:rsidRDefault="00B86FDE" w:rsidP="002E20CE">
            <w:pPr>
              <w:tabs>
                <w:tab w:val="left" w:pos="288"/>
                <w:tab w:val="left" w:pos="4752"/>
              </w:tabs>
              <w:spacing w:line="240" w:lineRule="exact"/>
              <w:jc w:val="both"/>
              <w:rPr>
                <w:rFonts w:asciiTheme="minorHAnsi" w:eastAsiaTheme="minorHAnsi" w:hAnsiTheme="minorHAnsi"/>
                <w:color w:val="002060"/>
                <w:sz w:val="20"/>
              </w:rPr>
            </w:pPr>
            <w:r w:rsidRPr="00F4354E">
              <w:rPr>
                <w:rFonts w:asciiTheme="minorHAnsi" w:eastAsiaTheme="minorHAnsi" w:hAnsiTheme="minorHAnsi"/>
                <w:color w:val="002060"/>
                <w:sz w:val="20"/>
              </w:rPr>
              <w:t>Comments</w:t>
            </w:r>
          </w:p>
        </w:tc>
        <w:tc>
          <w:tcPr>
            <w:tcW w:w="2700" w:type="dxa"/>
          </w:tcPr>
          <w:p w:rsidR="00B86FDE" w:rsidRPr="00F4354E" w:rsidRDefault="00171615" w:rsidP="00F4354E">
            <w:pPr>
              <w:tabs>
                <w:tab w:val="left" w:pos="288"/>
                <w:tab w:val="left" w:pos="4752"/>
              </w:tabs>
              <w:spacing w:line="240" w:lineRule="exact"/>
              <w:rPr>
                <w:rFonts w:asciiTheme="minorHAnsi" w:eastAsiaTheme="minorHAnsi" w:hAnsiTheme="minorHAnsi"/>
                <w:color w:val="002060"/>
                <w:sz w:val="20"/>
              </w:rPr>
            </w:pPr>
            <w:r w:rsidRPr="00F4354E">
              <w:rPr>
                <w:rFonts w:asciiTheme="minorHAnsi" w:eastAsiaTheme="minorHAnsi" w:hAnsiTheme="minorHAnsi"/>
                <w:color w:val="002060"/>
                <w:sz w:val="20"/>
              </w:rPr>
              <w:t>- No exaggeration</w:t>
            </w:r>
            <w:r w:rsidR="00F67A35" w:rsidRPr="00F4354E">
              <w:rPr>
                <w:rFonts w:asciiTheme="minorHAnsi" w:eastAsiaTheme="minorHAnsi" w:hAnsiTheme="minorHAnsi"/>
                <w:color w:val="002060"/>
                <w:sz w:val="20"/>
              </w:rPr>
              <w:t xml:space="preserve"> noted</w:t>
            </w:r>
          </w:p>
          <w:p w:rsidR="00171615" w:rsidRPr="00F4354E" w:rsidRDefault="00171615" w:rsidP="00F4354E">
            <w:pPr>
              <w:tabs>
                <w:tab w:val="left" w:pos="288"/>
                <w:tab w:val="left" w:pos="4752"/>
              </w:tabs>
              <w:spacing w:line="240" w:lineRule="exact"/>
              <w:rPr>
                <w:rFonts w:asciiTheme="minorHAnsi" w:eastAsiaTheme="minorHAnsi" w:hAnsiTheme="minorHAnsi"/>
                <w:color w:val="002060"/>
                <w:sz w:val="20"/>
              </w:rPr>
            </w:pPr>
            <w:r w:rsidRPr="00F4354E">
              <w:rPr>
                <w:rFonts w:asciiTheme="minorHAnsi" w:eastAsiaTheme="minorHAnsi" w:hAnsiTheme="minorHAnsi"/>
                <w:color w:val="002060"/>
                <w:sz w:val="20"/>
              </w:rPr>
              <w:t xml:space="preserve">- </w:t>
            </w:r>
            <w:r w:rsidR="006301D9" w:rsidRPr="00F4354E">
              <w:rPr>
                <w:rFonts w:asciiTheme="minorHAnsi" w:eastAsiaTheme="minorHAnsi" w:hAnsiTheme="minorHAnsi"/>
                <w:color w:val="002060"/>
                <w:sz w:val="20"/>
              </w:rPr>
              <w:t>U</w:t>
            </w:r>
            <w:r w:rsidRPr="00F4354E">
              <w:rPr>
                <w:rFonts w:asciiTheme="minorHAnsi" w:eastAsiaTheme="minorHAnsi" w:hAnsiTheme="minorHAnsi"/>
                <w:color w:val="002060"/>
                <w:sz w:val="20"/>
              </w:rPr>
              <w:t xml:space="preserve">tilize </w:t>
            </w:r>
            <w:proofErr w:type="spellStart"/>
            <w:r w:rsidRPr="00F4354E">
              <w:rPr>
                <w:rFonts w:asciiTheme="minorHAnsi" w:eastAsiaTheme="minorHAnsi" w:hAnsiTheme="minorHAnsi"/>
                <w:color w:val="002060"/>
                <w:sz w:val="20"/>
              </w:rPr>
              <w:t>goniometer</w:t>
            </w:r>
            <w:proofErr w:type="spellEnd"/>
            <w:r w:rsidR="00F97EA5" w:rsidRPr="00F4354E">
              <w:rPr>
                <w:rFonts w:asciiTheme="minorHAnsi" w:eastAsiaTheme="minorHAnsi" w:hAnsiTheme="minorHAnsi"/>
                <w:color w:val="002060"/>
                <w:sz w:val="20"/>
              </w:rPr>
              <w:t xml:space="preserve"> for </w:t>
            </w:r>
            <w:r w:rsidR="006301D9" w:rsidRPr="00F4354E">
              <w:rPr>
                <w:rFonts w:asciiTheme="minorHAnsi" w:eastAsiaTheme="minorHAnsi" w:hAnsiTheme="minorHAnsi"/>
                <w:color w:val="002060"/>
                <w:sz w:val="20"/>
              </w:rPr>
              <w:t>“Rotation” ROM only</w:t>
            </w:r>
          </w:p>
        </w:tc>
        <w:tc>
          <w:tcPr>
            <w:tcW w:w="2520" w:type="dxa"/>
          </w:tcPr>
          <w:p w:rsidR="00B86FDE" w:rsidRPr="00F4354E" w:rsidRDefault="00171615" w:rsidP="002E20CE">
            <w:pPr>
              <w:tabs>
                <w:tab w:val="left" w:pos="288"/>
                <w:tab w:val="left" w:pos="4752"/>
              </w:tabs>
              <w:spacing w:line="240" w:lineRule="exact"/>
              <w:jc w:val="both"/>
              <w:rPr>
                <w:rFonts w:asciiTheme="minorHAnsi" w:eastAsiaTheme="minorHAnsi" w:hAnsiTheme="minorHAnsi"/>
                <w:color w:val="002060"/>
                <w:sz w:val="20"/>
              </w:rPr>
            </w:pPr>
            <w:r w:rsidRPr="00F4354E">
              <w:rPr>
                <w:rFonts w:asciiTheme="minorHAnsi" w:eastAsiaTheme="minorHAnsi" w:hAnsiTheme="minorHAnsi"/>
                <w:color w:val="002060"/>
                <w:sz w:val="20"/>
              </w:rPr>
              <w:t>- No exaggeration</w:t>
            </w:r>
            <w:r w:rsidR="00F67A35" w:rsidRPr="00F4354E">
              <w:rPr>
                <w:rFonts w:asciiTheme="minorHAnsi" w:eastAsiaTheme="minorHAnsi" w:hAnsiTheme="minorHAnsi"/>
                <w:color w:val="002060"/>
                <w:sz w:val="20"/>
              </w:rPr>
              <w:t xml:space="preserve"> n</w:t>
            </w:r>
            <w:r w:rsidRPr="00F4354E">
              <w:rPr>
                <w:rFonts w:asciiTheme="minorHAnsi" w:eastAsiaTheme="minorHAnsi" w:hAnsiTheme="minorHAnsi"/>
                <w:color w:val="002060"/>
                <w:sz w:val="20"/>
              </w:rPr>
              <w:t>oted</w:t>
            </w:r>
          </w:p>
          <w:p w:rsidR="00627650" w:rsidRPr="00F4354E" w:rsidRDefault="00F97EA5" w:rsidP="00F4354E">
            <w:pPr>
              <w:tabs>
                <w:tab w:val="left" w:pos="288"/>
                <w:tab w:val="left" w:pos="4752"/>
              </w:tabs>
              <w:spacing w:line="240" w:lineRule="exact"/>
              <w:rPr>
                <w:rFonts w:asciiTheme="minorHAnsi" w:eastAsiaTheme="minorHAnsi" w:hAnsiTheme="minorHAnsi"/>
                <w:color w:val="002060"/>
                <w:sz w:val="20"/>
              </w:rPr>
            </w:pPr>
            <w:r w:rsidRPr="00F4354E">
              <w:rPr>
                <w:rFonts w:asciiTheme="minorHAnsi" w:eastAsiaTheme="minorHAnsi" w:hAnsiTheme="minorHAnsi"/>
                <w:color w:val="002060"/>
                <w:sz w:val="20"/>
              </w:rPr>
              <w:t xml:space="preserve">- </w:t>
            </w:r>
            <w:r w:rsidR="006301D9" w:rsidRPr="00F4354E">
              <w:rPr>
                <w:rFonts w:asciiTheme="minorHAnsi" w:eastAsiaTheme="minorHAnsi" w:hAnsiTheme="minorHAnsi"/>
                <w:color w:val="002060"/>
                <w:sz w:val="20"/>
              </w:rPr>
              <w:t>U</w:t>
            </w:r>
            <w:r w:rsidRPr="00F4354E">
              <w:rPr>
                <w:rFonts w:asciiTheme="minorHAnsi" w:eastAsiaTheme="minorHAnsi" w:hAnsiTheme="minorHAnsi"/>
                <w:color w:val="002060"/>
                <w:sz w:val="20"/>
              </w:rPr>
              <w:t xml:space="preserve">tilize </w:t>
            </w:r>
            <w:proofErr w:type="spellStart"/>
            <w:r w:rsidRPr="00F4354E">
              <w:rPr>
                <w:rFonts w:asciiTheme="minorHAnsi" w:eastAsiaTheme="minorHAnsi" w:hAnsiTheme="minorHAnsi"/>
                <w:color w:val="002060"/>
                <w:sz w:val="20"/>
              </w:rPr>
              <w:t>goniometer</w:t>
            </w:r>
            <w:proofErr w:type="spellEnd"/>
            <w:r w:rsidR="006301D9" w:rsidRPr="00F4354E">
              <w:rPr>
                <w:rFonts w:asciiTheme="minorHAnsi" w:eastAsiaTheme="minorHAnsi" w:hAnsiTheme="minorHAnsi"/>
                <w:color w:val="002060"/>
                <w:sz w:val="20"/>
              </w:rPr>
              <w:t xml:space="preserve"> &amp; inclinometer</w:t>
            </w:r>
          </w:p>
        </w:tc>
        <w:tc>
          <w:tcPr>
            <w:tcW w:w="2610" w:type="dxa"/>
          </w:tcPr>
          <w:p w:rsidR="00171615" w:rsidRPr="00F4354E" w:rsidRDefault="00171615" w:rsidP="002E20CE">
            <w:pPr>
              <w:tabs>
                <w:tab w:val="left" w:pos="288"/>
                <w:tab w:val="left" w:pos="4752"/>
              </w:tabs>
              <w:spacing w:line="240" w:lineRule="exact"/>
              <w:jc w:val="both"/>
              <w:rPr>
                <w:rFonts w:asciiTheme="minorHAnsi" w:eastAsiaTheme="minorHAnsi" w:hAnsiTheme="minorHAnsi"/>
                <w:color w:val="002060"/>
                <w:sz w:val="20"/>
              </w:rPr>
            </w:pPr>
            <w:r w:rsidRPr="00F4354E">
              <w:rPr>
                <w:rFonts w:asciiTheme="minorHAnsi" w:eastAsiaTheme="minorHAnsi" w:hAnsiTheme="minorHAnsi"/>
                <w:color w:val="002060"/>
                <w:sz w:val="20"/>
              </w:rPr>
              <w:t>- No exaggeration noted</w:t>
            </w:r>
          </w:p>
          <w:p w:rsidR="00B86FDE" w:rsidRPr="00F4354E" w:rsidRDefault="00171615" w:rsidP="002E20CE">
            <w:pPr>
              <w:tabs>
                <w:tab w:val="left" w:pos="288"/>
                <w:tab w:val="left" w:pos="4752"/>
              </w:tabs>
              <w:spacing w:line="240" w:lineRule="exact"/>
              <w:jc w:val="both"/>
              <w:rPr>
                <w:rFonts w:asciiTheme="minorHAnsi" w:eastAsiaTheme="minorHAnsi" w:hAnsiTheme="minorHAnsi"/>
                <w:color w:val="002060"/>
                <w:sz w:val="20"/>
              </w:rPr>
            </w:pPr>
            <w:r w:rsidRPr="00F4354E">
              <w:rPr>
                <w:rFonts w:asciiTheme="minorHAnsi" w:eastAsiaTheme="minorHAnsi" w:hAnsiTheme="minorHAnsi"/>
                <w:color w:val="002060"/>
                <w:sz w:val="20"/>
              </w:rPr>
              <w:t xml:space="preserve">- Utilized </w:t>
            </w:r>
            <w:proofErr w:type="spellStart"/>
            <w:r w:rsidRPr="00F4354E">
              <w:rPr>
                <w:rFonts w:asciiTheme="minorHAnsi" w:eastAsiaTheme="minorHAnsi" w:hAnsiTheme="minorHAnsi"/>
                <w:color w:val="002060"/>
                <w:sz w:val="20"/>
              </w:rPr>
              <w:t>goniometer</w:t>
            </w:r>
            <w:proofErr w:type="spellEnd"/>
          </w:p>
          <w:p w:rsidR="00627650" w:rsidRPr="00F4354E" w:rsidRDefault="00627650" w:rsidP="002E7437">
            <w:pPr>
              <w:tabs>
                <w:tab w:val="left" w:pos="288"/>
                <w:tab w:val="left" w:pos="4752"/>
              </w:tabs>
              <w:spacing w:line="240" w:lineRule="exact"/>
              <w:jc w:val="both"/>
              <w:rPr>
                <w:rFonts w:asciiTheme="minorHAnsi" w:eastAsiaTheme="minorHAnsi" w:hAnsiTheme="minorHAnsi"/>
                <w:color w:val="002060"/>
                <w:sz w:val="20"/>
              </w:rPr>
            </w:pPr>
            <w:r w:rsidRPr="00F4354E">
              <w:rPr>
                <w:rFonts w:asciiTheme="minorHAnsi" w:eastAsiaTheme="minorHAnsi" w:hAnsiTheme="minorHAnsi"/>
                <w:color w:val="002060"/>
                <w:sz w:val="20"/>
                <w:highlight w:val="yellow"/>
              </w:rPr>
              <w:t xml:space="preserve">- </w:t>
            </w:r>
            <w:r w:rsidR="002E7437" w:rsidRPr="00F4354E">
              <w:rPr>
                <w:rFonts w:asciiTheme="minorHAnsi" w:eastAsiaTheme="minorHAnsi" w:hAnsiTheme="minorHAnsi"/>
                <w:color w:val="002060"/>
                <w:sz w:val="20"/>
                <w:highlight w:val="yellow"/>
              </w:rPr>
              <w:t>Degree that pain occurs</w:t>
            </w:r>
          </w:p>
        </w:tc>
      </w:tr>
    </w:tbl>
    <w:p w:rsidR="00B86FDE" w:rsidRDefault="00B86FDE" w:rsidP="002E20CE">
      <w:pPr>
        <w:pStyle w:val="PlainText"/>
        <w:spacing w:line="240" w:lineRule="exact"/>
        <w:jc w:val="both"/>
        <w:rPr>
          <w:rFonts w:ascii="Courier" w:hAnsi="Courier"/>
          <w:color w:val="002060"/>
          <w:sz w:val="24"/>
          <w:szCs w:val="24"/>
        </w:rPr>
      </w:pPr>
    </w:p>
    <w:tbl>
      <w:tblPr>
        <w:tblW w:w="945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0"/>
        <w:gridCol w:w="3600"/>
        <w:gridCol w:w="3690"/>
      </w:tblGrid>
      <w:tr w:rsidR="00B86FDE" w:rsidRPr="00F81C35" w:rsidTr="00F4354E">
        <w:tc>
          <w:tcPr>
            <w:tcW w:w="2160" w:type="dxa"/>
            <w:shd w:val="clear" w:color="auto" w:fill="C6D9F1" w:themeFill="text2" w:themeFillTint="33"/>
          </w:tcPr>
          <w:p w:rsidR="00B86FDE" w:rsidRPr="00F4354E" w:rsidRDefault="00B86FDE" w:rsidP="002E20CE">
            <w:pPr>
              <w:pStyle w:val="ListParagraph"/>
              <w:spacing w:after="0" w:line="240" w:lineRule="exact"/>
              <w:ind w:left="0"/>
              <w:jc w:val="both"/>
              <w:rPr>
                <w:rFonts w:ascii="Calibri" w:eastAsia="Calibri" w:hAnsi="Calibri" w:cs="Times New Roman"/>
                <w:color w:val="002060"/>
                <w:sz w:val="20"/>
                <w:szCs w:val="20"/>
              </w:rPr>
            </w:pPr>
            <w:proofErr w:type="spellStart"/>
            <w:r w:rsidRPr="00F4354E">
              <w:rPr>
                <w:rFonts w:ascii="Calibri" w:eastAsia="Calibri" w:hAnsi="Calibri" w:cs="Times New Roman"/>
                <w:color w:val="002060"/>
                <w:sz w:val="20"/>
                <w:szCs w:val="20"/>
              </w:rPr>
              <w:t>Thoracolumbar</w:t>
            </w:r>
            <w:proofErr w:type="spellEnd"/>
            <w:r w:rsidRPr="00F4354E">
              <w:rPr>
                <w:rFonts w:ascii="Calibri" w:eastAsia="Calibri" w:hAnsi="Calibri" w:cs="Times New Roman"/>
                <w:color w:val="002060"/>
                <w:sz w:val="20"/>
                <w:szCs w:val="20"/>
              </w:rPr>
              <w:t xml:space="preserve"> ROM</w:t>
            </w:r>
          </w:p>
        </w:tc>
        <w:tc>
          <w:tcPr>
            <w:tcW w:w="3600" w:type="dxa"/>
            <w:shd w:val="clear" w:color="auto" w:fill="C6D9F1" w:themeFill="text2" w:themeFillTint="33"/>
          </w:tcPr>
          <w:p w:rsidR="00B86FDE" w:rsidRPr="00F4354E" w:rsidRDefault="00B86FDE" w:rsidP="002E20CE">
            <w:pPr>
              <w:pStyle w:val="ListParagraph"/>
              <w:spacing w:after="0" w:line="240" w:lineRule="exact"/>
              <w:ind w:left="0"/>
              <w:jc w:val="both"/>
              <w:rPr>
                <w:rFonts w:ascii="Calibri" w:eastAsia="Calibri" w:hAnsi="Calibri" w:cs="Times New Roman"/>
                <w:color w:val="002060"/>
                <w:sz w:val="20"/>
                <w:szCs w:val="20"/>
              </w:rPr>
            </w:pPr>
            <w:r w:rsidRPr="00F4354E">
              <w:rPr>
                <w:rFonts w:ascii="Calibri" w:eastAsia="Calibri" w:hAnsi="Calibri" w:cs="Times New Roman"/>
                <w:color w:val="002060"/>
                <w:sz w:val="20"/>
                <w:szCs w:val="20"/>
              </w:rPr>
              <w:t>P.T. – 4/3/07</w:t>
            </w:r>
          </w:p>
        </w:tc>
        <w:tc>
          <w:tcPr>
            <w:tcW w:w="3690" w:type="dxa"/>
            <w:shd w:val="clear" w:color="auto" w:fill="C6D9F1" w:themeFill="text2" w:themeFillTint="33"/>
          </w:tcPr>
          <w:p w:rsidR="00B86FDE" w:rsidRPr="00F4354E" w:rsidRDefault="00B86FDE" w:rsidP="002E20CE">
            <w:pPr>
              <w:pStyle w:val="ListParagraph"/>
              <w:spacing w:after="0" w:line="240" w:lineRule="exact"/>
              <w:ind w:left="0"/>
              <w:jc w:val="both"/>
              <w:rPr>
                <w:rFonts w:ascii="Calibri" w:hAnsi="Calibri"/>
                <w:color w:val="002060"/>
                <w:sz w:val="20"/>
                <w:szCs w:val="20"/>
              </w:rPr>
            </w:pPr>
            <w:r w:rsidRPr="00F4354E">
              <w:rPr>
                <w:rFonts w:ascii="Calibri" w:eastAsia="Calibri" w:hAnsi="Calibri" w:cs="Times New Roman"/>
                <w:color w:val="002060"/>
                <w:sz w:val="20"/>
                <w:szCs w:val="20"/>
              </w:rPr>
              <w:t>VA</w:t>
            </w:r>
            <w:r w:rsidRPr="00F4354E">
              <w:rPr>
                <w:rFonts w:ascii="Calibri" w:hAnsi="Calibri"/>
                <w:color w:val="002060"/>
                <w:sz w:val="20"/>
                <w:szCs w:val="20"/>
              </w:rPr>
              <w:t xml:space="preserve"> C&amp;P – </w:t>
            </w:r>
            <w:r w:rsidRPr="00F4354E">
              <w:rPr>
                <w:rFonts w:ascii="Calibri" w:eastAsia="Calibri" w:hAnsi="Calibri" w:cs="Times New Roman"/>
                <w:color w:val="002060"/>
                <w:sz w:val="20"/>
                <w:szCs w:val="20"/>
              </w:rPr>
              <w:t>5/9/07</w:t>
            </w:r>
          </w:p>
        </w:tc>
      </w:tr>
      <w:tr w:rsidR="00B86FDE" w:rsidRPr="00F81C35" w:rsidTr="00F4354E">
        <w:tc>
          <w:tcPr>
            <w:tcW w:w="2160" w:type="dxa"/>
          </w:tcPr>
          <w:p w:rsidR="00B86FDE" w:rsidRPr="00F4354E" w:rsidRDefault="00B86FDE" w:rsidP="002E20CE">
            <w:pPr>
              <w:pStyle w:val="ListParagraph"/>
              <w:spacing w:after="0" w:line="240" w:lineRule="exact"/>
              <w:ind w:left="0"/>
              <w:jc w:val="both"/>
              <w:rPr>
                <w:rFonts w:ascii="Calibri" w:eastAsia="Calibri" w:hAnsi="Calibri" w:cs="Times New Roman"/>
                <w:color w:val="002060"/>
                <w:sz w:val="20"/>
                <w:szCs w:val="20"/>
              </w:rPr>
            </w:pPr>
            <w:r w:rsidRPr="00F4354E">
              <w:rPr>
                <w:rFonts w:ascii="Calibri" w:eastAsia="Calibri" w:hAnsi="Calibri" w:cs="Times New Roman"/>
                <w:color w:val="002060"/>
                <w:sz w:val="20"/>
                <w:szCs w:val="20"/>
              </w:rPr>
              <w:t>Flexion</w:t>
            </w:r>
          </w:p>
        </w:tc>
        <w:tc>
          <w:tcPr>
            <w:tcW w:w="3600" w:type="dxa"/>
          </w:tcPr>
          <w:p w:rsidR="00B86FDE" w:rsidRPr="00F4354E" w:rsidRDefault="00B86FDE" w:rsidP="002E20CE">
            <w:pPr>
              <w:pStyle w:val="ListParagraph"/>
              <w:spacing w:after="0" w:line="240" w:lineRule="exact"/>
              <w:ind w:left="0"/>
              <w:jc w:val="both"/>
              <w:rPr>
                <w:rFonts w:ascii="Calibri" w:eastAsia="Calibri" w:hAnsi="Calibri" w:cs="Times New Roman"/>
                <w:color w:val="002060"/>
                <w:sz w:val="20"/>
                <w:szCs w:val="20"/>
              </w:rPr>
            </w:pPr>
            <w:r w:rsidRPr="00F4354E">
              <w:rPr>
                <w:rFonts w:ascii="Calibri" w:eastAsia="Calibri" w:hAnsi="Calibri" w:cs="Times New Roman"/>
                <w:color w:val="002060"/>
                <w:sz w:val="20"/>
                <w:szCs w:val="20"/>
              </w:rPr>
              <w:t>85⁰</w:t>
            </w:r>
          </w:p>
        </w:tc>
        <w:tc>
          <w:tcPr>
            <w:tcW w:w="3690" w:type="dxa"/>
          </w:tcPr>
          <w:p w:rsidR="00B86FDE" w:rsidRPr="00F4354E" w:rsidRDefault="00B86FDE" w:rsidP="002E20CE">
            <w:pPr>
              <w:pStyle w:val="ListParagraph"/>
              <w:spacing w:after="0" w:line="240" w:lineRule="exact"/>
              <w:ind w:left="0"/>
              <w:jc w:val="both"/>
              <w:rPr>
                <w:rFonts w:ascii="Calibri" w:eastAsia="Calibri" w:hAnsi="Calibri" w:cs="Times New Roman"/>
                <w:color w:val="002060"/>
                <w:sz w:val="20"/>
                <w:szCs w:val="20"/>
              </w:rPr>
            </w:pPr>
            <w:r w:rsidRPr="00F4354E">
              <w:rPr>
                <w:rFonts w:ascii="Calibri" w:eastAsia="Calibri" w:hAnsi="Calibri" w:cs="Times New Roman"/>
                <w:color w:val="002060"/>
                <w:sz w:val="20"/>
                <w:szCs w:val="20"/>
              </w:rPr>
              <w:t>50⁰</w:t>
            </w:r>
          </w:p>
        </w:tc>
      </w:tr>
      <w:tr w:rsidR="00B86FDE" w:rsidRPr="00F81C35" w:rsidTr="00F4354E">
        <w:tc>
          <w:tcPr>
            <w:tcW w:w="2160" w:type="dxa"/>
          </w:tcPr>
          <w:p w:rsidR="00B86FDE" w:rsidRPr="00F4354E" w:rsidRDefault="00B86FDE" w:rsidP="002E20CE">
            <w:pPr>
              <w:pStyle w:val="ListParagraph"/>
              <w:spacing w:after="0" w:line="240" w:lineRule="exact"/>
              <w:ind w:left="0"/>
              <w:jc w:val="both"/>
              <w:rPr>
                <w:rFonts w:ascii="Calibri" w:eastAsia="Calibri" w:hAnsi="Calibri" w:cs="Times New Roman"/>
                <w:color w:val="002060"/>
                <w:sz w:val="20"/>
                <w:szCs w:val="20"/>
              </w:rPr>
            </w:pPr>
            <w:r w:rsidRPr="00F4354E">
              <w:rPr>
                <w:rFonts w:ascii="Calibri" w:eastAsia="Calibri" w:hAnsi="Calibri" w:cs="Times New Roman"/>
                <w:color w:val="002060"/>
                <w:sz w:val="20"/>
                <w:szCs w:val="20"/>
              </w:rPr>
              <w:t>Combined</w:t>
            </w:r>
          </w:p>
        </w:tc>
        <w:tc>
          <w:tcPr>
            <w:tcW w:w="3600" w:type="dxa"/>
          </w:tcPr>
          <w:p w:rsidR="00B86FDE" w:rsidRPr="00F4354E" w:rsidRDefault="00B86FDE" w:rsidP="002E20CE">
            <w:pPr>
              <w:pStyle w:val="ListParagraph"/>
              <w:spacing w:after="0" w:line="240" w:lineRule="exact"/>
              <w:ind w:left="0"/>
              <w:jc w:val="both"/>
              <w:rPr>
                <w:rFonts w:ascii="Calibri" w:eastAsia="Calibri" w:hAnsi="Calibri" w:cs="Times New Roman"/>
                <w:color w:val="002060"/>
                <w:sz w:val="20"/>
                <w:szCs w:val="20"/>
              </w:rPr>
            </w:pPr>
            <w:r w:rsidRPr="00F4354E">
              <w:rPr>
                <w:rFonts w:ascii="Calibri" w:eastAsia="Calibri" w:hAnsi="Calibri" w:cs="Times New Roman"/>
                <w:color w:val="002060"/>
                <w:sz w:val="20"/>
                <w:szCs w:val="20"/>
              </w:rPr>
              <w:t xml:space="preserve">250⁰ </w:t>
            </w:r>
          </w:p>
        </w:tc>
        <w:tc>
          <w:tcPr>
            <w:tcW w:w="3690" w:type="dxa"/>
          </w:tcPr>
          <w:p w:rsidR="00B86FDE" w:rsidRPr="00F4354E" w:rsidRDefault="00B86FDE" w:rsidP="002E20CE">
            <w:pPr>
              <w:pStyle w:val="ListParagraph"/>
              <w:spacing w:after="0" w:line="240" w:lineRule="exact"/>
              <w:ind w:left="0"/>
              <w:jc w:val="both"/>
              <w:rPr>
                <w:rFonts w:ascii="Calibri" w:eastAsia="Calibri" w:hAnsi="Calibri" w:cs="Times New Roman"/>
                <w:color w:val="002060"/>
                <w:sz w:val="20"/>
                <w:szCs w:val="20"/>
              </w:rPr>
            </w:pPr>
            <w:r w:rsidRPr="00F4354E">
              <w:rPr>
                <w:rFonts w:ascii="Calibri" w:eastAsia="Calibri" w:hAnsi="Calibri" w:cs="Times New Roman"/>
                <w:color w:val="002060"/>
                <w:sz w:val="20"/>
                <w:szCs w:val="20"/>
              </w:rPr>
              <w:t>100⁰</w:t>
            </w:r>
          </w:p>
        </w:tc>
      </w:tr>
      <w:tr w:rsidR="00B86FDE" w:rsidRPr="00F81C35" w:rsidTr="00F4354E">
        <w:tc>
          <w:tcPr>
            <w:tcW w:w="2160" w:type="dxa"/>
          </w:tcPr>
          <w:p w:rsidR="00B86FDE" w:rsidRPr="00F4354E" w:rsidRDefault="00B86FDE" w:rsidP="002E20CE">
            <w:pPr>
              <w:tabs>
                <w:tab w:val="left" w:pos="288"/>
                <w:tab w:val="left" w:pos="4752"/>
              </w:tabs>
              <w:spacing w:line="240" w:lineRule="exact"/>
              <w:jc w:val="both"/>
              <w:rPr>
                <w:rFonts w:asciiTheme="minorHAnsi" w:eastAsiaTheme="minorHAnsi" w:hAnsiTheme="minorHAnsi"/>
                <w:color w:val="002060"/>
                <w:sz w:val="20"/>
              </w:rPr>
            </w:pPr>
            <w:r w:rsidRPr="00F4354E">
              <w:rPr>
                <w:rFonts w:asciiTheme="minorHAnsi" w:eastAsiaTheme="minorHAnsi" w:hAnsiTheme="minorHAnsi"/>
                <w:color w:val="002060"/>
                <w:sz w:val="20"/>
              </w:rPr>
              <w:t>§4.71a Rating</w:t>
            </w:r>
          </w:p>
        </w:tc>
        <w:tc>
          <w:tcPr>
            <w:tcW w:w="3600" w:type="dxa"/>
          </w:tcPr>
          <w:p w:rsidR="00B86FDE" w:rsidRPr="00F4354E" w:rsidRDefault="00B86FDE" w:rsidP="002E20CE">
            <w:pPr>
              <w:tabs>
                <w:tab w:val="left" w:pos="288"/>
                <w:tab w:val="left" w:pos="4752"/>
              </w:tabs>
              <w:spacing w:line="240" w:lineRule="exact"/>
              <w:jc w:val="both"/>
              <w:rPr>
                <w:rFonts w:asciiTheme="minorHAnsi" w:eastAsiaTheme="minorHAnsi" w:hAnsiTheme="minorHAnsi"/>
                <w:color w:val="002060"/>
                <w:sz w:val="20"/>
              </w:rPr>
            </w:pPr>
            <w:r w:rsidRPr="00F4354E">
              <w:rPr>
                <w:rFonts w:asciiTheme="minorHAnsi" w:eastAsiaTheme="minorHAnsi" w:hAnsiTheme="minorHAnsi"/>
                <w:color w:val="002060"/>
                <w:sz w:val="20"/>
              </w:rPr>
              <w:t>10%</w:t>
            </w:r>
          </w:p>
        </w:tc>
        <w:tc>
          <w:tcPr>
            <w:tcW w:w="3690" w:type="dxa"/>
          </w:tcPr>
          <w:p w:rsidR="00B86FDE" w:rsidRPr="00F4354E" w:rsidRDefault="00B86FDE" w:rsidP="002E20CE">
            <w:pPr>
              <w:tabs>
                <w:tab w:val="left" w:pos="288"/>
                <w:tab w:val="left" w:pos="4752"/>
              </w:tabs>
              <w:spacing w:line="240" w:lineRule="exact"/>
              <w:jc w:val="both"/>
              <w:rPr>
                <w:rFonts w:asciiTheme="minorHAnsi" w:eastAsiaTheme="minorHAnsi" w:hAnsiTheme="minorHAnsi"/>
                <w:color w:val="002060"/>
                <w:sz w:val="20"/>
              </w:rPr>
            </w:pPr>
            <w:r w:rsidRPr="00F4354E">
              <w:rPr>
                <w:rFonts w:asciiTheme="minorHAnsi" w:eastAsiaTheme="minorHAnsi" w:hAnsiTheme="minorHAnsi"/>
                <w:color w:val="002060"/>
                <w:sz w:val="20"/>
                <w:highlight w:val="yellow"/>
              </w:rPr>
              <w:t>20%</w:t>
            </w:r>
          </w:p>
        </w:tc>
      </w:tr>
      <w:tr w:rsidR="00171615" w:rsidRPr="00F81C35" w:rsidTr="00F4354E">
        <w:tc>
          <w:tcPr>
            <w:tcW w:w="2160" w:type="dxa"/>
          </w:tcPr>
          <w:p w:rsidR="00171615" w:rsidRPr="00F4354E" w:rsidRDefault="00F67A35" w:rsidP="002E20CE">
            <w:pPr>
              <w:tabs>
                <w:tab w:val="left" w:pos="288"/>
                <w:tab w:val="left" w:pos="4752"/>
              </w:tabs>
              <w:spacing w:line="240" w:lineRule="exact"/>
              <w:jc w:val="both"/>
              <w:rPr>
                <w:rFonts w:asciiTheme="minorHAnsi" w:eastAsiaTheme="minorHAnsi" w:hAnsiTheme="minorHAnsi"/>
                <w:color w:val="002060"/>
                <w:sz w:val="20"/>
              </w:rPr>
            </w:pPr>
            <w:r w:rsidRPr="00F4354E">
              <w:rPr>
                <w:rFonts w:asciiTheme="minorHAnsi" w:eastAsiaTheme="minorHAnsi" w:hAnsiTheme="minorHAnsi"/>
                <w:color w:val="002060"/>
                <w:sz w:val="20"/>
              </w:rPr>
              <w:t>Comments</w:t>
            </w:r>
          </w:p>
        </w:tc>
        <w:tc>
          <w:tcPr>
            <w:tcW w:w="3600" w:type="dxa"/>
          </w:tcPr>
          <w:p w:rsidR="00171615" w:rsidRPr="00F4354E" w:rsidRDefault="00171615" w:rsidP="002E20CE">
            <w:pPr>
              <w:tabs>
                <w:tab w:val="left" w:pos="288"/>
                <w:tab w:val="left" w:pos="4752"/>
              </w:tabs>
              <w:spacing w:line="240" w:lineRule="exact"/>
              <w:jc w:val="both"/>
              <w:rPr>
                <w:rFonts w:asciiTheme="minorHAnsi" w:eastAsiaTheme="minorHAnsi" w:hAnsiTheme="minorHAnsi"/>
                <w:color w:val="002060"/>
                <w:sz w:val="20"/>
              </w:rPr>
            </w:pPr>
            <w:r w:rsidRPr="00F4354E">
              <w:rPr>
                <w:rFonts w:asciiTheme="minorHAnsi" w:eastAsiaTheme="minorHAnsi" w:hAnsiTheme="minorHAnsi"/>
                <w:color w:val="002060"/>
                <w:sz w:val="20"/>
              </w:rPr>
              <w:t>- No exaggeration noted</w:t>
            </w:r>
          </w:p>
          <w:p w:rsidR="00171615" w:rsidRPr="00F4354E" w:rsidRDefault="006301D9" w:rsidP="002E20CE">
            <w:pPr>
              <w:tabs>
                <w:tab w:val="left" w:pos="288"/>
                <w:tab w:val="left" w:pos="4752"/>
              </w:tabs>
              <w:spacing w:line="240" w:lineRule="exact"/>
              <w:jc w:val="both"/>
              <w:rPr>
                <w:rFonts w:asciiTheme="minorHAnsi" w:eastAsiaTheme="minorHAnsi" w:hAnsiTheme="minorHAnsi"/>
                <w:color w:val="002060"/>
                <w:sz w:val="20"/>
              </w:rPr>
            </w:pPr>
            <w:r w:rsidRPr="00F4354E">
              <w:rPr>
                <w:rFonts w:asciiTheme="minorHAnsi" w:eastAsiaTheme="minorHAnsi" w:hAnsiTheme="minorHAnsi"/>
                <w:color w:val="002060"/>
                <w:sz w:val="20"/>
              </w:rPr>
              <w:t xml:space="preserve">- Utilize </w:t>
            </w:r>
            <w:proofErr w:type="spellStart"/>
            <w:r w:rsidRPr="00F4354E">
              <w:rPr>
                <w:rFonts w:asciiTheme="minorHAnsi" w:eastAsiaTheme="minorHAnsi" w:hAnsiTheme="minorHAnsi"/>
                <w:color w:val="002060"/>
                <w:sz w:val="20"/>
              </w:rPr>
              <w:t>goniometer</w:t>
            </w:r>
            <w:proofErr w:type="spellEnd"/>
            <w:r w:rsidRPr="00F4354E">
              <w:rPr>
                <w:rFonts w:asciiTheme="minorHAnsi" w:eastAsiaTheme="minorHAnsi" w:hAnsiTheme="minorHAnsi"/>
                <w:color w:val="002060"/>
                <w:sz w:val="20"/>
              </w:rPr>
              <w:t xml:space="preserve"> &amp; inclinometer</w:t>
            </w:r>
          </w:p>
          <w:p w:rsidR="00627650" w:rsidRPr="00F4354E" w:rsidRDefault="00627650" w:rsidP="002E20CE">
            <w:pPr>
              <w:tabs>
                <w:tab w:val="left" w:pos="288"/>
                <w:tab w:val="left" w:pos="4752"/>
              </w:tabs>
              <w:spacing w:line="240" w:lineRule="exact"/>
              <w:jc w:val="both"/>
              <w:rPr>
                <w:rFonts w:asciiTheme="minorHAnsi" w:eastAsiaTheme="minorHAnsi" w:hAnsiTheme="minorHAnsi"/>
                <w:color w:val="002060"/>
                <w:sz w:val="20"/>
              </w:rPr>
            </w:pPr>
            <w:r w:rsidRPr="00F4354E">
              <w:rPr>
                <w:rFonts w:asciiTheme="minorHAnsi" w:eastAsiaTheme="minorHAnsi" w:hAnsiTheme="minorHAnsi"/>
                <w:color w:val="002060"/>
                <w:sz w:val="20"/>
              </w:rPr>
              <w:t xml:space="preserve">- Active ROM limited by pain </w:t>
            </w:r>
          </w:p>
        </w:tc>
        <w:tc>
          <w:tcPr>
            <w:tcW w:w="3690" w:type="dxa"/>
          </w:tcPr>
          <w:p w:rsidR="00171615" w:rsidRPr="00F4354E" w:rsidRDefault="00171615" w:rsidP="002E20CE">
            <w:pPr>
              <w:tabs>
                <w:tab w:val="left" w:pos="288"/>
                <w:tab w:val="left" w:pos="4752"/>
              </w:tabs>
              <w:spacing w:line="240" w:lineRule="exact"/>
              <w:jc w:val="both"/>
              <w:rPr>
                <w:rFonts w:asciiTheme="minorHAnsi" w:eastAsiaTheme="minorHAnsi" w:hAnsiTheme="minorHAnsi"/>
                <w:color w:val="002060"/>
                <w:sz w:val="20"/>
              </w:rPr>
            </w:pPr>
            <w:r w:rsidRPr="00F4354E">
              <w:rPr>
                <w:rFonts w:asciiTheme="minorHAnsi" w:eastAsiaTheme="minorHAnsi" w:hAnsiTheme="minorHAnsi"/>
                <w:color w:val="002060"/>
                <w:sz w:val="20"/>
              </w:rPr>
              <w:t>- No exaggeration noted</w:t>
            </w:r>
          </w:p>
          <w:p w:rsidR="00171615" w:rsidRPr="00F4354E" w:rsidRDefault="00171615" w:rsidP="002E20CE">
            <w:pPr>
              <w:tabs>
                <w:tab w:val="left" w:pos="288"/>
                <w:tab w:val="left" w:pos="4752"/>
              </w:tabs>
              <w:spacing w:line="240" w:lineRule="exact"/>
              <w:jc w:val="both"/>
              <w:rPr>
                <w:rFonts w:asciiTheme="minorHAnsi" w:eastAsiaTheme="minorHAnsi" w:hAnsiTheme="minorHAnsi"/>
                <w:color w:val="002060"/>
                <w:sz w:val="20"/>
              </w:rPr>
            </w:pPr>
            <w:r w:rsidRPr="00F4354E">
              <w:rPr>
                <w:rFonts w:asciiTheme="minorHAnsi" w:eastAsiaTheme="minorHAnsi" w:hAnsiTheme="minorHAnsi"/>
                <w:color w:val="002060"/>
                <w:sz w:val="20"/>
              </w:rPr>
              <w:t xml:space="preserve">- Utilized </w:t>
            </w:r>
            <w:proofErr w:type="spellStart"/>
            <w:r w:rsidRPr="00F4354E">
              <w:rPr>
                <w:rFonts w:asciiTheme="minorHAnsi" w:eastAsiaTheme="minorHAnsi" w:hAnsiTheme="minorHAnsi"/>
                <w:color w:val="002060"/>
                <w:sz w:val="20"/>
              </w:rPr>
              <w:t>goniometer</w:t>
            </w:r>
            <w:proofErr w:type="spellEnd"/>
          </w:p>
          <w:p w:rsidR="00171615" w:rsidRPr="00F4354E" w:rsidRDefault="00DC7FA0" w:rsidP="00F4354E">
            <w:pPr>
              <w:tabs>
                <w:tab w:val="left" w:pos="288"/>
                <w:tab w:val="left" w:pos="4752"/>
              </w:tabs>
              <w:spacing w:line="240" w:lineRule="exact"/>
              <w:jc w:val="both"/>
              <w:rPr>
                <w:rFonts w:asciiTheme="minorHAnsi" w:eastAsiaTheme="minorHAnsi" w:hAnsiTheme="minorHAnsi"/>
                <w:color w:val="002060"/>
                <w:sz w:val="20"/>
                <w:highlight w:val="yellow"/>
              </w:rPr>
            </w:pPr>
            <w:r w:rsidRPr="00F4354E">
              <w:rPr>
                <w:rFonts w:asciiTheme="minorHAnsi" w:eastAsiaTheme="minorHAnsi" w:hAnsiTheme="minorHAnsi"/>
                <w:color w:val="002060"/>
                <w:sz w:val="20"/>
                <w:highlight w:val="yellow"/>
              </w:rPr>
              <w:t>- Degree that pain occurs</w:t>
            </w:r>
          </w:p>
        </w:tc>
      </w:tr>
    </w:tbl>
    <w:p w:rsidR="00627650" w:rsidRDefault="00627650" w:rsidP="002E20CE">
      <w:pPr>
        <w:jc w:val="both"/>
        <w:rPr>
          <w:rFonts w:eastAsia="Calibri"/>
          <w:color w:val="002060"/>
          <w:szCs w:val="24"/>
        </w:rPr>
      </w:pPr>
    </w:p>
    <w:p w:rsidR="00B66753" w:rsidRDefault="00EB012A" w:rsidP="002E20CE">
      <w:pPr>
        <w:pStyle w:val="PlainText"/>
        <w:numPr>
          <w:ilvl w:val="0"/>
          <w:numId w:val="1"/>
        </w:numPr>
        <w:spacing w:line="240" w:lineRule="exact"/>
        <w:ind w:left="0" w:firstLine="630"/>
        <w:jc w:val="both"/>
        <w:rPr>
          <w:rFonts w:ascii="Courier" w:hAnsi="Courier"/>
          <w:color w:val="002060"/>
          <w:sz w:val="24"/>
          <w:szCs w:val="24"/>
        </w:rPr>
      </w:pPr>
      <w:r w:rsidRPr="00EB012A">
        <w:rPr>
          <w:rFonts w:ascii="Courier" w:hAnsi="Courier"/>
          <w:color w:val="002060"/>
          <w:sz w:val="24"/>
          <w:szCs w:val="24"/>
        </w:rPr>
        <w:t>Whatever the conclusion regarding the validity of some VA conditions or ratings, they are not the focus of the Board</w:t>
      </w:r>
      <w:r w:rsidRPr="00EB012A">
        <w:rPr>
          <w:rFonts w:ascii="Courier" w:hAnsiTheme="minorHAnsi"/>
          <w:color w:val="002060"/>
          <w:sz w:val="24"/>
          <w:szCs w:val="24"/>
        </w:rPr>
        <w:t>’</w:t>
      </w:r>
      <w:r w:rsidRPr="00EB012A">
        <w:rPr>
          <w:rFonts w:ascii="Courier" w:hAnsi="Courier"/>
          <w:color w:val="002060"/>
          <w:sz w:val="24"/>
          <w:szCs w:val="24"/>
        </w:rPr>
        <w:t>s recommendations.  There is sufficient reasonable doubt in the CI</w:t>
      </w:r>
      <w:r w:rsidRPr="00EB012A">
        <w:rPr>
          <w:rFonts w:ascii="Courier" w:hAnsiTheme="minorHAnsi"/>
          <w:color w:val="002060"/>
          <w:sz w:val="24"/>
          <w:szCs w:val="24"/>
        </w:rPr>
        <w:t>’</w:t>
      </w:r>
      <w:r w:rsidRPr="00EB012A">
        <w:rPr>
          <w:rFonts w:ascii="Courier" w:hAnsi="Courier"/>
          <w:color w:val="002060"/>
          <w:sz w:val="24"/>
          <w:szCs w:val="24"/>
        </w:rPr>
        <w:t>s favor supporting valid exam findings for his unfitting spinal conditions.  These findings support the ratings recommended in this opinion.</w:t>
      </w:r>
    </w:p>
    <w:p w:rsidR="00B66753" w:rsidRDefault="00B66753">
      <w:pPr>
        <w:rPr>
          <w:color w:val="002060"/>
          <w:szCs w:val="24"/>
        </w:rPr>
      </w:pPr>
      <w:r>
        <w:rPr>
          <w:color w:val="002060"/>
          <w:szCs w:val="24"/>
        </w:rPr>
        <w:br w:type="page"/>
      </w:r>
      <w:r>
        <w:rPr>
          <w:color w:val="002060"/>
          <w:szCs w:val="24"/>
        </w:rPr>
        <w:lastRenderedPageBreak/>
        <w:br w:type="page"/>
      </w:r>
    </w:p>
    <w:p w:rsidR="00B66753" w:rsidRDefault="00B66753" w:rsidP="00B66753">
      <w:pPr>
        <w:pStyle w:val="Default"/>
        <w:framePr w:w="15104" w:wrap="auto" w:vAnchor="page" w:hAnchor="page" w:x="1" w:y="1"/>
      </w:pPr>
      <w:r>
        <w:rPr>
          <w:noProof/>
        </w:rPr>
        <w:lastRenderedPageBreak/>
        <w:drawing>
          <wp:inline distT="0" distB="0" distL="0" distR="0">
            <wp:extent cx="7798435" cy="1003236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7798435" cy="10032365"/>
                    </a:xfrm>
                    <a:prstGeom prst="rect">
                      <a:avLst/>
                    </a:prstGeom>
                    <a:noFill/>
                    <a:ln w="9525">
                      <a:noFill/>
                      <a:miter lim="800000"/>
                      <a:headEnd/>
                      <a:tailEnd/>
                    </a:ln>
                  </pic:spPr>
                </pic:pic>
              </a:graphicData>
            </a:graphic>
          </wp:inline>
        </w:drawing>
      </w:r>
    </w:p>
    <w:p w:rsidR="00EB012A" w:rsidRPr="00EB012A" w:rsidRDefault="00EB012A" w:rsidP="00B66753">
      <w:pPr>
        <w:ind w:left="-360"/>
        <w:rPr>
          <w:color w:val="002060"/>
          <w:szCs w:val="24"/>
        </w:rPr>
      </w:pPr>
    </w:p>
    <w:sectPr w:rsidR="00EB012A" w:rsidRPr="00EB012A" w:rsidSect="006418C9">
      <w:footerReference w:type="even" r:id="rId9"/>
      <w:footerReference w:type="defaul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B2D" w:rsidRDefault="00333B2D">
      <w:r>
        <w:separator/>
      </w:r>
    </w:p>
  </w:endnote>
  <w:endnote w:type="continuationSeparator" w:id="0">
    <w:p w:rsidR="00333B2D" w:rsidRDefault="00333B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6C7" w:rsidRDefault="00307EF6">
    <w:pPr>
      <w:pStyle w:val="Footer"/>
      <w:framePr w:wrap="around" w:vAnchor="text" w:hAnchor="margin" w:xAlign="center" w:y="1"/>
      <w:rPr>
        <w:rStyle w:val="PageNumber"/>
      </w:rPr>
    </w:pPr>
    <w:r>
      <w:rPr>
        <w:rStyle w:val="PageNumber"/>
      </w:rPr>
      <w:fldChar w:fldCharType="begin"/>
    </w:r>
    <w:r w:rsidR="00C656C7">
      <w:rPr>
        <w:rStyle w:val="PageNumber"/>
      </w:rPr>
      <w:instrText xml:space="preserve">PAGE  </w:instrText>
    </w:r>
    <w:r>
      <w:rPr>
        <w:rStyle w:val="PageNumber"/>
      </w:rPr>
      <w:fldChar w:fldCharType="separate"/>
    </w:r>
    <w:r w:rsidR="00C656C7">
      <w:rPr>
        <w:rStyle w:val="PageNumber"/>
        <w:noProof/>
      </w:rPr>
      <w:t>2</w:t>
    </w:r>
    <w:r>
      <w:rPr>
        <w:rStyle w:val="PageNumber"/>
      </w:rPr>
      <w:fldChar w:fldCharType="end"/>
    </w:r>
  </w:p>
  <w:p w:rsidR="00C656C7" w:rsidRDefault="00C656C7"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6C7" w:rsidRDefault="00307EF6">
    <w:pPr>
      <w:pStyle w:val="Footer"/>
      <w:framePr w:wrap="around" w:vAnchor="text" w:hAnchor="margin" w:xAlign="center" w:y="1"/>
      <w:rPr>
        <w:rStyle w:val="PageNumber"/>
      </w:rPr>
    </w:pPr>
    <w:r>
      <w:rPr>
        <w:rStyle w:val="PageNumber"/>
      </w:rPr>
      <w:fldChar w:fldCharType="begin"/>
    </w:r>
    <w:r w:rsidR="00C656C7">
      <w:rPr>
        <w:rStyle w:val="PageNumber"/>
      </w:rPr>
      <w:instrText xml:space="preserve">PAGE  </w:instrText>
    </w:r>
    <w:r>
      <w:rPr>
        <w:rStyle w:val="PageNumber"/>
      </w:rPr>
      <w:fldChar w:fldCharType="separate"/>
    </w:r>
    <w:r w:rsidR="00B66753">
      <w:rPr>
        <w:rStyle w:val="PageNumber"/>
        <w:noProof/>
      </w:rPr>
      <w:t>8</w:t>
    </w:r>
    <w:r>
      <w:rPr>
        <w:rStyle w:val="PageNumber"/>
      </w:rPr>
      <w:fldChar w:fldCharType="end"/>
    </w:r>
  </w:p>
  <w:p w:rsidR="00C656C7" w:rsidRDefault="00C656C7" w:rsidP="002B0749">
    <w:pPr>
      <w:pStyle w:val="Footer"/>
      <w:jc w:val="right"/>
    </w:pPr>
    <w:r>
      <w:tab/>
    </w:r>
    <w:r>
      <w:tab/>
    </w:r>
    <w:r w:rsidRPr="001D3186">
      <w:rPr>
        <w:caps/>
        <w:color w:val="000080"/>
      </w:rPr>
      <w:t>PD09</w:t>
    </w:r>
    <w:r>
      <w:rPr>
        <w:caps/>
        <w:color w:val="000080"/>
      </w:rPr>
      <w:t>00148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B2D" w:rsidRDefault="00333B2D">
      <w:r>
        <w:separator/>
      </w:r>
    </w:p>
  </w:footnote>
  <w:footnote w:type="continuationSeparator" w:id="0">
    <w:p w:rsidR="00333B2D" w:rsidRDefault="00333B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9E8"/>
    <w:multiLevelType w:val="hybridMultilevel"/>
    <w:tmpl w:val="0D6ADC82"/>
    <w:lvl w:ilvl="0" w:tplc="C4CA31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E07457"/>
    <w:multiLevelType w:val="hybridMultilevel"/>
    <w:tmpl w:val="E3302D64"/>
    <w:lvl w:ilvl="0" w:tplc="C4CA3180">
      <w:start w:val="1"/>
      <w:numFmt w:val="lowerLetter"/>
      <w:lvlText w:val="%1."/>
      <w:lvlJc w:val="left"/>
      <w:pPr>
        <w:ind w:left="1860" w:hanging="11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551EA5"/>
    <w:multiLevelType w:val="hybridMultilevel"/>
    <w:tmpl w:val="DEFC2776"/>
    <w:lvl w:ilvl="0" w:tplc="C4CA3180">
      <w:start w:val="1"/>
      <w:numFmt w:val="lowerLetter"/>
      <w:lvlText w:val="%1."/>
      <w:lvlJc w:val="left"/>
      <w:pPr>
        <w:ind w:left="1860" w:hanging="11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98441A"/>
    <w:multiLevelType w:val="hybridMultilevel"/>
    <w:tmpl w:val="2026BA46"/>
    <w:lvl w:ilvl="0" w:tplc="BBDEBEF4">
      <w:start w:val="3"/>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566CCF"/>
    <w:multiLevelType w:val="hybridMultilevel"/>
    <w:tmpl w:val="CE74E48E"/>
    <w:lvl w:ilvl="0" w:tplc="8398FB92">
      <w:start w:val="3"/>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398337"/>
  </w:hdrShapeDefaults>
  <w:footnotePr>
    <w:numRestart w:val="eachSect"/>
    <w:footnote w:id="-1"/>
    <w:footnote w:id="0"/>
  </w:footnotePr>
  <w:endnotePr>
    <w:endnote w:id="-1"/>
    <w:endnote w:id="0"/>
  </w:endnotePr>
  <w:compat/>
  <w:rsids>
    <w:rsidRoot w:val="001C28D1"/>
    <w:rsid w:val="0000487E"/>
    <w:rsid w:val="000059FA"/>
    <w:rsid w:val="00006F87"/>
    <w:rsid w:val="00010ABA"/>
    <w:rsid w:val="00013417"/>
    <w:rsid w:val="000145C2"/>
    <w:rsid w:val="0001473F"/>
    <w:rsid w:val="00023D43"/>
    <w:rsid w:val="000332CA"/>
    <w:rsid w:val="0003374E"/>
    <w:rsid w:val="000344E6"/>
    <w:rsid w:val="00034772"/>
    <w:rsid w:val="00035C3A"/>
    <w:rsid w:val="00036E4B"/>
    <w:rsid w:val="000379D0"/>
    <w:rsid w:val="00040FC4"/>
    <w:rsid w:val="000416F8"/>
    <w:rsid w:val="00050258"/>
    <w:rsid w:val="00051622"/>
    <w:rsid w:val="00052234"/>
    <w:rsid w:val="00053D7C"/>
    <w:rsid w:val="000577C9"/>
    <w:rsid w:val="0006431E"/>
    <w:rsid w:val="00065E9F"/>
    <w:rsid w:val="00072433"/>
    <w:rsid w:val="000775C2"/>
    <w:rsid w:val="000806AD"/>
    <w:rsid w:val="00082482"/>
    <w:rsid w:val="0008708B"/>
    <w:rsid w:val="00094E4F"/>
    <w:rsid w:val="000A2BCE"/>
    <w:rsid w:val="000A31FD"/>
    <w:rsid w:val="000A41E3"/>
    <w:rsid w:val="000A4BBA"/>
    <w:rsid w:val="000A5071"/>
    <w:rsid w:val="000B631C"/>
    <w:rsid w:val="000C0321"/>
    <w:rsid w:val="000C1D78"/>
    <w:rsid w:val="000C3C13"/>
    <w:rsid w:val="000C5813"/>
    <w:rsid w:val="000C7DE4"/>
    <w:rsid w:val="000D15E7"/>
    <w:rsid w:val="000D1A24"/>
    <w:rsid w:val="000D21C7"/>
    <w:rsid w:val="000D248A"/>
    <w:rsid w:val="000D43F9"/>
    <w:rsid w:val="000D4717"/>
    <w:rsid w:val="000D6457"/>
    <w:rsid w:val="000D7D55"/>
    <w:rsid w:val="000E0993"/>
    <w:rsid w:val="000E37E0"/>
    <w:rsid w:val="000F02BE"/>
    <w:rsid w:val="000F427B"/>
    <w:rsid w:val="001008C1"/>
    <w:rsid w:val="00103CCF"/>
    <w:rsid w:val="0010417F"/>
    <w:rsid w:val="001042D2"/>
    <w:rsid w:val="0010530E"/>
    <w:rsid w:val="00106B57"/>
    <w:rsid w:val="001103CD"/>
    <w:rsid w:val="00114F20"/>
    <w:rsid w:val="001219DF"/>
    <w:rsid w:val="001231DC"/>
    <w:rsid w:val="001272AE"/>
    <w:rsid w:val="001315DD"/>
    <w:rsid w:val="00135385"/>
    <w:rsid w:val="001364D1"/>
    <w:rsid w:val="00142EBA"/>
    <w:rsid w:val="00153740"/>
    <w:rsid w:val="001541C5"/>
    <w:rsid w:val="0015623F"/>
    <w:rsid w:val="00166182"/>
    <w:rsid w:val="0017143D"/>
    <w:rsid w:val="00171615"/>
    <w:rsid w:val="00177659"/>
    <w:rsid w:val="001779E5"/>
    <w:rsid w:val="00182A4C"/>
    <w:rsid w:val="00183F77"/>
    <w:rsid w:val="00185ECB"/>
    <w:rsid w:val="001870F0"/>
    <w:rsid w:val="001918B4"/>
    <w:rsid w:val="0019273F"/>
    <w:rsid w:val="00193AD5"/>
    <w:rsid w:val="00194930"/>
    <w:rsid w:val="001A7538"/>
    <w:rsid w:val="001B4EC2"/>
    <w:rsid w:val="001B5B59"/>
    <w:rsid w:val="001C181A"/>
    <w:rsid w:val="001C2053"/>
    <w:rsid w:val="001C28D1"/>
    <w:rsid w:val="001C5CFC"/>
    <w:rsid w:val="001C7418"/>
    <w:rsid w:val="001D0051"/>
    <w:rsid w:val="001D2224"/>
    <w:rsid w:val="001D2AFB"/>
    <w:rsid w:val="001D68CF"/>
    <w:rsid w:val="001D6A8C"/>
    <w:rsid w:val="001D7A56"/>
    <w:rsid w:val="001E18E0"/>
    <w:rsid w:val="001E18E2"/>
    <w:rsid w:val="00200AA0"/>
    <w:rsid w:val="00202736"/>
    <w:rsid w:val="00203652"/>
    <w:rsid w:val="002060B6"/>
    <w:rsid w:val="00216049"/>
    <w:rsid w:val="00217C09"/>
    <w:rsid w:val="00220F5C"/>
    <w:rsid w:val="00225196"/>
    <w:rsid w:val="00225CB4"/>
    <w:rsid w:val="0023049F"/>
    <w:rsid w:val="002321E9"/>
    <w:rsid w:val="00232C9B"/>
    <w:rsid w:val="00232F09"/>
    <w:rsid w:val="002335D5"/>
    <w:rsid w:val="002338CA"/>
    <w:rsid w:val="00233FE5"/>
    <w:rsid w:val="0024174E"/>
    <w:rsid w:val="0024227D"/>
    <w:rsid w:val="00246860"/>
    <w:rsid w:val="00246DFF"/>
    <w:rsid w:val="00246E89"/>
    <w:rsid w:val="0025183C"/>
    <w:rsid w:val="00252255"/>
    <w:rsid w:val="002528EC"/>
    <w:rsid w:val="00255049"/>
    <w:rsid w:val="00260531"/>
    <w:rsid w:val="0026318D"/>
    <w:rsid w:val="00270864"/>
    <w:rsid w:val="002712F7"/>
    <w:rsid w:val="0027159C"/>
    <w:rsid w:val="00274549"/>
    <w:rsid w:val="00274E46"/>
    <w:rsid w:val="00276C86"/>
    <w:rsid w:val="002A3237"/>
    <w:rsid w:val="002A685E"/>
    <w:rsid w:val="002A72C7"/>
    <w:rsid w:val="002B03B2"/>
    <w:rsid w:val="002B0749"/>
    <w:rsid w:val="002B2645"/>
    <w:rsid w:val="002C6E5B"/>
    <w:rsid w:val="002D18B4"/>
    <w:rsid w:val="002E1877"/>
    <w:rsid w:val="002E1C31"/>
    <w:rsid w:val="002E20CE"/>
    <w:rsid w:val="002E333A"/>
    <w:rsid w:val="002E3474"/>
    <w:rsid w:val="002E400C"/>
    <w:rsid w:val="002E49C3"/>
    <w:rsid w:val="002E722E"/>
    <w:rsid w:val="002E7437"/>
    <w:rsid w:val="002E7570"/>
    <w:rsid w:val="002E764B"/>
    <w:rsid w:val="002F0E28"/>
    <w:rsid w:val="002F287E"/>
    <w:rsid w:val="002F2D63"/>
    <w:rsid w:val="002F7F81"/>
    <w:rsid w:val="0030678B"/>
    <w:rsid w:val="00307EF6"/>
    <w:rsid w:val="00310CD7"/>
    <w:rsid w:val="00323E70"/>
    <w:rsid w:val="00326214"/>
    <w:rsid w:val="00326F7F"/>
    <w:rsid w:val="003320E8"/>
    <w:rsid w:val="00333B2D"/>
    <w:rsid w:val="0033555E"/>
    <w:rsid w:val="00336805"/>
    <w:rsid w:val="00337351"/>
    <w:rsid w:val="00341A54"/>
    <w:rsid w:val="0034669F"/>
    <w:rsid w:val="00351498"/>
    <w:rsid w:val="00352B22"/>
    <w:rsid w:val="0036319E"/>
    <w:rsid w:val="003632A4"/>
    <w:rsid w:val="00363362"/>
    <w:rsid w:val="00370EF5"/>
    <w:rsid w:val="00372251"/>
    <w:rsid w:val="0037520D"/>
    <w:rsid w:val="0037628C"/>
    <w:rsid w:val="00376B81"/>
    <w:rsid w:val="00377BD2"/>
    <w:rsid w:val="003821E1"/>
    <w:rsid w:val="00384866"/>
    <w:rsid w:val="003857D4"/>
    <w:rsid w:val="00385D6F"/>
    <w:rsid w:val="0038700A"/>
    <w:rsid w:val="00387095"/>
    <w:rsid w:val="00390092"/>
    <w:rsid w:val="00393651"/>
    <w:rsid w:val="003A41BA"/>
    <w:rsid w:val="003A6A99"/>
    <w:rsid w:val="003B0165"/>
    <w:rsid w:val="003B227A"/>
    <w:rsid w:val="003D2BA3"/>
    <w:rsid w:val="003D3C22"/>
    <w:rsid w:val="003D7089"/>
    <w:rsid w:val="003D7DDB"/>
    <w:rsid w:val="003E02C7"/>
    <w:rsid w:val="003E0543"/>
    <w:rsid w:val="003E0B5A"/>
    <w:rsid w:val="003E31E3"/>
    <w:rsid w:val="003E46D1"/>
    <w:rsid w:val="003F58B0"/>
    <w:rsid w:val="004007E9"/>
    <w:rsid w:val="00401825"/>
    <w:rsid w:val="00401BBC"/>
    <w:rsid w:val="00403BFB"/>
    <w:rsid w:val="00404B45"/>
    <w:rsid w:val="00406CC5"/>
    <w:rsid w:val="004074A4"/>
    <w:rsid w:val="004101B2"/>
    <w:rsid w:val="004123D7"/>
    <w:rsid w:val="004163AB"/>
    <w:rsid w:val="004172DB"/>
    <w:rsid w:val="00422B75"/>
    <w:rsid w:val="00433F36"/>
    <w:rsid w:val="0043503A"/>
    <w:rsid w:val="0044384F"/>
    <w:rsid w:val="00446018"/>
    <w:rsid w:val="00454347"/>
    <w:rsid w:val="004543BC"/>
    <w:rsid w:val="0045645D"/>
    <w:rsid w:val="004574C6"/>
    <w:rsid w:val="00457BCF"/>
    <w:rsid w:val="00457DCE"/>
    <w:rsid w:val="00460E3F"/>
    <w:rsid w:val="00467592"/>
    <w:rsid w:val="004718E7"/>
    <w:rsid w:val="004749DD"/>
    <w:rsid w:val="004761CC"/>
    <w:rsid w:val="00481DA1"/>
    <w:rsid w:val="0049445D"/>
    <w:rsid w:val="00495350"/>
    <w:rsid w:val="00497156"/>
    <w:rsid w:val="004A24D2"/>
    <w:rsid w:val="004A4136"/>
    <w:rsid w:val="004A417B"/>
    <w:rsid w:val="004A4F83"/>
    <w:rsid w:val="004B03F3"/>
    <w:rsid w:val="004B6AF3"/>
    <w:rsid w:val="004B715E"/>
    <w:rsid w:val="004B7169"/>
    <w:rsid w:val="004B79C9"/>
    <w:rsid w:val="004C5D91"/>
    <w:rsid w:val="004C5E33"/>
    <w:rsid w:val="004C6CDA"/>
    <w:rsid w:val="004D10D4"/>
    <w:rsid w:val="004D16BD"/>
    <w:rsid w:val="004D323F"/>
    <w:rsid w:val="004D6F2B"/>
    <w:rsid w:val="004E0248"/>
    <w:rsid w:val="004E21A3"/>
    <w:rsid w:val="004E32EA"/>
    <w:rsid w:val="004E3B55"/>
    <w:rsid w:val="004F3222"/>
    <w:rsid w:val="004F3BFA"/>
    <w:rsid w:val="00510588"/>
    <w:rsid w:val="0051146C"/>
    <w:rsid w:val="005222E7"/>
    <w:rsid w:val="00523E04"/>
    <w:rsid w:val="0052590B"/>
    <w:rsid w:val="00526591"/>
    <w:rsid w:val="00527178"/>
    <w:rsid w:val="005350A5"/>
    <w:rsid w:val="00536379"/>
    <w:rsid w:val="005400C5"/>
    <w:rsid w:val="00540BEF"/>
    <w:rsid w:val="005436C2"/>
    <w:rsid w:val="0055288D"/>
    <w:rsid w:val="00553D47"/>
    <w:rsid w:val="00555259"/>
    <w:rsid w:val="00560D57"/>
    <w:rsid w:val="00562A94"/>
    <w:rsid w:val="005710A9"/>
    <w:rsid w:val="00593043"/>
    <w:rsid w:val="005A258C"/>
    <w:rsid w:val="005A3560"/>
    <w:rsid w:val="005A6C99"/>
    <w:rsid w:val="005B011A"/>
    <w:rsid w:val="005B1D8F"/>
    <w:rsid w:val="005B3876"/>
    <w:rsid w:val="005B5B3D"/>
    <w:rsid w:val="005E3064"/>
    <w:rsid w:val="005F1115"/>
    <w:rsid w:val="005F27F2"/>
    <w:rsid w:val="005F424D"/>
    <w:rsid w:val="005F689A"/>
    <w:rsid w:val="0060255D"/>
    <w:rsid w:val="00604FE9"/>
    <w:rsid w:val="00606BEB"/>
    <w:rsid w:val="00613E26"/>
    <w:rsid w:val="00615641"/>
    <w:rsid w:val="006211D0"/>
    <w:rsid w:val="00624D0C"/>
    <w:rsid w:val="00627650"/>
    <w:rsid w:val="006301D9"/>
    <w:rsid w:val="006307BA"/>
    <w:rsid w:val="00634C4A"/>
    <w:rsid w:val="0063532E"/>
    <w:rsid w:val="00637BDC"/>
    <w:rsid w:val="006418C9"/>
    <w:rsid w:val="00645046"/>
    <w:rsid w:val="00645EA2"/>
    <w:rsid w:val="00662F08"/>
    <w:rsid w:val="00663589"/>
    <w:rsid w:val="00670DDC"/>
    <w:rsid w:val="00671EB4"/>
    <w:rsid w:val="0067443B"/>
    <w:rsid w:val="00684E2B"/>
    <w:rsid w:val="00685995"/>
    <w:rsid w:val="00685A3B"/>
    <w:rsid w:val="00690FDA"/>
    <w:rsid w:val="00694EEA"/>
    <w:rsid w:val="006955B4"/>
    <w:rsid w:val="00696476"/>
    <w:rsid w:val="006A10FA"/>
    <w:rsid w:val="006A40E6"/>
    <w:rsid w:val="006A5960"/>
    <w:rsid w:val="006A5C07"/>
    <w:rsid w:val="006A75FA"/>
    <w:rsid w:val="006B046A"/>
    <w:rsid w:val="006B07D5"/>
    <w:rsid w:val="006B1309"/>
    <w:rsid w:val="006B3E8E"/>
    <w:rsid w:val="006B5923"/>
    <w:rsid w:val="006B67D9"/>
    <w:rsid w:val="006B6C14"/>
    <w:rsid w:val="006C27A7"/>
    <w:rsid w:val="006C3A68"/>
    <w:rsid w:val="006C6AB1"/>
    <w:rsid w:val="006D2D39"/>
    <w:rsid w:val="006E06D1"/>
    <w:rsid w:val="006E2DC8"/>
    <w:rsid w:val="006E7356"/>
    <w:rsid w:val="006E77C8"/>
    <w:rsid w:val="006F149D"/>
    <w:rsid w:val="006F1A46"/>
    <w:rsid w:val="006F5A4E"/>
    <w:rsid w:val="0070188A"/>
    <w:rsid w:val="00703B6C"/>
    <w:rsid w:val="00706482"/>
    <w:rsid w:val="00706BEF"/>
    <w:rsid w:val="007116BC"/>
    <w:rsid w:val="007165CE"/>
    <w:rsid w:val="00720968"/>
    <w:rsid w:val="00721D12"/>
    <w:rsid w:val="00721F8B"/>
    <w:rsid w:val="0073254D"/>
    <w:rsid w:val="00736A49"/>
    <w:rsid w:val="00743B71"/>
    <w:rsid w:val="00743C2D"/>
    <w:rsid w:val="00744EBB"/>
    <w:rsid w:val="00745472"/>
    <w:rsid w:val="00746AE2"/>
    <w:rsid w:val="00750C82"/>
    <w:rsid w:val="00754F81"/>
    <w:rsid w:val="0076100C"/>
    <w:rsid w:val="00761910"/>
    <w:rsid w:val="00761CF5"/>
    <w:rsid w:val="007651ED"/>
    <w:rsid w:val="00766C87"/>
    <w:rsid w:val="00781BD4"/>
    <w:rsid w:val="00784832"/>
    <w:rsid w:val="00785D77"/>
    <w:rsid w:val="00786111"/>
    <w:rsid w:val="00791F1E"/>
    <w:rsid w:val="00794F3D"/>
    <w:rsid w:val="007A0B39"/>
    <w:rsid w:val="007A14A4"/>
    <w:rsid w:val="007A168F"/>
    <w:rsid w:val="007A28E4"/>
    <w:rsid w:val="007A3BB3"/>
    <w:rsid w:val="007A5AD1"/>
    <w:rsid w:val="007A5B7B"/>
    <w:rsid w:val="007B0A06"/>
    <w:rsid w:val="007B5C5C"/>
    <w:rsid w:val="007B7C41"/>
    <w:rsid w:val="007C433E"/>
    <w:rsid w:val="007C4DB1"/>
    <w:rsid w:val="007D0292"/>
    <w:rsid w:val="007D21AC"/>
    <w:rsid w:val="007D568A"/>
    <w:rsid w:val="007D574E"/>
    <w:rsid w:val="007E2046"/>
    <w:rsid w:val="007E4FBB"/>
    <w:rsid w:val="007E55BF"/>
    <w:rsid w:val="007E618D"/>
    <w:rsid w:val="007E6B6F"/>
    <w:rsid w:val="007E71B1"/>
    <w:rsid w:val="007E7B4E"/>
    <w:rsid w:val="007F0CE2"/>
    <w:rsid w:val="007F0EFF"/>
    <w:rsid w:val="007F1375"/>
    <w:rsid w:val="00802453"/>
    <w:rsid w:val="00803850"/>
    <w:rsid w:val="00805AFD"/>
    <w:rsid w:val="0081116C"/>
    <w:rsid w:val="00811D5B"/>
    <w:rsid w:val="00817713"/>
    <w:rsid w:val="00820E9B"/>
    <w:rsid w:val="00830999"/>
    <w:rsid w:val="00830D5E"/>
    <w:rsid w:val="00830F69"/>
    <w:rsid w:val="00834458"/>
    <w:rsid w:val="00835841"/>
    <w:rsid w:val="00837465"/>
    <w:rsid w:val="00840B7C"/>
    <w:rsid w:val="00841457"/>
    <w:rsid w:val="0084374E"/>
    <w:rsid w:val="00844842"/>
    <w:rsid w:val="008518C9"/>
    <w:rsid w:val="0085206E"/>
    <w:rsid w:val="00852AD4"/>
    <w:rsid w:val="00852BA8"/>
    <w:rsid w:val="00853718"/>
    <w:rsid w:val="00853B1B"/>
    <w:rsid w:val="008541EF"/>
    <w:rsid w:val="00856FA4"/>
    <w:rsid w:val="00857A77"/>
    <w:rsid w:val="0086162B"/>
    <w:rsid w:val="00865207"/>
    <w:rsid w:val="008656A7"/>
    <w:rsid w:val="008705EF"/>
    <w:rsid w:val="00871262"/>
    <w:rsid w:val="00871D4E"/>
    <w:rsid w:val="00875B51"/>
    <w:rsid w:val="00875F2D"/>
    <w:rsid w:val="008764DC"/>
    <w:rsid w:val="00883930"/>
    <w:rsid w:val="00896535"/>
    <w:rsid w:val="00896683"/>
    <w:rsid w:val="008A63A9"/>
    <w:rsid w:val="008B04DB"/>
    <w:rsid w:val="008B3AF2"/>
    <w:rsid w:val="008B515D"/>
    <w:rsid w:val="008B5D31"/>
    <w:rsid w:val="008B6705"/>
    <w:rsid w:val="008C3518"/>
    <w:rsid w:val="008D7B07"/>
    <w:rsid w:val="008E2D99"/>
    <w:rsid w:val="008E4A60"/>
    <w:rsid w:val="0090254A"/>
    <w:rsid w:val="009026E8"/>
    <w:rsid w:val="00906EB7"/>
    <w:rsid w:val="009102BF"/>
    <w:rsid w:val="00914ADB"/>
    <w:rsid w:val="00923B25"/>
    <w:rsid w:val="0092402E"/>
    <w:rsid w:val="00927653"/>
    <w:rsid w:val="00942645"/>
    <w:rsid w:val="00950A3A"/>
    <w:rsid w:val="00951279"/>
    <w:rsid w:val="0095340A"/>
    <w:rsid w:val="00954581"/>
    <w:rsid w:val="0095466C"/>
    <w:rsid w:val="00960357"/>
    <w:rsid w:val="0096168C"/>
    <w:rsid w:val="00961840"/>
    <w:rsid w:val="00962F2D"/>
    <w:rsid w:val="009672CD"/>
    <w:rsid w:val="00972996"/>
    <w:rsid w:val="009732B8"/>
    <w:rsid w:val="0097398C"/>
    <w:rsid w:val="00975FFE"/>
    <w:rsid w:val="00976869"/>
    <w:rsid w:val="00977740"/>
    <w:rsid w:val="00977CB4"/>
    <w:rsid w:val="009809B8"/>
    <w:rsid w:val="00985099"/>
    <w:rsid w:val="0099421F"/>
    <w:rsid w:val="009A0DE3"/>
    <w:rsid w:val="009A4F1B"/>
    <w:rsid w:val="009A79BA"/>
    <w:rsid w:val="009B1534"/>
    <w:rsid w:val="009B4A3B"/>
    <w:rsid w:val="009B69D3"/>
    <w:rsid w:val="009B7BA7"/>
    <w:rsid w:val="009C0938"/>
    <w:rsid w:val="009C3F82"/>
    <w:rsid w:val="009C72DD"/>
    <w:rsid w:val="009C7DF5"/>
    <w:rsid w:val="009D056C"/>
    <w:rsid w:val="009D060F"/>
    <w:rsid w:val="009D1ADE"/>
    <w:rsid w:val="009D5047"/>
    <w:rsid w:val="009E09D0"/>
    <w:rsid w:val="009E1283"/>
    <w:rsid w:val="009E3A7F"/>
    <w:rsid w:val="009E57B1"/>
    <w:rsid w:val="009E69ED"/>
    <w:rsid w:val="009F7809"/>
    <w:rsid w:val="009F7AF5"/>
    <w:rsid w:val="00A00D14"/>
    <w:rsid w:val="00A01408"/>
    <w:rsid w:val="00A02457"/>
    <w:rsid w:val="00A0404B"/>
    <w:rsid w:val="00A1105B"/>
    <w:rsid w:val="00A1401B"/>
    <w:rsid w:val="00A15B6B"/>
    <w:rsid w:val="00A15EB4"/>
    <w:rsid w:val="00A16876"/>
    <w:rsid w:val="00A200AA"/>
    <w:rsid w:val="00A2186F"/>
    <w:rsid w:val="00A2270B"/>
    <w:rsid w:val="00A23B89"/>
    <w:rsid w:val="00A2496E"/>
    <w:rsid w:val="00A258B7"/>
    <w:rsid w:val="00A32743"/>
    <w:rsid w:val="00A414A9"/>
    <w:rsid w:val="00A44D75"/>
    <w:rsid w:val="00A47CF1"/>
    <w:rsid w:val="00A50418"/>
    <w:rsid w:val="00A51A68"/>
    <w:rsid w:val="00A56D26"/>
    <w:rsid w:val="00A608FB"/>
    <w:rsid w:val="00A64C32"/>
    <w:rsid w:val="00A65C78"/>
    <w:rsid w:val="00A70E7B"/>
    <w:rsid w:val="00A73B84"/>
    <w:rsid w:val="00A7411D"/>
    <w:rsid w:val="00A76094"/>
    <w:rsid w:val="00A768E2"/>
    <w:rsid w:val="00A82C52"/>
    <w:rsid w:val="00A86CB6"/>
    <w:rsid w:val="00A90D55"/>
    <w:rsid w:val="00A961EE"/>
    <w:rsid w:val="00AA04B3"/>
    <w:rsid w:val="00AA493E"/>
    <w:rsid w:val="00AA73AF"/>
    <w:rsid w:val="00AB1754"/>
    <w:rsid w:val="00AC439D"/>
    <w:rsid w:val="00AD067E"/>
    <w:rsid w:val="00AD68C5"/>
    <w:rsid w:val="00AE1273"/>
    <w:rsid w:val="00AE2D29"/>
    <w:rsid w:val="00AE4624"/>
    <w:rsid w:val="00AE5E14"/>
    <w:rsid w:val="00AF2423"/>
    <w:rsid w:val="00AF4FA5"/>
    <w:rsid w:val="00B15D30"/>
    <w:rsid w:val="00B23436"/>
    <w:rsid w:val="00B32179"/>
    <w:rsid w:val="00B331A9"/>
    <w:rsid w:val="00B40A3E"/>
    <w:rsid w:val="00B50227"/>
    <w:rsid w:val="00B522CD"/>
    <w:rsid w:val="00B5511B"/>
    <w:rsid w:val="00B55917"/>
    <w:rsid w:val="00B64DD6"/>
    <w:rsid w:val="00B66753"/>
    <w:rsid w:val="00B704D7"/>
    <w:rsid w:val="00B72303"/>
    <w:rsid w:val="00B82277"/>
    <w:rsid w:val="00B86FDE"/>
    <w:rsid w:val="00B91676"/>
    <w:rsid w:val="00B95833"/>
    <w:rsid w:val="00BA2D98"/>
    <w:rsid w:val="00BA30D1"/>
    <w:rsid w:val="00BA4609"/>
    <w:rsid w:val="00BA5BE2"/>
    <w:rsid w:val="00BA7F46"/>
    <w:rsid w:val="00BB0A0A"/>
    <w:rsid w:val="00BB2782"/>
    <w:rsid w:val="00BB45B5"/>
    <w:rsid w:val="00BB6064"/>
    <w:rsid w:val="00BC09D1"/>
    <w:rsid w:val="00BC661A"/>
    <w:rsid w:val="00BD18A9"/>
    <w:rsid w:val="00BD40AB"/>
    <w:rsid w:val="00BD6806"/>
    <w:rsid w:val="00BD7433"/>
    <w:rsid w:val="00BD7831"/>
    <w:rsid w:val="00BD7C10"/>
    <w:rsid w:val="00BE0DEB"/>
    <w:rsid w:val="00BE2FC1"/>
    <w:rsid w:val="00BE6365"/>
    <w:rsid w:val="00BF0B7F"/>
    <w:rsid w:val="00BF3E78"/>
    <w:rsid w:val="00BF4720"/>
    <w:rsid w:val="00C038EC"/>
    <w:rsid w:val="00C10356"/>
    <w:rsid w:val="00C13B34"/>
    <w:rsid w:val="00C1713D"/>
    <w:rsid w:val="00C177F1"/>
    <w:rsid w:val="00C25978"/>
    <w:rsid w:val="00C261C6"/>
    <w:rsid w:val="00C30A97"/>
    <w:rsid w:val="00C31DDC"/>
    <w:rsid w:val="00C34326"/>
    <w:rsid w:val="00C36201"/>
    <w:rsid w:val="00C368E8"/>
    <w:rsid w:val="00C42443"/>
    <w:rsid w:val="00C42CBA"/>
    <w:rsid w:val="00C5019E"/>
    <w:rsid w:val="00C53E8A"/>
    <w:rsid w:val="00C54DF3"/>
    <w:rsid w:val="00C560A7"/>
    <w:rsid w:val="00C56FC8"/>
    <w:rsid w:val="00C60F23"/>
    <w:rsid w:val="00C6122D"/>
    <w:rsid w:val="00C62EB2"/>
    <w:rsid w:val="00C64BEF"/>
    <w:rsid w:val="00C656C7"/>
    <w:rsid w:val="00C71BEC"/>
    <w:rsid w:val="00C74D3A"/>
    <w:rsid w:val="00C80511"/>
    <w:rsid w:val="00C826F5"/>
    <w:rsid w:val="00C83740"/>
    <w:rsid w:val="00C84AD1"/>
    <w:rsid w:val="00C85579"/>
    <w:rsid w:val="00C863E5"/>
    <w:rsid w:val="00C931FC"/>
    <w:rsid w:val="00C932C5"/>
    <w:rsid w:val="00C9650E"/>
    <w:rsid w:val="00CA068D"/>
    <w:rsid w:val="00CA282D"/>
    <w:rsid w:val="00CA4670"/>
    <w:rsid w:val="00CA6B1A"/>
    <w:rsid w:val="00CB20DC"/>
    <w:rsid w:val="00CB23DC"/>
    <w:rsid w:val="00CB28E2"/>
    <w:rsid w:val="00CB62BB"/>
    <w:rsid w:val="00CB7FF7"/>
    <w:rsid w:val="00CC19B3"/>
    <w:rsid w:val="00CC2044"/>
    <w:rsid w:val="00CC39D2"/>
    <w:rsid w:val="00CC69EC"/>
    <w:rsid w:val="00CD15BE"/>
    <w:rsid w:val="00CD34C7"/>
    <w:rsid w:val="00CD63C8"/>
    <w:rsid w:val="00CF158D"/>
    <w:rsid w:val="00CF4394"/>
    <w:rsid w:val="00D10577"/>
    <w:rsid w:val="00D14BAE"/>
    <w:rsid w:val="00D1648B"/>
    <w:rsid w:val="00D16819"/>
    <w:rsid w:val="00D20AC0"/>
    <w:rsid w:val="00D215FC"/>
    <w:rsid w:val="00D2244D"/>
    <w:rsid w:val="00D336C8"/>
    <w:rsid w:val="00D339E8"/>
    <w:rsid w:val="00D40B1F"/>
    <w:rsid w:val="00D40D75"/>
    <w:rsid w:val="00D43A3E"/>
    <w:rsid w:val="00D50C8C"/>
    <w:rsid w:val="00D52393"/>
    <w:rsid w:val="00D53F14"/>
    <w:rsid w:val="00D54BE4"/>
    <w:rsid w:val="00D60483"/>
    <w:rsid w:val="00D63577"/>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72D4"/>
    <w:rsid w:val="00DA195B"/>
    <w:rsid w:val="00DB0015"/>
    <w:rsid w:val="00DB2AAD"/>
    <w:rsid w:val="00DB626D"/>
    <w:rsid w:val="00DB6365"/>
    <w:rsid w:val="00DC0BF1"/>
    <w:rsid w:val="00DC41C3"/>
    <w:rsid w:val="00DC7FA0"/>
    <w:rsid w:val="00DD3593"/>
    <w:rsid w:val="00DE6952"/>
    <w:rsid w:val="00DE7E74"/>
    <w:rsid w:val="00DF41FD"/>
    <w:rsid w:val="00E00A69"/>
    <w:rsid w:val="00E017F0"/>
    <w:rsid w:val="00E01A0E"/>
    <w:rsid w:val="00E041E4"/>
    <w:rsid w:val="00E103C8"/>
    <w:rsid w:val="00E1085B"/>
    <w:rsid w:val="00E14581"/>
    <w:rsid w:val="00E15539"/>
    <w:rsid w:val="00E16541"/>
    <w:rsid w:val="00E2632B"/>
    <w:rsid w:val="00E31457"/>
    <w:rsid w:val="00E322F7"/>
    <w:rsid w:val="00E3369B"/>
    <w:rsid w:val="00E405EA"/>
    <w:rsid w:val="00E408B7"/>
    <w:rsid w:val="00E42789"/>
    <w:rsid w:val="00E43F59"/>
    <w:rsid w:val="00E464F0"/>
    <w:rsid w:val="00E50BEB"/>
    <w:rsid w:val="00E55EEE"/>
    <w:rsid w:val="00E56FD5"/>
    <w:rsid w:val="00E6092F"/>
    <w:rsid w:val="00E629DA"/>
    <w:rsid w:val="00E67FAC"/>
    <w:rsid w:val="00E738CB"/>
    <w:rsid w:val="00E73C88"/>
    <w:rsid w:val="00E74437"/>
    <w:rsid w:val="00E755C7"/>
    <w:rsid w:val="00E81C3E"/>
    <w:rsid w:val="00E82B6D"/>
    <w:rsid w:val="00E94F3F"/>
    <w:rsid w:val="00EA1177"/>
    <w:rsid w:val="00EA11B6"/>
    <w:rsid w:val="00EA2181"/>
    <w:rsid w:val="00EA2DD8"/>
    <w:rsid w:val="00EA4475"/>
    <w:rsid w:val="00EA681F"/>
    <w:rsid w:val="00EB012A"/>
    <w:rsid w:val="00EB3823"/>
    <w:rsid w:val="00EB47D8"/>
    <w:rsid w:val="00EB76E4"/>
    <w:rsid w:val="00EC0E65"/>
    <w:rsid w:val="00EC2938"/>
    <w:rsid w:val="00EC50C9"/>
    <w:rsid w:val="00EC5BB2"/>
    <w:rsid w:val="00EC7F16"/>
    <w:rsid w:val="00ED664B"/>
    <w:rsid w:val="00EE0B44"/>
    <w:rsid w:val="00EE704A"/>
    <w:rsid w:val="00EF4C74"/>
    <w:rsid w:val="00EF5268"/>
    <w:rsid w:val="00EF608E"/>
    <w:rsid w:val="00F05807"/>
    <w:rsid w:val="00F07052"/>
    <w:rsid w:val="00F0706C"/>
    <w:rsid w:val="00F0745A"/>
    <w:rsid w:val="00F11EBE"/>
    <w:rsid w:val="00F130D0"/>
    <w:rsid w:val="00F1516A"/>
    <w:rsid w:val="00F22A26"/>
    <w:rsid w:val="00F24072"/>
    <w:rsid w:val="00F26432"/>
    <w:rsid w:val="00F3197A"/>
    <w:rsid w:val="00F32139"/>
    <w:rsid w:val="00F33D56"/>
    <w:rsid w:val="00F34E08"/>
    <w:rsid w:val="00F41D91"/>
    <w:rsid w:val="00F42363"/>
    <w:rsid w:val="00F4354E"/>
    <w:rsid w:val="00F46964"/>
    <w:rsid w:val="00F5126A"/>
    <w:rsid w:val="00F67A35"/>
    <w:rsid w:val="00F718A8"/>
    <w:rsid w:val="00F72183"/>
    <w:rsid w:val="00F76D01"/>
    <w:rsid w:val="00F81C35"/>
    <w:rsid w:val="00F82981"/>
    <w:rsid w:val="00F8311F"/>
    <w:rsid w:val="00F83248"/>
    <w:rsid w:val="00F847CA"/>
    <w:rsid w:val="00F853AE"/>
    <w:rsid w:val="00F93DCC"/>
    <w:rsid w:val="00F9435D"/>
    <w:rsid w:val="00F97EA5"/>
    <w:rsid w:val="00FB1E48"/>
    <w:rsid w:val="00FB593A"/>
    <w:rsid w:val="00FB6D26"/>
    <w:rsid w:val="00FB6E82"/>
    <w:rsid w:val="00FC2A13"/>
    <w:rsid w:val="00FC4284"/>
    <w:rsid w:val="00FC4576"/>
    <w:rsid w:val="00FC7DBC"/>
    <w:rsid w:val="00FD076A"/>
    <w:rsid w:val="00FD0AA0"/>
    <w:rsid w:val="00FD1D5A"/>
    <w:rsid w:val="00FD5059"/>
    <w:rsid w:val="00FD554D"/>
    <w:rsid w:val="00FE37AA"/>
    <w:rsid w:val="00FF0FF7"/>
    <w:rsid w:val="00FF3A38"/>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8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B66753"/>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460846">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0C90C-C473-429C-8627-29CADA5D1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10</Pages>
  <Words>2712</Words>
  <Characters>15167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20</cp:revision>
  <cp:lastPrinted>2010-04-19T15:52:00Z</cp:lastPrinted>
  <dcterms:created xsi:type="dcterms:W3CDTF">2010-04-15T16:16:00Z</dcterms:created>
  <dcterms:modified xsi:type="dcterms:W3CDTF">2012-01-26T13:29:00Z</dcterms:modified>
</cp:coreProperties>
</file>