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050853" w:rsidRPr="00EB6ABA" w:rsidRDefault="00050853" w:rsidP="00050853">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9779A8" w:rsidRDefault="00050853" w:rsidP="009779A8">
      <w:pPr>
        <w:tabs>
          <w:tab w:val="left" w:pos="288"/>
          <w:tab w:val="left" w:pos="4752"/>
        </w:tabs>
        <w:spacing w:line="240" w:lineRule="exact"/>
        <w:rPr>
          <w:color w:val="000080"/>
        </w:rPr>
      </w:pPr>
      <w:r w:rsidRPr="00EB6ABA">
        <w:rPr>
          <w:color w:val="000080"/>
        </w:rPr>
        <w:t>CASE NUMBER:  PD0900</w:t>
      </w:r>
      <w:r>
        <w:rPr>
          <w:color w:val="000080"/>
        </w:rPr>
        <w:t>147</w:t>
      </w:r>
      <w:r w:rsidRPr="00EB6ABA">
        <w:rPr>
          <w:color w:val="000080"/>
        </w:rPr>
        <w:tab/>
      </w:r>
      <w:r w:rsidRPr="00EB6ABA">
        <w:rPr>
          <w:color w:val="000080"/>
        </w:rPr>
        <w:tab/>
        <w:t xml:space="preserve">BOARD DATE: </w:t>
      </w:r>
      <w:r>
        <w:rPr>
          <w:color w:val="000080"/>
        </w:rPr>
        <w:t>20091001</w:t>
      </w:r>
    </w:p>
    <w:p w:rsidR="00662F08" w:rsidRPr="00D91DA6" w:rsidRDefault="00050853" w:rsidP="009779A8">
      <w:pPr>
        <w:tabs>
          <w:tab w:val="left" w:pos="288"/>
          <w:tab w:val="left" w:pos="4752"/>
        </w:tabs>
        <w:spacing w:line="240" w:lineRule="exact"/>
        <w:rPr>
          <w:color w:val="000080"/>
        </w:rPr>
      </w:pPr>
      <w:r w:rsidRPr="00EB6ABA">
        <w:rPr>
          <w:color w:val="000080"/>
        </w:rPr>
        <w:t xml:space="preserve">SEPARATION DATE: </w:t>
      </w:r>
      <w:r w:rsidRPr="00132AE7">
        <w:rPr>
          <w:color w:val="000080"/>
        </w:rPr>
        <w:t>20020405</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B522CD"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FB6E82">
        <w:rPr>
          <w:color w:val="000080"/>
        </w:rPr>
        <w:t xml:space="preserve"> </w:t>
      </w:r>
      <w:r w:rsidR="00050853" w:rsidRPr="00050853">
        <w:rPr>
          <w:color w:val="000080"/>
        </w:rPr>
        <w:t>This covered individual (CI) was an active duty NCO medically separated from the Army in 2002 after 15 years of service.  The medical basis for the separation was a back condition.   She developed back pain in</w:t>
      </w:r>
      <w:r w:rsidR="00050853">
        <w:rPr>
          <w:color w:val="000080"/>
        </w:rPr>
        <w:t xml:space="preserve"> </w:t>
      </w:r>
      <w:r w:rsidR="00050853" w:rsidRPr="00050853">
        <w:rPr>
          <w:color w:val="000080"/>
        </w:rPr>
        <w:t>1998 w</w:t>
      </w:r>
      <w:r w:rsidR="009779A8">
        <w:rPr>
          <w:color w:val="000080"/>
        </w:rPr>
        <w:t>hile</w:t>
      </w:r>
      <w:r w:rsidR="00050853" w:rsidRPr="00050853">
        <w:rPr>
          <w:color w:val="000080"/>
        </w:rPr>
        <w:t xml:space="preserve"> lifting weights. </w:t>
      </w:r>
      <w:r w:rsidR="009779A8">
        <w:rPr>
          <w:color w:val="000080"/>
        </w:rPr>
        <w:t xml:space="preserve"> </w:t>
      </w:r>
      <w:r w:rsidR="00050853" w:rsidRPr="00050853">
        <w:rPr>
          <w:color w:val="000080"/>
        </w:rPr>
        <w:t xml:space="preserve">She was subsequently diagnosed with L5/S1 disc disease and underwent a </w:t>
      </w:r>
      <w:proofErr w:type="spellStart"/>
      <w:r w:rsidR="00050853" w:rsidRPr="00050853">
        <w:rPr>
          <w:color w:val="000080"/>
        </w:rPr>
        <w:t>diskectomy</w:t>
      </w:r>
      <w:proofErr w:type="spellEnd"/>
      <w:r w:rsidR="00050853" w:rsidRPr="00050853">
        <w:rPr>
          <w:color w:val="000080"/>
        </w:rPr>
        <w:t>/</w:t>
      </w:r>
      <w:proofErr w:type="spellStart"/>
      <w:r w:rsidR="00050853" w:rsidRPr="00050853">
        <w:rPr>
          <w:color w:val="000080"/>
        </w:rPr>
        <w:t>laminectomy</w:t>
      </w:r>
      <w:proofErr w:type="spellEnd"/>
      <w:r w:rsidR="00050853" w:rsidRPr="00050853">
        <w:rPr>
          <w:color w:val="000080"/>
        </w:rPr>
        <w:t xml:space="preserve"> in 1999.  She had a bilateral </w:t>
      </w:r>
      <w:proofErr w:type="spellStart"/>
      <w:r w:rsidR="00050853" w:rsidRPr="00050853">
        <w:rPr>
          <w:color w:val="000080"/>
        </w:rPr>
        <w:t>radiculopathy</w:t>
      </w:r>
      <w:proofErr w:type="spellEnd"/>
      <w:r w:rsidR="00050853" w:rsidRPr="00050853">
        <w:rPr>
          <w:color w:val="000080"/>
        </w:rPr>
        <w:t xml:space="preserve">, which was mostly resolved with surgery, although she had residual right </w:t>
      </w:r>
      <w:proofErr w:type="spellStart"/>
      <w:r w:rsidR="00050853" w:rsidRPr="00050853">
        <w:rPr>
          <w:color w:val="000080"/>
        </w:rPr>
        <w:t>radicular</w:t>
      </w:r>
      <w:proofErr w:type="spellEnd"/>
      <w:r w:rsidR="00050853" w:rsidRPr="00050853">
        <w:rPr>
          <w:color w:val="000080"/>
        </w:rPr>
        <w:t xml:space="preserve"> pain on an occasional basis.  She experienced continued pain and limitations and was placed on a permanent L3 profile.  She could not keep up with the physical requirements of her MOS (practical nurse</w:t>
      </w:r>
      <w:r w:rsidR="00050853">
        <w:rPr>
          <w:color w:val="000080"/>
        </w:rPr>
        <w:t xml:space="preserve">) </w:t>
      </w:r>
      <w:r w:rsidR="00050853" w:rsidRPr="00050853">
        <w:rPr>
          <w:color w:val="000080"/>
        </w:rPr>
        <w:t>and underwent a</w:t>
      </w:r>
      <w:r w:rsidR="009779A8">
        <w:rPr>
          <w:color w:val="000080"/>
        </w:rPr>
        <w:t>n</w:t>
      </w:r>
      <w:r w:rsidR="00050853" w:rsidRPr="00050853">
        <w:rPr>
          <w:color w:val="000080"/>
        </w:rPr>
        <w:t xml:space="preserve"> MEB.  Other medical conditions included a thyroid nodule, lower extremity varicosities and gynecologic infections, but none were significant regarding fitness concerns.  Of note, the CI was diagnosed with fibromyalgia and </w:t>
      </w:r>
      <w:proofErr w:type="spellStart"/>
      <w:r w:rsidR="00050853" w:rsidRPr="00050853">
        <w:rPr>
          <w:color w:val="000080"/>
        </w:rPr>
        <w:t>ankylosing</w:t>
      </w:r>
      <w:proofErr w:type="spellEnd"/>
      <w:r w:rsidR="00050853" w:rsidRPr="00050853">
        <w:rPr>
          <w:color w:val="000080"/>
        </w:rPr>
        <w:t xml:space="preserve"> </w:t>
      </w:r>
      <w:proofErr w:type="spellStart"/>
      <w:r w:rsidR="00050853" w:rsidRPr="00050853">
        <w:rPr>
          <w:color w:val="000080"/>
        </w:rPr>
        <w:t>spondylitis</w:t>
      </w:r>
      <w:proofErr w:type="spellEnd"/>
      <w:r w:rsidR="00050853" w:rsidRPr="00050853">
        <w:rPr>
          <w:color w:val="000080"/>
        </w:rPr>
        <w:t xml:space="preserve"> within </w:t>
      </w:r>
      <w:r w:rsidR="00050853">
        <w:rPr>
          <w:color w:val="000080"/>
        </w:rPr>
        <w:t>a month</w:t>
      </w:r>
      <w:r w:rsidR="00050853" w:rsidRPr="00050853">
        <w:rPr>
          <w:color w:val="000080"/>
        </w:rPr>
        <w:t xml:space="preserve"> of separation and underwent lumbar fusion within 12 months of separation.  Her DA 3947 from the MEB noted only the back condition, which was deemed medically unacceptable.  The CI was referred to the PEB, found unfit for the back condition and separated </w:t>
      </w:r>
      <w:r w:rsidR="009779A8">
        <w:rPr>
          <w:color w:val="000080"/>
        </w:rPr>
        <w:t>with a</w:t>
      </w:r>
      <w:r w:rsidR="00050853" w:rsidRPr="00050853">
        <w:rPr>
          <w:color w:val="000080"/>
        </w:rPr>
        <w:t xml:space="preserve"> 10% disability</w:t>
      </w:r>
      <w:r w:rsidR="009779A8">
        <w:rPr>
          <w:color w:val="000080"/>
        </w:rPr>
        <w:t xml:space="preserve"> rating</w:t>
      </w:r>
      <w:r w:rsidR="00050853" w:rsidRPr="00050853">
        <w:rPr>
          <w:color w:val="000080"/>
        </w:rPr>
        <w:t>.</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Default="001C181A" w:rsidP="00875F2D">
      <w:pPr>
        <w:tabs>
          <w:tab w:val="left" w:pos="288"/>
          <w:tab w:val="left" w:pos="4752"/>
        </w:tabs>
        <w:spacing w:line="240" w:lineRule="exact"/>
        <w:jc w:val="both"/>
        <w:rPr>
          <w:color w:val="000080"/>
        </w:rPr>
      </w:pPr>
      <w:r>
        <w:rPr>
          <w:color w:val="000080"/>
          <w:u w:val="single"/>
        </w:rPr>
        <w:t>CI CONTENTION</w:t>
      </w:r>
      <w:r w:rsidRPr="00D91DA6">
        <w:rPr>
          <w:color w:val="000080"/>
        </w:rPr>
        <w:t>:</w:t>
      </w:r>
      <w:r w:rsidR="00FB6E82">
        <w:rPr>
          <w:color w:val="000080"/>
        </w:rPr>
        <w:t xml:space="preserve">  </w:t>
      </w:r>
      <w:r w:rsidR="00050853" w:rsidRPr="00050853">
        <w:rPr>
          <w:color w:val="000080"/>
        </w:rPr>
        <w:t xml:space="preserve">The CI’s application states, ‘When I was medically boarded for Low Back Pain or DDD, they did not diagnosis me with </w:t>
      </w:r>
      <w:proofErr w:type="spellStart"/>
      <w:proofErr w:type="gramStart"/>
      <w:r w:rsidR="00050853" w:rsidRPr="00050853">
        <w:rPr>
          <w:color w:val="000080"/>
        </w:rPr>
        <w:t>Fibromylagia</w:t>
      </w:r>
      <w:proofErr w:type="spellEnd"/>
      <w:r w:rsidR="00050853" w:rsidRPr="00050853">
        <w:rPr>
          <w:color w:val="000080"/>
        </w:rPr>
        <w:t>[</w:t>
      </w:r>
      <w:proofErr w:type="gramEnd"/>
      <w:r w:rsidR="00050853" w:rsidRPr="00050853">
        <w:rPr>
          <w:color w:val="000080"/>
        </w:rPr>
        <w:t xml:space="preserve">sp] or </w:t>
      </w:r>
      <w:proofErr w:type="spellStart"/>
      <w:r w:rsidR="00050853" w:rsidRPr="00050853">
        <w:rPr>
          <w:color w:val="000080"/>
        </w:rPr>
        <w:t>Anklyosing</w:t>
      </w:r>
      <w:proofErr w:type="spellEnd"/>
      <w:r w:rsidR="00050853" w:rsidRPr="00050853">
        <w:rPr>
          <w:color w:val="000080"/>
        </w:rPr>
        <w:t xml:space="preserve"> </w:t>
      </w:r>
      <w:proofErr w:type="spellStart"/>
      <w:r w:rsidR="00050853" w:rsidRPr="00050853">
        <w:rPr>
          <w:color w:val="000080"/>
        </w:rPr>
        <w:t>Spondlytis</w:t>
      </w:r>
      <w:proofErr w:type="spellEnd"/>
      <w:r w:rsidR="00050853" w:rsidRPr="00050853">
        <w:rPr>
          <w:color w:val="000080"/>
        </w:rPr>
        <w:t>[sp] that my Rheumatologist did in Dec 2002.  Those two conditions with Low Back Pain account for 100% of my pain.’  She correlates these conditions with anthrax immunization on active duty.  She further states that she underwent a lumbar fusion within 12 months of separation, and contends for medical retirement based on her current occupational disability.</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430"/>
        <w:gridCol w:w="810"/>
        <w:gridCol w:w="810"/>
        <w:gridCol w:w="990"/>
        <w:gridCol w:w="2250"/>
        <w:gridCol w:w="810"/>
        <w:gridCol w:w="810"/>
        <w:gridCol w:w="1170"/>
        <w:gridCol w:w="1170"/>
      </w:tblGrid>
      <w:tr w:rsidR="00050853" w:rsidTr="00F75AA8">
        <w:trPr>
          <w:trHeight w:val="233"/>
        </w:trPr>
        <w:tc>
          <w:tcPr>
            <w:tcW w:w="5040" w:type="dxa"/>
            <w:gridSpan w:val="4"/>
            <w:tcBorders>
              <w:right w:val="thinThickThinSmallGap" w:sz="24" w:space="0" w:color="auto"/>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Pre-</w:t>
            </w:r>
            <w:r w:rsidRPr="00177902">
              <w:rPr>
                <w:rFonts w:ascii="Times New Roman" w:hAnsi="Times New Roman" w:cs="Times New Roman"/>
                <w:b/>
              </w:rPr>
              <w:t>Separation)</w:t>
            </w:r>
          </w:p>
        </w:tc>
      </w:tr>
      <w:tr w:rsidR="00050853" w:rsidTr="00F75AA8">
        <w:trPr>
          <w:trHeight w:val="233"/>
        </w:trPr>
        <w:tc>
          <w:tcPr>
            <w:tcW w:w="243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050853" w:rsidTr="00F75AA8">
        <w:trPr>
          <w:trHeight w:val="197"/>
        </w:trPr>
        <w:tc>
          <w:tcPr>
            <w:tcW w:w="2430" w:type="dxa"/>
            <w:shd w:val="clear" w:color="auto" w:fill="FFFFFF" w:themeFill="background1"/>
          </w:tcPr>
          <w:p w:rsidR="00050853" w:rsidRPr="00865AA4" w:rsidRDefault="00050853" w:rsidP="00F75AA8">
            <w:pPr>
              <w:autoSpaceDE w:val="0"/>
              <w:autoSpaceDN w:val="0"/>
              <w:adjustRightInd w:val="0"/>
              <w:rPr>
                <w:rFonts w:eastAsiaTheme="minorEastAsia"/>
                <w:color w:val="auto"/>
                <w:sz w:val="18"/>
                <w:szCs w:val="18"/>
              </w:rPr>
            </w:pPr>
            <w:r w:rsidRPr="00865AA4">
              <w:rPr>
                <w:rFonts w:ascii="Times New Roman" w:eastAsiaTheme="minorEastAsia" w:hAnsi="Times New Roman" w:cs="Times New Roman"/>
                <w:color w:val="auto"/>
                <w:sz w:val="18"/>
                <w:szCs w:val="18"/>
              </w:rPr>
              <w:t>CHRONIC LOW BACK PAIN</w:t>
            </w:r>
          </w:p>
        </w:tc>
        <w:tc>
          <w:tcPr>
            <w:tcW w:w="810" w:type="dxa"/>
            <w:shd w:val="clear" w:color="auto" w:fill="FFFFFF" w:themeFill="background1"/>
          </w:tcPr>
          <w:p w:rsidR="00050853" w:rsidRPr="00865AA4" w:rsidRDefault="00050853" w:rsidP="00F75AA8">
            <w:pPr>
              <w:autoSpaceDE w:val="0"/>
              <w:autoSpaceDN w:val="0"/>
              <w:adjustRightInd w:val="0"/>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5299-</w:t>
            </w:r>
            <w:r w:rsidRPr="00865AA4">
              <w:rPr>
                <w:rFonts w:ascii="Times New Roman" w:eastAsiaTheme="minorEastAsia" w:hAnsi="Times New Roman" w:cs="Times New Roman"/>
                <w:color w:val="auto"/>
                <w:sz w:val="18"/>
                <w:szCs w:val="18"/>
              </w:rPr>
              <w:t>5295</w:t>
            </w:r>
          </w:p>
        </w:tc>
        <w:tc>
          <w:tcPr>
            <w:tcW w:w="810" w:type="dxa"/>
            <w:shd w:val="clear" w:color="auto" w:fill="FFFFFF" w:themeFill="background1"/>
          </w:tcPr>
          <w:p w:rsidR="00050853" w:rsidRPr="00865AA4"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865AA4">
              <w:rPr>
                <w:rFonts w:ascii="Times New Roman" w:eastAsiaTheme="minorEastAsia" w:hAnsi="Times New Roman" w:cs="Times New Roman"/>
                <w:color w:val="auto"/>
                <w:sz w:val="18"/>
                <w:szCs w:val="18"/>
              </w:rPr>
              <w:t>10%</w:t>
            </w:r>
          </w:p>
        </w:tc>
        <w:tc>
          <w:tcPr>
            <w:tcW w:w="990" w:type="dxa"/>
            <w:tcBorders>
              <w:right w:val="thinThickThinSmallGap" w:sz="24" w:space="0" w:color="auto"/>
            </w:tcBorders>
            <w:shd w:val="clear" w:color="auto" w:fill="FFFFFF" w:themeFill="background1"/>
          </w:tcPr>
          <w:p w:rsidR="00050853" w:rsidRPr="00865AA4"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865AA4">
              <w:rPr>
                <w:rFonts w:ascii="Times New Roman" w:eastAsiaTheme="minorEastAsia" w:hAnsi="Times New Roman" w:cs="Times New Roman"/>
                <w:color w:val="auto"/>
                <w:sz w:val="18"/>
                <w:szCs w:val="18"/>
              </w:rPr>
              <w:t>20020116</w:t>
            </w:r>
          </w:p>
        </w:tc>
        <w:tc>
          <w:tcPr>
            <w:tcW w:w="2250" w:type="dxa"/>
            <w:tcBorders>
              <w:left w:val="thinThickThinSmallGap" w:sz="24" w:space="0" w:color="auto"/>
            </w:tcBorders>
            <w:shd w:val="clear" w:color="auto" w:fill="FFFFFF" w:themeFill="background1"/>
          </w:tcPr>
          <w:p w:rsidR="00050853" w:rsidRPr="00386DB0" w:rsidRDefault="00050853" w:rsidP="00F75AA8">
            <w:pPr>
              <w:autoSpaceDE w:val="0"/>
              <w:autoSpaceDN w:val="0"/>
              <w:adjustRightInd w:val="0"/>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LUMBAR DISCECTOMY L5-S 1</w:t>
            </w:r>
          </w:p>
        </w:tc>
        <w:tc>
          <w:tcPr>
            <w:tcW w:w="81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5293</w:t>
            </w:r>
          </w:p>
        </w:tc>
        <w:tc>
          <w:tcPr>
            <w:tcW w:w="81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20020329</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20020406</w:t>
            </w:r>
          </w:p>
        </w:tc>
      </w:tr>
      <w:tr w:rsidR="00050853" w:rsidTr="00F75AA8">
        <w:trPr>
          <w:trHeight w:val="143"/>
        </w:trPr>
        <w:tc>
          <w:tcPr>
            <w:tcW w:w="5040" w:type="dxa"/>
            <w:gridSpan w:val="4"/>
            <w:tcBorders>
              <w:right w:val="thinThickThinSmallGap" w:sz="24" w:space="0" w:color="auto"/>
            </w:tcBorders>
            <w:shd w:val="clear" w:color="auto" w:fill="FFFFFF" w:themeFill="background1"/>
          </w:tcPr>
          <w:p w:rsidR="00050853" w:rsidRPr="00564072" w:rsidRDefault="00050853" w:rsidP="00F75AA8">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DA 3947 ENTRY.</w:t>
            </w:r>
          </w:p>
        </w:tc>
        <w:tc>
          <w:tcPr>
            <w:tcW w:w="2250" w:type="dxa"/>
            <w:tcBorders>
              <w:left w:val="thinThickThinSmallGap" w:sz="24" w:space="0" w:color="auto"/>
            </w:tcBorders>
            <w:shd w:val="clear" w:color="auto" w:fill="FFFFFF" w:themeFill="background1"/>
          </w:tcPr>
          <w:p w:rsidR="00050853" w:rsidRPr="00564072" w:rsidRDefault="00050853" w:rsidP="00F75AA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SCAR, S/P DISCECTOMY</w:t>
            </w:r>
          </w:p>
        </w:tc>
        <w:tc>
          <w:tcPr>
            <w:tcW w:w="810" w:type="dxa"/>
            <w:shd w:val="clear" w:color="auto" w:fill="FFFFFF" w:themeFill="background1"/>
          </w:tcPr>
          <w:p w:rsidR="00050853" w:rsidRPr="00564072" w:rsidRDefault="00050853" w:rsidP="00F75AA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7804</w:t>
            </w:r>
          </w:p>
        </w:tc>
        <w:tc>
          <w:tcPr>
            <w:tcW w:w="81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1</w:t>
            </w:r>
            <w:r w:rsidRPr="00386DB0">
              <w:rPr>
                <w:rFonts w:ascii="Times New Roman" w:eastAsiaTheme="minorEastAsia" w:hAnsi="Times New Roman" w:cs="Times New Roman"/>
                <w:color w:val="auto"/>
                <w:sz w:val="18"/>
                <w:szCs w:val="18"/>
              </w:rPr>
              <w:t>0%</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20020329</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20020406</w:t>
            </w:r>
          </w:p>
        </w:tc>
      </w:tr>
      <w:tr w:rsidR="00050853" w:rsidTr="00F75AA8">
        <w:trPr>
          <w:trHeight w:val="197"/>
        </w:trPr>
        <w:tc>
          <w:tcPr>
            <w:tcW w:w="5040" w:type="dxa"/>
            <w:gridSpan w:val="4"/>
            <w:tcBorders>
              <w:right w:val="thinThickThinSmallGap" w:sz="24" w:space="0" w:color="auto"/>
            </w:tcBorders>
            <w:shd w:val="clear" w:color="auto" w:fill="FFFFFF" w:themeFill="background1"/>
          </w:tcPr>
          <w:p w:rsidR="00050853" w:rsidRPr="00564072" w:rsidRDefault="00050853" w:rsidP="00F75AA8">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870" w:type="dxa"/>
            <w:gridSpan w:val="3"/>
            <w:tcBorders>
              <w:left w:val="thinThickThinSmallGap" w:sz="24" w:space="0" w:color="auto"/>
            </w:tcBorders>
            <w:shd w:val="clear" w:color="auto" w:fill="FFFFFF" w:themeFill="background1"/>
          </w:tcPr>
          <w:p w:rsidR="00050853" w:rsidRPr="00564072" w:rsidRDefault="00050853" w:rsidP="00F75AA8">
            <w:pPr>
              <w:pStyle w:val="ListParagraph"/>
              <w:spacing w:after="0" w:line="240" w:lineRule="auto"/>
              <w:ind w:left="0"/>
              <w:rPr>
                <w:rFonts w:ascii="Times New Roman" w:hAnsi="Times New Roman" w:cs="Times New Roman"/>
                <w:sz w:val="18"/>
                <w:szCs w:val="18"/>
              </w:rPr>
            </w:pPr>
            <w:r w:rsidRPr="00564072">
              <w:rPr>
                <w:rFonts w:ascii="Times New Roman" w:hAnsi="Times New Roman" w:cs="Times New Roman"/>
                <w:sz w:val="18"/>
                <w:szCs w:val="18"/>
              </w:rPr>
              <w:t>NON-PEB X 8</w:t>
            </w:r>
            <w:r>
              <w:rPr>
                <w:rFonts w:ascii="Times New Roman" w:hAnsi="Times New Roman" w:cs="Times New Roman"/>
                <w:sz w:val="18"/>
                <w:szCs w:val="18"/>
              </w:rPr>
              <w:t xml:space="preserve"> (No Fibromyalgia or Rheum. </w:t>
            </w:r>
            <w:proofErr w:type="spellStart"/>
            <w:r>
              <w:rPr>
                <w:rFonts w:ascii="Times New Roman" w:hAnsi="Times New Roman" w:cs="Times New Roman"/>
                <w:sz w:val="18"/>
                <w:szCs w:val="18"/>
              </w:rPr>
              <w:t>Dx</w:t>
            </w:r>
            <w:proofErr w:type="spellEnd"/>
            <w:r>
              <w:rPr>
                <w:rFonts w:ascii="Times New Roman" w:hAnsi="Times New Roman" w:cs="Times New Roman"/>
                <w:sz w:val="18"/>
                <w:szCs w:val="18"/>
              </w:rPr>
              <w:t>)</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20020329</w:t>
            </w:r>
          </w:p>
        </w:tc>
        <w:tc>
          <w:tcPr>
            <w:tcW w:w="1170" w:type="dxa"/>
            <w:shd w:val="clear" w:color="auto" w:fill="FFFFFF" w:themeFill="background1"/>
          </w:tcPr>
          <w:p w:rsidR="00050853" w:rsidRPr="00386DB0" w:rsidRDefault="00050853" w:rsidP="00F75AA8">
            <w:pPr>
              <w:autoSpaceDE w:val="0"/>
              <w:autoSpaceDN w:val="0"/>
              <w:adjustRightInd w:val="0"/>
              <w:jc w:val="center"/>
              <w:rPr>
                <w:rFonts w:ascii="Times New Roman" w:eastAsiaTheme="minorEastAsia" w:hAnsi="Times New Roman" w:cs="Times New Roman"/>
                <w:color w:val="auto"/>
                <w:sz w:val="18"/>
                <w:szCs w:val="18"/>
              </w:rPr>
            </w:pPr>
            <w:r w:rsidRPr="00386DB0">
              <w:rPr>
                <w:rFonts w:ascii="Times New Roman" w:eastAsiaTheme="minorEastAsia" w:hAnsi="Times New Roman" w:cs="Times New Roman"/>
                <w:color w:val="auto"/>
                <w:sz w:val="18"/>
                <w:szCs w:val="18"/>
              </w:rPr>
              <w:t>20020406</w:t>
            </w:r>
          </w:p>
        </w:tc>
      </w:tr>
      <w:tr w:rsidR="00050853" w:rsidTr="00F75AA8">
        <w:trPr>
          <w:trHeight w:val="242"/>
        </w:trPr>
        <w:tc>
          <w:tcPr>
            <w:tcW w:w="5040" w:type="dxa"/>
            <w:gridSpan w:val="4"/>
            <w:tcBorders>
              <w:right w:val="thinThickThinSmallGap" w:sz="24" w:space="0" w:color="auto"/>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050853" w:rsidRPr="00177902" w:rsidRDefault="0005085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40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050853" w:rsidRDefault="00050853">
      <w:pPr>
        <w:rPr>
          <w:color w:val="000080"/>
          <w:u w:val="single"/>
        </w:rPr>
      </w:pPr>
      <w:r>
        <w:rPr>
          <w:color w:val="000080"/>
          <w:u w:val="single"/>
        </w:rPr>
        <w:br w:type="page"/>
      </w:r>
    </w:p>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050853" w:rsidRDefault="00050853" w:rsidP="00050853">
      <w:pPr>
        <w:spacing w:line="240" w:lineRule="exact"/>
        <w:jc w:val="both"/>
        <w:rPr>
          <w:color w:val="000080"/>
        </w:rPr>
      </w:pPr>
      <w:r w:rsidRPr="00050853">
        <w:rPr>
          <w:color w:val="000080"/>
          <w:u w:val="single"/>
        </w:rPr>
        <w:t>Back Condition</w:t>
      </w:r>
      <w:r w:rsidRPr="00050853">
        <w:rPr>
          <w:color w:val="000080"/>
        </w:rPr>
        <w:t xml:space="preserve">.  The CI underwent a pre-separation rating exam by the VA.  The history obtained by the VA and MEB examiners was similar.  In general, the CI could engage in walking and routine activities.  She was unable to run or do heavy lifting, and had the usual activity restrictions for back patients.  Her exams did not reveal tenderness or spasm, and motor/sensory findings were normal.  </w:t>
      </w:r>
      <w:proofErr w:type="gramStart"/>
      <w:r w:rsidRPr="00050853">
        <w:rPr>
          <w:color w:val="000080"/>
        </w:rPr>
        <w:t>Range of motion (ROM) measurements were</w:t>
      </w:r>
      <w:proofErr w:type="gramEnd"/>
      <w:r w:rsidRPr="00050853">
        <w:rPr>
          <w:color w:val="000080"/>
        </w:rPr>
        <w:t xml:space="preserve"> as follows:</w:t>
      </w:r>
    </w:p>
    <w:p w:rsidR="00050853" w:rsidRPr="00050853" w:rsidRDefault="00050853" w:rsidP="00050853">
      <w:pPr>
        <w:spacing w:line="240" w:lineRule="exact"/>
        <w:jc w:val="both"/>
        <w:rPr>
          <w:color w:val="000080"/>
        </w:rPr>
      </w:pPr>
    </w:p>
    <w:tbl>
      <w:tblPr>
        <w:tblStyle w:val="TableGrid"/>
        <w:tblW w:w="0" w:type="auto"/>
        <w:tblInd w:w="1620" w:type="dxa"/>
        <w:tblLayout w:type="fixed"/>
        <w:tblLook w:val="04A0"/>
      </w:tblPr>
      <w:tblGrid>
        <w:gridCol w:w="720"/>
        <w:gridCol w:w="1170"/>
        <w:gridCol w:w="900"/>
        <w:gridCol w:w="1170"/>
        <w:gridCol w:w="1080"/>
        <w:gridCol w:w="1098"/>
      </w:tblGrid>
      <w:tr w:rsidR="00050853" w:rsidTr="00F75AA8">
        <w:tc>
          <w:tcPr>
            <w:tcW w:w="720"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p>
        </w:tc>
        <w:tc>
          <w:tcPr>
            <w:tcW w:w="1170"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Date</w:t>
            </w:r>
          </w:p>
        </w:tc>
        <w:tc>
          <w:tcPr>
            <w:tcW w:w="900"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Flexion</w:t>
            </w:r>
          </w:p>
        </w:tc>
        <w:tc>
          <w:tcPr>
            <w:tcW w:w="1170"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Extension</w:t>
            </w:r>
          </w:p>
        </w:tc>
        <w:tc>
          <w:tcPr>
            <w:tcW w:w="1080"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L Flexion</w:t>
            </w:r>
          </w:p>
        </w:tc>
        <w:tc>
          <w:tcPr>
            <w:tcW w:w="1098" w:type="dxa"/>
            <w:shd w:val="clear" w:color="auto" w:fill="EEECE1" w:themeFill="background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R Flexion</w:t>
            </w:r>
          </w:p>
        </w:tc>
      </w:tr>
      <w:tr w:rsidR="00050853" w:rsidTr="00F75AA8">
        <w:tc>
          <w:tcPr>
            <w:tcW w:w="72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MEB</w:t>
            </w:r>
          </w:p>
        </w:tc>
        <w:tc>
          <w:tcPr>
            <w:tcW w:w="117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20011128</w:t>
            </w:r>
          </w:p>
        </w:tc>
        <w:tc>
          <w:tcPr>
            <w:tcW w:w="90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70</w:t>
            </w:r>
            <w:r>
              <w:rPr>
                <w:rFonts w:ascii="Calibri" w:hAnsi="Calibri"/>
                <w:color w:val="auto"/>
                <w:szCs w:val="24"/>
              </w:rPr>
              <w:t>⁰</w:t>
            </w:r>
          </w:p>
        </w:tc>
        <w:tc>
          <w:tcPr>
            <w:tcW w:w="117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10</w:t>
            </w:r>
            <w:r>
              <w:rPr>
                <w:rFonts w:ascii="Calibri" w:hAnsi="Calibri"/>
                <w:color w:val="auto"/>
                <w:szCs w:val="24"/>
              </w:rPr>
              <w:t>⁰</w:t>
            </w:r>
          </w:p>
        </w:tc>
        <w:tc>
          <w:tcPr>
            <w:tcW w:w="108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15</w:t>
            </w:r>
            <w:r>
              <w:rPr>
                <w:rFonts w:ascii="Calibri" w:hAnsi="Calibri"/>
                <w:color w:val="auto"/>
                <w:szCs w:val="24"/>
              </w:rPr>
              <w:t>⁰</w:t>
            </w:r>
          </w:p>
        </w:tc>
        <w:tc>
          <w:tcPr>
            <w:tcW w:w="1098"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25</w:t>
            </w:r>
            <w:r>
              <w:rPr>
                <w:rFonts w:ascii="Calibri" w:hAnsi="Calibri"/>
                <w:color w:val="auto"/>
                <w:szCs w:val="24"/>
              </w:rPr>
              <w:t>⁰</w:t>
            </w:r>
          </w:p>
        </w:tc>
      </w:tr>
      <w:tr w:rsidR="00050853" w:rsidTr="00F75AA8">
        <w:tc>
          <w:tcPr>
            <w:tcW w:w="72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VA</w:t>
            </w:r>
          </w:p>
        </w:tc>
        <w:tc>
          <w:tcPr>
            <w:tcW w:w="117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20020329</w:t>
            </w:r>
          </w:p>
        </w:tc>
        <w:tc>
          <w:tcPr>
            <w:tcW w:w="90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80</w:t>
            </w:r>
            <w:r>
              <w:rPr>
                <w:rFonts w:ascii="Calibri" w:hAnsi="Calibri"/>
                <w:color w:val="auto"/>
                <w:szCs w:val="24"/>
              </w:rPr>
              <w:t>⁰</w:t>
            </w:r>
          </w:p>
        </w:tc>
        <w:tc>
          <w:tcPr>
            <w:tcW w:w="117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20</w:t>
            </w:r>
            <w:r>
              <w:rPr>
                <w:rFonts w:ascii="Calibri" w:hAnsi="Calibri"/>
                <w:color w:val="auto"/>
                <w:szCs w:val="24"/>
              </w:rPr>
              <w:t>⁰</w:t>
            </w:r>
          </w:p>
        </w:tc>
        <w:tc>
          <w:tcPr>
            <w:tcW w:w="108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20</w:t>
            </w:r>
            <w:r>
              <w:rPr>
                <w:rFonts w:ascii="Calibri" w:hAnsi="Calibri"/>
                <w:color w:val="auto"/>
                <w:szCs w:val="24"/>
              </w:rPr>
              <w:t>⁰</w:t>
            </w:r>
          </w:p>
        </w:tc>
        <w:tc>
          <w:tcPr>
            <w:tcW w:w="1098"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20</w:t>
            </w:r>
            <w:r>
              <w:rPr>
                <w:rFonts w:ascii="Calibri" w:hAnsi="Calibri"/>
                <w:color w:val="auto"/>
                <w:szCs w:val="24"/>
              </w:rPr>
              <w:t>⁰</w:t>
            </w:r>
          </w:p>
        </w:tc>
      </w:tr>
      <w:tr w:rsidR="00050853" w:rsidTr="00F75AA8">
        <w:tc>
          <w:tcPr>
            <w:tcW w:w="1890" w:type="dxa"/>
            <w:gridSpan w:val="2"/>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Normal Range</w:t>
            </w:r>
          </w:p>
        </w:tc>
        <w:tc>
          <w:tcPr>
            <w:tcW w:w="90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0-90</w:t>
            </w:r>
            <w:r>
              <w:rPr>
                <w:rFonts w:ascii="Calibri" w:hAnsi="Calibri"/>
                <w:color w:val="auto"/>
                <w:szCs w:val="24"/>
              </w:rPr>
              <w:t>⁰</w:t>
            </w:r>
          </w:p>
        </w:tc>
        <w:tc>
          <w:tcPr>
            <w:tcW w:w="117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0-30</w:t>
            </w:r>
            <w:r>
              <w:rPr>
                <w:rFonts w:ascii="Calibri" w:hAnsi="Calibri"/>
                <w:color w:val="auto"/>
                <w:szCs w:val="24"/>
              </w:rPr>
              <w:t>⁰</w:t>
            </w:r>
          </w:p>
        </w:tc>
        <w:tc>
          <w:tcPr>
            <w:tcW w:w="1080"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0-30</w:t>
            </w:r>
            <w:r>
              <w:rPr>
                <w:rFonts w:ascii="Calibri" w:hAnsi="Calibri"/>
                <w:color w:val="auto"/>
                <w:szCs w:val="24"/>
              </w:rPr>
              <w:t>⁰</w:t>
            </w:r>
          </w:p>
        </w:tc>
        <w:tc>
          <w:tcPr>
            <w:tcW w:w="1098" w:type="dxa"/>
          </w:tcPr>
          <w:p w:rsidR="00050853" w:rsidRDefault="00050853" w:rsidP="00F75AA8">
            <w:pPr>
              <w:tabs>
                <w:tab w:val="left" w:pos="288"/>
                <w:tab w:val="left" w:pos="4752"/>
              </w:tabs>
              <w:spacing w:line="240" w:lineRule="exact"/>
              <w:jc w:val="center"/>
              <w:rPr>
                <w:rFonts w:ascii="Times New Roman" w:hAnsi="Times New Roman"/>
                <w:color w:val="auto"/>
                <w:szCs w:val="24"/>
              </w:rPr>
            </w:pPr>
            <w:r>
              <w:rPr>
                <w:rFonts w:ascii="Times New Roman" w:hAnsi="Times New Roman"/>
                <w:color w:val="auto"/>
                <w:szCs w:val="24"/>
              </w:rPr>
              <w:t>0-30</w:t>
            </w:r>
            <w:r>
              <w:rPr>
                <w:rFonts w:ascii="Calibri" w:hAnsi="Calibri"/>
                <w:color w:val="auto"/>
                <w:szCs w:val="24"/>
              </w:rPr>
              <w:t>⁰</w:t>
            </w:r>
          </w:p>
        </w:tc>
      </w:tr>
    </w:tbl>
    <w:p w:rsidR="00FB6E82" w:rsidRDefault="00FB6E82" w:rsidP="00875F2D">
      <w:pPr>
        <w:tabs>
          <w:tab w:val="left" w:pos="288"/>
          <w:tab w:val="left" w:pos="4752"/>
        </w:tabs>
        <w:spacing w:line="240" w:lineRule="exact"/>
        <w:jc w:val="both"/>
        <w:rPr>
          <w:color w:val="000080"/>
        </w:rPr>
      </w:pPr>
    </w:p>
    <w:p w:rsidR="00050853" w:rsidRPr="00050853" w:rsidRDefault="00050853" w:rsidP="00050853">
      <w:pPr>
        <w:spacing w:line="240" w:lineRule="exact"/>
        <w:jc w:val="both"/>
        <w:rPr>
          <w:color w:val="000080"/>
        </w:rPr>
      </w:pPr>
      <w:r w:rsidRPr="00050853">
        <w:rPr>
          <w:color w:val="000080"/>
        </w:rPr>
        <w:t>The VA coded the condition under 5293 (</w:t>
      </w:r>
      <w:proofErr w:type="spellStart"/>
      <w:r w:rsidRPr="00050853">
        <w:rPr>
          <w:color w:val="000080"/>
        </w:rPr>
        <w:t>intervertebral</w:t>
      </w:r>
      <w:proofErr w:type="spellEnd"/>
      <w:r w:rsidRPr="00050853">
        <w:rPr>
          <w:color w:val="000080"/>
        </w:rPr>
        <w:t xml:space="preserve"> disc syndrome).  Despite better ROM values compared to the MEB exam, the VA rating was higher (20%).  The PEB rated analogous to lumbar strain.  The criteria for rating under 5293 are not as well defined as in the current VASRD spine rating formula.  The characterization of ‘moderate’ required for </w:t>
      </w:r>
      <w:r w:rsidR="000539F8">
        <w:rPr>
          <w:color w:val="000080"/>
        </w:rPr>
        <w:t>a 5293 rating of</w:t>
      </w:r>
      <w:r w:rsidRPr="00050853">
        <w:rPr>
          <w:color w:val="000080"/>
        </w:rPr>
        <w:t xml:space="preserve"> 20% would appear appropriate, however</w:t>
      </w:r>
      <w:r w:rsidR="00AF6A29">
        <w:rPr>
          <w:color w:val="000080"/>
        </w:rPr>
        <w:t>, for surgical disc disease with the CI’s degree of physical limitations</w:t>
      </w:r>
      <w:r w:rsidRPr="00050853">
        <w:rPr>
          <w:color w:val="000080"/>
        </w:rPr>
        <w:t xml:space="preserve">.  The 5293 code is also more medically specific to this case.  IAW VASRD §4.7 (higher of 2 evaluations), the VA code is preferable.  IAW VASRD §4.3 (reasonable doubt), the higher VA rating is fair.  </w:t>
      </w:r>
      <w:r w:rsidR="000539F8">
        <w:rPr>
          <w:color w:val="000080"/>
        </w:rPr>
        <w:t xml:space="preserve">The most reasonable Board recommendation is </w:t>
      </w:r>
      <w:r w:rsidRPr="00050853">
        <w:rPr>
          <w:color w:val="000080"/>
        </w:rPr>
        <w:t xml:space="preserve">a 20% rating </w:t>
      </w:r>
      <w:proofErr w:type="gramStart"/>
      <w:r w:rsidRPr="00050853">
        <w:rPr>
          <w:color w:val="000080"/>
        </w:rPr>
        <w:t>under</w:t>
      </w:r>
      <w:proofErr w:type="gramEnd"/>
      <w:r w:rsidRPr="00050853">
        <w:rPr>
          <w:color w:val="000080"/>
        </w:rPr>
        <w:t xml:space="preserve"> 5293 for the back condition.</w:t>
      </w:r>
    </w:p>
    <w:p w:rsidR="00050853" w:rsidRPr="00050853" w:rsidRDefault="00050853" w:rsidP="00050853">
      <w:pPr>
        <w:spacing w:line="240" w:lineRule="exact"/>
        <w:jc w:val="both"/>
        <w:rPr>
          <w:color w:val="000080"/>
        </w:rPr>
      </w:pPr>
      <w:r w:rsidRPr="00050853">
        <w:rPr>
          <w:color w:val="000080"/>
        </w:rPr>
        <w:t xml:space="preserve"> </w:t>
      </w:r>
    </w:p>
    <w:p w:rsidR="00050853" w:rsidRDefault="00050853" w:rsidP="00050853">
      <w:pPr>
        <w:spacing w:line="240" w:lineRule="exact"/>
        <w:jc w:val="both"/>
        <w:rPr>
          <w:color w:val="000080"/>
        </w:rPr>
      </w:pPr>
      <w:r w:rsidRPr="00050853">
        <w:rPr>
          <w:color w:val="000080"/>
          <w:u w:val="single"/>
        </w:rPr>
        <w:t xml:space="preserve">Contended Fibromyalgia and </w:t>
      </w:r>
      <w:proofErr w:type="spellStart"/>
      <w:r w:rsidRPr="00050853">
        <w:rPr>
          <w:color w:val="000080"/>
          <w:u w:val="single"/>
        </w:rPr>
        <w:t>Ankylosing</w:t>
      </w:r>
      <w:proofErr w:type="spellEnd"/>
      <w:r w:rsidRPr="00050853">
        <w:rPr>
          <w:color w:val="000080"/>
          <w:u w:val="single"/>
        </w:rPr>
        <w:t xml:space="preserve"> </w:t>
      </w:r>
      <w:proofErr w:type="spellStart"/>
      <w:r w:rsidRPr="00050853">
        <w:rPr>
          <w:color w:val="000080"/>
          <w:u w:val="single"/>
        </w:rPr>
        <w:t>Spondylitis</w:t>
      </w:r>
      <w:proofErr w:type="spellEnd"/>
      <w:r w:rsidRPr="00050853">
        <w:rPr>
          <w:color w:val="000080"/>
        </w:rPr>
        <w:t xml:space="preserve">:  The CI’s civilian medical records are in evidence.  It is true that on her new patient appointment within 2 weeks of separation, her primary care physician suspected rheumatologic disease.  </w:t>
      </w:r>
      <w:proofErr w:type="gramStart"/>
      <w:r w:rsidRPr="00050853">
        <w:rPr>
          <w:color w:val="000080"/>
        </w:rPr>
        <w:t>This was based on a history of fatigue and diffuse</w:t>
      </w:r>
      <w:proofErr w:type="gramEnd"/>
      <w:r w:rsidRPr="00050853">
        <w:rPr>
          <w:color w:val="000080"/>
        </w:rPr>
        <w:t xml:space="preserve"> joint pains.  She had serologic confirmation of </w:t>
      </w:r>
      <w:proofErr w:type="spellStart"/>
      <w:r w:rsidRPr="00050853">
        <w:rPr>
          <w:color w:val="000080"/>
        </w:rPr>
        <w:t>ankylosing</w:t>
      </w:r>
      <w:proofErr w:type="spellEnd"/>
      <w:r w:rsidRPr="00050853">
        <w:rPr>
          <w:color w:val="000080"/>
        </w:rPr>
        <w:t xml:space="preserve"> </w:t>
      </w:r>
      <w:proofErr w:type="spellStart"/>
      <w:r w:rsidRPr="00050853">
        <w:rPr>
          <w:color w:val="000080"/>
        </w:rPr>
        <w:t>spondylitis</w:t>
      </w:r>
      <w:proofErr w:type="spellEnd"/>
      <w:r w:rsidRPr="00050853">
        <w:rPr>
          <w:color w:val="000080"/>
        </w:rPr>
        <w:t xml:space="preserve"> and a rheumatologist-confirmed diagnosis of fibromyalgia within months of separation.  Review of her service-treatment record, however, reveals no report of similar symptoms or </w:t>
      </w:r>
      <w:r w:rsidR="000539F8">
        <w:rPr>
          <w:color w:val="000080"/>
        </w:rPr>
        <w:t xml:space="preserve">any </w:t>
      </w:r>
      <w:r w:rsidRPr="00050853">
        <w:rPr>
          <w:color w:val="000080"/>
        </w:rPr>
        <w:t>indication</w:t>
      </w:r>
      <w:r w:rsidR="000539F8">
        <w:rPr>
          <w:color w:val="000080"/>
        </w:rPr>
        <w:t>s</w:t>
      </w:r>
      <w:r w:rsidRPr="00050853">
        <w:rPr>
          <w:color w:val="000080"/>
        </w:rPr>
        <w:t xml:space="preserve"> for rheumatologic investigation.  On her MEB physical, the CI responded negatively to all questions relative to the conditions.  Specifically for ‘swollen or painful joints’, she responded, ‘only back’.  The VA, likewise, could find no evidence in</w:t>
      </w:r>
      <w:r w:rsidR="00AF6A29">
        <w:rPr>
          <w:color w:val="000080"/>
        </w:rPr>
        <w:t xml:space="preserve"> the service record for service-</w:t>
      </w:r>
      <w:r w:rsidRPr="00050853">
        <w:rPr>
          <w:color w:val="000080"/>
        </w:rPr>
        <w:t xml:space="preserve">connecting the two conditions upon appeal.  Of incidental note, there is no credible link between these conditions and anthrax vaccine in the literature.  Of most relevance, the PDBR is not empowered to recommend these conditions for separation rating since they were not evident in DES documents.  </w:t>
      </w:r>
    </w:p>
    <w:p w:rsidR="000539F8" w:rsidRPr="00050853" w:rsidRDefault="000539F8" w:rsidP="00050853">
      <w:pPr>
        <w:spacing w:line="240" w:lineRule="exact"/>
        <w:jc w:val="both"/>
        <w:rPr>
          <w:color w:val="000080"/>
        </w:rPr>
      </w:pPr>
    </w:p>
    <w:p w:rsidR="00050853" w:rsidRDefault="00050853" w:rsidP="00050853">
      <w:pPr>
        <w:spacing w:line="240" w:lineRule="exact"/>
        <w:jc w:val="both"/>
        <w:rPr>
          <w:color w:val="000080"/>
        </w:rPr>
      </w:pPr>
      <w:proofErr w:type="gramStart"/>
      <w:r w:rsidRPr="00050853">
        <w:rPr>
          <w:color w:val="000080"/>
          <w:u w:val="single"/>
        </w:rPr>
        <w:t>Other Conditions</w:t>
      </w:r>
      <w:r w:rsidRPr="00050853">
        <w:rPr>
          <w:color w:val="000080"/>
        </w:rPr>
        <w:t>.</w:t>
      </w:r>
      <w:proofErr w:type="gramEnd"/>
      <w:r w:rsidRPr="00050853">
        <w:rPr>
          <w:color w:val="000080"/>
        </w:rPr>
        <w:t xml:space="preserve">  The non-tender lumbar surgical scar has no connection with fitness that would support a recommendation for adding it to separation rating.  The CI’s only other compensable </w:t>
      </w:r>
      <w:r w:rsidRPr="00050853">
        <w:rPr>
          <w:color w:val="000080"/>
        </w:rPr>
        <w:lastRenderedPageBreak/>
        <w:t>condition was varicose veins, which is not relevant for consideration as additionally unfitting.</w:t>
      </w:r>
      <w:r w:rsidR="00A748A2">
        <w:rPr>
          <w:color w:val="000080"/>
        </w:rPr>
        <w:t xml:space="preserve">  </w:t>
      </w:r>
      <w:r w:rsidR="00A748A2" w:rsidRPr="00EF19F4">
        <w:rPr>
          <w:color w:val="000080"/>
          <w:szCs w:val="24"/>
        </w:rPr>
        <w:t xml:space="preserve">The Board, therefore, has no reasonable basis for recommending any </w:t>
      </w:r>
      <w:r w:rsidR="00A748A2">
        <w:rPr>
          <w:color w:val="000080"/>
          <w:szCs w:val="24"/>
        </w:rPr>
        <w:t>additional</w:t>
      </w:r>
      <w:r w:rsidR="00A748A2" w:rsidRPr="00EF19F4">
        <w:rPr>
          <w:color w:val="000080"/>
          <w:szCs w:val="24"/>
        </w:rPr>
        <w:t xml:space="preserve"> unfitting </w:t>
      </w:r>
      <w:r w:rsidR="00A748A2">
        <w:rPr>
          <w:color w:val="000080"/>
          <w:szCs w:val="24"/>
        </w:rPr>
        <w:t xml:space="preserve">conditions </w:t>
      </w:r>
      <w:r w:rsidR="00A748A2" w:rsidRPr="00EF19F4">
        <w:rPr>
          <w:color w:val="000080"/>
          <w:szCs w:val="24"/>
        </w:rPr>
        <w:t>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A748A2" w:rsidRPr="00A748A2" w:rsidRDefault="00FB593A" w:rsidP="00A748A2">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DoD or Military Department regulations or guidelines relied upon by the PEB will not be considered by the PDBR to the extent they were inconsistent with the VASRD in effect at the time of the adjudication. </w:t>
      </w:r>
      <w:r w:rsidR="00A748A2">
        <w:rPr>
          <w:color w:val="000080"/>
        </w:rPr>
        <w:t xml:space="preserve"> </w:t>
      </w:r>
      <w:r w:rsidRPr="00A16876">
        <w:rPr>
          <w:color w:val="000080"/>
        </w:rPr>
        <w:t xml:space="preserve">The </w:t>
      </w:r>
      <w:r w:rsidR="001A7538" w:rsidRPr="00A16876">
        <w:rPr>
          <w:color w:val="000080"/>
        </w:rPr>
        <w:t>Board</w:t>
      </w:r>
      <w:r w:rsidRPr="00A16876">
        <w:rPr>
          <w:color w:val="000080"/>
        </w:rPr>
        <w:t xml:space="preserve"> did not surmise from the record or PEB ruling in this case that any prerogatives outside the VASRD were exercise</w:t>
      </w:r>
      <w:r w:rsidR="00A608FB" w:rsidRPr="00A16876">
        <w:rPr>
          <w:color w:val="000080"/>
        </w:rPr>
        <w:t>d.</w:t>
      </w:r>
      <w:r w:rsidR="00A748A2">
        <w:rPr>
          <w:color w:val="000080"/>
        </w:rPr>
        <w:t xml:space="preserve">  </w:t>
      </w:r>
      <w:r w:rsidR="00A748A2" w:rsidRPr="00A748A2">
        <w:rPr>
          <w:color w:val="000080"/>
        </w:rPr>
        <w:t xml:space="preserve">In the matter of the back condition, the Board recommends a rating of </w:t>
      </w:r>
      <w:r w:rsidR="00A748A2">
        <w:rPr>
          <w:color w:val="000080"/>
        </w:rPr>
        <w:t>2</w:t>
      </w:r>
      <w:r w:rsidR="00A748A2" w:rsidRPr="00A748A2">
        <w:rPr>
          <w:color w:val="000080"/>
        </w:rPr>
        <w:t xml:space="preserve">0% under 5293 IAW VASRD §4.71a (2002).  In the matter of the fibromyalgia and </w:t>
      </w:r>
      <w:proofErr w:type="spellStart"/>
      <w:r w:rsidR="00A748A2" w:rsidRPr="00A748A2">
        <w:rPr>
          <w:color w:val="000080"/>
        </w:rPr>
        <w:t>ankylosing</w:t>
      </w:r>
      <w:proofErr w:type="spellEnd"/>
      <w:r w:rsidR="00A748A2" w:rsidRPr="00A748A2">
        <w:rPr>
          <w:color w:val="000080"/>
        </w:rPr>
        <w:t xml:space="preserve"> </w:t>
      </w:r>
      <w:proofErr w:type="spellStart"/>
      <w:r w:rsidR="00A748A2" w:rsidRPr="00A748A2">
        <w:rPr>
          <w:color w:val="000080"/>
        </w:rPr>
        <w:t>spondylitis</w:t>
      </w:r>
      <w:proofErr w:type="spellEnd"/>
      <w:r w:rsidR="00A748A2" w:rsidRPr="00A748A2">
        <w:rPr>
          <w:color w:val="000080"/>
        </w:rPr>
        <w:t xml:space="preserve"> conditions, the Board recommends that the CI be directed to the Army BCMR if she wishes to pursue compensation.  In the matter of all of the CI’s other medical conditions; the Board does not 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A748A2" w:rsidRDefault="00FB593A" w:rsidP="00A748A2">
      <w:pPr>
        <w:tabs>
          <w:tab w:val="left" w:pos="288"/>
          <w:tab w:val="left" w:pos="4752"/>
        </w:tabs>
        <w:spacing w:line="240" w:lineRule="exact"/>
        <w:jc w:val="both"/>
        <w:rPr>
          <w:color w:val="000080"/>
        </w:rPr>
      </w:pPr>
      <w:r w:rsidRPr="00D91DA6">
        <w:rPr>
          <w:color w:val="000080"/>
          <w:u w:val="single"/>
        </w:rPr>
        <w:t>RECOMMENDATION</w:t>
      </w:r>
      <w:r w:rsidRPr="00510588">
        <w:rPr>
          <w:color w:val="000080"/>
        </w:rPr>
        <w:t>:</w:t>
      </w:r>
      <w:r>
        <w:rPr>
          <w:color w:val="000080"/>
        </w:rPr>
        <w:t xml:space="preserve"> </w:t>
      </w:r>
      <w:r w:rsidR="00A748A2" w:rsidRPr="00401BBC">
        <w:rPr>
          <w:color w:val="000080"/>
        </w:rPr>
        <w:t xml:space="preserve">The Board recommends that the CI’s prior determination be modified as follows, effective as of the date of </w:t>
      </w:r>
      <w:r w:rsidR="00A748A2" w:rsidRPr="00A748A2">
        <w:rPr>
          <w:color w:val="000080"/>
        </w:rPr>
        <w:t>her</w:t>
      </w:r>
      <w:r w:rsidR="00A748A2" w:rsidRPr="00401BBC">
        <w:rPr>
          <w:color w:val="000080"/>
        </w:rPr>
        <w:t xml:space="preserve"> prior medical separation.</w:t>
      </w:r>
    </w:p>
    <w:p w:rsidR="00A748A2" w:rsidRDefault="00A748A2" w:rsidP="00A748A2">
      <w:pPr>
        <w:tabs>
          <w:tab w:val="left" w:pos="288"/>
          <w:tab w:val="left" w:pos="4752"/>
        </w:tabs>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4"/>
      </w:tblGrid>
      <w:tr w:rsidR="00A748A2" w:rsidRPr="00533FB5" w:rsidTr="00F75AA8">
        <w:tc>
          <w:tcPr>
            <w:tcW w:w="4601" w:type="dxa"/>
            <w:shd w:val="clear" w:color="auto" w:fill="D9D9D9"/>
          </w:tcPr>
          <w:p w:rsidR="00A748A2" w:rsidRPr="00A867F0" w:rsidRDefault="00A748A2" w:rsidP="00F75AA8">
            <w:pPr>
              <w:tabs>
                <w:tab w:val="left" w:pos="288"/>
                <w:tab w:val="left" w:pos="4752"/>
              </w:tabs>
              <w:spacing w:line="240" w:lineRule="exact"/>
              <w:jc w:val="center"/>
              <w:rPr>
                <w:b/>
                <w:color w:val="000080"/>
                <w:szCs w:val="24"/>
              </w:rPr>
            </w:pPr>
            <w:r>
              <w:rPr>
                <w:b/>
                <w:color w:val="000080"/>
                <w:szCs w:val="24"/>
              </w:rPr>
              <w:t>UNFITTING CONDITION</w:t>
            </w:r>
          </w:p>
        </w:tc>
        <w:tc>
          <w:tcPr>
            <w:tcW w:w="1890" w:type="dxa"/>
            <w:shd w:val="clear" w:color="auto" w:fill="D9D9D9"/>
          </w:tcPr>
          <w:p w:rsidR="00A748A2" w:rsidRPr="00A867F0" w:rsidRDefault="00A748A2" w:rsidP="00F75AA8">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69" w:type="dxa"/>
            <w:shd w:val="clear" w:color="auto" w:fill="D9D9D9"/>
          </w:tcPr>
          <w:p w:rsidR="00A748A2" w:rsidRPr="00A867F0" w:rsidRDefault="00A748A2" w:rsidP="00F75AA8">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A748A2" w:rsidRPr="00533FB5" w:rsidTr="00F75AA8">
        <w:tc>
          <w:tcPr>
            <w:tcW w:w="4601" w:type="dxa"/>
          </w:tcPr>
          <w:p w:rsidR="00A748A2" w:rsidRPr="00A867F0" w:rsidRDefault="00A748A2" w:rsidP="00F75AA8">
            <w:pPr>
              <w:tabs>
                <w:tab w:val="left" w:pos="288"/>
                <w:tab w:val="left" w:pos="4752"/>
              </w:tabs>
              <w:spacing w:line="240" w:lineRule="exact"/>
              <w:rPr>
                <w:color w:val="000080"/>
                <w:szCs w:val="24"/>
              </w:rPr>
            </w:pPr>
            <w:r w:rsidRPr="008C17A8">
              <w:rPr>
                <w:color w:val="000080"/>
                <w:szCs w:val="24"/>
              </w:rPr>
              <w:t>CHRONIC LOW BACK PAIN, STA</w:t>
            </w:r>
            <w:r>
              <w:rPr>
                <w:color w:val="000080"/>
                <w:szCs w:val="24"/>
              </w:rPr>
              <w:t>T</w:t>
            </w:r>
            <w:r w:rsidRPr="008C17A8">
              <w:rPr>
                <w:color w:val="000080"/>
                <w:szCs w:val="24"/>
              </w:rPr>
              <w:t>US POST L5/S1 DISCECTOMY</w:t>
            </w:r>
          </w:p>
        </w:tc>
        <w:tc>
          <w:tcPr>
            <w:tcW w:w="1890" w:type="dxa"/>
          </w:tcPr>
          <w:p w:rsidR="00A748A2" w:rsidRPr="00A867F0" w:rsidRDefault="00A748A2" w:rsidP="00F75AA8">
            <w:pPr>
              <w:tabs>
                <w:tab w:val="left" w:pos="288"/>
                <w:tab w:val="left" w:pos="4752"/>
              </w:tabs>
              <w:spacing w:line="240" w:lineRule="exact"/>
              <w:jc w:val="center"/>
              <w:rPr>
                <w:color w:val="000080"/>
                <w:szCs w:val="24"/>
              </w:rPr>
            </w:pPr>
            <w:r>
              <w:rPr>
                <w:color w:val="000080"/>
                <w:szCs w:val="24"/>
              </w:rPr>
              <w:t>5293</w:t>
            </w:r>
          </w:p>
        </w:tc>
        <w:tc>
          <w:tcPr>
            <w:tcW w:w="1069" w:type="dxa"/>
          </w:tcPr>
          <w:p w:rsidR="00A748A2" w:rsidRPr="00A867F0" w:rsidRDefault="00A748A2" w:rsidP="00F75AA8">
            <w:pPr>
              <w:tabs>
                <w:tab w:val="left" w:pos="288"/>
                <w:tab w:val="left" w:pos="4752"/>
              </w:tabs>
              <w:spacing w:line="240" w:lineRule="exact"/>
              <w:jc w:val="center"/>
              <w:rPr>
                <w:color w:val="000080"/>
                <w:szCs w:val="24"/>
              </w:rPr>
            </w:pPr>
            <w:r>
              <w:rPr>
                <w:color w:val="000080"/>
                <w:szCs w:val="24"/>
              </w:rPr>
              <w:t>20%</w:t>
            </w:r>
          </w:p>
        </w:tc>
      </w:tr>
      <w:tr w:rsidR="00A748A2" w:rsidRPr="00533FB5" w:rsidTr="00F75AA8">
        <w:tblPrEx>
          <w:tblLook w:val="0000"/>
        </w:tblPrEx>
        <w:trPr>
          <w:gridBefore w:val="1"/>
          <w:trHeight w:val="197"/>
        </w:trPr>
        <w:tc>
          <w:tcPr>
            <w:tcW w:w="1890" w:type="dxa"/>
            <w:tcBorders>
              <w:left w:val="single" w:sz="4" w:space="0" w:color="auto"/>
              <w:bottom w:val="single" w:sz="4" w:space="0" w:color="000000"/>
            </w:tcBorders>
            <w:shd w:val="clear" w:color="auto" w:fill="D9D9D9" w:themeFill="background1" w:themeFillShade="D9"/>
          </w:tcPr>
          <w:p w:rsidR="00A748A2" w:rsidRPr="00A867F0" w:rsidRDefault="00A748A2" w:rsidP="00F75AA8">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69" w:type="dxa"/>
            <w:tcBorders>
              <w:bottom w:val="single" w:sz="4" w:space="0" w:color="000000"/>
            </w:tcBorders>
            <w:shd w:val="clear" w:color="auto" w:fill="D9D9D9" w:themeFill="background1" w:themeFillShade="D9"/>
          </w:tcPr>
          <w:p w:rsidR="00A748A2" w:rsidRPr="005A258C" w:rsidRDefault="00A748A2" w:rsidP="00F75AA8">
            <w:pPr>
              <w:tabs>
                <w:tab w:val="left" w:pos="288"/>
                <w:tab w:val="left" w:pos="4752"/>
              </w:tabs>
              <w:spacing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BD3F2A">
        <w:rPr>
          <w:color w:val="000080"/>
        </w:rPr>
        <w:t>0130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DC762F" w:rsidRDefault="00DC762F" w:rsidP="006F7230">
      <w:r>
        <w:rPr>
          <w:color w:val="000080"/>
        </w:rPr>
        <w:br w:type="page"/>
      </w:r>
    </w:p>
    <w:p w:rsidR="00285739" w:rsidRDefault="00285739" w:rsidP="00285739">
      <w:pPr>
        <w:pStyle w:val="Default"/>
        <w:framePr w:w="18659" w:wrap="auto" w:vAnchor="page" w:hAnchor="page" w:x="1" w:y="1"/>
      </w:pP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SFMR-RB</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MEMORANDUM FOR</w:t>
      </w:r>
    </w:p>
    <w:p w:rsidR="00651FDA" w:rsidRDefault="00651FDA" w:rsidP="00651FDA">
      <w:pPr>
        <w:autoSpaceDE w:val="0"/>
        <w:autoSpaceDN w:val="0"/>
        <w:adjustRightInd w:val="0"/>
        <w:rPr>
          <w:rFonts w:ascii="Times New Roman" w:hAnsi="Times New Roman"/>
          <w:color w:val="auto"/>
          <w:sz w:val="28"/>
          <w:szCs w:val="28"/>
        </w:rPr>
      </w:pPr>
      <w:r>
        <w:rPr>
          <w:rFonts w:ascii="Times New Roman" w:hAnsi="Times New Roman"/>
          <w:color w:val="auto"/>
          <w:sz w:val="28"/>
          <w:szCs w:val="28"/>
        </w:rPr>
        <w:t>DEPARTMENT OF THE ARMY</w:t>
      </w:r>
    </w:p>
    <w:p w:rsidR="00651FDA" w:rsidRDefault="00651FDA" w:rsidP="00651FDA">
      <w:pPr>
        <w:autoSpaceDE w:val="0"/>
        <w:autoSpaceDN w:val="0"/>
        <w:adjustRightInd w:val="0"/>
        <w:rPr>
          <w:rFonts w:ascii="Arial" w:hAnsi="Arial" w:cs="Arial"/>
          <w:color w:val="auto"/>
          <w:sz w:val="16"/>
          <w:szCs w:val="16"/>
        </w:rPr>
      </w:pPr>
      <w:r>
        <w:rPr>
          <w:rFonts w:ascii="Arial" w:hAnsi="Arial" w:cs="Arial"/>
          <w:color w:val="auto"/>
          <w:sz w:val="16"/>
          <w:szCs w:val="16"/>
        </w:rPr>
        <w:t>ARMY REVIEW BOARDS AGENCY</w:t>
      </w:r>
    </w:p>
    <w:p w:rsidR="00651FDA" w:rsidRDefault="00651FDA" w:rsidP="00651FDA">
      <w:pPr>
        <w:autoSpaceDE w:val="0"/>
        <w:autoSpaceDN w:val="0"/>
        <w:adjustRightInd w:val="0"/>
        <w:rPr>
          <w:rFonts w:ascii="Arial" w:hAnsi="Arial" w:cs="Arial"/>
          <w:color w:val="auto"/>
          <w:sz w:val="16"/>
          <w:szCs w:val="16"/>
        </w:rPr>
      </w:pPr>
      <w:r>
        <w:rPr>
          <w:rFonts w:ascii="Arial" w:hAnsi="Arial" w:cs="Arial"/>
          <w:color w:val="auto"/>
          <w:sz w:val="16"/>
          <w:szCs w:val="16"/>
        </w:rPr>
        <w:t>1901 SOUTH BELL STREET 2ND FLOOR</w:t>
      </w:r>
    </w:p>
    <w:p w:rsidR="00651FDA" w:rsidRDefault="00651FDA" w:rsidP="00651FDA">
      <w:pPr>
        <w:autoSpaceDE w:val="0"/>
        <w:autoSpaceDN w:val="0"/>
        <w:adjustRightInd w:val="0"/>
        <w:rPr>
          <w:rFonts w:ascii="Arial" w:hAnsi="Arial" w:cs="Arial"/>
          <w:color w:val="auto"/>
          <w:sz w:val="16"/>
          <w:szCs w:val="16"/>
        </w:rPr>
      </w:pPr>
      <w:r>
        <w:rPr>
          <w:rFonts w:ascii="Arial" w:hAnsi="Arial" w:cs="Arial"/>
          <w:color w:val="auto"/>
          <w:sz w:val="16"/>
          <w:szCs w:val="16"/>
        </w:rPr>
        <w:t>ARLINGTON, VA 22202-4508</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Secretary of the Air Force, Military Review Board (SAF/MRBR) (</w:t>
      </w:r>
      <w:proofErr w:type="spellStart"/>
      <w:r>
        <w:rPr>
          <w:rFonts w:ascii="Arial" w:hAnsi="Arial" w:cs="Arial"/>
          <w:color w:val="auto"/>
          <w:sz w:val="23"/>
          <w:szCs w:val="23"/>
        </w:rPr>
        <w:t>PDBRCentrallntake</w:t>
      </w:r>
      <w:proofErr w:type="spellEnd"/>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Unit), 550 C Street West, Suite 41, Randolph Air Force Base, Texas 78150-4743</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Commander, US Army Physical Disability Agency (TAPD-ZB),</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WRAMC, Building 7, Washington, D.C. 20307-5001</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 SUBJECT: Department of Defense Physical Disability Board of Review Recommendation</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for</w:t>
      </w:r>
      <w:proofErr w:type="gramEnd"/>
      <w:r>
        <w:rPr>
          <w:rFonts w:ascii="Arial" w:hAnsi="Arial" w:cs="Arial"/>
          <w:color w:val="auto"/>
          <w:sz w:val="23"/>
          <w:szCs w:val="23"/>
        </w:rPr>
        <w:t xml:space="preserve"> XXXXXXXXXXXX, AR20090018393 (PD200900147)</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1. I have reviewed the enclosed Department of Defense Physical Disability Board of</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Review (000 PDBR) recommendation and record of proceedings pertaining to the</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subject</w:t>
      </w:r>
      <w:proofErr w:type="gramEnd"/>
      <w:r>
        <w:rPr>
          <w:rFonts w:ascii="Arial" w:hAnsi="Arial" w:cs="Arial"/>
          <w:color w:val="auto"/>
          <w:sz w:val="23"/>
          <w:szCs w:val="23"/>
        </w:rPr>
        <w:t xml:space="preserve"> individual. Under the authority of Title 10, United States Code, section 1554a,</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5"/>
          <w:szCs w:val="25"/>
        </w:rPr>
        <w:t xml:space="preserve">I </w:t>
      </w:r>
      <w:r>
        <w:rPr>
          <w:rFonts w:ascii="Arial" w:hAnsi="Arial" w:cs="Arial"/>
          <w:color w:val="auto"/>
          <w:sz w:val="23"/>
          <w:szCs w:val="23"/>
        </w:rPr>
        <w:t>accept the Board's recommendation to modify the individual's disability rating to 20%</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without</w:t>
      </w:r>
      <w:proofErr w:type="gramEnd"/>
      <w:r>
        <w:rPr>
          <w:rFonts w:ascii="Arial" w:hAnsi="Arial" w:cs="Arial"/>
          <w:color w:val="auto"/>
          <w:sz w:val="23"/>
          <w:szCs w:val="23"/>
        </w:rPr>
        <w:t xml:space="preserve"> </w:t>
      </w:r>
      <w:proofErr w:type="spellStart"/>
      <w:r>
        <w:rPr>
          <w:rFonts w:ascii="Arial" w:hAnsi="Arial" w:cs="Arial"/>
          <w:color w:val="auto"/>
          <w:sz w:val="23"/>
          <w:szCs w:val="23"/>
        </w:rPr>
        <w:t>recharacterization</w:t>
      </w:r>
      <w:proofErr w:type="spellEnd"/>
      <w:r>
        <w:rPr>
          <w:rFonts w:ascii="Arial" w:hAnsi="Arial" w:cs="Arial"/>
          <w:color w:val="auto"/>
          <w:sz w:val="23"/>
          <w:szCs w:val="23"/>
        </w:rPr>
        <w:t xml:space="preserve"> of the individual's separation. This decision is final.</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 xml:space="preserve">2. </w:t>
      </w:r>
      <w:r>
        <w:rPr>
          <w:rFonts w:ascii="Arial" w:hAnsi="Arial" w:cs="Arial"/>
          <w:color w:val="auto"/>
          <w:sz w:val="25"/>
          <w:szCs w:val="25"/>
        </w:rPr>
        <w:t xml:space="preserve">I </w:t>
      </w:r>
      <w:r>
        <w:rPr>
          <w:rFonts w:ascii="Arial" w:hAnsi="Arial" w:cs="Arial"/>
          <w:color w:val="auto"/>
          <w:sz w:val="23"/>
          <w:szCs w:val="23"/>
        </w:rPr>
        <w:t>direct that all the Department of the Army records of the individual concerned be</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corrected</w:t>
      </w:r>
      <w:proofErr w:type="gramEnd"/>
      <w:r>
        <w:rPr>
          <w:rFonts w:ascii="Arial" w:hAnsi="Arial" w:cs="Arial"/>
          <w:color w:val="auto"/>
          <w:sz w:val="23"/>
          <w:szCs w:val="23"/>
        </w:rPr>
        <w:t xml:space="preserve"> accordingly no later than 120 days from the date of this memorandum.</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 xml:space="preserve">3. </w:t>
      </w:r>
      <w:r>
        <w:rPr>
          <w:rFonts w:ascii="Arial" w:hAnsi="Arial" w:cs="Arial"/>
          <w:color w:val="auto"/>
          <w:sz w:val="25"/>
          <w:szCs w:val="25"/>
        </w:rPr>
        <w:t xml:space="preserve">I </w:t>
      </w:r>
      <w:r>
        <w:rPr>
          <w:rFonts w:ascii="Arial" w:hAnsi="Arial" w:cs="Arial"/>
          <w:color w:val="auto"/>
          <w:sz w:val="23"/>
          <w:szCs w:val="23"/>
        </w:rPr>
        <w:t>request that a copy of the corrections and any related correspondence be provided</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to</w:t>
      </w:r>
      <w:proofErr w:type="gramEnd"/>
      <w:r>
        <w:rPr>
          <w:rFonts w:ascii="Arial" w:hAnsi="Arial" w:cs="Arial"/>
          <w:color w:val="auto"/>
          <w:sz w:val="23"/>
          <w:szCs w:val="23"/>
        </w:rPr>
        <w:t xml:space="preserve"> the individual concerned, counsel (if any), any Members of Congress who have</w:t>
      </w:r>
    </w:p>
    <w:p w:rsidR="00651FDA" w:rsidRDefault="00651FDA" w:rsidP="00651FDA">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shown</w:t>
      </w:r>
      <w:proofErr w:type="gramEnd"/>
      <w:r>
        <w:rPr>
          <w:rFonts w:ascii="Arial" w:hAnsi="Arial" w:cs="Arial"/>
          <w:color w:val="auto"/>
          <w:sz w:val="23"/>
          <w:szCs w:val="23"/>
        </w:rPr>
        <w:t xml:space="preserve"> interest, and to the Army Review Boards Agency.</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BY ORDER OF THE SECRETARY OF THE ARMY:</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Encl</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CF:</w:t>
      </w:r>
    </w:p>
    <w:p w:rsidR="00651FDA" w:rsidRDefault="00651FDA" w:rsidP="00651FDA">
      <w:pPr>
        <w:autoSpaceDE w:val="0"/>
        <w:autoSpaceDN w:val="0"/>
        <w:adjustRightInd w:val="0"/>
        <w:rPr>
          <w:rFonts w:ascii="Times New Roman" w:hAnsi="Times New Roman"/>
          <w:color w:val="auto"/>
          <w:sz w:val="26"/>
          <w:szCs w:val="26"/>
        </w:rPr>
      </w:pPr>
      <w:r>
        <w:rPr>
          <w:rFonts w:ascii="Times New Roman" w:hAnsi="Times New Roman"/>
          <w:color w:val="auto"/>
          <w:sz w:val="26"/>
          <w:szCs w:val="26"/>
        </w:rPr>
        <w:t>( ) OVA</w:t>
      </w:r>
    </w:p>
    <w:p w:rsidR="00651FDA" w:rsidRDefault="00651FDA" w:rsidP="00651FDA">
      <w:pPr>
        <w:autoSpaceDE w:val="0"/>
        <w:autoSpaceDN w:val="0"/>
        <w:adjustRightInd w:val="0"/>
        <w:rPr>
          <w:rFonts w:ascii="Times New Roman" w:hAnsi="Times New Roman"/>
          <w:color w:val="auto"/>
          <w:sz w:val="30"/>
          <w:szCs w:val="30"/>
        </w:rPr>
      </w:pPr>
      <w:r>
        <w:rPr>
          <w:rFonts w:ascii="Times New Roman" w:hAnsi="Times New Roman"/>
          <w:color w:val="auto"/>
          <w:sz w:val="30"/>
          <w:szCs w:val="30"/>
        </w:rPr>
        <w:t>( )</w:t>
      </w:r>
    </w:p>
    <w:p w:rsidR="00651FDA" w:rsidRDefault="00651FDA" w:rsidP="00651FDA">
      <w:pPr>
        <w:autoSpaceDE w:val="0"/>
        <w:autoSpaceDN w:val="0"/>
        <w:adjustRightInd w:val="0"/>
        <w:rPr>
          <w:rFonts w:ascii="Arial" w:hAnsi="Arial" w:cs="Arial"/>
          <w:color w:val="auto"/>
          <w:sz w:val="23"/>
          <w:szCs w:val="23"/>
        </w:rPr>
      </w:pPr>
      <w:proofErr w:type="spellStart"/>
      <w:proofErr w:type="gramStart"/>
      <w:r>
        <w:rPr>
          <w:rFonts w:ascii="Arial" w:hAnsi="Arial" w:cs="Arial"/>
          <w:color w:val="auto"/>
          <w:sz w:val="23"/>
          <w:szCs w:val="23"/>
        </w:rPr>
        <w:t>eputy</w:t>
      </w:r>
      <w:proofErr w:type="spellEnd"/>
      <w:proofErr w:type="gramEnd"/>
      <w:r>
        <w:rPr>
          <w:rFonts w:ascii="Arial" w:hAnsi="Arial" w:cs="Arial"/>
          <w:color w:val="auto"/>
          <w:sz w:val="23"/>
          <w:szCs w:val="23"/>
        </w:rPr>
        <w:t xml:space="preserve"> Assist </w:t>
      </w:r>
      <w:proofErr w:type="spellStart"/>
      <w:r>
        <w:rPr>
          <w:rFonts w:ascii="Arial" w:hAnsi="Arial" w:cs="Arial"/>
          <w:color w:val="auto"/>
          <w:sz w:val="23"/>
          <w:szCs w:val="23"/>
        </w:rPr>
        <w:t>nt</w:t>
      </w:r>
      <w:proofErr w:type="spellEnd"/>
      <w:r>
        <w:rPr>
          <w:rFonts w:ascii="Arial" w:hAnsi="Arial" w:cs="Arial"/>
          <w:color w:val="auto"/>
          <w:sz w:val="23"/>
          <w:szCs w:val="23"/>
        </w:rPr>
        <w:t xml:space="preserve"> Secretary</w:t>
      </w:r>
    </w:p>
    <w:p w:rsidR="00651FDA" w:rsidRDefault="00651FDA" w:rsidP="00651FDA">
      <w:pPr>
        <w:autoSpaceDE w:val="0"/>
        <w:autoSpaceDN w:val="0"/>
        <w:adjustRightInd w:val="0"/>
        <w:rPr>
          <w:rFonts w:ascii="Arial" w:hAnsi="Arial" w:cs="Arial"/>
          <w:color w:val="auto"/>
          <w:sz w:val="23"/>
          <w:szCs w:val="23"/>
        </w:rPr>
      </w:pPr>
      <w:r>
        <w:rPr>
          <w:rFonts w:ascii="Arial" w:hAnsi="Arial" w:cs="Arial"/>
          <w:color w:val="auto"/>
          <w:sz w:val="23"/>
          <w:szCs w:val="23"/>
        </w:rPr>
        <w:t>(Army Review Boards)</w:t>
      </w:r>
    </w:p>
    <w:p w:rsidR="00114F20" w:rsidRPr="00D91DA6" w:rsidRDefault="00651FDA" w:rsidP="00651FDA">
      <w:pPr>
        <w:tabs>
          <w:tab w:val="left" w:pos="288"/>
          <w:tab w:val="left" w:pos="4752"/>
        </w:tabs>
        <w:spacing w:line="240" w:lineRule="exact"/>
        <w:jc w:val="both"/>
        <w:rPr>
          <w:color w:val="000080"/>
        </w:rPr>
      </w:pPr>
      <w:r>
        <w:rPr>
          <w:rFonts w:ascii="Arial" w:hAnsi="Arial" w:cs="Arial"/>
          <w:color w:val="auto"/>
          <w:sz w:val="13"/>
          <w:szCs w:val="13"/>
        </w:rPr>
        <w:t>Printed on</w:t>
      </w:r>
    </w:p>
    <w:sectPr w:rsidR="00114F20" w:rsidRPr="00D91DA6"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A2" w:rsidRDefault="00AD42A2">
      <w:r>
        <w:separator/>
      </w:r>
    </w:p>
  </w:endnote>
  <w:endnote w:type="continuationSeparator" w:id="0">
    <w:p w:rsidR="00AD42A2" w:rsidRDefault="00AD42A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F207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F207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51FDA">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D3F2A">
      <w:rPr>
        <w:caps/>
        <w:color w:val="000080"/>
      </w:rPr>
      <w:t>147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A2" w:rsidRDefault="00AD42A2">
      <w:r>
        <w:separator/>
      </w:r>
    </w:p>
  </w:footnote>
  <w:footnote w:type="continuationSeparator" w:id="0">
    <w:p w:rsidR="00AD42A2" w:rsidRDefault="00AD42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0853"/>
    <w:rsid w:val="00051622"/>
    <w:rsid w:val="000539F8"/>
    <w:rsid w:val="00072433"/>
    <w:rsid w:val="000A2BCE"/>
    <w:rsid w:val="000A4BBA"/>
    <w:rsid w:val="000D15E7"/>
    <w:rsid w:val="000D43F9"/>
    <w:rsid w:val="000D4717"/>
    <w:rsid w:val="000F427B"/>
    <w:rsid w:val="0010417F"/>
    <w:rsid w:val="0010530E"/>
    <w:rsid w:val="00114F20"/>
    <w:rsid w:val="001231DC"/>
    <w:rsid w:val="001315DD"/>
    <w:rsid w:val="00177659"/>
    <w:rsid w:val="00185ECB"/>
    <w:rsid w:val="0019273F"/>
    <w:rsid w:val="001A7538"/>
    <w:rsid w:val="001C181A"/>
    <w:rsid w:val="001C2053"/>
    <w:rsid w:val="001C28D1"/>
    <w:rsid w:val="001C7418"/>
    <w:rsid w:val="001D6A8C"/>
    <w:rsid w:val="00225196"/>
    <w:rsid w:val="002338CA"/>
    <w:rsid w:val="00246860"/>
    <w:rsid w:val="00274549"/>
    <w:rsid w:val="00274E46"/>
    <w:rsid w:val="0028097B"/>
    <w:rsid w:val="00285739"/>
    <w:rsid w:val="002B03B2"/>
    <w:rsid w:val="002B0749"/>
    <w:rsid w:val="002E764B"/>
    <w:rsid w:val="002F7F81"/>
    <w:rsid w:val="00323E70"/>
    <w:rsid w:val="00385D6F"/>
    <w:rsid w:val="00393651"/>
    <w:rsid w:val="003A6A99"/>
    <w:rsid w:val="003D2BA3"/>
    <w:rsid w:val="003D7DDB"/>
    <w:rsid w:val="003E0543"/>
    <w:rsid w:val="003F58B0"/>
    <w:rsid w:val="004007E9"/>
    <w:rsid w:val="00401BBC"/>
    <w:rsid w:val="0044384F"/>
    <w:rsid w:val="004574C6"/>
    <w:rsid w:val="00457BCF"/>
    <w:rsid w:val="004718E7"/>
    <w:rsid w:val="004A24D2"/>
    <w:rsid w:val="004A4136"/>
    <w:rsid w:val="004B03F3"/>
    <w:rsid w:val="004E32EA"/>
    <w:rsid w:val="00510588"/>
    <w:rsid w:val="0051146C"/>
    <w:rsid w:val="0052590B"/>
    <w:rsid w:val="00526591"/>
    <w:rsid w:val="005350A5"/>
    <w:rsid w:val="005436C2"/>
    <w:rsid w:val="005A258C"/>
    <w:rsid w:val="005A3560"/>
    <w:rsid w:val="005B011A"/>
    <w:rsid w:val="00615641"/>
    <w:rsid w:val="00634C4A"/>
    <w:rsid w:val="006418C9"/>
    <w:rsid w:val="00651FDA"/>
    <w:rsid w:val="00662F08"/>
    <w:rsid w:val="0067443B"/>
    <w:rsid w:val="00696476"/>
    <w:rsid w:val="006A40E6"/>
    <w:rsid w:val="006A75FA"/>
    <w:rsid w:val="006B085C"/>
    <w:rsid w:val="006B5923"/>
    <w:rsid w:val="006E7356"/>
    <w:rsid w:val="006F1A46"/>
    <w:rsid w:val="006F7230"/>
    <w:rsid w:val="00721D12"/>
    <w:rsid w:val="00721F8B"/>
    <w:rsid w:val="00744EBB"/>
    <w:rsid w:val="00746AE2"/>
    <w:rsid w:val="00781BD4"/>
    <w:rsid w:val="00791F1E"/>
    <w:rsid w:val="007A0B39"/>
    <w:rsid w:val="007A168F"/>
    <w:rsid w:val="007A5AD1"/>
    <w:rsid w:val="007B0A06"/>
    <w:rsid w:val="007C433E"/>
    <w:rsid w:val="007D0292"/>
    <w:rsid w:val="007E2046"/>
    <w:rsid w:val="007E4FBB"/>
    <w:rsid w:val="007F207C"/>
    <w:rsid w:val="00811D5B"/>
    <w:rsid w:val="00817713"/>
    <w:rsid w:val="00830999"/>
    <w:rsid w:val="00830D5E"/>
    <w:rsid w:val="00834458"/>
    <w:rsid w:val="00837465"/>
    <w:rsid w:val="0084374E"/>
    <w:rsid w:val="0086162B"/>
    <w:rsid w:val="00865207"/>
    <w:rsid w:val="00871262"/>
    <w:rsid w:val="00875B51"/>
    <w:rsid w:val="00875F2D"/>
    <w:rsid w:val="008B5D31"/>
    <w:rsid w:val="008E4A60"/>
    <w:rsid w:val="00914ADB"/>
    <w:rsid w:val="00923B25"/>
    <w:rsid w:val="00941F78"/>
    <w:rsid w:val="00942645"/>
    <w:rsid w:val="0095340A"/>
    <w:rsid w:val="0095466C"/>
    <w:rsid w:val="0096168C"/>
    <w:rsid w:val="009779A8"/>
    <w:rsid w:val="00977CB4"/>
    <w:rsid w:val="00985099"/>
    <w:rsid w:val="009B1534"/>
    <w:rsid w:val="009B69D3"/>
    <w:rsid w:val="009B7BA7"/>
    <w:rsid w:val="009C0938"/>
    <w:rsid w:val="009C7DF5"/>
    <w:rsid w:val="00A16876"/>
    <w:rsid w:val="00A200AA"/>
    <w:rsid w:val="00A2270B"/>
    <w:rsid w:val="00A2496E"/>
    <w:rsid w:val="00A608FB"/>
    <w:rsid w:val="00A70E7B"/>
    <w:rsid w:val="00A748A2"/>
    <w:rsid w:val="00A76094"/>
    <w:rsid w:val="00A86CB6"/>
    <w:rsid w:val="00A90D55"/>
    <w:rsid w:val="00AC439D"/>
    <w:rsid w:val="00AD42A2"/>
    <w:rsid w:val="00AF6A29"/>
    <w:rsid w:val="00B32179"/>
    <w:rsid w:val="00B522CD"/>
    <w:rsid w:val="00B82277"/>
    <w:rsid w:val="00BA30D1"/>
    <w:rsid w:val="00BB0A0A"/>
    <w:rsid w:val="00BD3F2A"/>
    <w:rsid w:val="00BD6806"/>
    <w:rsid w:val="00BD7C10"/>
    <w:rsid w:val="00BE0DEB"/>
    <w:rsid w:val="00BF1CE2"/>
    <w:rsid w:val="00C13B34"/>
    <w:rsid w:val="00C244FA"/>
    <w:rsid w:val="00C30A97"/>
    <w:rsid w:val="00C31DDC"/>
    <w:rsid w:val="00C34326"/>
    <w:rsid w:val="00C71BEC"/>
    <w:rsid w:val="00C85579"/>
    <w:rsid w:val="00CA068D"/>
    <w:rsid w:val="00CB23DC"/>
    <w:rsid w:val="00CB28E2"/>
    <w:rsid w:val="00CB7FF7"/>
    <w:rsid w:val="00CC2044"/>
    <w:rsid w:val="00CC69EC"/>
    <w:rsid w:val="00CD34C7"/>
    <w:rsid w:val="00CF4394"/>
    <w:rsid w:val="00D13B9B"/>
    <w:rsid w:val="00D1648B"/>
    <w:rsid w:val="00D44AB4"/>
    <w:rsid w:val="00D52393"/>
    <w:rsid w:val="00D76AB2"/>
    <w:rsid w:val="00D87788"/>
    <w:rsid w:val="00D910C2"/>
    <w:rsid w:val="00D91DA6"/>
    <w:rsid w:val="00DA195B"/>
    <w:rsid w:val="00DC762F"/>
    <w:rsid w:val="00DC7720"/>
    <w:rsid w:val="00DE7E74"/>
    <w:rsid w:val="00E14581"/>
    <w:rsid w:val="00E15539"/>
    <w:rsid w:val="00E2632B"/>
    <w:rsid w:val="00EA11B6"/>
    <w:rsid w:val="00EA2DD8"/>
    <w:rsid w:val="00EC0E65"/>
    <w:rsid w:val="00EE0B44"/>
    <w:rsid w:val="00EF608E"/>
    <w:rsid w:val="00F0706C"/>
    <w:rsid w:val="00F1516A"/>
    <w:rsid w:val="00F22A26"/>
    <w:rsid w:val="00F72183"/>
    <w:rsid w:val="00F82981"/>
    <w:rsid w:val="00F8311F"/>
    <w:rsid w:val="00F853AE"/>
    <w:rsid w:val="00F93DCC"/>
    <w:rsid w:val="00F9435D"/>
    <w:rsid w:val="00FB593A"/>
    <w:rsid w:val="00FB6E82"/>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C762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1242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9</cp:revision>
  <cp:lastPrinted>2009-10-20T12:02:00Z</cp:lastPrinted>
  <dcterms:created xsi:type="dcterms:W3CDTF">2009-10-02T15:40:00Z</dcterms:created>
  <dcterms:modified xsi:type="dcterms:W3CDTF">2012-02-22T16:24:00Z</dcterms:modified>
</cp:coreProperties>
</file>