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4F3F30" w:rsidRPr="00C214EE" w:rsidRDefault="004F3F30" w:rsidP="00C214EE">
      <w:pPr>
        <w:tabs>
          <w:tab w:val="left" w:pos="288"/>
          <w:tab w:val="left" w:pos="4752"/>
        </w:tabs>
        <w:spacing w:line="240" w:lineRule="exact"/>
        <w:rPr>
          <w:color w:val="000080"/>
        </w:rPr>
      </w:pPr>
      <w:r w:rsidRPr="00C214EE">
        <w:rPr>
          <w:color w:val="000080"/>
        </w:rPr>
        <w:t>NAME:</w:t>
      </w:r>
      <w:r w:rsidRPr="00C214EE">
        <w:rPr>
          <w:color w:val="000080"/>
        </w:rPr>
        <w:tab/>
      </w:r>
      <w:r w:rsidRPr="00C214EE">
        <w:rPr>
          <w:color w:val="000080"/>
        </w:rPr>
        <w:tab/>
        <w:t>BRANCH OF SERVICE: ARMY</w:t>
      </w:r>
    </w:p>
    <w:p w:rsidR="00F6038F" w:rsidRDefault="004F3F30" w:rsidP="00C214EE">
      <w:pPr>
        <w:tabs>
          <w:tab w:val="left" w:pos="288"/>
          <w:tab w:val="left" w:pos="4752"/>
        </w:tabs>
        <w:spacing w:line="240" w:lineRule="exact"/>
        <w:rPr>
          <w:color w:val="000080"/>
        </w:rPr>
      </w:pPr>
      <w:r w:rsidRPr="00C214EE">
        <w:rPr>
          <w:color w:val="000080"/>
        </w:rPr>
        <w:t>CASE NUMBER:  PD0900146</w:t>
      </w:r>
      <w:r w:rsidRPr="00C214EE">
        <w:rPr>
          <w:color w:val="000080"/>
        </w:rPr>
        <w:tab/>
      </w:r>
      <w:r w:rsidRPr="00C214EE">
        <w:rPr>
          <w:color w:val="000080"/>
        </w:rPr>
        <w:tab/>
        <w:t>BOARD DATE: 2010</w:t>
      </w:r>
      <w:r w:rsidR="00C214EE">
        <w:rPr>
          <w:color w:val="000080"/>
        </w:rPr>
        <w:t>0311</w:t>
      </w:r>
    </w:p>
    <w:p w:rsidR="00540BEF" w:rsidRDefault="004F3F30" w:rsidP="00C214EE">
      <w:pPr>
        <w:tabs>
          <w:tab w:val="left" w:pos="288"/>
          <w:tab w:val="left" w:pos="4752"/>
        </w:tabs>
        <w:spacing w:line="240" w:lineRule="exact"/>
        <w:rPr>
          <w:color w:val="000080"/>
        </w:rPr>
      </w:pPr>
      <w:r w:rsidRPr="00C214EE">
        <w:rPr>
          <w:color w:val="000080"/>
        </w:rPr>
        <w:t>SEPARATION DATE: 20040802</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7B638D" w:rsidRPr="00BE54E6" w:rsidRDefault="002C6E5B" w:rsidP="00BE54E6">
      <w:pPr>
        <w:tabs>
          <w:tab w:val="left" w:pos="288"/>
          <w:tab w:val="left" w:pos="4752"/>
        </w:tabs>
        <w:spacing w:line="240" w:lineRule="exact"/>
        <w:jc w:val="both"/>
        <w:rPr>
          <w:color w:val="000080"/>
        </w:rPr>
      </w:pPr>
      <w:r w:rsidRPr="00BE54E6">
        <w:rPr>
          <w:color w:val="000080"/>
          <w:u w:val="single"/>
        </w:rPr>
        <w:t>SUMMARY OF CASE</w:t>
      </w:r>
      <w:r w:rsidRPr="00BE54E6">
        <w:rPr>
          <w:color w:val="000080"/>
        </w:rPr>
        <w:t xml:space="preserve">:  This covered individual (CI) was </w:t>
      </w:r>
      <w:r w:rsidR="007B638D" w:rsidRPr="00BE54E6">
        <w:rPr>
          <w:color w:val="000080"/>
        </w:rPr>
        <w:t xml:space="preserve">a </w:t>
      </w:r>
      <w:r w:rsidR="008214D1" w:rsidRPr="00BE54E6">
        <w:rPr>
          <w:color w:val="000080"/>
        </w:rPr>
        <w:t>Guard NCO (construction equipment operator)</w:t>
      </w:r>
      <w:r w:rsidRPr="00BE54E6">
        <w:rPr>
          <w:color w:val="000080"/>
        </w:rPr>
        <w:t xml:space="preserve"> medically separated from the Army</w:t>
      </w:r>
      <w:r w:rsidR="008214D1" w:rsidRPr="00BE54E6">
        <w:rPr>
          <w:color w:val="000080"/>
        </w:rPr>
        <w:t xml:space="preserve"> in 2004</w:t>
      </w:r>
      <w:r w:rsidRPr="00BE54E6">
        <w:rPr>
          <w:color w:val="000080"/>
        </w:rPr>
        <w:t xml:space="preserve"> after </w:t>
      </w:r>
      <w:r w:rsidR="008214D1" w:rsidRPr="00BE54E6">
        <w:rPr>
          <w:color w:val="000080"/>
        </w:rPr>
        <w:t>20</w:t>
      </w:r>
      <w:r w:rsidRPr="00BE54E6">
        <w:rPr>
          <w:color w:val="000080"/>
        </w:rPr>
        <w:t xml:space="preserve"> years of </w:t>
      </w:r>
      <w:r w:rsidR="008214D1" w:rsidRPr="00BE54E6">
        <w:rPr>
          <w:color w:val="000080"/>
        </w:rPr>
        <w:t xml:space="preserve">combined </w:t>
      </w:r>
      <w:r w:rsidRPr="00BE54E6">
        <w:rPr>
          <w:color w:val="000080"/>
        </w:rPr>
        <w:t>service</w:t>
      </w:r>
      <w:r w:rsidR="008214D1" w:rsidRPr="00BE54E6">
        <w:rPr>
          <w:color w:val="000080"/>
        </w:rPr>
        <w:t xml:space="preserve"> (10 years active duty)</w:t>
      </w:r>
      <w:r w:rsidRPr="00BE54E6">
        <w:rPr>
          <w:color w:val="000080"/>
        </w:rPr>
        <w:t xml:space="preserve">.  The medical basis for the separation was </w:t>
      </w:r>
      <w:r w:rsidR="008214D1" w:rsidRPr="00BE54E6">
        <w:rPr>
          <w:color w:val="000080"/>
        </w:rPr>
        <w:t xml:space="preserve">diabetes mellitus (DM).  </w:t>
      </w:r>
      <w:r w:rsidR="00BE1B3E" w:rsidRPr="00BE54E6">
        <w:rPr>
          <w:color w:val="000080"/>
        </w:rPr>
        <w:t xml:space="preserve">He had been diagnosed with DM in 2003 during an </w:t>
      </w:r>
      <w:r w:rsidR="00F6038F">
        <w:rPr>
          <w:color w:val="000080"/>
        </w:rPr>
        <w:t>Operation Iraqi Freedom (</w:t>
      </w:r>
      <w:r w:rsidR="00BE1B3E" w:rsidRPr="00BE54E6">
        <w:rPr>
          <w:color w:val="000080"/>
        </w:rPr>
        <w:t>OIF</w:t>
      </w:r>
      <w:r w:rsidR="00F6038F">
        <w:rPr>
          <w:color w:val="000080"/>
        </w:rPr>
        <w:t>)</w:t>
      </w:r>
      <w:r w:rsidR="00BE1B3E" w:rsidRPr="00BE54E6">
        <w:rPr>
          <w:color w:val="000080"/>
        </w:rPr>
        <w:t xml:space="preserve"> deployment, but it was mild and easily managed by diet.  During that deployment he developed a significant cervical </w:t>
      </w:r>
      <w:proofErr w:type="spellStart"/>
      <w:r w:rsidR="00BE1B3E" w:rsidRPr="00BE54E6">
        <w:rPr>
          <w:color w:val="000080"/>
        </w:rPr>
        <w:t>radiculopathy</w:t>
      </w:r>
      <w:proofErr w:type="spellEnd"/>
      <w:r w:rsidR="00BE1B3E" w:rsidRPr="00BE54E6">
        <w:rPr>
          <w:color w:val="000080"/>
        </w:rPr>
        <w:t xml:space="preserve"> requiring medical evacuation.  The cervical condition was managed </w:t>
      </w:r>
      <w:r w:rsidR="00D97FDD" w:rsidRPr="00BE54E6">
        <w:rPr>
          <w:color w:val="000080"/>
        </w:rPr>
        <w:t>non-surgically</w:t>
      </w:r>
      <w:r w:rsidR="00BE1B3E" w:rsidRPr="00BE54E6">
        <w:rPr>
          <w:color w:val="000080"/>
        </w:rPr>
        <w:t xml:space="preserve"> with good results.  He was cleared for a deployment to Kuwait, but experienced </w:t>
      </w:r>
      <w:r w:rsidR="00222077" w:rsidRPr="00BE54E6">
        <w:rPr>
          <w:color w:val="000080"/>
        </w:rPr>
        <w:t xml:space="preserve">a serious exacerbation of DM (possibly as a result of the medical treatment for his </w:t>
      </w:r>
      <w:proofErr w:type="spellStart"/>
      <w:r w:rsidR="00222077" w:rsidRPr="00BE54E6">
        <w:rPr>
          <w:color w:val="000080"/>
        </w:rPr>
        <w:t>radiculopathy</w:t>
      </w:r>
      <w:proofErr w:type="spellEnd"/>
      <w:r w:rsidR="00222077" w:rsidRPr="00BE54E6">
        <w:rPr>
          <w:color w:val="000080"/>
        </w:rPr>
        <w:t xml:space="preserve">).  He was diagnosed with diabetic </w:t>
      </w:r>
      <w:proofErr w:type="spellStart"/>
      <w:r w:rsidR="00222077" w:rsidRPr="00BE54E6">
        <w:rPr>
          <w:color w:val="000080"/>
        </w:rPr>
        <w:t>ketoacidosis</w:t>
      </w:r>
      <w:proofErr w:type="spellEnd"/>
      <w:r w:rsidR="00222077" w:rsidRPr="00BE54E6">
        <w:rPr>
          <w:color w:val="000080"/>
        </w:rPr>
        <w:t xml:space="preserve"> </w:t>
      </w:r>
      <w:r w:rsidR="00B4236A" w:rsidRPr="00BE54E6">
        <w:rPr>
          <w:color w:val="000080"/>
        </w:rPr>
        <w:t xml:space="preserve">(DKA) </w:t>
      </w:r>
      <w:r w:rsidR="00222077" w:rsidRPr="00BE54E6">
        <w:rPr>
          <w:color w:val="000080"/>
        </w:rPr>
        <w:t xml:space="preserve">and stabilized as an inpatient.  He fared well with medical management of the DM, but still required oral agents and dietary measures.  His average blood sugars were normal, and he desired to remain on active duty.  The </w:t>
      </w:r>
      <w:r w:rsidR="00F6038F">
        <w:rPr>
          <w:color w:val="000080"/>
        </w:rPr>
        <w:t>Medical Evaluation Board (</w:t>
      </w:r>
      <w:r w:rsidR="00222077" w:rsidRPr="00BE54E6">
        <w:rPr>
          <w:color w:val="000080"/>
        </w:rPr>
        <w:t>MEB</w:t>
      </w:r>
      <w:r w:rsidR="00F6038F">
        <w:rPr>
          <w:color w:val="000080"/>
        </w:rPr>
        <w:t>)</w:t>
      </w:r>
      <w:r w:rsidR="00222077" w:rsidRPr="00BE54E6">
        <w:rPr>
          <w:color w:val="000080"/>
        </w:rPr>
        <w:t xml:space="preserve">, however, forwarded </w:t>
      </w:r>
      <w:r w:rsidR="007B638D" w:rsidRPr="00BE54E6">
        <w:rPr>
          <w:color w:val="000080"/>
        </w:rPr>
        <w:t xml:space="preserve">the DM (Type 2) condition to the </w:t>
      </w:r>
      <w:r w:rsidR="00F6038F">
        <w:rPr>
          <w:color w:val="000080"/>
        </w:rPr>
        <w:t>Physical Evaluation Board (</w:t>
      </w:r>
      <w:r w:rsidR="007B638D" w:rsidRPr="00BE54E6">
        <w:rPr>
          <w:color w:val="000080"/>
        </w:rPr>
        <w:t>PEB</w:t>
      </w:r>
      <w:r w:rsidR="00F6038F">
        <w:rPr>
          <w:color w:val="000080"/>
        </w:rPr>
        <w:t>)</w:t>
      </w:r>
      <w:r w:rsidR="007B638D" w:rsidRPr="00BE54E6">
        <w:rPr>
          <w:color w:val="000080"/>
        </w:rPr>
        <w:t xml:space="preserve"> as medically unacceptable IAW AR 40-501.  The cervical </w:t>
      </w:r>
      <w:proofErr w:type="spellStart"/>
      <w:r w:rsidR="007B638D" w:rsidRPr="00BE54E6">
        <w:rPr>
          <w:color w:val="000080"/>
        </w:rPr>
        <w:t>radiculopathy</w:t>
      </w:r>
      <w:proofErr w:type="spellEnd"/>
      <w:r w:rsidR="007B638D" w:rsidRPr="00BE54E6">
        <w:rPr>
          <w:color w:val="000080"/>
        </w:rPr>
        <w:t xml:space="preserve"> was forwarded as a medically acceptable condition.  Additional conditions supported in the </w:t>
      </w:r>
      <w:r w:rsidR="00F6038F">
        <w:rPr>
          <w:color w:val="000080"/>
        </w:rPr>
        <w:t>Disability Evaluation System (</w:t>
      </w:r>
      <w:r w:rsidR="007B638D" w:rsidRPr="00BE54E6">
        <w:rPr>
          <w:color w:val="000080"/>
        </w:rPr>
        <w:t>DES</w:t>
      </w:r>
      <w:r w:rsidR="00F6038F">
        <w:rPr>
          <w:color w:val="000080"/>
        </w:rPr>
        <w:t>)</w:t>
      </w:r>
      <w:r w:rsidR="007B638D" w:rsidRPr="00BE54E6">
        <w:rPr>
          <w:color w:val="000080"/>
        </w:rPr>
        <w:t xml:space="preserve"> packet are discussed below, but were not forwarded for PEB adjudication on the DA </w:t>
      </w:r>
      <w:r w:rsidR="00F6038F">
        <w:rPr>
          <w:color w:val="000080"/>
        </w:rPr>
        <w:t xml:space="preserve">Form </w:t>
      </w:r>
      <w:r w:rsidR="007B638D" w:rsidRPr="00BE54E6">
        <w:rPr>
          <w:color w:val="000080"/>
        </w:rPr>
        <w:t>3947.  The PEB adjudicated the CI unfit for the DM only, and he was separated at a 20% disability rating.</w:t>
      </w:r>
    </w:p>
    <w:p w:rsidR="00923B25" w:rsidRPr="007B638D" w:rsidRDefault="008B04DB" w:rsidP="007B638D">
      <w:pPr>
        <w:tabs>
          <w:tab w:val="left" w:pos="288"/>
          <w:tab w:val="left" w:pos="4752"/>
        </w:tabs>
        <w:spacing w:line="240" w:lineRule="exact"/>
        <w:rPr>
          <w:rFonts w:ascii="Calibri" w:hAnsi="Calibri"/>
          <w:color w:val="auto"/>
          <w:szCs w:val="24"/>
        </w:rPr>
      </w:pPr>
      <w:r>
        <w:rPr>
          <w:rFonts w:ascii="Calibri" w:hAnsi="Calibri"/>
          <w:color w:val="auto"/>
          <w:szCs w:val="24"/>
        </w:rPr>
        <w:t xml:space="preserve"> </w:t>
      </w:r>
      <w:r w:rsidR="008B5D31" w:rsidRPr="00572481">
        <w:rPr>
          <w:color w:val="000080"/>
          <w:u w:val="single"/>
        </w:rPr>
        <w:t>_______________________________________________________________</w:t>
      </w:r>
      <w:r w:rsidR="008B5D31">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BE54E6" w:rsidRDefault="002C6E5B" w:rsidP="00BE54E6">
      <w:pPr>
        <w:tabs>
          <w:tab w:val="left" w:pos="288"/>
          <w:tab w:val="left" w:pos="4752"/>
        </w:tabs>
        <w:spacing w:line="240" w:lineRule="exact"/>
        <w:jc w:val="both"/>
        <w:rPr>
          <w:color w:val="000080"/>
        </w:rPr>
      </w:pPr>
      <w:r w:rsidRPr="00BE54E6">
        <w:rPr>
          <w:color w:val="000080"/>
          <w:u w:val="single"/>
        </w:rPr>
        <w:t>CI CONTENTION</w:t>
      </w:r>
      <w:r w:rsidRPr="00BE54E6">
        <w:rPr>
          <w:color w:val="000080"/>
        </w:rPr>
        <w:t>:  The CI</w:t>
      </w:r>
      <w:r w:rsidR="008214D1" w:rsidRPr="00BE54E6">
        <w:rPr>
          <w:color w:val="000080"/>
        </w:rPr>
        <w:t xml:space="preserve">’s application states no contentions.  Request for review of his PEB adjudications is </w:t>
      </w:r>
      <w:r w:rsidR="00BE54E6">
        <w:rPr>
          <w:color w:val="000080"/>
        </w:rPr>
        <w:t>implied</w:t>
      </w:r>
      <w:r w:rsidR="008214D1" w:rsidRPr="00BE54E6">
        <w:rPr>
          <w:color w:val="000080"/>
        </w:rPr>
        <w:t>.</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BE54E6" w:rsidRDefault="002C6E5B" w:rsidP="00BE54E6">
      <w:pPr>
        <w:tabs>
          <w:tab w:val="left" w:pos="288"/>
          <w:tab w:val="left" w:pos="4752"/>
        </w:tabs>
        <w:spacing w:line="240" w:lineRule="exact"/>
        <w:rPr>
          <w:color w:val="000080"/>
        </w:rPr>
      </w:pPr>
      <w:r w:rsidRPr="00BE54E6">
        <w:rPr>
          <w:color w:val="000080"/>
          <w:u w:val="single"/>
        </w:rPr>
        <w:t>RATING COMPARISON</w:t>
      </w:r>
      <w:r w:rsidRPr="00BE54E6">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360" w:type="dxa"/>
        <w:tblInd w:w="108" w:type="dxa"/>
        <w:tblLayout w:type="fixed"/>
        <w:tblLook w:val="04A0"/>
      </w:tblPr>
      <w:tblGrid>
        <w:gridCol w:w="2070"/>
        <w:gridCol w:w="720"/>
        <w:gridCol w:w="810"/>
        <w:gridCol w:w="990"/>
        <w:gridCol w:w="1890"/>
        <w:gridCol w:w="360"/>
        <w:gridCol w:w="720"/>
        <w:gridCol w:w="810"/>
        <w:gridCol w:w="990"/>
      </w:tblGrid>
      <w:tr w:rsidR="00684E2B" w:rsidTr="008214D1">
        <w:trPr>
          <w:trHeight w:val="233"/>
        </w:trPr>
        <w:tc>
          <w:tcPr>
            <w:tcW w:w="4590"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770" w:type="dxa"/>
            <w:gridSpan w:val="5"/>
            <w:tcBorders>
              <w:left w:val="thinThickThinSmallGap" w:sz="24" w:space="0" w:color="auto"/>
            </w:tcBorders>
            <w:shd w:val="clear" w:color="auto" w:fill="C6D9F1" w:themeFill="text2" w:themeFillTint="33"/>
          </w:tcPr>
          <w:p w:rsidR="00684E2B" w:rsidRPr="00BC09D1" w:rsidRDefault="00684E2B" w:rsidP="008214D1">
            <w:pPr>
              <w:pStyle w:val="ListParagraph"/>
              <w:spacing w:after="0" w:line="240" w:lineRule="auto"/>
              <w:ind w:left="0"/>
              <w:jc w:val="center"/>
              <w:rPr>
                <w:rFonts w:cs="Times New Roman"/>
                <w:b/>
                <w:sz w:val="20"/>
                <w:szCs w:val="20"/>
              </w:rPr>
            </w:pPr>
            <w:r w:rsidRPr="00BC09D1">
              <w:rPr>
                <w:rFonts w:cs="Times New Roman"/>
                <w:b/>
                <w:sz w:val="20"/>
                <w:szCs w:val="20"/>
              </w:rPr>
              <w:t>VA (</w:t>
            </w:r>
            <w:r w:rsidR="008214D1">
              <w:rPr>
                <w:rFonts w:cs="Times New Roman"/>
                <w:b/>
                <w:sz w:val="20"/>
                <w:szCs w:val="20"/>
              </w:rPr>
              <w:t>2</w:t>
            </w:r>
            <w:r w:rsidRPr="00BC09D1">
              <w:rPr>
                <w:rFonts w:cs="Times New Roman"/>
                <w:b/>
                <w:sz w:val="20"/>
                <w:szCs w:val="20"/>
              </w:rPr>
              <w:t xml:space="preserve"> Mo. after Separation)</w:t>
            </w:r>
            <w:r w:rsidR="000C3C13">
              <w:rPr>
                <w:rFonts w:cs="Times New Roman"/>
                <w:b/>
                <w:sz w:val="20"/>
                <w:szCs w:val="20"/>
              </w:rPr>
              <w:t xml:space="preserve"> – All Effective </w:t>
            </w:r>
            <w:r w:rsidR="008214D1" w:rsidRPr="008214D1">
              <w:rPr>
                <w:b/>
                <w:sz w:val="18"/>
                <w:szCs w:val="18"/>
              </w:rPr>
              <w:t>20040803</w:t>
            </w:r>
          </w:p>
        </w:tc>
      </w:tr>
      <w:tr w:rsidR="000C3C13" w:rsidTr="008214D1">
        <w:trPr>
          <w:trHeight w:val="233"/>
        </w:trPr>
        <w:tc>
          <w:tcPr>
            <w:tcW w:w="207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250" w:type="dxa"/>
            <w:gridSpan w:val="2"/>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B039FB" w:rsidTr="008214D1">
        <w:trPr>
          <w:trHeight w:val="225"/>
        </w:trPr>
        <w:tc>
          <w:tcPr>
            <w:tcW w:w="2070" w:type="dxa"/>
            <w:vMerge w:val="restart"/>
            <w:shd w:val="clear" w:color="auto" w:fill="FFFFFF" w:themeFill="background1"/>
          </w:tcPr>
          <w:p w:rsidR="00B039FB" w:rsidRPr="00B039FB" w:rsidRDefault="00B039FB" w:rsidP="00E7110B">
            <w:pPr>
              <w:pStyle w:val="ListParagraph"/>
              <w:spacing w:after="0" w:line="240" w:lineRule="exact"/>
              <w:ind w:left="0"/>
              <w:rPr>
                <w:rFonts w:cs="Times New Roman"/>
                <w:sz w:val="18"/>
                <w:szCs w:val="18"/>
              </w:rPr>
            </w:pPr>
            <w:r w:rsidRPr="007F0A43">
              <w:rPr>
                <w:rFonts w:ascii="Calibri" w:hAnsi="Calibri"/>
                <w:sz w:val="18"/>
                <w:szCs w:val="18"/>
              </w:rPr>
              <w:t>Diabetes Mellitus, Type 2</w:t>
            </w:r>
          </w:p>
        </w:tc>
        <w:tc>
          <w:tcPr>
            <w:tcW w:w="720" w:type="dxa"/>
            <w:vMerge w:val="restart"/>
            <w:shd w:val="clear" w:color="auto" w:fill="FFFFFF" w:themeFill="background1"/>
          </w:tcPr>
          <w:p w:rsidR="00B039FB" w:rsidRPr="007F0A43" w:rsidRDefault="00B039FB" w:rsidP="00E7110B">
            <w:pPr>
              <w:pStyle w:val="ListParagraph"/>
              <w:spacing w:after="0" w:line="240" w:lineRule="exact"/>
              <w:ind w:left="0"/>
              <w:jc w:val="center"/>
              <w:rPr>
                <w:rFonts w:cs="Times New Roman"/>
                <w:sz w:val="18"/>
                <w:szCs w:val="18"/>
              </w:rPr>
            </w:pPr>
            <w:r w:rsidRPr="007F0A43">
              <w:rPr>
                <w:rFonts w:cs="Times New Roman"/>
                <w:sz w:val="18"/>
                <w:szCs w:val="18"/>
              </w:rPr>
              <w:t>7913</w:t>
            </w:r>
          </w:p>
        </w:tc>
        <w:tc>
          <w:tcPr>
            <w:tcW w:w="810" w:type="dxa"/>
            <w:vMerge w:val="restart"/>
            <w:shd w:val="clear" w:color="auto" w:fill="FFFFFF" w:themeFill="background1"/>
          </w:tcPr>
          <w:p w:rsidR="00B039FB" w:rsidRPr="007F0A43" w:rsidRDefault="00B039FB" w:rsidP="00E7110B">
            <w:pPr>
              <w:pStyle w:val="ListParagraph"/>
              <w:spacing w:after="0" w:line="240" w:lineRule="exact"/>
              <w:ind w:left="0"/>
              <w:jc w:val="center"/>
              <w:rPr>
                <w:rFonts w:cs="Times New Roman"/>
                <w:sz w:val="18"/>
                <w:szCs w:val="18"/>
              </w:rPr>
            </w:pPr>
            <w:r w:rsidRPr="007F0A43">
              <w:rPr>
                <w:rFonts w:cs="Times New Roman"/>
                <w:sz w:val="18"/>
                <w:szCs w:val="18"/>
              </w:rPr>
              <w:t>20%</w:t>
            </w:r>
          </w:p>
        </w:tc>
        <w:tc>
          <w:tcPr>
            <w:tcW w:w="990" w:type="dxa"/>
            <w:vMerge w:val="restart"/>
            <w:tcBorders>
              <w:right w:val="thinThickThinSmallGap" w:sz="24" w:space="0" w:color="auto"/>
            </w:tcBorders>
            <w:shd w:val="clear" w:color="auto" w:fill="FFFFFF" w:themeFill="background1"/>
          </w:tcPr>
          <w:p w:rsidR="00B039FB" w:rsidRPr="007F0A43" w:rsidRDefault="00B039FB" w:rsidP="00E7110B">
            <w:pPr>
              <w:pStyle w:val="ListParagraph"/>
              <w:tabs>
                <w:tab w:val="left" w:pos="451"/>
              </w:tabs>
              <w:spacing w:after="0" w:line="240" w:lineRule="exact"/>
              <w:ind w:left="0"/>
              <w:rPr>
                <w:rFonts w:cs="Times New Roman"/>
                <w:sz w:val="18"/>
                <w:szCs w:val="18"/>
              </w:rPr>
            </w:pPr>
            <w:r w:rsidRPr="007F0A43">
              <w:rPr>
                <w:rFonts w:cs="Times New Roman"/>
                <w:sz w:val="18"/>
                <w:szCs w:val="18"/>
              </w:rPr>
              <w:t>20040405</w:t>
            </w:r>
          </w:p>
        </w:tc>
        <w:tc>
          <w:tcPr>
            <w:tcW w:w="2250" w:type="dxa"/>
            <w:gridSpan w:val="2"/>
            <w:tcBorders>
              <w:left w:val="thinThickThinSmallGap" w:sz="24" w:space="0" w:color="auto"/>
              <w:bottom w:val="single" w:sz="4" w:space="0" w:color="auto"/>
            </w:tcBorders>
            <w:shd w:val="clear" w:color="auto" w:fill="FFFFFF" w:themeFill="background1"/>
          </w:tcPr>
          <w:p w:rsidR="00B039FB" w:rsidRPr="007F0A43" w:rsidRDefault="00B039FB" w:rsidP="00B039FB">
            <w:pPr>
              <w:pStyle w:val="ListParagraph"/>
              <w:spacing w:after="0" w:line="240" w:lineRule="auto"/>
              <w:ind w:left="0"/>
              <w:rPr>
                <w:rFonts w:cs="Times New Roman"/>
                <w:sz w:val="18"/>
                <w:szCs w:val="18"/>
                <w:highlight w:val="yellow"/>
              </w:rPr>
            </w:pPr>
            <w:r w:rsidRPr="007F0A43">
              <w:rPr>
                <w:rFonts w:ascii="Calibri" w:hAnsi="Calibri"/>
                <w:sz w:val="18"/>
                <w:szCs w:val="18"/>
              </w:rPr>
              <w:t>Diabetes Mellitus</w:t>
            </w:r>
          </w:p>
        </w:tc>
        <w:tc>
          <w:tcPr>
            <w:tcW w:w="720" w:type="dxa"/>
            <w:tcBorders>
              <w:bottom w:val="single" w:sz="4" w:space="0" w:color="auto"/>
            </w:tcBorders>
            <w:shd w:val="clear" w:color="auto" w:fill="FFFFFF" w:themeFill="background1"/>
          </w:tcPr>
          <w:p w:rsidR="00B039FB" w:rsidRPr="007F0A43" w:rsidRDefault="00B039FB" w:rsidP="00B039FB">
            <w:pPr>
              <w:jc w:val="center"/>
              <w:rPr>
                <w:rFonts w:eastAsiaTheme="minorEastAsia"/>
                <w:color w:val="auto"/>
                <w:sz w:val="18"/>
                <w:szCs w:val="18"/>
                <w:highlight w:val="yellow"/>
              </w:rPr>
            </w:pPr>
            <w:r w:rsidRPr="007F0A43">
              <w:rPr>
                <w:rFonts w:eastAsiaTheme="minorEastAsia"/>
                <w:color w:val="auto"/>
                <w:sz w:val="18"/>
                <w:szCs w:val="18"/>
              </w:rPr>
              <w:t>7913</w:t>
            </w:r>
          </w:p>
        </w:tc>
        <w:tc>
          <w:tcPr>
            <w:tcW w:w="810" w:type="dxa"/>
            <w:tcBorders>
              <w:bottom w:val="single" w:sz="4" w:space="0" w:color="auto"/>
            </w:tcBorders>
            <w:shd w:val="clear" w:color="auto" w:fill="FFFFFF" w:themeFill="background1"/>
          </w:tcPr>
          <w:p w:rsidR="00B039FB" w:rsidRPr="007F0A43" w:rsidRDefault="00B039FB" w:rsidP="00B039FB">
            <w:pPr>
              <w:jc w:val="center"/>
              <w:rPr>
                <w:rFonts w:eastAsiaTheme="minorEastAsia"/>
                <w:color w:val="auto"/>
                <w:sz w:val="18"/>
                <w:szCs w:val="18"/>
              </w:rPr>
            </w:pPr>
            <w:r w:rsidRPr="007F0A43">
              <w:rPr>
                <w:rFonts w:eastAsiaTheme="minorEastAsia"/>
                <w:color w:val="auto"/>
                <w:sz w:val="18"/>
                <w:szCs w:val="18"/>
              </w:rPr>
              <w:t>20%</w:t>
            </w:r>
          </w:p>
        </w:tc>
        <w:tc>
          <w:tcPr>
            <w:tcW w:w="990" w:type="dxa"/>
            <w:tcBorders>
              <w:bottom w:val="single" w:sz="4" w:space="0" w:color="auto"/>
            </w:tcBorders>
            <w:shd w:val="clear" w:color="auto" w:fill="FFFFFF" w:themeFill="background1"/>
          </w:tcPr>
          <w:p w:rsidR="00B039FB" w:rsidRPr="00B039FB" w:rsidRDefault="00B039FB" w:rsidP="00B039FB">
            <w:pPr>
              <w:jc w:val="center"/>
              <w:rPr>
                <w:rFonts w:eastAsiaTheme="minorEastAsia"/>
                <w:color w:val="auto"/>
                <w:sz w:val="18"/>
                <w:szCs w:val="18"/>
              </w:rPr>
            </w:pPr>
            <w:r w:rsidRPr="00B039FB">
              <w:rPr>
                <w:rFonts w:eastAsiaTheme="minorEastAsia"/>
                <w:color w:val="auto"/>
                <w:sz w:val="18"/>
                <w:szCs w:val="18"/>
              </w:rPr>
              <w:t>20041021</w:t>
            </w:r>
          </w:p>
        </w:tc>
      </w:tr>
      <w:tr w:rsidR="00B039FB" w:rsidTr="008214D1">
        <w:trPr>
          <w:trHeight w:val="240"/>
        </w:trPr>
        <w:tc>
          <w:tcPr>
            <w:tcW w:w="2070" w:type="dxa"/>
            <w:vMerge/>
            <w:shd w:val="clear" w:color="auto" w:fill="FFFFFF" w:themeFill="background1"/>
          </w:tcPr>
          <w:p w:rsidR="00B039FB" w:rsidRPr="007F0A43" w:rsidRDefault="00B039FB" w:rsidP="00E7110B">
            <w:pPr>
              <w:pStyle w:val="ListParagraph"/>
              <w:spacing w:after="0" w:line="240" w:lineRule="exact"/>
              <w:ind w:left="0"/>
              <w:rPr>
                <w:rFonts w:ascii="Calibri" w:hAnsi="Calibri"/>
                <w:sz w:val="18"/>
                <w:szCs w:val="18"/>
              </w:rPr>
            </w:pPr>
          </w:p>
        </w:tc>
        <w:tc>
          <w:tcPr>
            <w:tcW w:w="720" w:type="dxa"/>
            <w:vMerge/>
            <w:shd w:val="clear" w:color="auto" w:fill="FFFFFF" w:themeFill="background1"/>
          </w:tcPr>
          <w:p w:rsidR="00B039FB" w:rsidRPr="007F0A43" w:rsidRDefault="00B039FB" w:rsidP="00E7110B">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B039FB" w:rsidRPr="007F0A43" w:rsidRDefault="00B039FB" w:rsidP="00E7110B">
            <w:pPr>
              <w:pStyle w:val="ListParagraph"/>
              <w:spacing w:after="0" w:line="24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B039FB" w:rsidRPr="007F0A43" w:rsidRDefault="00B039FB" w:rsidP="00E7110B">
            <w:pPr>
              <w:pStyle w:val="ListParagraph"/>
              <w:tabs>
                <w:tab w:val="left" w:pos="451"/>
              </w:tabs>
              <w:spacing w:after="0" w:line="240" w:lineRule="exact"/>
              <w:ind w:left="0"/>
              <w:rPr>
                <w:rFonts w:cs="Times New Roman"/>
                <w:sz w:val="18"/>
                <w:szCs w:val="18"/>
              </w:rPr>
            </w:pPr>
          </w:p>
        </w:tc>
        <w:tc>
          <w:tcPr>
            <w:tcW w:w="1890" w:type="dxa"/>
            <w:tcBorders>
              <w:top w:val="single" w:sz="4" w:space="0" w:color="auto"/>
              <w:left w:val="thinThickThinSmallGap" w:sz="24" w:space="0" w:color="auto"/>
              <w:right w:val="single" w:sz="4" w:space="0" w:color="auto"/>
            </w:tcBorders>
            <w:shd w:val="clear" w:color="auto" w:fill="FFFFFF" w:themeFill="background1"/>
          </w:tcPr>
          <w:p w:rsidR="00B039FB" w:rsidRPr="007F0A43" w:rsidRDefault="00B039FB" w:rsidP="00B039FB">
            <w:pPr>
              <w:pStyle w:val="ListParagraph"/>
              <w:spacing w:after="0" w:line="240" w:lineRule="exact"/>
              <w:ind w:left="0"/>
              <w:rPr>
                <w:rFonts w:cs="Times New Roman"/>
                <w:sz w:val="18"/>
                <w:szCs w:val="18"/>
                <w:highlight w:val="yellow"/>
              </w:rPr>
            </w:pPr>
            <w:r w:rsidRPr="007F0A43">
              <w:rPr>
                <w:rFonts w:cs="Times New Roman"/>
                <w:sz w:val="18"/>
                <w:szCs w:val="18"/>
              </w:rPr>
              <w:t xml:space="preserve">Diabetic Nephropathy </w:t>
            </w:r>
          </w:p>
        </w:tc>
        <w:tc>
          <w:tcPr>
            <w:tcW w:w="1080" w:type="dxa"/>
            <w:gridSpan w:val="2"/>
            <w:tcBorders>
              <w:top w:val="single" w:sz="4" w:space="0" w:color="auto"/>
              <w:left w:val="single" w:sz="4" w:space="0" w:color="auto"/>
            </w:tcBorders>
            <w:shd w:val="clear" w:color="auto" w:fill="FFFFFF" w:themeFill="background1"/>
          </w:tcPr>
          <w:p w:rsidR="00B039FB" w:rsidRPr="007F0A43" w:rsidRDefault="00B039FB" w:rsidP="00E7110B">
            <w:pPr>
              <w:spacing w:line="240" w:lineRule="exact"/>
              <w:jc w:val="center"/>
              <w:rPr>
                <w:rFonts w:eastAsiaTheme="minorEastAsia"/>
                <w:color w:val="auto"/>
                <w:sz w:val="18"/>
                <w:szCs w:val="18"/>
                <w:highlight w:val="yellow"/>
              </w:rPr>
            </w:pPr>
            <w:r w:rsidRPr="007F0A43">
              <w:rPr>
                <w:rFonts w:eastAsiaTheme="minorEastAsia"/>
                <w:color w:val="auto"/>
                <w:sz w:val="18"/>
                <w:szCs w:val="18"/>
              </w:rPr>
              <w:t>7913-7541</w:t>
            </w:r>
          </w:p>
        </w:tc>
        <w:tc>
          <w:tcPr>
            <w:tcW w:w="810" w:type="dxa"/>
            <w:tcBorders>
              <w:top w:val="single" w:sz="4" w:space="0" w:color="auto"/>
            </w:tcBorders>
            <w:shd w:val="clear" w:color="auto" w:fill="FFFFFF" w:themeFill="background1"/>
          </w:tcPr>
          <w:p w:rsidR="00B039FB" w:rsidRPr="007F0A43" w:rsidRDefault="00B039FB" w:rsidP="00E7110B">
            <w:pPr>
              <w:spacing w:line="240" w:lineRule="exact"/>
              <w:jc w:val="center"/>
              <w:rPr>
                <w:rFonts w:eastAsiaTheme="minorEastAsia"/>
                <w:color w:val="auto"/>
                <w:sz w:val="18"/>
                <w:szCs w:val="18"/>
                <w:highlight w:val="yellow"/>
              </w:rPr>
            </w:pPr>
            <w:r w:rsidRPr="007F0A43">
              <w:rPr>
                <w:color w:val="auto"/>
                <w:sz w:val="18"/>
                <w:szCs w:val="18"/>
              </w:rPr>
              <w:t>30%</w:t>
            </w:r>
          </w:p>
        </w:tc>
        <w:tc>
          <w:tcPr>
            <w:tcW w:w="990" w:type="dxa"/>
            <w:tcBorders>
              <w:top w:val="single" w:sz="4" w:space="0" w:color="auto"/>
            </w:tcBorders>
            <w:shd w:val="clear" w:color="auto" w:fill="FFFFFF" w:themeFill="background1"/>
          </w:tcPr>
          <w:p w:rsidR="00B039FB" w:rsidRPr="00B039FB" w:rsidRDefault="00B039FB" w:rsidP="00E7110B">
            <w:pPr>
              <w:spacing w:line="240" w:lineRule="exact"/>
              <w:jc w:val="center"/>
              <w:rPr>
                <w:rFonts w:eastAsiaTheme="minorEastAsia"/>
                <w:color w:val="auto"/>
                <w:sz w:val="18"/>
                <w:szCs w:val="18"/>
              </w:rPr>
            </w:pPr>
            <w:r w:rsidRPr="00B039FB">
              <w:rPr>
                <w:rFonts w:eastAsiaTheme="minorEastAsia"/>
                <w:color w:val="auto"/>
                <w:sz w:val="18"/>
                <w:szCs w:val="18"/>
              </w:rPr>
              <w:t>20041021</w:t>
            </w:r>
          </w:p>
        </w:tc>
      </w:tr>
      <w:tr w:rsidR="00B039FB" w:rsidTr="008214D1">
        <w:trPr>
          <w:trHeight w:val="188"/>
        </w:trPr>
        <w:tc>
          <w:tcPr>
            <w:tcW w:w="2070" w:type="dxa"/>
            <w:shd w:val="clear" w:color="auto" w:fill="FFFFFF" w:themeFill="background1"/>
          </w:tcPr>
          <w:p w:rsidR="00B039FB" w:rsidRPr="00BC09D1" w:rsidRDefault="00B039FB" w:rsidP="00F37554">
            <w:pPr>
              <w:pStyle w:val="ListParagraph"/>
              <w:spacing w:after="0" w:line="240" w:lineRule="auto"/>
              <w:ind w:left="0"/>
              <w:rPr>
                <w:rFonts w:cs="Times New Roman"/>
                <w:sz w:val="18"/>
                <w:szCs w:val="18"/>
              </w:rPr>
            </w:pPr>
            <w:r>
              <w:rPr>
                <w:rFonts w:eastAsiaTheme="minorEastAsia"/>
                <w:sz w:val="18"/>
                <w:szCs w:val="18"/>
              </w:rPr>
              <w:t xml:space="preserve">Cervical </w:t>
            </w:r>
            <w:proofErr w:type="spellStart"/>
            <w:r>
              <w:rPr>
                <w:rFonts w:eastAsiaTheme="minorEastAsia"/>
                <w:sz w:val="18"/>
                <w:szCs w:val="18"/>
              </w:rPr>
              <w:t>Radiculopathy</w:t>
            </w:r>
            <w:proofErr w:type="spellEnd"/>
          </w:p>
        </w:tc>
        <w:tc>
          <w:tcPr>
            <w:tcW w:w="1530" w:type="dxa"/>
            <w:gridSpan w:val="2"/>
            <w:shd w:val="clear" w:color="auto" w:fill="FFFFFF" w:themeFill="background1"/>
          </w:tcPr>
          <w:p w:rsidR="00B039FB" w:rsidRPr="00BC09D1" w:rsidRDefault="00B039FB" w:rsidP="00F37554">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B039FB" w:rsidRPr="002E333A" w:rsidRDefault="00B039FB" w:rsidP="00F37554">
            <w:pPr>
              <w:pStyle w:val="ListParagraph"/>
              <w:spacing w:after="0" w:line="240" w:lineRule="auto"/>
              <w:ind w:left="0"/>
              <w:jc w:val="center"/>
              <w:rPr>
                <w:rFonts w:cs="Times New Roman"/>
                <w:sz w:val="18"/>
                <w:szCs w:val="18"/>
              </w:rPr>
            </w:pPr>
            <w:r w:rsidRPr="007F0A43">
              <w:rPr>
                <w:rFonts w:cs="Times New Roman"/>
                <w:sz w:val="18"/>
                <w:szCs w:val="18"/>
              </w:rPr>
              <w:t>20040405</w:t>
            </w:r>
          </w:p>
        </w:tc>
        <w:tc>
          <w:tcPr>
            <w:tcW w:w="2250" w:type="dxa"/>
            <w:gridSpan w:val="2"/>
            <w:tcBorders>
              <w:left w:val="thinThickThinSmallGap" w:sz="24" w:space="0" w:color="auto"/>
            </w:tcBorders>
            <w:shd w:val="clear" w:color="auto" w:fill="FFFFFF" w:themeFill="background1"/>
          </w:tcPr>
          <w:p w:rsidR="00B039FB" w:rsidRPr="00B865F6" w:rsidRDefault="00B039FB" w:rsidP="00E7110B">
            <w:pPr>
              <w:spacing w:line="240" w:lineRule="exact"/>
              <w:rPr>
                <w:rFonts w:eastAsiaTheme="minorEastAsia"/>
                <w:color w:val="auto"/>
                <w:sz w:val="18"/>
                <w:szCs w:val="18"/>
                <w:highlight w:val="yellow"/>
              </w:rPr>
            </w:pPr>
            <w:r w:rsidRPr="00855F65">
              <w:rPr>
                <w:rFonts w:eastAsiaTheme="minorEastAsia"/>
                <w:color w:val="auto"/>
                <w:sz w:val="18"/>
                <w:szCs w:val="18"/>
              </w:rPr>
              <w:t>Cervical Strain</w:t>
            </w:r>
          </w:p>
        </w:tc>
        <w:tc>
          <w:tcPr>
            <w:tcW w:w="720" w:type="dxa"/>
            <w:shd w:val="clear" w:color="auto" w:fill="FFFFFF" w:themeFill="background1"/>
          </w:tcPr>
          <w:p w:rsidR="00B039FB" w:rsidRPr="00052C4E" w:rsidRDefault="00B039FB" w:rsidP="00E7110B">
            <w:pPr>
              <w:spacing w:line="240" w:lineRule="exact"/>
              <w:jc w:val="center"/>
              <w:rPr>
                <w:rFonts w:eastAsiaTheme="minorEastAsia"/>
                <w:color w:val="auto"/>
                <w:sz w:val="18"/>
                <w:szCs w:val="18"/>
              </w:rPr>
            </w:pPr>
            <w:r>
              <w:rPr>
                <w:rFonts w:eastAsiaTheme="minorEastAsia"/>
                <w:color w:val="auto"/>
                <w:sz w:val="18"/>
                <w:szCs w:val="18"/>
              </w:rPr>
              <w:t>5237</w:t>
            </w:r>
          </w:p>
        </w:tc>
        <w:tc>
          <w:tcPr>
            <w:tcW w:w="810" w:type="dxa"/>
            <w:shd w:val="clear" w:color="auto" w:fill="FFFFFF" w:themeFill="background1"/>
          </w:tcPr>
          <w:p w:rsidR="00B039FB" w:rsidRPr="00052C4E" w:rsidRDefault="00B039FB" w:rsidP="00E7110B">
            <w:pPr>
              <w:spacing w:line="240" w:lineRule="exact"/>
              <w:jc w:val="center"/>
              <w:rPr>
                <w:rFonts w:eastAsiaTheme="minorEastAsia"/>
                <w:color w:val="auto"/>
                <w:sz w:val="18"/>
                <w:szCs w:val="18"/>
              </w:rPr>
            </w:pPr>
            <w:r w:rsidRPr="008A0470">
              <w:rPr>
                <w:rFonts w:eastAsiaTheme="minorEastAsia"/>
                <w:color w:val="auto"/>
                <w:sz w:val="18"/>
                <w:szCs w:val="18"/>
              </w:rPr>
              <w:t>10%</w:t>
            </w:r>
          </w:p>
        </w:tc>
        <w:tc>
          <w:tcPr>
            <w:tcW w:w="990" w:type="dxa"/>
            <w:shd w:val="clear" w:color="auto" w:fill="FFFFFF" w:themeFill="background1"/>
          </w:tcPr>
          <w:p w:rsidR="00B039FB" w:rsidRPr="00B039FB" w:rsidRDefault="00B039FB" w:rsidP="00E7110B">
            <w:pPr>
              <w:spacing w:line="240" w:lineRule="exact"/>
              <w:jc w:val="center"/>
              <w:rPr>
                <w:rFonts w:eastAsiaTheme="minorEastAsia"/>
                <w:color w:val="auto"/>
                <w:sz w:val="18"/>
                <w:szCs w:val="18"/>
              </w:rPr>
            </w:pPr>
            <w:r w:rsidRPr="00B039FB">
              <w:rPr>
                <w:rFonts w:eastAsiaTheme="minorEastAsia"/>
                <w:color w:val="auto"/>
                <w:sz w:val="18"/>
                <w:szCs w:val="18"/>
              </w:rPr>
              <w:t>20041021</w:t>
            </w:r>
          </w:p>
        </w:tc>
      </w:tr>
      <w:tr w:rsidR="00B039FB" w:rsidTr="008214D1">
        <w:trPr>
          <w:trHeight w:val="143"/>
        </w:trPr>
        <w:tc>
          <w:tcPr>
            <w:tcW w:w="4590" w:type="dxa"/>
            <w:gridSpan w:val="4"/>
            <w:tcBorders>
              <w:right w:val="thinThickThinSmallGap" w:sz="24" w:space="0" w:color="auto"/>
            </w:tcBorders>
            <w:shd w:val="clear" w:color="auto" w:fill="FFFFFF" w:themeFill="background1"/>
          </w:tcPr>
          <w:p w:rsidR="00B039FB" w:rsidRPr="00BC09D1" w:rsidRDefault="00B039FB" w:rsidP="00F37554">
            <w:pPr>
              <w:pStyle w:val="ListParagraph"/>
              <w:spacing w:after="0" w:line="240" w:lineRule="auto"/>
              <w:ind w:left="0"/>
              <w:jc w:val="center"/>
              <w:rPr>
                <w:rFonts w:cs="Times New Roman"/>
                <w:b/>
                <w:sz w:val="18"/>
                <w:szCs w:val="18"/>
              </w:rPr>
            </w:pPr>
            <w:r>
              <w:rPr>
                <w:rFonts w:eastAsiaTheme="minorEastAsia"/>
                <w:sz w:val="18"/>
                <w:szCs w:val="18"/>
              </w:rPr>
              <w:t>No DA</w:t>
            </w:r>
            <w:r w:rsidRPr="00BC09D1">
              <w:rPr>
                <w:rFonts w:eastAsiaTheme="minorEastAsia"/>
                <w:sz w:val="18"/>
                <w:szCs w:val="18"/>
              </w:rPr>
              <w:t xml:space="preserve"> 3947 Entr</w:t>
            </w:r>
            <w:r>
              <w:rPr>
                <w:rFonts w:eastAsiaTheme="minorEastAsia"/>
                <w:sz w:val="18"/>
                <w:szCs w:val="18"/>
              </w:rPr>
              <w:t>y.</w:t>
            </w:r>
          </w:p>
        </w:tc>
        <w:tc>
          <w:tcPr>
            <w:tcW w:w="2250" w:type="dxa"/>
            <w:gridSpan w:val="2"/>
            <w:tcBorders>
              <w:left w:val="thinThickThinSmallGap" w:sz="24" w:space="0" w:color="auto"/>
            </w:tcBorders>
            <w:shd w:val="clear" w:color="auto" w:fill="FFFFFF" w:themeFill="background1"/>
          </w:tcPr>
          <w:p w:rsidR="00B039FB" w:rsidRPr="00B865F6" w:rsidRDefault="00B039FB" w:rsidP="00E7110B">
            <w:pPr>
              <w:spacing w:line="240" w:lineRule="exact"/>
              <w:rPr>
                <w:rFonts w:eastAsiaTheme="minorEastAsia"/>
                <w:color w:val="auto"/>
                <w:sz w:val="18"/>
                <w:szCs w:val="18"/>
                <w:highlight w:val="yellow"/>
              </w:rPr>
            </w:pPr>
            <w:r w:rsidRPr="00855F65">
              <w:rPr>
                <w:rFonts w:eastAsiaTheme="minorEastAsia"/>
                <w:color w:val="auto"/>
                <w:sz w:val="18"/>
                <w:szCs w:val="18"/>
              </w:rPr>
              <w:t>Hypertension</w:t>
            </w:r>
          </w:p>
        </w:tc>
        <w:tc>
          <w:tcPr>
            <w:tcW w:w="720" w:type="dxa"/>
            <w:shd w:val="clear" w:color="auto" w:fill="FFFFFF" w:themeFill="background1"/>
          </w:tcPr>
          <w:p w:rsidR="00B039FB" w:rsidRPr="00052C4E" w:rsidRDefault="00B039FB" w:rsidP="00E7110B">
            <w:pPr>
              <w:spacing w:line="240" w:lineRule="exact"/>
              <w:jc w:val="center"/>
              <w:rPr>
                <w:rFonts w:eastAsiaTheme="minorEastAsia"/>
                <w:color w:val="auto"/>
                <w:sz w:val="18"/>
                <w:szCs w:val="18"/>
              </w:rPr>
            </w:pPr>
            <w:r>
              <w:rPr>
                <w:rFonts w:eastAsiaTheme="minorEastAsia"/>
                <w:color w:val="auto"/>
                <w:sz w:val="18"/>
                <w:szCs w:val="18"/>
              </w:rPr>
              <w:t>7101</w:t>
            </w:r>
          </w:p>
        </w:tc>
        <w:tc>
          <w:tcPr>
            <w:tcW w:w="810" w:type="dxa"/>
            <w:shd w:val="clear" w:color="auto" w:fill="FFFFFF" w:themeFill="background1"/>
          </w:tcPr>
          <w:p w:rsidR="00B039FB" w:rsidRPr="00052C4E" w:rsidRDefault="00B039FB" w:rsidP="00E7110B">
            <w:pPr>
              <w:spacing w:line="240" w:lineRule="exact"/>
              <w:jc w:val="center"/>
              <w:rPr>
                <w:rFonts w:eastAsiaTheme="minorEastAsia"/>
                <w:color w:val="auto"/>
                <w:sz w:val="18"/>
                <w:szCs w:val="18"/>
              </w:rPr>
            </w:pPr>
            <w:r w:rsidRPr="008A0470">
              <w:rPr>
                <w:rFonts w:eastAsiaTheme="minorEastAsia"/>
                <w:color w:val="auto"/>
                <w:sz w:val="18"/>
                <w:szCs w:val="18"/>
              </w:rPr>
              <w:t>10%</w:t>
            </w:r>
          </w:p>
        </w:tc>
        <w:tc>
          <w:tcPr>
            <w:tcW w:w="990" w:type="dxa"/>
            <w:shd w:val="clear" w:color="auto" w:fill="FFFFFF" w:themeFill="background1"/>
          </w:tcPr>
          <w:p w:rsidR="00B039FB" w:rsidRPr="00B039FB" w:rsidRDefault="00B039FB" w:rsidP="00E7110B">
            <w:pPr>
              <w:spacing w:line="240" w:lineRule="exact"/>
              <w:jc w:val="center"/>
              <w:rPr>
                <w:rFonts w:eastAsiaTheme="minorEastAsia"/>
                <w:color w:val="auto"/>
                <w:sz w:val="18"/>
                <w:szCs w:val="18"/>
              </w:rPr>
            </w:pPr>
            <w:r w:rsidRPr="00B039FB">
              <w:rPr>
                <w:rFonts w:eastAsiaTheme="minorEastAsia"/>
                <w:color w:val="auto"/>
                <w:sz w:val="18"/>
                <w:szCs w:val="18"/>
              </w:rPr>
              <w:t>20041021</w:t>
            </w:r>
          </w:p>
        </w:tc>
      </w:tr>
      <w:tr w:rsidR="00B039FB" w:rsidTr="008214D1">
        <w:trPr>
          <w:trHeight w:val="197"/>
        </w:trPr>
        <w:tc>
          <w:tcPr>
            <w:tcW w:w="4590" w:type="dxa"/>
            <w:gridSpan w:val="4"/>
            <w:tcBorders>
              <w:right w:val="thinThickThinSmallGap" w:sz="24" w:space="0" w:color="auto"/>
            </w:tcBorders>
            <w:shd w:val="clear" w:color="auto" w:fill="FFFFFF" w:themeFill="background1"/>
          </w:tcPr>
          <w:p w:rsidR="00B039FB" w:rsidRPr="00BC09D1" w:rsidRDefault="00B039FB"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780" w:type="dxa"/>
            <w:gridSpan w:val="4"/>
            <w:tcBorders>
              <w:left w:val="thinThickThinSmallGap" w:sz="24" w:space="0" w:color="auto"/>
            </w:tcBorders>
            <w:shd w:val="clear" w:color="auto" w:fill="FFFFFF" w:themeFill="background1"/>
          </w:tcPr>
          <w:p w:rsidR="00B039FB" w:rsidRPr="00BC09D1" w:rsidRDefault="00B039FB"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Pr>
                <w:rFonts w:cs="Times New Roman"/>
                <w:sz w:val="18"/>
                <w:szCs w:val="18"/>
              </w:rPr>
              <w:t>1</w:t>
            </w:r>
            <w:r w:rsidRPr="00BC09D1">
              <w:rPr>
                <w:rFonts w:cs="Times New Roman"/>
                <w:sz w:val="18"/>
                <w:szCs w:val="18"/>
              </w:rPr>
              <w:t xml:space="preserve"> / NSC X </w:t>
            </w:r>
            <w:r>
              <w:rPr>
                <w:rFonts w:cs="Times New Roman"/>
                <w:sz w:val="18"/>
                <w:szCs w:val="18"/>
              </w:rPr>
              <w:t>2</w:t>
            </w:r>
          </w:p>
        </w:tc>
        <w:tc>
          <w:tcPr>
            <w:tcW w:w="990" w:type="dxa"/>
            <w:shd w:val="clear" w:color="auto" w:fill="FFFFFF" w:themeFill="background1"/>
          </w:tcPr>
          <w:p w:rsidR="00B039FB" w:rsidRPr="00BC09D1" w:rsidRDefault="00B039FB" w:rsidP="00F37554">
            <w:pPr>
              <w:pStyle w:val="ListParagraph"/>
              <w:spacing w:after="0" w:line="240" w:lineRule="auto"/>
              <w:ind w:left="0"/>
              <w:jc w:val="center"/>
              <w:rPr>
                <w:rFonts w:cs="Times New Roman"/>
                <w:sz w:val="18"/>
                <w:szCs w:val="18"/>
              </w:rPr>
            </w:pPr>
            <w:r w:rsidRPr="00B039FB">
              <w:rPr>
                <w:rFonts w:eastAsiaTheme="minorEastAsia"/>
                <w:sz w:val="18"/>
                <w:szCs w:val="18"/>
              </w:rPr>
              <w:t>20041021</w:t>
            </w:r>
          </w:p>
        </w:tc>
      </w:tr>
      <w:tr w:rsidR="00B039FB" w:rsidTr="008214D1">
        <w:trPr>
          <w:trHeight w:val="242"/>
        </w:trPr>
        <w:tc>
          <w:tcPr>
            <w:tcW w:w="4590" w:type="dxa"/>
            <w:gridSpan w:val="4"/>
            <w:tcBorders>
              <w:right w:val="thinThickThinSmallGap" w:sz="24" w:space="0" w:color="auto"/>
            </w:tcBorders>
            <w:shd w:val="clear" w:color="auto" w:fill="C6D9F1" w:themeFill="text2" w:themeFillTint="33"/>
          </w:tcPr>
          <w:p w:rsidR="00B039FB" w:rsidRPr="00BC09D1" w:rsidRDefault="00B039FB" w:rsidP="00F37554">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Pr>
                <w:rFonts w:cs="Times New Roman"/>
                <w:b/>
                <w:sz w:val="20"/>
                <w:szCs w:val="20"/>
              </w:rPr>
              <w:t>2</w:t>
            </w:r>
            <w:r w:rsidRPr="00BC09D1">
              <w:rPr>
                <w:rFonts w:cs="Times New Roman"/>
                <w:b/>
                <w:sz w:val="20"/>
                <w:szCs w:val="20"/>
              </w:rPr>
              <w:t>0%</w:t>
            </w:r>
          </w:p>
        </w:tc>
        <w:tc>
          <w:tcPr>
            <w:tcW w:w="4770" w:type="dxa"/>
            <w:gridSpan w:val="5"/>
            <w:tcBorders>
              <w:left w:val="thinThickThinSmallGap" w:sz="24" w:space="0" w:color="auto"/>
            </w:tcBorders>
            <w:shd w:val="clear" w:color="auto" w:fill="C6D9F1" w:themeFill="text2" w:themeFillTint="33"/>
          </w:tcPr>
          <w:p w:rsidR="00B039FB" w:rsidRPr="00BC09D1" w:rsidRDefault="00B039FB"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Pr>
                <w:rFonts w:cs="Times New Roman"/>
                <w:b/>
                <w:sz w:val="20"/>
                <w:szCs w:val="20"/>
              </w:rPr>
              <w:t>): 6</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BE54E6" w:rsidRDefault="00BE54E6">
      <w:pPr>
        <w:rPr>
          <w:rFonts w:asciiTheme="minorHAnsi" w:hAnsiTheme="minorHAnsi"/>
          <w:color w:val="000080"/>
          <w:szCs w:val="24"/>
          <w:u w:val="single"/>
        </w:rPr>
      </w:pPr>
      <w:r>
        <w:rPr>
          <w:rFonts w:asciiTheme="minorHAnsi" w:hAnsiTheme="minorHAnsi"/>
          <w:color w:val="000080"/>
          <w:szCs w:val="24"/>
          <w:u w:val="single"/>
        </w:rPr>
        <w:br w:type="page"/>
      </w:r>
    </w:p>
    <w:p w:rsidR="002C6E5B" w:rsidRPr="00BE54E6" w:rsidRDefault="002C6E5B" w:rsidP="00BE54E6">
      <w:pPr>
        <w:tabs>
          <w:tab w:val="left" w:pos="288"/>
          <w:tab w:val="left" w:pos="4752"/>
        </w:tabs>
        <w:spacing w:line="240" w:lineRule="exact"/>
        <w:jc w:val="both"/>
        <w:rPr>
          <w:color w:val="000080"/>
        </w:rPr>
      </w:pPr>
      <w:r w:rsidRPr="00BE54E6">
        <w:rPr>
          <w:color w:val="000080"/>
          <w:u w:val="single"/>
        </w:rPr>
        <w:lastRenderedPageBreak/>
        <w:t>ANALYSIS SUMMARY</w:t>
      </w:r>
      <w:r w:rsidRPr="00BE54E6">
        <w:rPr>
          <w:color w:val="000080"/>
        </w:rPr>
        <w:t>:</w:t>
      </w:r>
    </w:p>
    <w:p w:rsidR="002C6E5B" w:rsidRPr="00BE54E6" w:rsidRDefault="002C6E5B" w:rsidP="002C6E5B">
      <w:pPr>
        <w:tabs>
          <w:tab w:val="left" w:pos="288"/>
          <w:tab w:val="left" w:pos="4752"/>
        </w:tabs>
        <w:spacing w:line="240" w:lineRule="exact"/>
        <w:jc w:val="both"/>
        <w:rPr>
          <w:color w:val="000080"/>
        </w:rPr>
      </w:pPr>
    </w:p>
    <w:p w:rsidR="00B4236A" w:rsidRPr="00BE54E6" w:rsidRDefault="00D97FDD" w:rsidP="00BE54E6">
      <w:pPr>
        <w:tabs>
          <w:tab w:val="left" w:pos="288"/>
          <w:tab w:val="left" w:pos="4752"/>
        </w:tabs>
        <w:spacing w:line="240" w:lineRule="exact"/>
        <w:jc w:val="both"/>
        <w:rPr>
          <w:color w:val="000080"/>
        </w:rPr>
      </w:pPr>
      <w:proofErr w:type="gramStart"/>
      <w:r w:rsidRPr="00BE54E6">
        <w:rPr>
          <w:color w:val="000080"/>
          <w:u w:val="single"/>
        </w:rPr>
        <w:t>D</w:t>
      </w:r>
      <w:r w:rsidR="00BE54E6" w:rsidRPr="00BE54E6">
        <w:rPr>
          <w:color w:val="000080"/>
          <w:u w:val="single"/>
        </w:rPr>
        <w:t>iabetes</w:t>
      </w:r>
      <w:r w:rsidR="002C6E5B" w:rsidRPr="00BE54E6">
        <w:rPr>
          <w:color w:val="000080"/>
        </w:rPr>
        <w:t>.</w:t>
      </w:r>
      <w:proofErr w:type="gramEnd"/>
      <w:r w:rsidR="002C6E5B" w:rsidRPr="00BE54E6">
        <w:rPr>
          <w:color w:val="000080"/>
        </w:rPr>
        <w:t xml:space="preserve">  The</w:t>
      </w:r>
      <w:r w:rsidRPr="00BE54E6">
        <w:rPr>
          <w:color w:val="000080"/>
        </w:rPr>
        <w:t xml:space="preserve"> clinical evidence at separation was consistent with </w:t>
      </w:r>
      <w:r w:rsidR="004F13BE" w:rsidRPr="00BE54E6">
        <w:rPr>
          <w:color w:val="000080"/>
        </w:rPr>
        <w:t>a</w:t>
      </w:r>
      <w:r w:rsidRPr="00BE54E6">
        <w:rPr>
          <w:color w:val="000080"/>
        </w:rPr>
        <w:t xml:space="preserve"> 20% rating </w:t>
      </w:r>
      <w:r w:rsidR="004F13BE" w:rsidRPr="00BE54E6">
        <w:rPr>
          <w:color w:val="000080"/>
        </w:rPr>
        <w:t xml:space="preserve">IAW VASRD §4.120 as </w:t>
      </w:r>
      <w:r w:rsidRPr="00BE54E6">
        <w:rPr>
          <w:color w:val="000080"/>
        </w:rPr>
        <w:t xml:space="preserve">determined by the PEB.  His VA rating examination was performed close to separation and resulted in the same rating.  </w:t>
      </w:r>
      <w:r w:rsidR="002D2801" w:rsidRPr="00BE54E6">
        <w:rPr>
          <w:color w:val="000080"/>
        </w:rPr>
        <w:t xml:space="preserve">Requirement for oral agent and restricted diet supported the 20% rating, but none of the criteria for higher ratings can be supported by the evidence.  There was neither the insulin requirement </w:t>
      </w:r>
      <w:r w:rsidR="00B4236A" w:rsidRPr="00BE54E6">
        <w:rPr>
          <w:color w:val="000080"/>
        </w:rPr>
        <w:t>n</w:t>
      </w:r>
      <w:r w:rsidR="002D2801" w:rsidRPr="00BE54E6">
        <w:rPr>
          <w:color w:val="000080"/>
        </w:rPr>
        <w:t xml:space="preserve">or regulation of activities required for the next higher 40% rating.  </w:t>
      </w:r>
      <w:r w:rsidR="00B4236A" w:rsidRPr="00BE54E6">
        <w:rPr>
          <w:color w:val="000080"/>
        </w:rPr>
        <w:t>The physical profile permitted unlimited walking and the VA examiner stated ‘The diabetes does not cause any restriction of activities.’  Other than the initial DKA requiring hospital admission, there were no further admissions and a very stable outpatient course.  There were no hypoglycemic episodes.  Thus none of the 60% or 100% criteria were met.  All evidence considered</w:t>
      </w:r>
      <w:proofErr w:type="gramStart"/>
      <w:r w:rsidR="00B4236A" w:rsidRPr="00BE54E6">
        <w:rPr>
          <w:color w:val="000080"/>
        </w:rPr>
        <w:t>,</w:t>
      </w:r>
      <w:proofErr w:type="gramEnd"/>
      <w:r w:rsidR="00B4236A" w:rsidRPr="00BE54E6">
        <w:rPr>
          <w:color w:val="000080"/>
        </w:rPr>
        <w:t xml:space="preserve"> there is not reasonable doubt in the CI’s favor supporting </w:t>
      </w:r>
      <w:proofErr w:type="spellStart"/>
      <w:r w:rsidR="00B4236A" w:rsidRPr="00BE54E6">
        <w:rPr>
          <w:color w:val="000080"/>
        </w:rPr>
        <w:t>recharacterization</w:t>
      </w:r>
      <w:proofErr w:type="spellEnd"/>
      <w:r w:rsidR="00B4236A" w:rsidRPr="00BE54E6">
        <w:rPr>
          <w:color w:val="000080"/>
        </w:rPr>
        <w:t xml:space="preserve"> of the PEB adjudication for the DM condition.</w:t>
      </w:r>
    </w:p>
    <w:p w:rsidR="00D97FDD" w:rsidRPr="00BE54E6" w:rsidRDefault="00D97FDD" w:rsidP="00BE54E6">
      <w:pPr>
        <w:tabs>
          <w:tab w:val="left" w:pos="288"/>
          <w:tab w:val="left" w:pos="4752"/>
        </w:tabs>
        <w:spacing w:line="240" w:lineRule="exact"/>
        <w:jc w:val="both"/>
        <w:rPr>
          <w:color w:val="000080"/>
        </w:rPr>
      </w:pPr>
    </w:p>
    <w:p w:rsidR="004A029E" w:rsidRPr="00BE54E6" w:rsidRDefault="002D2801" w:rsidP="00BE54E6">
      <w:pPr>
        <w:tabs>
          <w:tab w:val="left" w:pos="288"/>
          <w:tab w:val="left" w:pos="4752"/>
        </w:tabs>
        <w:spacing w:line="240" w:lineRule="exact"/>
        <w:jc w:val="both"/>
        <w:rPr>
          <w:color w:val="000080"/>
        </w:rPr>
      </w:pPr>
      <w:proofErr w:type="gramStart"/>
      <w:r w:rsidRPr="00BE54E6">
        <w:rPr>
          <w:color w:val="000080"/>
          <w:u w:val="single"/>
        </w:rPr>
        <w:t xml:space="preserve">Cervical </w:t>
      </w:r>
      <w:proofErr w:type="spellStart"/>
      <w:r w:rsidRPr="00BE54E6">
        <w:rPr>
          <w:color w:val="000080"/>
          <w:u w:val="single"/>
        </w:rPr>
        <w:t>Radiculopathy</w:t>
      </w:r>
      <w:proofErr w:type="spellEnd"/>
      <w:r w:rsidRPr="00BE54E6">
        <w:rPr>
          <w:color w:val="000080"/>
        </w:rPr>
        <w:t>.</w:t>
      </w:r>
      <w:proofErr w:type="gramEnd"/>
      <w:r w:rsidRPr="00BE54E6">
        <w:rPr>
          <w:color w:val="000080"/>
        </w:rPr>
        <w:t xml:space="preserve">  </w:t>
      </w:r>
      <w:r w:rsidR="004A375A" w:rsidRPr="00BE54E6">
        <w:rPr>
          <w:color w:val="000080"/>
        </w:rPr>
        <w:t>After his OIF evacuation, t</w:t>
      </w:r>
      <w:r w:rsidRPr="00BE54E6">
        <w:rPr>
          <w:color w:val="000080"/>
        </w:rPr>
        <w:t>h</w:t>
      </w:r>
      <w:r w:rsidR="004A375A" w:rsidRPr="00BE54E6">
        <w:rPr>
          <w:color w:val="000080"/>
        </w:rPr>
        <w:t xml:space="preserve">e CI was diagnosed by </w:t>
      </w:r>
      <w:r w:rsidR="00F6038F" w:rsidRPr="00F6038F">
        <w:rPr>
          <w:color w:val="000080"/>
        </w:rPr>
        <w:t>Magnetic Resonance Imaging</w:t>
      </w:r>
      <w:r w:rsidR="00F6038F">
        <w:rPr>
          <w:color w:val="000080"/>
        </w:rPr>
        <w:t xml:space="preserve"> (</w:t>
      </w:r>
      <w:r w:rsidR="004A375A" w:rsidRPr="00BE54E6">
        <w:rPr>
          <w:color w:val="000080"/>
        </w:rPr>
        <w:t>MRI</w:t>
      </w:r>
      <w:r w:rsidR="00F6038F">
        <w:rPr>
          <w:color w:val="000080"/>
        </w:rPr>
        <w:t>)</w:t>
      </w:r>
      <w:r w:rsidR="004A375A" w:rsidRPr="00BE54E6">
        <w:rPr>
          <w:color w:val="000080"/>
        </w:rPr>
        <w:t xml:space="preserve"> and </w:t>
      </w:r>
      <w:proofErr w:type="spellStart"/>
      <w:r w:rsidR="00F6038F" w:rsidRPr="00F6038F">
        <w:rPr>
          <w:color w:val="000080"/>
        </w:rPr>
        <w:t>Electromyogram</w:t>
      </w:r>
      <w:proofErr w:type="spellEnd"/>
      <w:r w:rsidR="00F6038F">
        <w:rPr>
          <w:color w:val="000080"/>
        </w:rPr>
        <w:t xml:space="preserve"> (</w:t>
      </w:r>
      <w:r w:rsidR="004A375A" w:rsidRPr="00BE54E6">
        <w:rPr>
          <w:color w:val="000080"/>
        </w:rPr>
        <w:t>EMG</w:t>
      </w:r>
      <w:r w:rsidR="00F6038F">
        <w:rPr>
          <w:color w:val="000080"/>
        </w:rPr>
        <w:t>)</w:t>
      </w:r>
      <w:r w:rsidR="004A375A" w:rsidRPr="00BE54E6">
        <w:rPr>
          <w:color w:val="000080"/>
        </w:rPr>
        <w:t xml:space="preserve"> (nerve conduction study) with a bulging disc at C6/7 and right C6/7 </w:t>
      </w:r>
      <w:proofErr w:type="spellStart"/>
      <w:r w:rsidR="004A375A" w:rsidRPr="00BE54E6">
        <w:rPr>
          <w:color w:val="000080"/>
        </w:rPr>
        <w:t>radiculopathy</w:t>
      </w:r>
      <w:proofErr w:type="spellEnd"/>
      <w:r w:rsidR="004F13BE" w:rsidRPr="00BE54E6">
        <w:rPr>
          <w:color w:val="000080"/>
        </w:rPr>
        <w:t>.  By</w:t>
      </w:r>
      <w:r w:rsidR="004A375A" w:rsidRPr="00BE54E6">
        <w:rPr>
          <w:color w:val="000080"/>
        </w:rPr>
        <w:t xml:space="preserve"> the time of separation, however, </w:t>
      </w:r>
      <w:r w:rsidR="00E919FF" w:rsidRPr="00BE54E6">
        <w:rPr>
          <w:color w:val="000080"/>
        </w:rPr>
        <w:t xml:space="preserve">he had improved to the point of intermittent </w:t>
      </w:r>
      <w:proofErr w:type="spellStart"/>
      <w:r w:rsidR="00E919FF" w:rsidRPr="00BE54E6">
        <w:rPr>
          <w:color w:val="000080"/>
        </w:rPr>
        <w:t>radicular</w:t>
      </w:r>
      <w:proofErr w:type="spellEnd"/>
      <w:r w:rsidR="00E919FF" w:rsidRPr="00BE54E6">
        <w:rPr>
          <w:color w:val="000080"/>
        </w:rPr>
        <w:t xml:space="preserve"> pain only.  The </w:t>
      </w:r>
      <w:r w:rsidR="00F6038F">
        <w:rPr>
          <w:color w:val="000080"/>
        </w:rPr>
        <w:t>narrative summary (</w:t>
      </w:r>
      <w:r w:rsidR="00E919FF" w:rsidRPr="00BE54E6">
        <w:rPr>
          <w:color w:val="000080"/>
        </w:rPr>
        <w:t>NARSUM</w:t>
      </w:r>
      <w:r w:rsidR="00F6038F">
        <w:rPr>
          <w:color w:val="000080"/>
        </w:rPr>
        <w:t>)</w:t>
      </w:r>
      <w:r w:rsidR="00E919FF" w:rsidRPr="00BE54E6">
        <w:rPr>
          <w:color w:val="000080"/>
        </w:rPr>
        <w:t xml:space="preserve"> stated, ‘</w:t>
      </w:r>
      <w:r w:rsidR="007D56EE">
        <w:rPr>
          <w:color w:val="000080"/>
        </w:rPr>
        <w:t>...</w:t>
      </w:r>
      <w:r w:rsidR="00E919FF" w:rsidRPr="00BE54E6">
        <w:rPr>
          <w:color w:val="000080"/>
        </w:rPr>
        <w:t xml:space="preserve">due to his excellent response to therapy and resolution of his cervical </w:t>
      </w:r>
      <w:proofErr w:type="spellStart"/>
      <w:r w:rsidR="00E919FF" w:rsidRPr="00BE54E6">
        <w:rPr>
          <w:color w:val="000080"/>
        </w:rPr>
        <w:t>radiculopathy</w:t>
      </w:r>
      <w:proofErr w:type="spellEnd"/>
      <w:r w:rsidR="00E919FF" w:rsidRPr="00BE54E6">
        <w:rPr>
          <w:color w:val="000080"/>
        </w:rPr>
        <w:t xml:space="preserve"> symptoms, he was preparing to be redeployed into Kuwait</w:t>
      </w:r>
      <w:r w:rsidR="007D56EE">
        <w:rPr>
          <w:color w:val="000080"/>
        </w:rPr>
        <w:t>...</w:t>
      </w:r>
      <w:proofErr w:type="gramStart"/>
      <w:r w:rsidR="00E919FF" w:rsidRPr="00BE54E6">
        <w:rPr>
          <w:color w:val="000080"/>
        </w:rPr>
        <w:t>’.</w:t>
      </w:r>
      <w:proofErr w:type="gramEnd"/>
      <w:r w:rsidR="00E919FF" w:rsidRPr="00BE54E6">
        <w:rPr>
          <w:color w:val="000080"/>
        </w:rPr>
        <w:t xml:space="preserve">  </w:t>
      </w:r>
      <w:r w:rsidR="00121FE4" w:rsidRPr="00BE54E6">
        <w:rPr>
          <w:color w:val="000080"/>
        </w:rPr>
        <w:t>The</w:t>
      </w:r>
      <w:r w:rsidR="00F6038F">
        <w:rPr>
          <w:color w:val="000080"/>
        </w:rPr>
        <w:t xml:space="preserve"> </w:t>
      </w:r>
      <w:r w:rsidR="00A86DE6">
        <w:rPr>
          <w:color w:val="000080"/>
        </w:rPr>
        <w:t>B</w:t>
      </w:r>
      <w:r w:rsidR="004F13BE" w:rsidRPr="00BE54E6">
        <w:rPr>
          <w:color w:val="000080"/>
        </w:rPr>
        <w:t xml:space="preserve">oard’s </w:t>
      </w:r>
      <w:r w:rsidR="00121FE4" w:rsidRPr="00BE54E6">
        <w:rPr>
          <w:color w:val="000080"/>
        </w:rPr>
        <w:t xml:space="preserve">assessment of the PEB’s fitness adjudication </w:t>
      </w:r>
      <w:r w:rsidR="004F13BE" w:rsidRPr="00BE54E6">
        <w:rPr>
          <w:color w:val="000080"/>
        </w:rPr>
        <w:t>for</w:t>
      </w:r>
      <w:r w:rsidR="00121FE4" w:rsidRPr="00BE54E6">
        <w:rPr>
          <w:color w:val="000080"/>
        </w:rPr>
        <w:t xml:space="preserve"> the condition, however, is not straightforward.  </w:t>
      </w:r>
      <w:r w:rsidR="004F13BE" w:rsidRPr="00BE54E6">
        <w:rPr>
          <w:color w:val="000080"/>
        </w:rPr>
        <w:t>T</w:t>
      </w:r>
      <w:r w:rsidR="00E919FF" w:rsidRPr="00BE54E6">
        <w:rPr>
          <w:color w:val="000080"/>
        </w:rPr>
        <w:t>he NARSUM stated, ‘</w:t>
      </w:r>
      <w:r w:rsidR="007D56EE">
        <w:rPr>
          <w:color w:val="000080"/>
        </w:rPr>
        <w:t>...</w:t>
      </w:r>
      <w:r w:rsidR="00E919FF" w:rsidRPr="00BE54E6">
        <w:rPr>
          <w:color w:val="000080"/>
        </w:rPr>
        <w:t xml:space="preserve">cervical pathology which </w:t>
      </w:r>
      <w:r w:rsidR="00121FE4" w:rsidRPr="00BE54E6">
        <w:rPr>
          <w:color w:val="000080"/>
        </w:rPr>
        <w:t xml:space="preserve">although asymptomatic </w:t>
      </w:r>
      <w:r w:rsidR="00E919FF" w:rsidRPr="00BE54E6">
        <w:rPr>
          <w:color w:val="000080"/>
        </w:rPr>
        <w:t>at this time is at risk to be exacerbated when he has to start wearing Kevlar</w:t>
      </w:r>
      <w:r w:rsidR="00C656DA">
        <w:rPr>
          <w:color w:val="000080"/>
        </w:rPr>
        <w:t xml:space="preserve">, </w:t>
      </w:r>
      <w:r w:rsidR="00E919FF" w:rsidRPr="00BE54E6">
        <w:rPr>
          <w:color w:val="000080"/>
        </w:rPr>
        <w:t>body armor and battlefield gear</w:t>
      </w:r>
      <w:r w:rsidR="007D56EE">
        <w:rPr>
          <w:color w:val="000080"/>
        </w:rPr>
        <w:t>...</w:t>
      </w:r>
      <w:r w:rsidR="00121FE4" w:rsidRPr="00BE54E6">
        <w:rPr>
          <w:color w:val="000080"/>
        </w:rPr>
        <w:t xml:space="preserve">his symptoms are currently not interfering with the performance of his duties’.  The Commander’s statement includes the entry, ‘[CI’s name] is physically incapable of performing basic soldiering tasks and </w:t>
      </w:r>
      <w:r w:rsidR="00A86DE6" w:rsidRPr="00A86DE6">
        <w:rPr>
          <w:color w:val="000080"/>
        </w:rPr>
        <w:t xml:space="preserve">Military </w:t>
      </w:r>
      <w:r w:rsidR="00A86DE6">
        <w:rPr>
          <w:color w:val="000080"/>
        </w:rPr>
        <w:t>Occupational Specialty (</w:t>
      </w:r>
      <w:r w:rsidR="00121FE4" w:rsidRPr="00BE54E6">
        <w:rPr>
          <w:color w:val="000080"/>
        </w:rPr>
        <w:t>MOS</w:t>
      </w:r>
      <w:r w:rsidR="00A86DE6">
        <w:rPr>
          <w:color w:val="000080"/>
        </w:rPr>
        <w:t>)</w:t>
      </w:r>
      <w:r w:rsidR="00121FE4" w:rsidRPr="00BE54E6">
        <w:rPr>
          <w:color w:val="000080"/>
        </w:rPr>
        <w:t xml:space="preserve">-related duties due to his neck pain.’  </w:t>
      </w:r>
      <w:r w:rsidR="00405B46" w:rsidRPr="00BE54E6">
        <w:rPr>
          <w:color w:val="000080"/>
        </w:rPr>
        <w:t>The Commander’s</w:t>
      </w:r>
      <w:r w:rsidR="00121FE4" w:rsidRPr="00BE54E6">
        <w:rPr>
          <w:color w:val="000080"/>
        </w:rPr>
        <w:t xml:space="preserve"> </w:t>
      </w:r>
      <w:r w:rsidR="00405B46" w:rsidRPr="00BE54E6">
        <w:rPr>
          <w:color w:val="000080"/>
        </w:rPr>
        <w:t>assessment, however,</w:t>
      </w:r>
      <w:r w:rsidR="00121FE4" w:rsidRPr="00BE54E6">
        <w:rPr>
          <w:color w:val="000080"/>
        </w:rPr>
        <w:t xml:space="preserve"> was prefaced</w:t>
      </w:r>
      <w:r w:rsidR="00405B46" w:rsidRPr="00BE54E6">
        <w:rPr>
          <w:color w:val="000080"/>
        </w:rPr>
        <w:t xml:space="preserve"> with the statement, ‘I haven’t observed [CI’s name] prior to deployment and subsequent attachment to Mobilization Holding Battalion.’  </w:t>
      </w:r>
      <w:r w:rsidR="008D2DAB" w:rsidRPr="00BE54E6">
        <w:rPr>
          <w:color w:val="000080"/>
        </w:rPr>
        <w:t>His</w:t>
      </w:r>
      <w:r w:rsidR="00405B46" w:rsidRPr="00BE54E6">
        <w:rPr>
          <w:color w:val="000080"/>
        </w:rPr>
        <w:t xml:space="preserve"> statement did not elaborate any limitations other than dietary restrictions and deployment constraints resulting from the DM.  The physical profile in effect at the time did not incriminate the cervical </w:t>
      </w:r>
      <w:proofErr w:type="spellStart"/>
      <w:r w:rsidR="00405B46" w:rsidRPr="00BE54E6">
        <w:rPr>
          <w:color w:val="000080"/>
        </w:rPr>
        <w:t>radiculopathy</w:t>
      </w:r>
      <w:proofErr w:type="spellEnd"/>
      <w:r w:rsidR="00405B46" w:rsidRPr="00BE54E6">
        <w:rPr>
          <w:color w:val="000080"/>
        </w:rPr>
        <w:t xml:space="preserve"> as unfitting.  The profile was </w:t>
      </w:r>
      <w:r w:rsidR="004A36E4" w:rsidRPr="00BE54E6">
        <w:rPr>
          <w:color w:val="000080"/>
        </w:rPr>
        <w:t xml:space="preserve">P3 </w:t>
      </w:r>
      <w:r w:rsidR="00405B46" w:rsidRPr="00BE54E6">
        <w:rPr>
          <w:color w:val="000080"/>
        </w:rPr>
        <w:t xml:space="preserve">U2 and the </w:t>
      </w:r>
      <w:r w:rsidR="004A36E4" w:rsidRPr="00BE54E6">
        <w:rPr>
          <w:color w:val="000080"/>
        </w:rPr>
        <w:t xml:space="preserve">only restrictions were alternate event for running and no </w:t>
      </w:r>
      <w:r w:rsidR="007D56EE">
        <w:rPr>
          <w:color w:val="000080"/>
        </w:rPr>
        <w:t xml:space="preserve">geographic </w:t>
      </w:r>
      <w:r w:rsidR="004A36E4" w:rsidRPr="00BE54E6">
        <w:rPr>
          <w:color w:val="000080"/>
        </w:rPr>
        <w:t xml:space="preserve">assignment without </w:t>
      </w:r>
      <w:r w:rsidR="007D56EE">
        <w:rPr>
          <w:color w:val="000080"/>
        </w:rPr>
        <w:t>definitive</w:t>
      </w:r>
      <w:r w:rsidR="004A36E4" w:rsidRPr="00BE54E6">
        <w:rPr>
          <w:color w:val="000080"/>
        </w:rPr>
        <w:t xml:space="preserve"> medical care.  The CI himself and the command’s personnel officer, in fact, stated that he was not unfit even for the DM.  </w:t>
      </w:r>
      <w:r w:rsidR="005473AF" w:rsidRPr="00BE54E6">
        <w:rPr>
          <w:color w:val="000080"/>
        </w:rPr>
        <w:t>T</w:t>
      </w:r>
      <w:r w:rsidR="004A36E4" w:rsidRPr="00BE54E6">
        <w:rPr>
          <w:color w:val="000080"/>
        </w:rPr>
        <w:t>he NARSUM ma</w:t>
      </w:r>
      <w:r w:rsidR="005473AF" w:rsidRPr="00BE54E6">
        <w:rPr>
          <w:color w:val="000080"/>
        </w:rPr>
        <w:t>kes it</w:t>
      </w:r>
      <w:r w:rsidR="004A36E4" w:rsidRPr="00BE54E6">
        <w:rPr>
          <w:color w:val="000080"/>
        </w:rPr>
        <w:t xml:space="preserve"> clear</w:t>
      </w:r>
      <w:r w:rsidR="005473AF" w:rsidRPr="00BE54E6">
        <w:rPr>
          <w:color w:val="000080"/>
        </w:rPr>
        <w:t>, on the other hand,</w:t>
      </w:r>
      <w:r w:rsidR="004A36E4" w:rsidRPr="00BE54E6">
        <w:rPr>
          <w:color w:val="000080"/>
        </w:rPr>
        <w:t xml:space="preserve"> that the MEB’s </w:t>
      </w:r>
      <w:r w:rsidR="00B13D37" w:rsidRPr="00BE54E6">
        <w:rPr>
          <w:color w:val="000080"/>
        </w:rPr>
        <w:t>opinion</w:t>
      </w:r>
      <w:r w:rsidR="004A36E4" w:rsidRPr="00BE54E6">
        <w:rPr>
          <w:color w:val="000080"/>
        </w:rPr>
        <w:t xml:space="preserve"> regarding the overall </w:t>
      </w:r>
      <w:r w:rsidR="005473AF" w:rsidRPr="00BE54E6">
        <w:rPr>
          <w:color w:val="000080"/>
        </w:rPr>
        <w:t xml:space="preserve">retention </w:t>
      </w:r>
      <w:r w:rsidR="00B13D37" w:rsidRPr="00BE54E6">
        <w:rPr>
          <w:color w:val="000080"/>
        </w:rPr>
        <w:t xml:space="preserve">issue </w:t>
      </w:r>
      <w:r w:rsidR="005473AF" w:rsidRPr="00BE54E6">
        <w:rPr>
          <w:color w:val="000080"/>
        </w:rPr>
        <w:t xml:space="preserve">was influenced by the real risk that </w:t>
      </w:r>
      <w:r w:rsidR="00B13D37" w:rsidRPr="00BE54E6">
        <w:rPr>
          <w:color w:val="000080"/>
        </w:rPr>
        <w:t>the condition would render him</w:t>
      </w:r>
      <w:r w:rsidR="005473AF" w:rsidRPr="00BE54E6">
        <w:rPr>
          <w:color w:val="000080"/>
        </w:rPr>
        <w:t xml:space="preserve"> unable to tolerate Kevlar and battle gear</w:t>
      </w:r>
      <w:r w:rsidR="00B13D37" w:rsidRPr="00BE54E6">
        <w:rPr>
          <w:color w:val="000080"/>
        </w:rPr>
        <w:t xml:space="preserve">.  The Board deliberated if this factor was critical enough to support a recommendation for adding </w:t>
      </w:r>
      <w:r w:rsidR="008D2DAB" w:rsidRPr="00BE54E6">
        <w:rPr>
          <w:color w:val="000080"/>
        </w:rPr>
        <w:t xml:space="preserve">and rating </w:t>
      </w:r>
      <w:r w:rsidR="00B13D37" w:rsidRPr="00BE54E6">
        <w:rPr>
          <w:color w:val="000080"/>
        </w:rPr>
        <w:t xml:space="preserve">cervical </w:t>
      </w:r>
      <w:proofErr w:type="spellStart"/>
      <w:r w:rsidR="00B13D37" w:rsidRPr="00BE54E6">
        <w:rPr>
          <w:color w:val="000080"/>
        </w:rPr>
        <w:lastRenderedPageBreak/>
        <w:t>radiculopathy</w:t>
      </w:r>
      <w:proofErr w:type="spellEnd"/>
      <w:r w:rsidR="00B13D37" w:rsidRPr="00BE54E6">
        <w:rPr>
          <w:color w:val="000080"/>
        </w:rPr>
        <w:t xml:space="preserve"> as an additional unfitting condition.  It concluded that since the condition was clearly not unfitting in its own right</w:t>
      </w:r>
      <w:r w:rsidR="00EB45A7" w:rsidRPr="00BE54E6">
        <w:rPr>
          <w:color w:val="000080"/>
        </w:rPr>
        <w:t xml:space="preserve"> at the time, especially given that the CI had already been cleared for deployment with his neck condition, the risk of future deterioration </w:t>
      </w:r>
      <w:r w:rsidR="004A029E" w:rsidRPr="00BE54E6">
        <w:rPr>
          <w:color w:val="000080"/>
        </w:rPr>
        <w:t>could not be invoked as an issue rendering the CI unfit.  All evidence considered</w:t>
      </w:r>
      <w:proofErr w:type="gramStart"/>
      <w:r w:rsidR="004A029E" w:rsidRPr="00BE54E6">
        <w:rPr>
          <w:color w:val="000080"/>
        </w:rPr>
        <w:t>,</w:t>
      </w:r>
      <w:proofErr w:type="gramEnd"/>
      <w:r w:rsidR="004A029E" w:rsidRPr="00BE54E6">
        <w:rPr>
          <w:color w:val="000080"/>
        </w:rPr>
        <w:t xml:space="preserve"> there is not reasonable doubt in the CI’s favor supporting </w:t>
      </w:r>
      <w:proofErr w:type="spellStart"/>
      <w:r w:rsidR="004A029E" w:rsidRPr="00BE54E6">
        <w:rPr>
          <w:color w:val="000080"/>
        </w:rPr>
        <w:t>recharacterization</w:t>
      </w:r>
      <w:proofErr w:type="spellEnd"/>
      <w:r w:rsidR="004A029E" w:rsidRPr="00BE54E6">
        <w:rPr>
          <w:color w:val="000080"/>
        </w:rPr>
        <w:t xml:space="preserve"> of the PEB fitness adjudication for the cervical </w:t>
      </w:r>
      <w:proofErr w:type="spellStart"/>
      <w:r w:rsidR="004A029E" w:rsidRPr="00BE54E6">
        <w:rPr>
          <w:color w:val="000080"/>
        </w:rPr>
        <w:t>radiculopathy</w:t>
      </w:r>
      <w:proofErr w:type="spellEnd"/>
      <w:r w:rsidR="004A029E" w:rsidRPr="00BE54E6">
        <w:rPr>
          <w:color w:val="000080"/>
        </w:rPr>
        <w:t xml:space="preserve"> condition.</w:t>
      </w:r>
    </w:p>
    <w:p w:rsidR="00B13D37" w:rsidRPr="00BE54E6" w:rsidRDefault="00B13D37" w:rsidP="00BE54E6">
      <w:pPr>
        <w:tabs>
          <w:tab w:val="left" w:pos="288"/>
          <w:tab w:val="left" w:pos="4752"/>
        </w:tabs>
        <w:spacing w:line="240" w:lineRule="exact"/>
        <w:jc w:val="both"/>
        <w:rPr>
          <w:color w:val="000080"/>
        </w:rPr>
      </w:pPr>
    </w:p>
    <w:p w:rsidR="00F07052" w:rsidRPr="00BE54E6" w:rsidRDefault="002D2801" w:rsidP="00BE54E6">
      <w:pPr>
        <w:tabs>
          <w:tab w:val="left" w:pos="288"/>
          <w:tab w:val="left" w:pos="4752"/>
        </w:tabs>
        <w:spacing w:line="240" w:lineRule="exact"/>
        <w:jc w:val="both"/>
        <w:rPr>
          <w:color w:val="000080"/>
        </w:rPr>
      </w:pPr>
      <w:proofErr w:type="gramStart"/>
      <w:r w:rsidRPr="00BE54E6">
        <w:rPr>
          <w:color w:val="000080"/>
          <w:u w:val="single"/>
        </w:rPr>
        <w:t>Diabetic Nephropathy</w:t>
      </w:r>
      <w:r w:rsidRPr="00BE54E6">
        <w:rPr>
          <w:color w:val="000080"/>
        </w:rPr>
        <w:t>.</w:t>
      </w:r>
      <w:proofErr w:type="gramEnd"/>
      <w:r w:rsidRPr="00BE54E6">
        <w:rPr>
          <w:color w:val="000080"/>
        </w:rPr>
        <w:t xml:space="preserve">  The</w:t>
      </w:r>
      <w:r w:rsidR="004A029E" w:rsidRPr="00BE54E6">
        <w:rPr>
          <w:color w:val="000080"/>
        </w:rPr>
        <w:t xml:space="preserve"> complications of unfitting </w:t>
      </w:r>
      <w:r w:rsidR="007C3B45" w:rsidRPr="00BE54E6">
        <w:rPr>
          <w:color w:val="000080"/>
        </w:rPr>
        <w:t xml:space="preserve">DM should be considered for rating as additionally unfitting conditions if their </w:t>
      </w:r>
      <w:r w:rsidR="007D56EE">
        <w:rPr>
          <w:color w:val="000080"/>
        </w:rPr>
        <w:t>separate</w:t>
      </w:r>
      <w:r w:rsidR="007C3B45" w:rsidRPr="00BE54E6">
        <w:rPr>
          <w:color w:val="000080"/>
        </w:rPr>
        <w:t xml:space="preserve"> impact on fitness is significant.   The NARSUM addressed the renal involvement of DM, which was not severe.  There was </w:t>
      </w:r>
      <w:proofErr w:type="spellStart"/>
      <w:r w:rsidR="007C3B45" w:rsidRPr="00BE54E6">
        <w:rPr>
          <w:color w:val="000080"/>
        </w:rPr>
        <w:t>proteinuria</w:t>
      </w:r>
      <w:proofErr w:type="spellEnd"/>
      <w:r w:rsidR="007C3B45" w:rsidRPr="00BE54E6">
        <w:rPr>
          <w:color w:val="000080"/>
        </w:rPr>
        <w:t xml:space="preserve">, but all other laboratory measures of kidney function were normal.  It was suspected that </w:t>
      </w:r>
      <w:r w:rsidR="003269F7" w:rsidRPr="00BE54E6">
        <w:rPr>
          <w:color w:val="000080"/>
        </w:rPr>
        <w:t xml:space="preserve">the </w:t>
      </w:r>
      <w:proofErr w:type="spellStart"/>
      <w:r w:rsidR="003269F7" w:rsidRPr="00BE54E6">
        <w:rPr>
          <w:color w:val="000080"/>
        </w:rPr>
        <w:t>renal</w:t>
      </w:r>
      <w:proofErr w:type="spellEnd"/>
      <w:r w:rsidR="003269F7" w:rsidRPr="00BE54E6">
        <w:rPr>
          <w:color w:val="000080"/>
        </w:rPr>
        <w:t xml:space="preserve"> issue</w:t>
      </w:r>
      <w:r w:rsidR="007C3B45" w:rsidRPr="00BE54E6">
        <w:rPr>
          <w:color w:val="000080"/>
        </w:rPr>
        <w:t xml:space="preserve"> was more likely a result of prior medications</w:t>
      </w:r>
      <w:r w:rsidR="003269F7" w:rsidRPr="00BE54E6">
        <w:rPr>
          <w:color w:val="000080"/>
        </w:rPr>
        <w:t xml:space="preserve"> than of DM.  Whatever the cause, th</w:t>
      </w:r>
      <w:r w:rsidR="008D2DAB" w:rsidRPr="00BE54E6">
        <w:rPr>
          <w:color w:val="000080"/>
        </w:rPr>
        <w:t>e</w:t>
      </w:r>
      <w:r w:rsidR="003269F7" w:rsidRPr="00BE54E6">
        <w:rPr>
          <w:color w:val="000080"/>
        </w:rPr>
        <w:t xml:space="preserve"> condition was associated with minimal renal impairment and no definable impact on fitness.  The clinical picture was unchanged at the time of the VA evaluation and the conclusions </w:t>
      </w:r>
      <w:r w:rsidR="00EC5A65" w:rsidRPr="00BE54E6">
        <w:rPr>
          <w:color w:val="000080"/>
        </w:rPr>
        <w:t>drawn in the VA rating decision</w:t>
      </w:r>
      <w:r w:rsidR="003269F7" w:rsidRPr="00BE54E6">
        <w:rPr>
          <w:color w:val="000080"/>
        </w:rPr>
        <w:t xml:space="preserve"> are difficult to support from a medical standpoint.  The Board has no basis for a recommend</w:t>
      </w:r>
      <w:r w:rsidR="00E03DF8" w:rsidRPr="00BE54E6">
        <w:rPr>
          <w:color w:val="000080"/>
        </w:rPr>
        <w:t>ation that diabetic nephropathy made a ratable contribution to the unfitting DM.</w:t>
      </w:r>
    </w:p>
    <w:p w:rsidR="003269F7" w:rsidRPr="00BE54E6" w:rsidRDefault="003269F7" w:rsidP="00BE54E6">
      <w:pPr>
        <w:tabs>
          <w:tab w:val="left" w:pos="288"/>
          <w:tab w:val="left" w:pos="4752"/>
        </w:tabs>
        <w:spacing w:line="240" w:lineRule="exact"/>
        <w:jc w:val="both"/>
        <w:rPr>
          <w:color w:val="000080"/>
        </w:rPr>
      </w:pPr>
    </w:p>
    <w:p w:rsidR="000D645F" w:rsidRPr="00BE54E6" w:rsidRDefault="002C6E5B" w:rsidP="00BE54E6">
      <w:pPr>
        <w:tabs>
          <w:tab w:val="left" w:pos="288"/>
          <w:tab w:val="left" w:pos="4752"/>
        </w:tabs>
        <w:spacing w:line="240" w:lineRule="exact"/>
        <w:jc w:val="both"/>
        <w:rPr>
          <w:color w:val="000080"/>
        </w:rPr>
      </w:pPr>
      <w:proofErr w:type="gramStart"/>
      <w:r w:rsidRPr="00BE54E6">
        <w:rPr>
          <w:color w:val="000080"/>
          <w:u w:val="single"/>
        </w:rPr>
        <w:t>Other Conditions</w:t>
      </w:r>
      <w:r w:rsidRPr="00BE54E6">
        <w:rPr>
          <w:color w:val="000080"/>
        </w:rPr>
        <w:t>.</w:t>
      </w:r>
      <w:proofErr w:type="gramEnd"/>
      <w:r w:rsidRPr="00BE54E6">
        <w:rPr>
          <w:color w:val="000080"/>
        </w:rPr>
        <w:t xml:space="preserve">  </w:t>
      </w:r>
      <w:r w:rsidR="00E03DF8" w:rsidRPr="00BE54E6">
        <w:rPr>
          <w:color w:val="000080"/>
        </w:rPr>
        <w:t>The NARSUM documented hypertension</w:t>
      </w:r>
      <w:r w:rsidR="008D2DAB" w:rsidRPr="00BE54E6">
        <w:rPr>
          <w:color w:val="000080"/>
        </w:rPr>
        <w:t xml:space="preserve"> which was stable </w:t>
      </w:r>
      <w:r w:rsidR="00E03DF8" w:rsidRPr="00BE54E6">
        <w:rPr>
          <w:color w:val="000080"/>
        </w:rPr>
        <w:t xml:space="preserve">on medication.  There were no complications or unfitting features at the time of separation.  A significant anemia was documented.  It had been discovered at the time of hospital admission and was under evaluation at the time of separation.  No transfusions had been required and no associated symptoms were documented.  The condition was not noted by the VA examiner and no follow-up </w:t>
      </w:r>
      <w:proofErr w:type="spellStart"/>
      <w:r w:rsidR="00EC5A65" w:rsidRPr="00BE54E6">
        <w:rPr>
          <w:color w:val="000080"/>
        </w:rPr>
        <w:t>hematocrit</w:t>
      </w:r>
      <w:proofErr w:type="spellEnd"/>
      <w:r w:rsidR="00EC5A65" w:rsidRPr="00BE54E6">
        <w:rPr>
          <w:color w:val="000080"/>
        </w:rPr>
        <w:t xml:space="preserve"> is </w:t>
      </w:r>
      <w:r w:rsidR="008D2DAB" w:rsidRPr="00BE54E6">
        <w:rPr>
          <w:color w:val="000080"/>
        </w:rPr>
        <w:t>in evidence</w:t>
      </w:r>
      <w:r w:rsidR="00EC5A65" w:rsidRPr="00BE54E6">
        <w:rPr>
          <w:color w:val="000080"/>
        </w:rPr>
        <w:t xml:space="preserve">.  No link to fitness is apparent.  The NARSUM discussed some transient visual impairment from the DM.  An ophthalmologist </w:t>
      </w:r>
      <w:r w:rsidR="007D56EE">
        <w:rPr>
          <w:color w:val="000080"/>
        </w:rPr>
        <w:t>opin</w:t>
      </w:r>
      <w:r w:rsidR="00EC5A65" w:rsidRPr="00BE54E6">
        <w:rPr>
          <w:color w:val="000080"/>
        </w:rPr>
        <w:t xml:space="preserve">ed that this was a result of osmotic shifts from the DKA </w:t>
      </w:r>
      <w:r w:rsidR="007D56EE">
        <w:rPr>
          <w:color w:val="000080"/>
        </w:rPr>
        <w:t xml:space="preserve">affecting the lens </w:t>
      </w:r>
      <w:r w:rsidR="00EC5A65" w:rsidRPr="00BE54E6">
        <w:rPr>
          <w:color w:val="000080"/>
        </w:rPr>
        <w:t xml:space="preserve">and not diabetic retinopathy.  Vision had returned to 20/20 at the time of separation.  A resolved right shoulder nerve impingement was noted in the NARSUM, but was not clinically active at the time of separation.  The CI or examiner did not note any additional conditions </w:t>
      </w:r>
      <w:r w:rsidR="000D645F" w:rsidRPr="00BE54E6">
        <w:rPr>
          <w:color w:val="000080"/>
        </w:rPr>
        <w:t>in</w:t>
      </w:r>
      <w:r w:rsidR="00EC5A65" w:rsidRPr="00BE54E6">
        <w:rPr>
          <w:color w:val="000080"/>
        </w:rPr>
        <w:t xml:space="preserve"> the MEB ph</w:t>
      </w:r>
      <w:r w:rsidR="000D645F" w:rsidRPr="00BE54E6">
        <w:rPr>
          <w:color w:val="000080"/>
        </w:rPr>
        <w:t xml:space="preserve">ysical.  The VA rating examination identified a left shoulder condition, a finger condition and chest pain.  None of these were acute and none received compensable ratings.  They were not present in the </w:t>
      </w:r>
      <w:r w:rsidR="00A86DE6">
        <w:rPr>
          <w:color w:val="000080"/>
        </w:rPr>
        <w:t>Disability Evaluation System (</w:t>
      </w:r>
      <w:r w:rsidR="000D645F" w:rsidRPr="00BE54E6">
        <w:rPr>
          <w:color w:val="000080"/>
        </w:rPr>
        <w:t>DES</w:t>
      </w:r>
      <w:r w:rsidR="00A86DE6">
        <w:rPr>
          <w:color w:val="000080"/>
        </w:rPr>
        <w:t>)</w:t>
      </w:r>
      <w:r w:rsidR="000D645F" w:rsidRPr="00BE54E6">
        <w:rPr>
          <w:color w:val="000080"/>
        </w:rPr>
        <w:t xml:space="preserve"> packet and not subject to Board consideration as additionally unfitting.  Any contended conditions not covered above remain eligible for </w:t>
      </w:r>
      <w:r w:rsidR="00C656DA">
        <w:rPr>
          <w:color w:val="000080"/>
        </w:rPr>
        <w:t>the Army Board of Correction for Military Records (</w:t>
      </w:r>
      <w:r w:rsidR="000D645F" w:rsidRPr="00BE54E6">
        <w:rPr>
          <w:color w:val="000080"/>
        </w:rPr>
        <w:t>AB</w:t>
      </w:r>
      <w:r w:rsidR="00C656DA">
        <w:rPr>
          <w:color w:val="000080"/>
        </w:rPr>
        <w:t>C</w:t>
      </w:r>
      <w:r w:rsidR="000D645F" w:rsidRPr="00BE54E6">
        <w:rPr>
          <w:color w:val="000080"/>
        </w:rPr>
        <w:t>MR</w:t>
      </w:r>
      <w:r w:rsidR="00C656DA">
        <w:rPr>
          <w:color w:val="000080"/>
        </w:rPr>
        <w:t>)</w:t>
      </w:r>
      <w:r w:rsidR="000D645F" w:rsidRPr="00BE54E6">
        <w:rPr>
          <w:color w:val="000080"/>
        </w:rPr>
        <w:t xml:space="preserve"> consideration.  </w:t>
      </w:r>
    </w:p>
    <w:p w:rsidR="000D645F" w:rsidRPr="00BE54E6" w:rsidRDefault="000D645F" w:rsidP="00BE54E6">
      <w:pPr>
        <w:tabs>
          <w:tab w:val="left" w:pos="288"/>
          <w:tab w:val="left" w:pos="4752"/>
        </w:tabs>
        <w:spacing w:line="240" w:lineRule="exact"/>
        <w:jc w:val="both"/>
        <w:rPr>
          <w:color w:val="000080"/>
        </w:rPr>
      </w:pPr>
    </w:p>
    <w:p w:rsidR="000D645F" w:rsidRPr="00BE54E6" w:rsidRDefault="000D645F" w:rsidP="00BE54E6">
      <w:pPr>
        <w:tabs>
          <w:tab w:val="left" w:pos="288"/>
          <w:tab w:val="left" w:pos="4752"/>
        </w:tabs>
        <w:spacing w:line="240" w:lineRule="exact"/>
        <w:jc w:val="both"/>
        <w:rPr>
          <w:color w:val="000080"/>
        </w:rPr>
      </w:pPr>
      <w:r w:rsidRPr="00BE54E6">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585823" w:rsidRPr="00BE54E6" w:rsidRDefault="00C56FC8" w:rsidP="00BE54E6">
      <w:pPr>
        <w:tabs>
          <w:tab w:val="left" w:pos="288"/>
          <w:tab w:val="left" w:pos="4752"/>
        </w:tabs>
        <w:spacing w:line="240" w:lineRule="exact"/>
        <w:jc w:val="both"/>
        <w:rPr>
          <w:color w:val="000080"/>
        </w:rPr>
      </w:pPr>
      <w:r w:rsidRPr="00BE54E6">
        <w:rPr>
          <w:color w:val="000080"/>
          <w:u w:val="single"/>
        </w:rPr>
        <w:lastRenderedPageBreak/>
        <w:t>BOARD FINDINGS</w:t>
      </w:r>
      <w:r w:rsidRPr="00BE54E6">
        <w:rPr>
          <w:color w:val="000080"/>
        </w:rPr>
        <w:t xml:space="preserve">:  IAW </w:t>
      </w:r>
      <w:proofErr w:type="spellStart"/>
      <w:r w:rsidRPr="00BE54E6">
        <w:rPr>
          <w:color w:val="000080"/>
        </w:rPr>
        <w:t>DoDI</w:t>
      </w:r>
      <w:proofErr w:type="spellEnd"/>
      <w:r w:rsidRPr="00BE54E6">
        <w:rPr>
          <w:color w:val="000080"/>
        </w:rPr>
        <w:t xml:space="preserve"> 6040.44, provisions of </w:t>
      </w:r>
      <w:proofErr w:type="spellStart"/>
      <w:r w:rsidRPr="00BE54E6">
        <w:rPr>
          <w:color w:val="000080"/>
        </w:rPr>
        <w:t>DoD</w:t>
      </w:r>
      <w:proofErr w:type="spellEnd"/>
      <w:r w:rsidRPr="00BE54E6">
        <w:rPr>
          <w:color w:val="000080"/>
        </w:rPr>
        <w:t xml:space="preserve"> or Military Department regulations or guidelines relied upon by the PEB will not be considered by the Board to the extent they were inconsistent with the </w:t>
      </w:r>
      <w:r w:rsidR="00435306">
        <w:rPr>
          <w:color w:val="000080"/>
        </w:rPr>
        <w:t>Veterans Administration Schedule for Rating Disabilities (V</w:t>
      </w:r>
      <w:r w:rsidRPr="00BE54E6">
        <w:rPr>
          <w:color w:val="000080"/>
        </w:rPr>
        <w:t>ASRD</w:t>
      </w:r>
      <w:r w:rsidR="00435306">
        <w:rPr>
          <w:color w:val="000080"/>
        </w:rPr>
        <w:t>)</w:t>
      </w:r>
      <w:r w:rsidRPr="00BE54E6">
        <w:rPr>
          <w:color w:val="000080"/>
        </w:rPr>
        <w:t xml:space="preserve"> in effect at the time of the adjudication. </w:t>
      </w:r>
      <w:r w:rsidR="001D68CF" w:rsidRPr="00BE54E6">
        <w:rPr>
          <w:color w:val="000080"/>
        </w:rPr>
        <w:t xml:space="preserve"> </w:t>
      </w:r>
      <w:r w:rsidR="000D645F" w:rsidRPr="00BE54E6">
        <w:rPr>
          <w:color w:val="000080"/>
        </w:rPr>
        <w:t>The Board did not surmise from the record or PEB ruling in this case that any prerogatives outside the VASRD were exercised.  In the matter of the diabetes mellitus condition and IAW VASRD §</w:t>
      </w:r>
      <w:r w:rsidR="00585823" w:rsidRPr="00BE54E6">
        <w:rPr>
          <w:color w:val="000080"/>
        </w:rPr>
        <w:t>4.120</w:t>
      </w:r>
      <w:r w:rsidR="000D645F" w:rsidRPr="00BE54E6">
        <w:rPr>
          <w:color w:val="000080"/>
        </w:rPr>
        <w:t xml:space="preserve">, the Board unanimously recommends no change in the PEB </w:t>
      </w:r>
      <w:r w:rsidR="008D2DAB" w:rsidRPr="00BE54E6">
        <w:rPr>
          <w:color w:val="000080"/>
        </w:rPr>
        <w:t xml:space="preserve">coding and rating </w:t>
      </w:r>
      <w:r w:rsidR="000D645F" w:rsidRPr="00BE54E6">
        <w:rPr>
          <w:color w:val="000080"/>
        </w:rPr>
        <w:t xml:space="preserve">adjudication.  </w:t>
      </w:r>
      <w:r w:rsidR="00585823" w:rsidRPr="00BE54E6">
        <w:rPr>
          <w:color w:val="000080"/>
        </w:rPr>
        <w:t xml:space="preserve">In the matter of the cervical </w:t>
      </w:r>
      <w:proofErr w:type="spellStart"/>
      <w:r w:rsidR="00585823" w:rsidRPr="00BE54E6">
        <w:rPr>
          <w:color w:val="000080"/>
        </w:rPr>
        <w:t>radiculopathy</w:t>
      </w:r>
      <w:proofErr w:type="spellEnd"/>
      <w:r w:rsidR="00585823" w:rsidRPr="00BE54E6">
        <w:rPr>
          <w:color w:val="000080"/>
        </w:rPr>
        <w:t xml:space="preserve"> condition, the Board unanimously recommends no </w:t>
      </w:r>
      <w:proofErr w:type="spellStart"/>
      <w:r w:rsidR="00585823" w:rsidRPr="007D56EE">
        <w:rPr>
          <w:color w:val="000080"/>
        </w:rPr>
        <w:t>recharacterization</w:t>
      </w:r>
      <w:proofErr w:type="spellEnd"/>
      <w:r w:rsidR="00585823" w:rsidRPr="00BE54E6">
        <w:rPr>
          <w:color w:val="000080"/>
        </w:rPr>
        <w:t xml:space="preserve"> of the PEB adjudication as not unfitting.  In the matter of the hypertension, anemia, visual complications from diabetes, right shoulder nerve impingement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585823" w:rsidRPr="00BE54E6" w:rsidRDefault="00C56FC8" w:rsidP="00BE54E6">
      <w:pPr>
        <w:tabs>
          <w:tab w:val="left" w:pos="288"/>
          <w:tab w:val="left" w:pos="4752"/>
        </w:tabs>
        <w:spacing w:line="240" w:lineRule="exact"/>
        <w:jc w:val="both"/>
        <w:rPr>
          <w:color w:val="000080"/>
        </w:rPr>
      </w:pPr>
      <w:r w:rsidRPr="00BE54E6">
        <w:rPr>
          <w:color w:val="000080"/>
          <w:u w:val="single"/>
        </w:rPr>
        <w:t>RECOMMENDATION</w:t>
      </w:r>
      <w:r w:rsidRPr="00BE54E6">
        <w:rPr>
          <w:color w:val="000080"/>
        </w:rPr>
        <w:t xml:space="preserve">: </w:t>
      </w:r>
      <w:r w:rsidR="00585823" w:rsidRPr="00BE54E6">
        <w:rPr>
          <w:color w:val="000080"/>
        </w:rPr>
        <w:t xml:space="preserve">The Board therefore recommends that there be no </w:t>
      </w:r>
      <w:proofErr w:type="spellStart"/>
      <w:r w:rsidR="00585823" w:rsidRPr="00BE54E6">
        <w:rPr>
          <w:color w:val="000080"/>
        </w:rPr>
        <w:t>recharacterization</w:t>
      </w:r>
      <w:proofErr w:type="spellEnd"/>
      <w:r w:rsidR="00585823" w:rsidRPr="00BE54E6">
        <w:rPr>
          <w:color w:val="000080"/>
        </w:rPr>
        <w:t xml:space="preserve"> of the CI’s disability and separation determination.</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C214EE">
        <w:rPr>
          <w:color w:val="000080"/>
        </w:rPr>
        <w:t>0212</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895F51" w:rsidRDefault="00895F51">
      <w:pPr>
        <w:rPr>
          <w:color w:val="000080"/>
        </w:rPr>
      </w:pPr>
      <w:r>
        <w:rPr>
          <w:color w:val="000080"/>
        </w:rPr>
        <w:br w:type="page"/>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895F51" w:rsidRDefault="00895F51" w:rsidP="00895F51">
      <w:pPr>
        <w:pStyle w:val="Default"/>
        <w:framePr w:w="13000" w:wrap="auto" w:vAnchor="page" w:hAnchor="page" w:x="1" w:y="1"/>
      </w:pPr>
      <w:r>
        <w:rPr>
          <w:noProof/>
        </w:rPr>
        <w:lastRenderedPageBreak/>
        <w:drawing>
          <wp:inline distT="0" distB="0" distL="0" distR="0">
            <wp:extent cx="7744460" cy="100342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44460" cy="10034270"/>
                    </a:xfrm>
                    <a:prstGeom prst="rect">
                      <a:avLst/>
                    </a:prstGeom>
                    <a:noFill/>
                    <a:ln w="9525">
                      <a:noFill/>
                      <a:miter lim="800000"/>
                      <a:headEnd/>
                      <a:tailEnd/>
                    </a:ln>
                  </pic:spPr>
                </pic:pic>
              </a:graphicData>
            </a:graphic>
          </wp:inline>
        </w:drawing>
      </w:r>
    </w:p>
    <w:p w:rsidR="000379D0" w:rsidRPr="000E0993" w:rsidRDefault="000379D0"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F3" w:rsidRDefault="006F77F3">
      <w:r>
        <w:separator/>
      </w:r>
    </w:p>
  </w:endnote>
  <w:endnote w:type="continuationSeparator" w:id="0">
    <w:p w:rsidR="006F77F3" w:rsidRDefault="006F77F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A0DE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A0DE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95F51">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C214EE">
      <w:rPr>
        <w:caps/>
        <w:color w:val="000080"/>
      </w:rPr>
      <w:t>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F3" w:rsidRDefault="006F77F3">
      <w:r>
        <w:separator/>
      </w:r>
    </w:p>
  </w:footnote>
  <w:footnote w:type="continuationSeparator" w:id="0">
    <w:p w:rsidR="006F77F3" w:rsidRDefault="006F7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7809"/>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23D43"/>
    <w:rsid w:val="000344E6"/>
    <w:rsid w:val="00035C3A"/>
    <w:rsid w:val="000379D0"/>
    <w:rsid w:val="00040FC4"/>
    <w:rsid w:val="000416F8"/>
    <w:rsid w:val="00051622"/>
    <w:rsid w:val="00053D7C"/>
    <w:rsid w:val="0006431E"/>
    <w:rsid w:val="00072433"/>
    <w:rsid w:val="0008708B"/>
    <w:rsid w:val="00094E4F"/>
    <w:rsid w:val="000A2BCE"/>
    <w:rsid w:val="000A41E3"/>
    <w:rsid w:val="000A4BBA"/>
    <w:rsid w:val="000A5071"/>
    <w:rsid w:val="000A7184"/>
    <w:rsid w:val="000C3C13"/>
    <w:rsid w:val="000C5813"/>
    <w:rsid w:val="000C7DE4"/>
    <w:rsid w:val="000D15E7"/>
    <w:rsid w:val="000D21C7"/>
    <w:rsid w:val="000D248A"/>
    <w:rsid w:val="000D43F9"/>
    <w:rsid w:val="000D4717"/>
    <w:rsid w:val="000D6457"/>
    <w:rsid w:val="000D645F"/>
    <w:rsid w:val="000D7D55"/>
    <w:rsid w:val="000E0993"/>
    <w:rsid w:val="000F02BE"/>
    <w:rsid w:val="000F427B"/>
    <w:rsid w:val="00103CCF"/>
    <w:rsid w:val="0010417F"/>
    <w:rsid w:val="001042D2"/>
    <w:rsid w:val="0010530E"/>
    <w:rsid w:val="001103CD"/>
    <w:rsid w:val="00114F20"/>
    <w:rsid w:val="001219DF"/>
    <w:rsid w:val="00121FE4"/>
    <w:rsid w:val="001231DC"/>
    <w:rsid w:val="001315DD"/>
    <w:rsid w:val="00135385"/>
    <w:rsid w:val="001364D1"/>
    <w:rsid w:val="001541C5"/>
    <w:rsid w:val="0015623F"/>
    <w:rsid w:val="00177659"/>
    <w:rsid w:val="001779E5"/>
    <w:rsid w:val="00182A4C"/>
    <w:rsid w:val="00183F77"/>
    <w:rsid w:val="00185ECB"/>
    <w:rsid w:val="0019273F"/>
    <w:rsid w:val="00193AD5"/>
    <w:rsid w:val="00194930"/>
    <w:rsid w:val="001A7538"/>
    <w:rsid w:val="001B5B59"/>
    <w:rsid w:val="001C181A"/>
    <w:rsid w:val="001C2053"/>
    <w:rsid w:val="001C28D1"/>
    <w:rsid w:val="001C5CFC"/>
    <w:rsid w:val="001C7418"/>
    <w:rsid w:val="001D0051"/>
    <w:rsid w:val="001D2224"/>
    <w:rsid w:val="001D68CF"/>
    <w:rsid w:val="001D6A8C"/>
    <w:rsid w:val="001D7A56"/>
    <w:rsid w:val="001E18E0"/>
    <w:rsid w:val="001E18E2"/>
    <w:rsid w:val="00202736"/>
    <w:rsid w:val="002060B6"/>
    <w:rsid w:val="00216049"/>
    <w:rsid w:val="00217C09"/>
    <w:rsid w:val="00222077"/>
    <w:rsid w:val="00225196"/>
    <w:rsid w:val="00225CB4"/>
    <w:rsid w:val="00232C9B"/>
    <w:rsid w:val="00232F09"/>
    <w:rsid w:val="002338CA"/>
    <w:rsid w:val="00233FE5"/>
    <w:rsid w:val="0024174E"/>
    <w:rsid w:val="0024227D"/>
    <w:rsid w:val="002461AD"/>
    <w:rsid w:val="00246860"/>
    <w:rsid w:val="00246DFF"/>
    <w:rsid w:val="00246E89"/>
    <w:rsid w:val="0025183C"/>
    <w:rsid w:val="00255049"/>
    <w:rsid w:val="0026318D"/>
    <w:rsid w:val="00270864"/>
    <w:rsid w:val="0027159C"/>
    <w:rsid w:val="00274549"/>
    <w:rsid w:val="00274E46"/>
    <w:rsid w:val="00276C86"/>
    <w:rsid w:val="002A3237"/>
    <w:rsid w:val="002A72C7"/>
    <w:rsid w:val="002B03B2"/>
    <w:rsid w:val="002B04CC"/>
    <w:rsid w:val="002B0749"/>
    <w:rsid w:val="002C6E5B"/>
    <w:rsid w:val="002D18B4"/>
    <w:rsid w:val="002D2801"/>
    <w:rsid w:val="002E1877"/>
    <w:rsid w:val="002E1C31"/>
    <w:rsid w:val="002E333A"/>
    <w:rsid w:val="002E3474"/>
    <w:rsid w:val="002E49C3"/>
    <w:rsid w:val="002E7570"/>
    <w:rsid w:val="002E764B"/>
    <w:rsid w:val="002F08A3"/>
    <w:rsid w:val="002F0E28"/>
    <w:rsid w:val="002F287E"/>
    <w:rsid w:val="002F2D63"/>
    <w:rsid w:val="002F7F81"/>
    <w:rsid w:val="0030678B"/>
    <w:rsid w:val="00310CD7"/>
    <w:rsid w:val="00323E70"/>
    <w:rsid w:val="003269F7"/>
    <w:rsid w:val="003320E8"/>
    <w:rsid w:val="0033555E"/>
    <w:rsid w:val="00337351"/>
    <w:rsid w:val="00341A54"/>
    <w:rsid w:val="00351498"/>
    <w:rsid w:val="0036319E"/>
    <w:rsid w:val="00363362"/>
    <w:rsid w:val="0037520D"/>
    <w:rsid w:val="0037628C"/>
    <w:rsid w:val="00377BD2"/>
    <w:rsid w:val="00384866"/>
    <w:rsid w:val="003857D4"/>
    <w:rsid w:val="00385D6F"/>
    <w:rsid w:val="00387095"/>
    <w:rsid w:val="00390092"/>
    <w:rsid w:val="00393651"/>
    <w:rsid w:val="003A41BA"/>
    <w:rsid w:val="003A6A99"/>
    <w:rsid w:val="003B227A"/>
    <w:rsid w:val="003D2BA3"/>
    <w:rsid w:val="003D3C22"/>
    <w:rsid w:val="003D7089"/>
    <w:rsid w:val="003D7DDB"/>
    <w:rsid w:val="003E02C7"/>
    <w:rsid w:val="003E0543"/>
    <w:rsid w:val="003E31E3"/>
    <w:rsid w:val="003F58B0"/>
    <w:rsid w:val="004007E9"/>
    <w:rsid w:val="00401825"/>
    <w:rsid w:val="00401BBC"/>
    <w:rsid w:val="00403BFB"/>
    <w:rsid w:val="00404B45"/>
    <w:rsid w:val="00405B46"/>
    <w:rsid w:val="00406CC5"/>
    <w:rsid w:val="004074A4"/>
    <w:rsid w:val="004101B2"/>
    <w:rsid w:val="004123D7"/>
    <w:rsid w:val="004172DB"/>
    <w:rsid w:val="00422B75"/>
    <w:rsid w:val="00433F36"/>
    <w:rsid w:val="0043503A"/>
    <w:rsid w:val="00435306"/>
    <w:rsid w:val="0044384F"/>
    <w:rsid w:val="004543BC"/>
    <w:rsid w:val="0045645D"/>
    <w:rsid w:val="004574C6"/>
    <w:rsid w:val="00457BCF"/>
    <w:rsid w:val="00460E3F"/>
    <w:rsid w:val="00467592"/>
    <w:rsid w:val="004718E7"/>
    <w:rsid w:val="00473EB7"/>
    <w:rsid w:val="004761CC"/>
    <w:rsid w:val="00481DA1"/>
    <w:rsid w:val="00495350"/>
    <w:rsid w:val="004A029E"/>
    <w:rsid w:val="004A0DEB"/>
    <w:rsid w:val="004A24D2"/>
    <w:rsid w:val="004A36E4"/>
    <w:rsid w:val="004A375A"/>
    <w:rsid w:val="004A4136"/>
    <w:rsid w:val="004A417B"/>
    <w:rsid w:val="004B03F3"/>
    <w:rsid w:val="004B6AF3"/>
    <w:rsid w:val="004B715E"/>
    <w:rsid w:val="004B7169"/>
    <w:rsid w:val="004B79C9"/>
    <w:rsid w:val="004C5E33"/>
    <w:rsid w:val="004C6CDA"/>
    <w:rsid w:val="004D10D4"/>
    <w:rsid w:val="004D6F2B"/>
    <w:rsid w:val="004E0248"/>
    <w:rsid w:val="004E32EA"/>
    <w:rsid w:val="004F13BE"/>
    <w:rsid w:val="004F3BFA"/>
    <w:rsid w:val="004F3F30"/>
    <w:rsid w:val="004F5E6F"/>
    <w:rsid w:val="00510588"/>
    <w:rsid w:val="0051146C"/>
    <w:rsid w:val="005222E7"/>
    <w:rsid w:val="00523E04"/>
    <w:rsid w:val="0052590B"/>
    <w:rsid w:val="00526591"/>
    <w:rsid w:val="005350A5"/>
    <w:rsid w:val="00536379"/>
    <w:rsid w:val="00540BEF"/>
    <w:rsid w:val="005436C2"/>
    <w:rsid w:val="005473AF"/>
    <w:rsid w:val="0055288D"/>
    <w:rsid w:val="00560D57"/>
    <w:rsid w:val="00562A94"/>
    <w:rsid w:val="00585823"/>
    <w:rsid w:val="00593043"/>
    <w:rsid w:val="005A258C"/>
    <w:rsid w:val="005A3560"/>
    <w:rsid w:val="005A6C99"/>
    <w:rsid w:val="005B011A"/>
    <w:rsid w:val="005B1D8F"/>
    <w:rsid w:val="005F1115"/>
    <w:rsid w:val="005F27F2"/>
    <w:rsid w:val="005F424D"/>
    <w:rsid w:val="00606BEB"/>
    <w:rsid w:val="00613E26"/>
    <w:rsid w:val="00615641"/>
    <w:rsid w:val="00624D0C"/>
    <w:rsid w:val="006307BA"/>
    <w:rsid w:val="00634C4A"/>
    <w:rsid w:val="006418C9"/>
    <w:rsid w:val="00645046"/>
    <w:rsid w:val="00645EA2"/>
    <w:rsid w:val="00662F08"/>
    <w:rsid w:val="00663589"/>
    <w:rsid w:val="00670DDC"/>
    <w:rsid w:val="0067443B"/>
    <w:rsid w:val="00684E2B"/>
    <w:rsid w:val="00690FDA"/>
    <w:rsid w:val="00694EEA"/>
    <w:rsid w:val="006955B4"/>
    <w:rsid w:val="00696476"/>
    <w:rsid w:val="006A10FA"/>
    <w:rsid w:val="006A40E6"/>
    <w:rsid w:val="006A5C07"/>
    <w:rsid w:val="006A75FA"/>
    <w:rsid w:val="006B07D5"/>
    <w:rsid w:val="006B1309"/>
    <w:rsid w:val="006B5923"/>
    <w:rsid w:val="006B6C14"/>
    <w:rsid w:val="006C3A68"/>
    <w:rsid w:val="006C6AB1"/>
    <w:rsid w:val="006D2D39"/>
    <w:rsid w:val="006E06D1"/>
    <w:rsid w:val="006E2DC8"/>
    <w:rsid w:val="006E7356"/>
    <w:rsid w:val="006E77C8"/>
    <w:rsid w:val="006F149D"/>
    <w:rsid w:val="006F1A46"/>
    <w:rsid w:val="006F5A4E"/>
    <w:rsid w:val="006F77F3"/>
    <w:rsid w:val="00706BEF"/>
    <w:rsid w:val="007116BC"/>
    <w:rsid w:val="007165CE"/>
    <w:rsid w:val="00720968"/>
    <w:rsid w:val="00721D12"/>
    <w:rsid w:val="00721F8B"/>
    <w:rsid w:val="00736A49"/>
    <w:rsid w:val="00743C2D"/>
    <w:rsid w:val="00744EBB"/>
    <w:rsid w:val="007459A7"/>
    <w:rsid w:val="00746AE2"/>
    <w:rsid w:val="00750C82"/>
    <w:rsid w:val="0076100C"/>
    <w:rsid w:val="007651ED"/>
    <w:rsid w:val="00766C87"/>
    <w:rsid w:val="00781BD4"/>
    <w:rsid w:val="00784832"/>
    <w:rsid w:val="00785D77"/>
    <w:rsid w:val="00791F1E"/>
    <w:rsid w:val="00794F3D"/>
    <w:rsid w:val="007A0B39"/>
    <w:rsid w:val="007A14A4"/>
    <w:rsid w:val="007A168F"/>
    <w:rsid w:val="007A28E4"/>
    <w:rsid w:val="007A3BB3"/>
    <w:rsid w:val="007A5AD1"/>
    <w:rsid w:val="007A5B7B"/>
    <w:rsid w:val="007B0A06"/>
    <w:rsid w:val="007B5C5C"/>
    <w:rsid w:val="007B638D"/>
    <w:rsid w:val="007B7C41"/>
    <w:rsid w:val="007C3B45"/>
    <w:rsid w:val="007C433E"/>
    <w:rsid w:val="007D0292"/>
    <w:rsid w:val="007D21AC"/>
    <w:rsid w:val="007D568A"/>
    <w:rsid w:val="007D56EE"/>
    <w:rsid w:val="007D574E"/>
    <w:rsid w:val="007E2046"/>
    <w:rsid w:val="007E4FBB"/>
    <w:rsid w:val="007E55BF"/>
    <w:rsid w:val="007E7B4E"/>
    <w:rsid w:val="007F0CE2"/>
    <w:rsid w:val="007F0EFF"/>
    <w:rsid w:val="007F1375"/>
    <w:rsid w:val="00803850"/>
    <w:rsid w:val="00805AFD"/>
    <w:rsid w:val="00811D5B"/>
    <w:rsid w:val="00817713"/>
    <w:rsid w:val="008214D1"/>
    <w:rsid w:val="00830999"/>
    <w:rsid w:val="00830D5E"/>
    <w:rsid w:val="00830F69"/>
    <w:rsid w:val="00834458"/>
    <w:rsid w:val="00837465"/>
    <w:rsid w:val="00841457"/>
    <w:rsid w:val="0084374E"/>
    <w:rsid w:val="00844842"/>
    <w:rsid w:val="0085206E"/>
    <w:rsid w:val="00852AD4"/>
    <w:rsid w:val="00852BA8"/>
    <w:rsid w:val="00853718"/>
    <w:rsid w:val="008541EF"/>
    <w:rsid w:val="0086162B"/>
    <w:rsid w:val="00865207"/>
    <w:rsid w:val="008656A7"/>
    <w:rsid w:val="00871262"/>
    <w:rsid w:val="00871D4E"/>
    <w:rsid w:val="00875B51"/>
    <w:rsid w:val="00875F2D"/>
    <w:rsid w:val="008764DC"/>
    <w:rsid w:val="00883930"/>
    <w:rsid w:val="00895F51"/>
    <w:rsid w:val="00896683"/>
    <w:rsid w:val="008A63A9"/>
    <w:rsid w:val="008B04DB"/>
    <w:rsid w:val="008B5D31"/>
    <w:rsid w:val="008B6705"/>
    <w:rsid w:val="008D2DAB"/>
    <w:rsid w:val="008D7B07"/>
    <w:rsid w:val="008E2D99"/>
    <w:rsid w:val="008E4A60"/>
    <w:rsid w:val="008E5A59"/>
    <w:rsid w:val="009026E8"/>
    <w:rsid w:val="00906EB7"/>
    <w:rsid w:val="00907128"/>
    <w:rsid w:val="00907957"/>
    <w:rsid w:val="009102BF"/>
    <w:rsid w:val="00914ADB"/>
    <w:rsid w:val="00923B25"/>
    <w:rsid w:val="00942645"/>
    <w:rsid w:val="00950A3A"/>
    <w:rsid w:val="0095340A"/>
    <w:rsid w:val="00954581"/>
    <w:rsid w:val="0095466C"/>
    <w:rsid w:val="0096168C"/>
    <w:rsid w:val="00962F2D"/>
    <w:rsid w:val="009672CD"/>
    <w:rsid w:val="009732B8"/>
    <w:rsid w:val="00976869"/>
    <w:rsid w:val="00977740"/>
    <w:rsid w:val="00977CB4"/>
    <w:rsid w:val="00985099"/>
    <w:rsid w:val="009A0DE3"/>
    <w:rsid w:val="009A79BA"/>
    <w:rsid w:val="009B1534"/>
    <w:rsid w:val="009B69D3"/>
    <w:rsid w:val="009B7BA7"/>
    <w:rsid w:val="009C0938"/>
    <w:rsid w:val="009C3F82"/>
    <w:rsid w:val="009C72DD"/>
    <w:rsid w:val="009C7DF5"/>
    <w:rsid w:val="009D056C"/>
    <w:rsid w:val="009D060F"/>
    <w:rsid w:val="009D1ADE"/>
    <w:rsid w:val="009E1283"/>
    <w:rsid w:val="00A00D14"/>
    <w:rsid w:val="00A01408"/>
    <w:rsid w:val="00A02457"/>
    <w:rsid w:val="00A0404B"/>
    <w:rsid w:val="00A1105B"/>
    <w:rsid w:val="00A15B6B"/>
    <w:rsid w:val="00A16876"/>
    <w:rsid w:val="00A200AA"/>
    <w:rsid w:val="00A2186F"/>
    <w:rsid w:val="00A2270B"/>
    <w:rsid w:val="00A2496E"/>
    <w:rsid w:val="00A258B7"/>
    <w:rsid w:val="00A414A9"/>
    <w:rsid w:val="00A47CF1"/>
    <w:rsid w:val="00A50418"/>
    <w:rsid w:val="00A56D26"/>
    <w:rsid w:val="00A608FB"/>
    <w:rsid w:val="00A65C78"/>
    <w:rsid w:val="00A70E7B"/>
    <w:rsid w:val="00A73B84"/>
    <w:rsid w:val="00A76094"/>
    <w:rsid w:val="00A77A5A"/>
    <w:rsid w:val="00A82C52"/>
    <w:rsid w:val="00A86CB6"/>
    <w:rsid w:val="00A86DE6"/>
    <w:rsid w:val="00A90D55"/>
    <w:rsid w:val="00A961EE"/>
    <w:rsid w:val="00AA04B3"/>
    <w:rsid w:val="00AA493E"/>
    <w:rsid w:val="00AB1754"/>
    <w:rsid w:val="00AC439D"/>
    <w:rsid w:val="00AD067E"/>
    <w:rsid w:val="00AD68C5"/>
    <w:rsid w:val="00AE2D29"/>
    <w:rsid w:val="00AE4624"/>
    <w:rsid w:val="00AE5E14"/>
    <w:rsid w:val="00AF4FA5"/>
    <w:rsid w:val="00B039FB"/>
    <w:rsid w:val="00B13D37"/>
    <w:rsid w:val="00B15D30"/>
    <w:rsid w:val="00B23436"/>
    <w:rsid w:val="00B32179"/>
    <w:rsid w:val="00B40A3E"/>
    <w:rsid w:val="00B4236A"/>
    <w:rsid w:val="00B50227"/>
    <w:rsid w:val="00B522CD"/>
    <w:rsid w:val="00B55917"/>
    <w:rsid w:val="00B72303"/>
    <w:rsid w:val="00B82277"/>
    <w:rsid w:val="00B95833"/>
    <w:rsid w:val="00BA2D98"/>
    <w:rsid w:val="00BA30D1"/>
    <w:rsid w:val="00BA4609"/>
    <w:rsid w:val="00BA5BE2"/>
    <w:rsid w:val="00BA7F46"/>
    <w:rsid w:val="00BB0A0A"/>
    <w:rsid w:val="00BB6064"/>
    <w:rsid w:val="00BC09D1"/>
    <w:rsid w:val="00BD40AB"/>
    <w:rsid w:val="00BD6806"/>
    <w:rsid w:val="00BD7831"/>
    <w:rsid w:val="00BD7C10"/>
    <w:rsid w:val="00BE0DEB"/>
    <w:rsid w:val="00BE1B3E"/>
    <w:rsid w:val="00BE2FC1"/>
    <w:rsid w:val="00BE54E6"/>
    <w:rsid w:val="00BE6365"/>
    <w:rsid w:val="00BF0B7F"/>
    <w:rsid w:val="00BF4720"/>
    <w:rsid w:val="00C038EC"/>
    <w:rsid w:val="00C13B34"/>
    <w:rsid w:val="00C1713D"/>
    <w:rsid w:val="00C177F1"/>
    <w:rsid w:val="00C214EE"/>
    <w:rsid w:val="00C25978"/>
    <w:rsid w:val="00C261C6"/>
    <w:rsid w:val="00C30A97"/>
    <w:rsid w:val="00C31DDC"/>
    <w:rsid w:val="00C34326"/>
    <w:rsid w:val="00C36201"/>
    <w:rsid w:val="00C368E8"/>
    <w:rsid w:val="00C42CBA"/>
    <w:rsid w:val="00C5019E"/>
    <w:rsid w:val="00C53E8A"/>
    <w:rsid w:val="00C54DF3"/>
    <w:rsid w:val="00C560A7"/>
    <w:rsid w:val="00C56FC8"/>
    <w:rsid w:val="00C60F23"/>
    <w:rsid w:val="00C62EB2"/>
    <w:rsid w:val="00C656DA"/>
    <w:rsid w:val="00C71BEC"/>
    <w:rsid w:val="00C80511"/>
    <w:rsid w:val="00C826F5"/>
    <w:rsid w:val="00C83740"/>
    <w:rsid w:val="00C84AD1"/>
    <w:rsid w:val="00C85579"/>
    <w:rsid w:val="00C931FC"/>
    <w:rsid w:val="00C95C56"/>
    <w:rsid w:val="00C9650E"/>
    <w:rsid w:val="00CA068D"/>
    <w:rsid w:val="00CA282D"/>
    <w:rsid w:val="00CA4670"/>
    <w:rsid w:val="00CA6B1A"/>
    <w:rsid w:val="00CB23DC"/>
    <w:rsid w:val="00CB28E2"/>
    <w:rsid w:val="00CB7FF7"/>
    <w:rsid w:val="00CC19B3"/>
    <w:rsid w:val="00CC2044"/>
    <w:rsid w:val="00CC69EC"/>
    <w:rsid w:val="00CD15BE"/>
    <w:rsid w:val="00CD34C7"/>
    <w:rsid w:val="00CD63C8"/>
    <w:rsid w:val="00CE66DF"/>
    <w:rsid w:val="00CF158D"/>
    <w:rsid w:val="00CF4394"/>
    <w:rsid w:val="00D14BAE"/>
    <w:rsid w:val="00D1648B"/>
    <w:rsid w:val="00D16819"/>
    <w:rsid w:val="00D20AC0"/>
    <w:rsid w:val="00D336C8"/>
    <w:rsid w:val="00D339E8"/>
    <w:rsid w:val="00D40B1F"/>
    <w:rsid w:val="00D50C8C"/>
    <w:rsid w:val="00D52393"/>
    <w:rsid w:val="00D53F14"/>
    <w:rsid w:val="00D54BE4"/>
    <w:rsid w:val="00D60483"/>
    <w:rsid w:val="00D63577"/>
    <w:rsid w:val="00D67FD7"/>
    <w:rsid w:val="00D74261"/>
    <w:rsid w:val="00D76AB2"/>
    <w:rsid w:val="00D829AD"/>
    <w:rsid w:val="00D82EE2"/>
    <w:rsid w:val="00D87788"/>
    <w:rsid w:val="00D877C8"/>
    <w:rsid w:val="00D910C2"/>
    <w:rsid w:val="00D9168C"/>
    <w:rsid w:val="00D9189B"/>
    <w:rsid w:val="00D91DA6"/>
    <w:rsid w:val="00D972D4"/>
    <w:rsid w:val="00D97FDD"/>
    <w:rsid w:val="00DA195B"/>
    <w:rsid w:val="00DB0015"/>
    <w:rsid w:val="00DB2AAD"/>
    <w:rsid w:val="00DB6365"/>
    <w:rsid w:val="00DC0BF1"/>
    <w:rsid w:val="00DC41C3"/>
    <w:rsid w:val="00DD2D43"/>
    <w:rsid w:val="00DD3593"/>
    <w:rsid w:val="00DE6952"/>
    <w:rsid w:val="00DE7E74"/>
    <w:rsid w:val="00E00A69"/>
    <w:rsid w:val="00E017F0"/>
    <w:rsid w:val="00E03DF8"/>
    <w:rsid w:val="00E041E4"/>
    <w:rsid w:val="00E1085B"/>
    <w:rsid w:val="00E14581"/>
    <w:rsid w:val="00E15539"/>
    <w:rsid w:val="00E16541"/>
    <w:rsid w:val="00E2632B"/>
    <w:rsid w:val="00E405EA"/>
    <w:rsid w:val="00E408B7"/>
    <w:rsid w:val="00E42789"/>
    <w:rsid w:val="00E464F0"/>
    <w:rsid w:val="00E50BEB"/>
    <w:rsid w:val="00E6092F"/>
    <w:rsid w:val="00E629DA"/>
    <w:rsid w:val="00E738CB"/>
    <w:rsid w:val="00E81C3E"/>
    <w:rsid w:val="00E82B6D"/>
    <w:rsid w:val="00E919FF"/>
    <w:rsid w:val="00EA1177"/>
    <w:rsid w:val="00EA11B6"/>
    <w:rsid w:val="00EA2DD8"/>
    <w:rsid w:val="00EA681F"/>
    <w:rsid w:val="00EB3823"/>
    <w:rsid w:val="00EB45A7"/>
    <w:rsid w:val="00EB47D8"/>
    <w:rsid w:val="00EB76E4"/>
    <w:rsid w:val="00EC0E65"/>
    <w:rsid w:val="00EC50C9"/>
    <w:rsid w:val="00EC5A65"/>
    <w:rsid w:val="00EC5BB2"/>
    <w:rsid w:val="00ED664B"/>
    <w:rsid w:val="00EE0B44"/>
    <w:rsid w:val="00EE465B"/>
    <w:rsid w:val="00EF5268"/>
    <w:rsid w:val="00EF608E"/>
    <w:rsid w:val="00F05807"/>
    <w:rsid w:val="00F07052"/>
    <w:rsid w:val="00F0706C"/>
    <w:rsid w:val="00F11EBE"/>
    <w:rsid w:val="00F1516A"/>
    <w:rsid w:val="00F22A26"/>
    <w:rsid w:val="00F24072"/>
    <w:rsid w:val="00F26432"/>
    <w:rsid w:val="00F3197A"/>
    <w:rsid w:val="00F32139"/>
    <w:rsid w:val="00F34E08"/>
    <w:rsid w:val="00F41D91"/>
    <w:rsid w:val="00F42363"/>
    <w:rsid w:val="00F46964"/>
    <w:rsid w:val="00F5126A"/>
    <w:rsid w:val="00F6038F"/>
    <w:rsid w:val="00F718A8"/>
    <w:rsid w:val="00F72183"/>
    <w:rsid w:val="00F82981"/>
    <w:rsid w:val="00F8311F"/>
    <w:rsid w:val="00F83248"/>
    <w:rsid w:val="00F853AE"/>
    <w:rsid w:val="00F93DCC"/>
    <w:rsid w:val="00F9435D"/>
    <w:rsid w:val="00FB593A"/>
    <w:rsid w:val="00FB6E82"/>
    <w:rsid w:val="00FC2A13"/>
    <w:rsid w:val="00FC4576"/>
    <w:rsid w:val="00FC7DBC"/>
    <w:rsid w:val="00FD076A"/>
    <w:rsid w:val="00FD1D5A"/>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F6038F"/>
    <w:rPr>
      <w:color w:val="008080"/>
      <w:sz w:val="24"/>
    </w:rPr>
  </w:style>
  <w:style w:type="paragraph" w:customStyle="1" w:styleId="Default">
    <w:name w:val="Default"/>
    <w:rsid w:val="00895F5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4FA2-73C9-40C7-BCDF-BF0A9990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1473</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10</cp:revision>
  <cp:lastPrinted>2000-06-02T14:59:00Z</cp:lastPrinted>
  <dcterms:created xsi:type="dcterms:W3CDTF">2010-03-05T15:34:00Z</dcterms:created>
  <dcterms:modified xsi:type="dcterms:W3CDTF">2012-01-25T13:30:00Z</dcterms:modified>
</cp:coreProperties>
</file>