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405B10" w:rsidRDefault="00B522CD" w:rsidP="00E2331E">
      <w:pPr>
        <w:tabs>
          <w:tab w:val="left" w:pos="288"/>
          <w:tab w:val="left" w:pos="4752"/>
        </w:tabs>
        <w:spacing w:line="240" w:lineRule="exact"/>
        <w:jc w:val="center"/>
        <w:rPr>
          <w:caps/>
          <w:color w:val="auto"/>
        </w:rPr>
      </w:pPr>
      <w:r w:rsidRPr="00405B10">
        <w:rPr>
          <w:caps/>
          <w:color w:val="auto"/>
        </w:rPr>
        <w:t>RECORD OF PROCEEDINGS</w:t>
      </w:r>
    </w:p>
    <w:p w:rsidR="00662F08" w:rsidRPr="00405B10" w:rsidRDefault="00662F08" w:rsidP="00E2331E">
      <w:pPr>
        <w:tabs>
          <w:tab w:val="left" w:pos="288"/>
          <w:tab w:val="left" w:pos="4752"/>
        </w:tabs>
        <w:spacing w:line="240" w:lineRule="exact"/>
        <w:jc w:val="center"/>
        <w:rPr>
          <w:caps/>
          <w:color w:val="auto"/>
        </w:rPr>
      </w:pPr>
      <w:r w:rsidRPr="00405B10">
        <w:rPr>
          <w:caps/>
          <w:color w:val="auto"/>
        </w:rPr>
        <w:t xml:space="preserve">PHYSICAL DISABILITY </w:t>
      </w:r>
      <w:r w:rsidR="00E15539" w:rsidRPr="00405B10">
        <w:rPr>
          <w:caps/>
          <w:color w:val="auto"/>
        </w:rPr>
        <w:t>BOARD OF REVIEW</w:t>
      </w:r>
    </w:p>
    <w:p w:rsidR="00662F08" w:rsidRPr="00405B10" w:rsidRDefault="00662F08" w:rsidP="00E2331E">
      <w:pPr>
        <w:tabs>
          <w:tab w:val="left" w:pos="288"/>
          <w:tab w:val="left" w:pos="4752"/>
        </w:tabs>
        <w:spacing w:line="240" w:lineRule="exact"/>
        <w:jc w:val="center"/>
        <w:rPr>
          <w:caps/>
          <w:color w:val="auto"/>
        </w:rPr>
      </w:pPr>
    </w:p>
    <w:p w:rsidR="00662F08" w:rsidRPr="00405B10" w:rsidRDefault="00662F08" w:rsidP="00E2331E">
      <w:pPr>
        <w:tabs>
          <w:tab w:val="left" w:pos="288"/>
          <w:tab w:val="left" w:pos="4752"/>
        </w:tabs>
        <w:spacing w:line="240" w:lineRule="exact"/>
        <w:rPr>
          <w:caps/>
          <w:color w:val="auto"/>
        </w:rPr>
      </w:pPr>
      <w:r w:rsidRPr="00405B10">
        <w:rPr>
          <w:caps/>
          <w:color w:val="auto"/>
        </w:rPr>
        <w:t>NAME:</w:t>
      </w:r>
      <w:r w:rsidR="00051622" w:rsidRPr="00405B10">
        <w:rPr>
          <w:caps/>
          <w:color w:val="auto"/>
        </w:rPr>
        <w:tab/>
      </w:r>
      <w:r w:rsidR="00051622" w:rsidRPr="00405B10">
        <w:rPr>
          <w:caps/>
          <w:color w:val="auto"/>
        </w:rPr>
        <w:tab/>
      </w:r>
      <w:r w:rsidR="00D91DA6" w:rsidRPr="00405B10">
        <w:rPr>
          <w:caps/>
          <w:color w:val="auto"/>
        </w:rPr>
        <w:t>BRANCH OF SERVICE</w:t>
      </w:r>
      <w:r w:rsidR="00051622" w:rsidRPr="00405B10">
        <w:rPr>
          <w:caps/>
          <w:color w:val="auto"/>
        </w:rPr>
        <w:t xml:space="preserve">: </w:t>
      </w:r>
      <w:r w:rsidR="00A01F78">
        <w:rPr>
          <w:caps/>
          <w:color w:val="auto"/>
        </w:rPr>
        <w:t>usmc</w:t>
      </w:r>
    </w:p>
    <w:p w:rsidR="00B522CD" w:rsidRPr="00405B10" w:rsidRDefault="00D91DA6" w:rsidP="00E2331E">
      <w:pPr>
        <w:tabs>
          <w:tab w:val="left" w:pos="288"/>
          <w:tab w:val="left" w:pos="4752"/>
        </w:tabs>
        <w:spacing w:line="240" w:lineRule="exact"/>
        <w:rPr>
          <w:caps/>
          <w:color w:val="auto"/>
        </w:rPr>
      </w:pPr>
      <w:r w:rsidRPr="00405B10">
        <w:rPr>
          <w:caps/>
          <w:color w:val="auto"/>
        </w:rPr>
        <w:t>CASE</w:t>
      </w:r>
      <w:r w:rsidR="001C28D1" w:rsidRPr="00405B10">
        <w:rPr>
          <w:caps/>
          <w:color w:val="auto"/>
        </w:rPr>
        <w:t xml:space="preserve"> NUMBER:  </w:t>
      </w:r>
      <w:r w:rsidR="00875B51" w:rsidRPr="00405B10">
        <w:rPr>
          <w:caps/>
          <w:color w:val="auto"/>
        </w:rPr>
        <w:t>PD09</w:t>
      </w:r>
      <w:r w:rsidR="00771512" w:rsidRPr="00405B10">
        <w:rPr>
          <w:caps/>
          <w:color w:val="auto"/>
        </w:rPr>
        <w:t>00</w:t>
      </w:r>
      <w:r w:rsidR="00A01F78">
        <w:rPr>
          <w:caps/>
          <w:color w:val="auto"/>
        </w:rPr>
        <w:t>138</w:t>
      </w:r>
      <w:r w:rsidR="00051622" w:rsidRPr="00405B10">
        <w:rPr>
          <w:caps/>
          <w:color w:val="auto"/>
        </w:rPr>
        <w:tab/>
      </w:r>
      <w:r w:rsidR="00051622" w:rsidRPr="00405B10">
        <w:rPr>
          <w:caps/>
          <w:color w:val="auto"/>
        </w:rPr>
        <w:tab/>
      </w:r>
      <w:r w:rsidRPr="00405B10">
        <w:rPr>
          <w:caps/>
          <w:color w:val="auto"/>
        </w:rPr>
        <w:t xml:space="preserve">COMPONENT: </w:t>
      </w:r>
      <w:r w:rsidR="007A22E4">
        <w:rPr>
          <w:caps/>
          <w:color w:val="auto"/>
        </w:rPr>
        <w:t>REGULAR</w:t>
      </w:r>
    </w:p>
    <w:p w:rsidR="00662F08" w:rsidRPr="00405B10" w:rsidRDefault="00662F08" w:rsidP="00E2331E">
      <w:pPr>
        <w:tabs>
          <w:tab w:val="left" w:pos="288"/>
          <w:tab w:val="left" w:pos="4752"/>
        </w:tabs>
        <w:spacing w:line="240" w:lineRule="exact"/>
        <w:rPr>
          <w:caps/>
          <w:color w:val="auto"/>
        </w:rPr>
      </w:pPr>
      <w:r w:rsidRPr="00405B10">
        <w:rPr>
          <w:caps/>
          <w:color w:val="auto"/>
        </w:rPr>
        <w:t xml:space="preserve">BOARD DATE: </w:t>
      </w:r>
      <w:r w:rsidR="00A01F78">
        <w:rPr>
          <w:caps/>
          <w:color w:val="auto"/>
        </w:rPr>
        <w:t>20090805</w:t>
      </w:r>
      <w:r w:rsidR="00D91DA6" w:rsidRPr="00405B10">
        <w:rPr>
          <w:caps/>
          <w:color w:val="auto"/>
        </w:rPr>
        <w:tab/>
      </w:r>
      <w:r w:rsidR="00D91DA6" w:rsidRPr="00405B10">
        <w:rPr>
          <w:caps/>
          <w:color w:val="auto"/>
        </w:rPr>
        <w:tab/>
        <w:t xml:space="preserve">SEPARATION DATE: </w:t>
      </w:r>
      <w:r w:rsidR="00A01F78">
        <w:rPr>
          <w:caps/>
          <w:color w:val="auto"/>
        </w:rPr>
        <w:t>20050315</w:t>
      </w:r>
    </w:p>
    <w:p w:rsidR="00B522CD" w:rsidRPr="00405B10" w:rsidRDefault="00B522CD" w:rsidP="00E2331E">
      <w:pPr>
        <w:tabs>
          <w:tab w:val="left" w:pos="288"/>
          <w:tab w:val="left" w:pos="4752"/>
        </w:tabs>
        <w:spacing w:line="240" w:lineRule="exact"/>
        <w:jc w:val="both"/>
        <w:rPr>
          <w:color w:val="auto"/>
        </w:rPr>
      </w:pPr>
      <w:r w:rsidRPr="00405B10">
        <w:rPr>
          <w:color w:val="auto"/>
        </w:rPr>
        <w:t>_________________________________</w:t>
      </w:r>
      <w:r w:rsidR="006F1A46" w:rsidRPr="00405B10">
        <w:rPr>
          <w:color w:val="auto"/>
        </w:rPr>
        <w:t>_______________________________</w:t>
      </w:r>
    </w:p>
    <w:p w:rsidR="006F1A46" w:rsidRPr="00405B10" w:rsidRDefault="006F1A46" w:rsidP="00E2331E">
      <w:pPr>
        <w:tabs>
          <w:tab w:val="left" w:pos="288"/>
          <w:tab w:val="left" w:pos="4752"/>
        </w:tabs>
        <w:spacing w:line="240" w:lineRule="exact"/>
        <w:jc w:val="both"/>
        <w:rPr>
          <w:color w:val="auto"/>
        </w:rPr>
      </w:pPr>
    </w:p>
    <w:p w:rsidR="0097224E" w:rsidRDefault="00811D5B" w:rsidP="0097224E">
      <w:pPr>
        <w:spacing w:line="240" w:lineRule="exact"/>
        <w:jc w:val="both"/>
        <w:rPr>
          <w:color w:val="auto"/>
        </w:rPr>
      </w:pPr>
      <w:r w:rsidRPr="00405B10">
        <w:rPr>
          <w:caps/>
          <w:color w:val="auto"/>
          <w:u w:val="single"/>
        </w:rPr>
        <w:t>SUMMARY</w:t>
      </w:r>
      <w:r w:rsidR="003D7DDB" w:rsidRPr="00405B10">
        <w:rPr>
          <w:caps/>
          <w:color w:val="auto"/>
          <w:u w:val="single"/>
        </w:rPr>
        <w:t xml:space="preserve"> OF CASE</w:t>
      </w:r>
      <w:r w:rsidR="00B522CD" w:rsidRPr="00405B10">
        <w:rPr>
          <w:color w:val="auto"/>
        </w:rPr>
        <w:t>:</w:t>
      </w:r>
      <w:r w:rsidR="005D3A07" w:rsidRPr="00405B10">
        <w:rPr>
          <w:color w:val="auto"/>
        </w:rPr>
        <w:t xml:space="preserve">  </w:t>
      </w:r>
      <w:r w:rsidR="006F1A46" w:rsidRPr="00405B10">
        <w:rPr>
          <w:color w:val="auto"/>
        </w:rPr>
        <w:t xml:space="preserve">This covered individual (CI) was </w:t>
      </w:r>
      <w:r w:rsidR="00D63FF0">
        <w:rPr>
          <w:color w:val="auto"/>
        </w:rPr>
        <w:t xml:space="preserve">a </w:t>
      </w:r>
      <w:r w:rsidR="00EB01D7">
        <w:rPr>
          <w:color w:val="auto"/>
        </w:rPr>
        <w:t>Motor Transport Operator Sergeant</w:t>
      </w:r>
      <w:r w:rsidR="006F1A46" w:rsidRPr="00405B10">
        <w:rPr>
          <w:color w:val="auto"/>
        </w:rPr>
        <w:t xml:space="preserve"> medically separated from the </w:t>
      </w:r>
      <w:r w:rsidR="00EB01D7">
        <w:rPr>
          <w:color w:val="auto"/>
        </w:rPr>
        <w:t>Marine Corps</w:t>
      </w:r>
      <w:r w:rsidR="006F1A46" w:rsidRPr="00405B10">
        <w:rPr>
          <w:color w:val="auto"/>
        </w:rPr>
        <w:t xml:space="preserve"> in 200</w:t>
      </w:r>
      <w:r w:rsidR="00EB01D7">
        <w:rPr>
          <w:color w:val="auto"/>
        </w:rPr>
        <w:t>5</w:t>
      </w:r>
      <w:r w:rsidR="006F1A46" w:rsidRPr="00405B10">
        <w:rPr>
          <w:color w:val="auto"/>
        </w:rPr>
        <w:t xml:space="preserve"> after </w:t>
      </w:r>
      <w:r w:rsidR="00EB01D7">
        <w:rPr>
          <w:color w:val="auto"/>
        </w:rPr>
        <w:t>more than seven</w:t>
      </w:r>
      <w:r w:rsidR="005D3A07" w:rsidRPr="00405B10">
        <w:rPr>
          <w:color w:val="auto"/>
        </w:rPr>
        <w:t xml:space="preserve"> </w:t>
      </w:r>
      <w:r w:rsidR="006F1A46" w:rsidRPr="00405B10">
        <w:rPr>
          <w:color w:val="auto"/>
        </w:rPr>
        <w:t xml:space="preserve">years of service.  The medical basis for the separation was </w:t>
      </w:r>
      <w:r w:rsidR="00EB01D7" w:rsidRPr="00EB01D7">
        <w:rPr>
          <w:color w:val="auto"/>
        </w:rPr>
        <w:t>conversion disorder</w:t>
      </w:r>
      <w:r w:rsidR="00D63FF0">
        <w:rPr>
          <w:color w:val="auto"/>
        </w:rPr>
        <w:t xml:space="preserve"> and three related diagnoses, low back pain, </w:t>
      </w:r>
      <w:proofErr w:type="spellStart"/>
      <w:r w:rsidR="00D63FF0">
        <w:rPr>
          <w:color w:val="auto"/>
        </w:rPr>
        <w:t>pseudoseizures</w:t>
      </w:r>
      <w:proofErr w:type="spellEnd"/>
      <w:r w:rsidR="00D63FF0">
        <w:rPr>
          <w:color w:val="auto"/>
        </w:rPr>
        <w:t>, and chronic daily headaches</w:t>
      </w:r>
      <w:r w:rsidR="006F1A46" w:rsidRPr="00EB01D7">
        <w:rPr>
          <w:color w:val="auto"/>
        </w:rPr>
        <w:t xml:space="preserve">. </w:t>
      </w:r>
    </w:p>
    <w:p w:rsidR="0097224E" w:rsidRDefault="0097224E" w:rsidP="0097224E">
      <w:pPr>
        <w:spacing w:line="240" w:lineRule="exact"/>
        <w:jc w:val="both"/>
        <w:rPr>
          <w:color w:val="auto"/>
        </w:rPr>
      </w:pPr>
    </w:p>
    <w:p w:rsidR="0097224E" w:rsidRDefault="001555A2" w:rsidP="0097224E">
      <w:pPr>
        <w:spacing w:line="240" w:lineRule="exact"/>
        <w:jc w:val="both"/>
        <w:rPr>
          <w:color w:val="auto"/>
        </w:rPr>
      </w:pPr>
      <w:r>
        <w:rPr>
          <w:color w:val="auto"/>
        </w:rPr>
        <w:t xml:space="preserve">The CI experienced seizure-like activity </w:t>
      </w:r>
      <w:r w:rsidR="0097224E">
        <w:rPr>
          <w:color w:val="auto"/>
        </w:rPr>
        <w:t xml:space="preserve">sporadically starting </w:t>
      </w:r>
      <w:r>
        <w:rPr>
          <w:color w:val="auto"/>
        </w:rPr>
        <w:t xml:space="preserve">in January 2003. </w:t>
      </w:r>
      <w:r w:rsidR="00531183">
        <w:rPr>
          <w:color w:val="auto"/>
        </w:rPr>
        <w:t xml:space="preserve">He had approximately five documented episodes before he separated two years later. </w:t>
      </w:r>
      <w:r w:rsidR="0092645D">
        <w:rPr>
          <w:color w:val="auto"/>
        </w:rPr>
        <w:t xml:space="preserve"> </w:t>
      </w:r>
      <w:r>
        <w:rPr>
          <w:color w:val="auto"/>
        </w:rPr>
        <w:t xml:space="preserve">However, a complete diagnostic work-up revealed he was having </w:t>
      </w:r>
      <w:proofErr w:type="spellStart"/>
      <w:r>
        <w:rPr>
          <w:color w:val="auto"/>
        </w:rPr>
        <w:t>pseudoseizures</w:t>
      </w:r>
      <w:proofErr w:type="spellEnd"/>
      <w:r>
        <w:rPr>
          <w:color w:val="auto"/>
        </w:rPr>
        <w:t xml:space="preserve"> and he continued to have these spells before, during, and after deployment to Iraq. </w:t>
      </w:r>
      <w:r w:rsidR="0092645D">
        <w:rPr>
          <w:color w:val="auto"/>
        </w:rPr>
        <w:t xml:space="preserve"> </w:t>
      </w:r>
      <w:r>
        <w:rPr>
          <w:color w:val="auto"/>
        </w:rPr>
        <w:t xml:space="preserve">He would have symptoms of anxiety such as lightheadedness, shortness of breath, </w:t>
      </w:r>
      <w:proofErr w:type="spellStart"/>
      <w:r>
        <w:rPr>
          <w:color w:val="auto"/>
        </w:rPr>
        <w:t>paresthesias</w:t>
      </w:r>
      <w:proofErr w:type="spellEnd"/>
      <w:r>
        <w:rPr>
          <w:color w:val="auto"/>
        </w:rPr>
        <w:t xml:space="preserve">, chest pain, weakness, eye tearing and closure, head throbbing, and nausea and then have seizure-like activity. </w:t>
      </w:r>
      <w:r w:rsidR="0092645D">
        <w:rPr>
          <w:color w:val="auto"/>
        </w:rPr>
        <w:t xml:space="preserve"> </w:t>
      </w:r>
      <w:r>
        <w:rPr>
          <w:color w:val="auto"/>
        </w:rPr>
        <w:t xml:space="preserve">Testing during these events revealed no abnormal EEG activity and he had a normal brain MRI. </w:t>
      </w:r>
    </w:p>
    <w:p w:rsidR="0097224E" w:rsidRDefault="0097224E" w:rsidP="0097224E">
      <w:pPr>
        <w:spacing w:line="240" w:lineRule="exact"/>
        <w:jc w:val="both"/>
        <w:rPr>
          <w:color w:val="auto"/>
        </w:rPr>
      </w:pPr>
    </w:p>
    <w:p w:rsidR="0097224E" w:rsidRPr="005F63D3" w:rsidRDefault="0097224E" w:rsidP="0097224E">
      <w:pPr>
        <w:spacing w:line="240" w:lineRule="exact"/>
        <w:jc w:val="both"/>
        <w:rPr>
          <w:color w:val="auto"/>
        </w:rPr>
      </w:pPr>
      <w:r>
        <w:rPr>
          <w:color w:val="auto"/>
        </w:rPr>
        <w:t xml:space="preserve">He was ultimately diagnosed with conversion disorder and </w:t>
      </w:r>
      <w:r w:rsidRPr="005F63D3">
        <w:rPr>
          <w:color w:val="auto"/>
        </w:rPr>
        <w:t xml:space="preserve">was referred to the </w:t>
      </w:r>
      <w:r>
        <w:rPr>
          <w:color w:val="auto"/>
        </w:rPr>
        <w:t>Navy</w:t>
      </w:r>
      <w:r w:rsidRPr="005F63D3">
        <w:rPr>
          <w:color w:val="auto"/>
        </w:rPr>
        <w:t xml:space="preserve"> Physical Evaluation Board (PEB). </w:t>
      </w:r>
      <w:r w:rsidR="0092645D">
        <w:rPr>
          <w:color w:val="auto"/>
        </w:rPr>
        <w:t xml:space="preserve"> </w:t>
      </w:r>
      <w:r w:rsidRPr="005F63D3">
        <w:rPr>
          <w:color w:val="auto"/>
        </w:rPr>
        <w:t xml:space="preserve">The Informal PEB determined he was unfit for continued </w:t>
      </w:r>
      <w:proofErr w:type="gramStart"/>
      <w:r>
        <w:rPr>
          <w:color w:val="auto"/>
        </w:rPr>
        <w:t>Naval</w:t>
      </w:r>
      <w:proofErr w:type="gramEnd"/>
      <w:r w:rsidRPr="005F63D3">
        <w:rPr>
          <w:color w:val="auto"/>
        </w:rPr>
        <w:t xml:space="preserve"> service and he was then separated with a </w:t>
      </w:r>
      <w:r>
        <w:rPr>
          <w:color w:val="auto"/>
        </w:rPr>
        <w:t>10</w:t>
      </w:r>
      <w:r w:rsidRPr="005F63D3">
        <w:rPr>
          <w:color w:val="auto"/>
        </w:rPr>
        <w:t xml:space="preserve">% disability for </w:t>
      </w:r>
      <w:r>
        <w:rPr>
          <w:color w:val="auto"/>
        </w:rPr>
        <w:t>9424</w:t>
      </w:r>
      <w:r w:rsidRPr="005F63D3">
        <w:rPr>
          <w:color w:val="auto"/>
        </w:rPr>
        <w:t xml:space="preserve"> </w:t>
      </w:r>
      <w:r>
        <w:rPr>
          <w:color w:val="auto"/>
        </w:rPr>
        <w:t>Conversion disorder</w:t>
      </w:r>
      <w:r w:rsidRPr="005F63D3">
        <w:rPr>
          <w:color w:val="auto"/>
        </w:rPr>
        <w:t xml:space="preserve"> using the Veterans Affairs Schedule for Ratings Disabilities (VASRD) and applicable </w:t>
      </w:r>
      <w:r>
        <w:rPr>
          <w:color w:val="auto"/>
        </w:rPr>
        <w:t>Navy</w:t>
      </w:r>
      <w:r w:rsidRPr="005F63D3">
        <w:rPr>
          <w:color w:val="auto"/>
        </w:rPr>
        <w:t xml:space="preserve"> and Department of Defense regulations.   </w:t>
      </w:r>
    </w:p>
    <w:p w:rsidR="001D38EB" w:rsidRPr="00405B10" w:rsidRDefault="001D38EB" w:rsidP="0097224E">
      <w:pPr>
        <w:tabs>
          <w:tab w:val="left" w:pos="288"/>
          <w:tab w:val="left" w:pos="4752"/>
        </w:tabs>
        <w:spacing w:line="240" w:lineRule="exact"/>
        <w:jc w:val="both"/>
        <w:rPr>
          <w:color w:val="auto"/>
        </w:rPr>
      </w:pPr>
      <w:r w:rsidRPr="00405B10">
        <w:rPr>
          <w:color w:val="auto"/>
        </w:rPr>
        <w:t>________________________________________________________________</w:t>
      </w:r>
    </w:p>
    <w:p w:rsidR="001D38EB" w:rsidRPr="00405B10" w:rsidRDefault="001D38EB" w:rsidP="00E2331E">
      <w:pPr>
        <w:tabs>
          <w:tab w:val="left" w:pos="288"/>
          <w:tab w:val="left" w:pos="4752"/>
        </w:tabs>
        <w:spacing w:line="240" w:lineRule="exact"/>
        <w:jc w:val="both"/>
        <w:rPr>
          <w:color w:val="auto"/>
        </w:rPr>
      </w:pPr>
    </w:p>
    <w:p w:rsidR="001C181A" w:rsidRPr="00405B10" w:rsidRDefault="001C181A" w:rsidP="00E2331E">
      <w:pPr>
        <w:tabs>
          <w:tab w:val="left" w:pos="288"/>
          <w:tab w:val="left" w:pos="4752"/>
        </w:tabs>
        <w:spacing w:line="240" w:lineRule="exact"/>
        <w:jc w:val="both"/>
        <w:rPr>
          <w:color w:val="auto"/>
        </w:rPr>
      </w:pPr>
      <w:r w:rsidRPr="00405B10">
        <w:rPr>
          <w:caps/>
          <w:color w:val="auto"/>
          <w:u w:val="single"/>
        </w:rPr>
        <w:t>CI CONTENTION</w:t>
      </w:r>
      <w:r w:rsidRPr="00405B10">
        <w:rPr>
          <w:color w:val="auto"/>
        </w:rPr>
        <w:t>:</w:t>
      </w:r>
      <w:r w:rsidR="005D3A07" w:rsidRPr="00405B10">
        <w:rPr>
          <w:color w:val="auto"/>
        </w:rPr>
        <w:t xml:space="preserve">  </w:t>
      </w:r>
      <w:r w:rsidR="00946F81" w:rsidRPr="00405B10">
        <w:rPr>
          <w:color w:val="auto"/>
        </w:rPr>
        <w:t xml:space="preserve">The CI </w:t>
      </w:r>
      <w:r w:rsidR="00D63FF0">
        <w:rPr>
          <w:color w:val="auto"/>
        </w:rPr>
        <w:t>contends that his panic and anxiety disorder precludes him f</w:t>
      </w:r>
      <w:r w:rsidR="0097224E">
        <w:rPr>
          <w:color w:val="auto"/>
        </w:rPr>
        <w:t>ro</w:t>
      </w:r>
      <w:r w:rsidR="00D63FF0">
        <w:rPr>
          <w:color w:val="auto"/>
        </w:rPr>
        <w:t>m working hard physically active jobs but he is fine working indoors where it is cool and office jobs.</w:t>
      </w:r>
      <w:r w:rsidR="0092645D">
        <w:rPr>
          <w:color w:val="auto"/>
        </w:rPr>
        <w:t xml:space="preserve"> </w:t>
      </w:r>
      <w:r w:rsidR="00D63FF0">
        <w:rPr>
          <w:color w:val="auto"/>
        </w:rPr>
        <w:t xml:space="preserve"> He gets deep and sharp pains in his back when heavy or medium lifting is involved.</w:t>
      </w:r>
      <w:r w:rsidR="00D3572C" w:rsidRPr="00405B10">
        <w:rPr>
          <w:color w:val="auto"/>
        </w:rPr>
        <w:t xml:space="preserve">  </w:t>
      </w:r>
    </w:p>
    <w:p w:rsidR="00A90D55" w:rsidRPr="00405B10" w:rsidRDefault="00A90D55" w:rsidP="00E2331E">
      <w:pPr>
        <w:tabs>
          <w:tab w:val="left" w:pos="288"/>
          <w:tab w:val="left" w:pos="4752"/>
        </w:tabs>
        <w:spacing w:line="240" w:lineRule="exact"/>
        <w:jc w:val="both"/>
        <w:rPr>
          <w:color w:val="auto"/>
        </w:rPr>
      </w:pPr>
      <w:r w:rsidRPr="00405B10">
        <w:rPr>
          <w:color w:val="auto"/>
        </w:rPr>
        <w:t>________________________________________________________________</w:t>
      </w:r>
    </w:p>
    <w:p w:rsidR="001C181A" w:rsidRPr="00405B10" w:rsidRDefault="001C181A" w:rsidP="00E2331E">
      <w:pPr>
        <w:tabs>
          <w:tab w:val="left" w:pos="288"/>
          <w:tab w:val="left" w:pos="4752"/>
        </w:tabs>
        <w:spacing w:line="240" w:lineRule="exact"/>
        <w:jc w:val="both"/>
        <w:rPr>
          <w:color w:val="auto"/>
        </w:rPr>
      </w:pPr>
    </w:p>
    <w:p w:rsidR="00E2331E" w:rsidRPr="00405B10" w:rsidRDefault="00A90D55">
      <w:pPr>
        <w:tabs>
          <w:tab w:val="left" w:pos="288"/>
          <w:tab w:val="left" w:pos="4752"/>
        </w:tabs>
        <w:spacing w:line="240" w:lineRule="exact"/>
        <w:jc w:val="both"/>
        <w:rPr>
          <w:color w:val="auto"/>
        </w:rPr>
      </w:pPr>
      <w:r w:rsidRPr="00405B10">
        <w:rPr>
          <w:caps/>
          <w:color w:val="auto"/>
          <w:u w:val="single"/>
        </w:rPr>
        <w:t>RATING COMPARISON</w:t>
      </w:r>
      <w:r w:rsidRPr="00405B10">
        <w:rPr>
          <w:color w:val="auto"/>
        </w:rPr>
        <w:t>:</w:t>
      </w:r>
    </w:p>
    <w:p w:rsidR="0035559B" w:rsidRPr="00405B10" w:rsidRDefault="0035559B">
      <w:pPr>
        <w:tabs>
          <w:tab w:val="left" w:pos="288"/>
          <w:tab w:val="left" w:pos="4752"/>
        </w:tabs>
        <w:spacing w:line="240" w:lineRule="exact"/>
        <w:jc w:val="both"/>
        <w:rPr>
          <w:color w:val="000080"/>
        </w:rPr>
      </w:pPr>
    </w:p>
    <w:tbl>
      <w:tblPr>
        <w:tblStyle w:val="TableGrid"/>
        <w:tblW w:w="10800" w:type="dxa"/>
        <w:jc w:val="center"/>
        <w:tblLayout w:type="fixed"/>
        <w:tblLook w:val="04A0"/>
      </w:tblPr>
      <w:tblGrid>
        <w:gridCol w:w="1710"/>
        <w:gridCol w:w="810"/>
        <w:gridCol w:w="990"/>
        <w:gridCol w:w="1260"/>
        <w:gridCol w:w="1800"/>
        <w:gridCol w:w="720"/>
        <w:gridCol w:w="990"/>
        <w:gridCol w:w="1170"/>
        <w:gridCol w:w="1350"/>
      </w:tblGrid>
      <w:tr w:rsidR="006C3FC6" w:rsidRPr="00405B10" w:rsidTr="00540AA0">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D63FF0" w:rsidRDefault="006C3FC6">
            <w:pPr>
              <w:pStyle w:val="ListParagraph"/>
              <w:spacing w:after="0" w:line="240" w:lineRule="auto"/>
              <w:ind w:left="0"/>
              <w:rPr>
                <w:b/>
                <w:u w:val="single"/>
              </w:rPr>
            </w:pPr>
            <w:r w:rsidRPr="00D63FF0">
              <w:rPr>
                <w:b/>
                <w:u w:val="single"/>
              </w:rPr>
              <w:t xml:space="preserve">Previous Determinations </w:t>
            </w:r>
          </w:p>
        </w:tc>
      </w:tr>
      <w:tr w:rsidR="006C3FC6" w:rsidRPr="00405B10" w:rsidTr="00D63FF0">
        <w:trPr>
          <w:trHeight w:val="264"/>
          <w:jc w:val="center"/>
        </w:trPr>
        <w:tc>
          <w:tcPr>
            <w:tcW w:w="477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D63FF0" w:rsidRDefault="006C3FC6">
            <w:pPr>
              <w:pStyle w:val="ListParagraph"/>
              <w:spacing w:after="0" w:line="240" w:lineRule="auto"/>
              <w:ind w:left="0"/>
              <w:jc w:val="center"/>
              <w:rPr>
                <w:b/>
                <w:u w:val="single"/>
              </w:rPr>
            </w:pPr>
            <w:r w:rsidRPr="00D63FF0">
              <w:rPr>
                <w:b/>
                <w:u w:val="single"/>
              </w:rPr>
              <w:t>Service</w:t>
            </w:r>
          </w:p>
        </w:tc>
        <w:tc>
          <w:tcPr>
            <w:tcW w:w="603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D63FF0" w:rsidRDefault="006C3FC6" w:rsidP="006C3FC6">
            <w:pPr>
              <w:pStyle w:val="ListParagraph"/>
              <w:spacing w:after="0" w:line="240" w:lineRule="auto"/>
              <w:ind w:left="0"/>
              <w:jc w:val="center"/>
              <w:rPr>
                <w:b/>
                <w:u w:val="single"/>
              </w:rPr>
            </w:pPr>
            <w:r w:rsidRPr="00D63FF0">
              <w:rPr>
                <w:b/>
                <w:u w:val="single"/>
              </w:rPr>
              <w:t>VA</w:t>
            </w:r>
          </w:p>
        </w:tc>
      </w:tr>
      <w:tr w:rsidR="00405B10" w:rsidRPr="00405B10" w:rsidTr="00D63FF0">
        <w:trPr>
          <w:trHeight w:val="280"/>
          <w:jc w:val="center"/>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D63FF0" w:rsidRDefault="006C3FC6">
            <w:pPr>
              <w:pStyle w:val="ListParagraph"/>
              <w:spacing w:after="0" w:line="240" w:lineRule="auto"/>
              <w:ind w:left="0"/>
              <w:jc w:val="center"/>
              <w:rPr>
                <w:b/>
                <w:u w:val="single"/>
              </w:rPr>
            </w:pPr>
            <w:r w:rsidRPr="00D63FF0">
              <w:rPr>
                <w:b/>
                <w:u w:val="single"/>
              </w:rPr>
              <w:t>PEB 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D63FF0" w:rsidRDefault="006C3FC6">
            <w:pPr>
              <w:pStyle w:val="ListParagraph"/>
              <w:spacing w:after="0" w:line="240" w:lineRule="auto"/>
              <w:ind w:left="0"/>
              <w:jc w:val="center"/>
              <w:rPr>
                <w:b/>
                <w:u w:val="single"/>
              </w:rPr>
            </w:pPr>
            <w:r w:rsidRPr="00D63FF0">
              <w:rPr>
                <w:b/>
                <w:u w:val="single"/>
              </w:rPr>
              <w:t>Code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D63FF0" w:rsidRDefault="006C3FC6">
            <w:pPr>
              <w:pStyle w:val="ListParagraph"/>
              <w:spacing w:after="0" w:line="240" w:lineRule="auto"/>
              <w:ind w:left="0"/>
              <w:jc w:val="center"/>
              <w:rPr>
                <w:b/>
                <w:u w:val="single"/>
              </w:rPr>
            </w:pPr>
            <w:r w:rsidRPr="00D63FF0">
              <w:rPr>
                <w:b/>
                <w:u w:val="single"/>
              </w:rPr>
              <w:t>Rating</w:t>
            </w:r>
          </w:p>
        </w:tc>
        <w:tc>
          <w:tcPr>
            <w:tcW w:w="126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D63FF0" w:rsidRDefault="006C3FC6">
            <w:pPr>
              <w:pStyle w:val="ListParagraph"/>
              <w:spacing w:after="0" w:line="240" w:lineRule="auto"/>
              <w:ind w:left="0"/>
              <w:jc w:val="center"/>
              <w:rPr>
                <w:b/>
                <w:u w:val="single"/>
              </w:rPr>
            </w:pPr>
            <w:r w:rsidRPr="00D63FF0">
              <w:rPr>
                <w:b/>
                <w:u w:val="single"/>
              </w:rPr>
              <w:t>Date</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D63FF0" w:rsidRDefault="006C3FC6">
            <w:pPr>
              <w:pStyle w:val="ListParagraph"/>
              <w:spacing w:after="0" w:line="240" w:lineRule="auto"/>
              <w:ind w:left="0"/>
              <w:jc w:val="center"/>
              <w:rPr>
                <w:b/>
                <w:u w:val="single"/>
              </w:rPr>
            </w:pPr>
            <w:r w:rsidRPr="00D63FF0">
              <w:rPr>
                <w:b/>
                <w:u w:val="single"/>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D63FF0" w:rsidRDefault="006C3FC6">
            <w:pPr>
              <w:pStyle w:val="ListParagraph"/>
              <w:spacing w:after="0" w:line="240" w:lineRule="auto"/>
              <w:ind w:left="0"/>
              <w:jc w:val="center"/>
              <w:rPr>
                <w:b/>
                <w:u w:val="single"/>
              </w:rPr>
            </w:pPr>
            <w:r w:rsidRPr="00D63FF0">
              <w:rPr>
                <w:b/>
                <w:u w:val="single"/>
              </w:rPr>
              <w:t>Code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D63FF0" w:rsidRDefault="006C3FC6">
            <w:pPr>
              <w:pStyle w:val="ListParagraph"/>
              <w:spacing w:after="0" w:line="240" w:lineRule="auto"/>
              <w:ind w:left="0"/>
              <w:jc w:val="center"/>
              <w:rPr>
                <w:b/>
                <w:u w:val="single"/>
              </w:rPr>
            </w:pPr>
            <w:r w:rsidRPr="00D63FF0">
              <w:rPr>
                <w:b/>
                <w:u w:val="single"/>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D63FF0" w:rsidRDefault="00006C1C">
            <w:pPr>
              <w:pStyle w:val="ListParagraph"/>
              <w:spacing w:after="0" w:line="240" w:lineRule="auto"/>
              <w:ind w:left="0"/>
              <w:jc w:val="center"/>
              <w:rPr>
                <w:b/>
                <w:u w:val="single"/>
              </w:rPr>
            </w:pPr>
            <w:r>
              <w:rPr>
                <w:b/>
                <w:u w:val="single"/>
              </w:rPr>
              <w:t>Effective</w:t>
            </w:r>
            <w:r w:rsidR="006C3FC6" w:rsidRPr="00D63FF0">
              <w:rPr>
                <w:b/>
                <w:u w:val="single"/>
              </w:rPr>
              <w:t xml:space="preserve"> Date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D63FF0" w:rsidRDefault="006C3FC6" w:rsidP="00006C1C">
            <w:pPr>
              <w:pStyle w:val="ListParagraph"/>
              <w:spacing w:after="0" w:line="240" w:lineRule="auto"/>
              <w:ind w:left="0"/>
              <w:jc w:val="center"/>
              <w:rPr>
                <w:b/>
                <w:u w:val="single"/>
              </w:rPr>
            </w:pPr>
            <w:proofErr w:type="spellStart"/>
            <w:r w:rsidRPr="00D63FF0">
              <w:rPr>
                <w:b/>
                <w:u w:val="single"/>
              </w:rPr>
              <w:t>E</w:t>
            </w:r>
            <w:r w:rsidR="00006C1C">
              <w:rPr>
                <w:b/>
                <w:u w:val="single"/>
              </w:rPr>
              <w:t>xam</w:t>
            </w:r>
            <w:r w:rsidRPr="00D63FF0">
              <w:rPr>
                <w:b/>
                <w:u w:val="single"/>
              </w:rPr>
              <w:t>date</w:t>
            </w:r>
            <w:proofErr w:type="spellEnd"/>
          </w:p>
        </w:tc>
      </w:tr>
      <w:tr w:rsidR="00D63FF0" w:rsidRPr="00405B10" w:rsidTr="00D63FF0">
        <w:trPr>
          <w:trHeight w:val="280"/>
          <w:jc w:val="center"/>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05B10" w:rsidRPr="00D63FF0" w:rsidRDefault="00405B10" w:rsidP="00ED1526">
            <w:pPr>
              <w:pStyle w:val="ListParagraph"/>
              <w:ind w:left="0"/>
            </w:pPr>
            <w:r w:rsidRPr="00D63FF0">
              <w:t>Conversion disorder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05B10" w:rsidRPr="00D63FF0" w:rsidRDefault="00405B10" w:rsidP="00ED1526">
            <w:pPr>
              <w:pStyle w:val="ListParagraph"/>
              <w:ind w:left="0"/>
              <w:jc w:val="center"/>
            </w:pPr>
            <w:r w:rsidRPr="00D63FF0">
              <w:t>9424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05B10" w:rsidRPr="00D63FF0" w:rsidRDefault="00405B10" w:rsidP="00ED1526">
            <w:pPr>
              <w:pStyle w:val="ListParagraph"/>
              <w:ind w:left="0"/>
              <w:jc w:val="center"/>
            </w:pPr>
            <w:r w:rsidRPr="00D63FF0">
              <w:t>10%</w:t>
            </w:r>
          </w:p>
        </w:tc>
        <w:tc>
          <w:tcPr>
            <w:tcW w:w="126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05B10" w:rsidRPr="00D63FF0" w:rsidRDefault="00405B10" w:rsidP="00ED1526">
            <w:pPr>
              <w:pStyle w:val="ListParagraph"/>
              <w:ind w:left="0"/>
              <w:jc w:val="center"/>
            </w:pPr>
            <w:r w:rsidRPr="00D63FF0">
              <w:t>20050110</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405B10" w:rsidRPr="00D63FF0" w:rsidRDefault="00405B10" w:rsidP="00ED1526">
            <w:pPr>
              <w:pStyle w:val="ListParagraph"/>
              <w:ind w:left="0"/>
            </w:pPr>
            <w:r w:rsidRPr="00D63FF0">
              <w:t xml:space="preserve">Adjustment disorder with anxiety and </w:t>
            </w:r>
            <w:r w:rsidRPr="00D63FF0">
              <w:lastRenderedPageBreak/>
              <w:t xml:space="preserve">tension HA (also claimed as conversion disorder with </w:t>
            </w:r>
            <w:proofErr w:type="spellStart"/>
            <w:r w:rsidRPr="00D63FF0">
              <w:t>pseudoseizures</w:t>
            </w:r>
            <w:proofErr w:type="spellEnd"/>
            <w:r w:rsidRPr="00D63FF0">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05B10" w:rsidRPr="00D63FF0" w:rsidRDefault="00405B10" w:rsidP="00ED1526">
            <w:pPr>
              <w:pStyle w:val="ListParagraph"/>
              <w:ind w:left="0"/>
              <w:jc w:val="center"/>
            </w:pPr>
            <w:r w:rsidRPr="00D63FF0">
              <w:lastRenderedPageBreak/>
              <w:t>9413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05B10" w:rsidRPr="00D63FF0" w:rsidRDefault="00405B10" w:rsidP="00ED1526">
            <w:pPr>
              <w:pStyle w:val="ListParagraph"/>
              <w:ind w:left="0"/>
              <w:jc w:val="center"/>
            </w:pPr>
            <w:r w:rsidRPr="00D63FF0">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05B10" w:rsidRPr="00D63FF0" w:rsidRDefault="00405B10" w:rsidP="00ED1526">
            <w:pPr>
              <w:pStyle w:val="ListParagraph"/>
              <w:ind w:left="0"/>
              <w:jc w:val="center"/>
            </w:pPr>
            <w:r w:rsidRPr="00D63FF0">
              <w:t>20050316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05B10" w:rsidRPr="00D63FF0" w:rsidRDefault="00405B10" w:rsidP="00ED1526">
            <w:pPr>
              <w:pStyle w:val="ListParagraph"/>
              <w:ind w:left="0"/>
              <w:jc w:val="center"/>
            </w:pPr>
            <w:r w:rsidRPr="00D63FF0">
              <w:t>20050702</w:t>
            </w:r>
          </w:p>
        </w:tc>
      </w:tr>
      <w:tr w:rsidR="00D63FF0" w:rsidRPr="00405B10" w:rsidTr="00D63FF0">
        <w:trPr>
          <w:trHeight w:val="264"/>
          <w:jc w:val="center"/>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pPr>
            <w:r w:rsidRPr="00D63FF0">
              <w:lastRenderedPageBreak/>
              <w:t>History of low back pain</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D63FF0">
            <w:pPr>
              <w:pStyle w:val="ListParagraph"/>
              <w:ind w:left="0"/>
              <w:jc w:val="center"/>
            </w:pPr>
            <w:r w:rsidRPr="00D63FF0">
              <w:t>Cat II</w:t>
            </w:r>
          </w:p>
          <w:p w:rsidR="00D63FF0" w:rsidRPr="00D63FF0" w:rsidRDefault="00D63FF0" w:rsidP="00D63FF0">
            <w:pPr>
              <w:pStyle w:val="ListParagraph"/>
              <w:ind w:left="0"/>
              <w:jc w:val="center"/>
            </w:pPr>
            <w:r w:rsidRPr="00D63FF0">
              <w:t>Related Diagnosis</w:t>
            </w:r>
          </w:p>
        </w:tc>
        <w:tc>
          <w:tcPr>
            <w:tcW w:w="126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63FF0" w:rsidRPr="00D63FF0" w:rsidRDefault="00D63FF0" w:rsidP="00ED1526">
            <w:pPr>
              <w:rPr>
                <w:color w:val="auto"/>
              </w:rPr>
            </w:pPr>
            <w:r w:rsidRPr="00D63FF0">
              <w:rPr>
                <w:color w:val="auto"/>
              </w:rPr>
              <w:t>20050110</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pPr>
            <w:r w:rsidRPr="00D63FF0">
              <w:t>Lumbar strain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jc w:val="center"/>
            </w:pPr>
            <w:r w:rsidRPr="00D63FF0">
              <w:t>5237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jc w:val="center"/>
            </w:pPr>
            <w:r w:rsidRPr="00D63FF0">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jc w:val="center"/>
            </w:pPr>
            <w:r w:rsidRPr="00D63FF0">
              <w:t>20050316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jc w:val="center"/>
            </w:pPr>
            <w:r w:rsidRPr="00D63FF0">
              <w:t>20050702</w:t>
            </w:r>
          </w:p>
        </w:tc>
      </w:tr>
      <w:tr w:rsidR="00D63FF0" w:rsidRPr="00405B10" w:rsidTr="00D63FF0">
        <w:trPr>
          <w:trHeight w:val="216"/>
          <w:jc w:val="center"/>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pPr>
            <w:proofErr w:type="spellStart"/>
            <w:r>
              <w:t>Pseudo</w:t>
            </w:r>
            <w:r w:rsidRPr="00D63FF0">
              <w:t>seizures</w:t>
            </w:r>
            <w:proofErr w:type="spellEnd"/>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D63FF0">
            <w:pPr>
              <w:pStyle w:val="ListParagraph"/>
              <w:ind w:left="0"/>
              <w:jc w:val="center"/>
            </w:pPr>
            <w:r w:rsidRPr="00D63FF0">
              <w:t>Cat II</w:t>
            </w:r>
          </w:p>
          <w:p w:rsidR="00D63FF0" w:rsidRPr="00D63FF0" w:rsidRDefault="00D63FF0" w:rsidP="00D63FF0">
            <w:pPr>
              <w:pStyle w:val="ListParagraph"/>
              <w:ind w:left="0"/>
              <w:jc w:val="center"/>
            </w:pPr>
            <w:r w:rsidRPr="00D63FF0">
              <w:t>Related Diagnosis</w:t>
            </w:r>
          </w:p>
        </w:tc>
        <w:tc>
          <w:tcPr>
            <w:tcW w:w="126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63FF0" w:rsidRPr="00D63FF0" w:rsidRDefault="00D63FF0" w:rsidP="00ED1526">
            <w:pPr>
              <w:rPr>
                <w:color w:val="auto"/>
              </w:rPr>
            </w:pPr>
            <w:r w:rsidRPr="00D63FF0">
              <w:rPr>
                <w:color w:val="auto"/>
              </w:rPr>
              <w:t>20050110</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jc w:val="cente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540AA0">
            <w:pPr>
              <w:pStyle w:val="ListParagraph"/>
              <w:spacing w:after="0" w:line="240" w:lineRule="auto"/>
              <w:ind w:left="0"/>
              <w:rPr>
                <w:b/>
                <w:highlight w:val="yellow"/>
              </w:rPr>
            </w:pPr>
          </w:p>
        </w:tc>
      </w:tr>
      <w:tr w:rsidR="00D63FF0" w:rsidRPr="00405B10" w:rsidTr="00D63FF0">
        <w:trPr>
          <w:trHeight w:val="280"/>
          <w:jc w:val="center"/>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pPr>
            <w:r w:rsidRPr="00D63FF0">
              <w:t>Chronic daily headaches</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D63FF0">
            <w:pPr>
              <w:pStyle w:val="ListParagraph"/>
              <w:ind w:left="0"/>
              <w:jc w:val="center"/>
            </w:pPr>
            <w:r w:rsidRPr="00D63FF0">
              <w:t>Cat II</w:t>
            </w:r>
          </w:p>
          <w:p w:rsidR="00D63FF0" w:rsidRPr="00D63FF0" w:rsidRDefault="00D63FF0" w:rsidP="00D63FF0">
            <w:pPr>
              <w:pStyle w:val="ListParagraph"/>
              <w:ind w:left="0"/>
              <w:jc w:val="center"/>
            </w:pPr>
            <w:r w:rsidRPr="00D63FF0">
              <w:t>Related Diagnosis</w:t>
            </w:r>
          </w:p>
        </w:tc>
        <w:tc>
          <w:tcPr>
            <w:tcW w:w="126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63FF0" w:rsidRPr="00D63FF0" w:rsidRDefault="00D63FF0" w:rsidP="00ED1526">
            <w:pPr>
              <w:rPr>
                <w:color w:val="auto"/>
              </w:rPr>
            </w:pPr>
            <w:r w:rsidRPr="00D63FF0">
              <w:rPr>
                <w:color w:val="auto"/>
              </w:rPr>
              <w:t>20050110</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jc w:val="cente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6C3FC6">
            <w:pPr>
              <w:pStyle w:val="ListParagraph"/>
              <w:spacing w:after="0" w:line="240" w:lineRule="auto"/>
              <w:ind w:left="0"/>
              <w:rPr>
                <w:rFonts w:cs="Times New Roman"/>
                <w:highlight w:val="yellow"/>
              </w:rPr>
            </w:pPr>
          </w:p>
        </w:tc>
      </w:tr>
      <w:tr w:rsidR="00D63FF0" w:rsidRPr="00405B10" w:rsidTr="00D63FF0">
        <w:trPr>
          <w:trHeight w:val="233"/>
          <w:jc w:val="center"/>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63FF0" w:rsidRPr="00D63FF0" w:rsidRDefault="00D63FF0" w:rsidP="00405B10">
            <w:pPr>
              <w:pStyle w:val="ListParagraph"/>
              <w:ind w:left="0"/>
            </w:pPr>
            <w:r w:rsidRPr="00D63FF0">
              <w:t>Histrionic personality disorder</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D63FF0" w:rsidRPr="00D63FF0" w:rsidRDefault="00D63FF0" w:rsidP="00D63FF0">
            <w:pPr>
              <w:pStyle w:val="ListParagraph"/>
              <w:ind w:left="0"/>
              <w:jc w:val="center"/>
            </w:pPr>
            <w:r w:rsidRPr="00D63FF0">
              <w:t>Cat IV</w:t>
            </w:r>
          </w:p>
          <w:p w:rsidR="00D63FF0" w:rsidRPr="00D63FF0" w:rsidRDefault="00D63FF0" w:rsidP="00D63FF0">
            <w:pPr>
              <w:pStyle w:val="ListParagraph"/>
              <w:ind w:left="0"/>
              <w:jc w:val="center"/>
            </w:pPr>
            <w:r w:rsidRPr="00D63FF0">
              <w:t>Not a disability</w:t>
            </w:r>
          </w:p>
        </w:tc>
        <w:tc>
          <w:tcPr>
            <w:tcW w:w="126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D63FF0" w:rsidRPr="00D63FF0" w:rsidRDefault="00D63FF0" w:rsidP="00ED1526">
            <w:pPr>
              <w:rPr>
                <w:color w:val="auto"/>
              </w:rPr>
            </w:pPr>
            <w:r w:rsidRPr="00D63FF0">
              <w:rPr>
                <w:color w:val="auto"/>
              </w:rPr>
              <w:t>20050110</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jc w:val="cente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jc w:val="cente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ED1526">
            <w:pPr>
              <w:pStyle w:val="ListParagraph"/>
              <w:ind w:left="0"/>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63FF0" w:rsidRPr="00D63FF0" w:rsidRDefault="00D63FF0" w:rsidP="00090264">
            <w:pPr>
              <w:pStyle w:val="ListParagraph"/>
              <w:spacing w:after="0" w:line="240" w:lineRule="auto"/>
              <w:ind w:left="0"/>
              <w:rPr>
                <w:rFonts w:cs="Times New Roman"/>
                <w:highlight w:val="yellow"/>
              </w:rPr>
            </w:pPr>
          </w:p>
        </w:tc>
      </w:tr>
      <w:tr w:rsidR="00405B10" w:rsidRPr="00405B10" w:rsidTr="00D63FF0">
        <w:trPr>
          <w:trHeight w:val="280"/>
          <w:jc w:val="center"/>
        </w:trPr>
        <w:tc>
          <w:tcPr>
            <w:tcW w:w="477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05B10" w:rsidRPr="00D63FF0" w:rsidRDefault="00405B10" w:rsidP="00ED1526">
            <w:pPr>
              <w:pStyle w:val="ListParagraph"/>
              <w:ind w:left="0"/>
              <w:jc w:val="center"/>
              <w:rPr>
                <w:b/>
              </w:rPr>
            </w:pPr>
            <w:r w:rsidRPr="00D63FF0">
              <w:rPr>
                <w:b/>
              </w:rPr>
              <w:t>TOTAL Combined:   10%</w:t>
            </w:r>
          </w:p>
        </w:tc>
        <w:tc>
          <w:tcPr>
            <w:tcW w:w="603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05B10" w:rsidRPr="00D63FF0" w:rsidRDefault="00405B10" w:rsidP="00ED1526">
            <w:pPr>
              <w:pStyle w:val="ListParagraph"/>
              <w:ind w:left="0"/>
              <w:jc w:val="center"/>
              <w:rPr>
                <w:b/>
              </w:rPr>
            </w:pPr>
            <w:r w:rsidRPr="00D63FF0">
              <w:rPr>
                <w:b/>
              </w:rPr>
              <w:t>TOTAL Combined (</w:t>
            </w:r>
            <w:proofErr w:type="spellStart"/>
            <w:r w:rsidRPr="00D63FF0">
              <w:rPr>
                <w:b/>
                <w:i/>
              </w:rPr>
              <w:t>incl</w:t>
            </w:r>
            <w:proofErr w:type="spellEnd"/>
            <w:r w:rsidRPr="00D63FF0">
              <w:rPr>
                <w:b/>
                <w:i/>
              </w:rPr>
              <w:t xml:space="preserve"> non-PEB </w:t>
            </w:r>
            <w:proofErr w:type="spellStart"/>
            <w:r w:rsidRPr="00D63FF0">
              <w:rPr>
                <w:b/>
                <w:i/>
              </w:rPr>
              <w:t>Dxs</w:t>
            </w:r>
            <w:proofErr w:type="spellEnd"/>
            <w:r w:rsidRPr="00D63FF0">
              <w:rPr>
                <w:b/>
              </w:rPr>
              <w:t xml:space="preserve">):   20% </w:t>
            </w:r>
          </w:p>
        </w:tc>
      </w:tr>
    </w:tbl>
    <w:p w:rsidR="00A90D55" w:rsidRPr="00405B10" w:rsidRDefault="00A90D55" w:rsidP="00A90D55">
      <w:pPr>
        <w:tabs>
          <w:tab w:val="left" w:pos="288"/>
          <w:tab w:val="left" w:pos="4752"/>
        </w:tabs>
        <w:spacing w:line="240" w:lineRule="exact"/>
        <w:jc w:val="both"/>
        <w:rPr>
          <w:color w:val="000080"/>
        </w:rPr>
      </w:pPr>
      <w:r w:rsidRPr="00405B10">
        <w:rPr>
          <w:color w:val="000080"/>
        </w:rPr>
        <w:t>________________________________________________________________</w:t>
      </w:r>
    </w:p>
    <w:p w:rsidR="00A90D55" w:rsidRPr="00405B10" w:rsidRDefault="00A90D55" w:rsidP="00E2331E">
      <w:pPr>
        <w:tabs>
          <w:tab w:val="left" w:pos="288"/>
          <w:tab w:val="left" w:pos="4752"/>
        </w:tabs>
        <w:spacing w:line="240" w:lineRule="exact"/>
        <w:jc w:val="both"/>
        <w:rPr>
          <w:color w:val="000080"/>
          <w:szCs w:val="24"/>
        </w:rPr>
      </w:pPr>
    </w:p>
    <w:p w:rsidR="00A90D55" w:rsidRDefault="00A90D55" w:rsidP="00E2331E">
      <w:pPr>
        <w:tabs>
          <w:tab w:val="left" w:pos="288"/>
          <w:tab w:val="left" w:pos="4752"/>
        </w:tabs>
        <w:spacing w:line="240" w:lineRule="exact"/>
        <w:jc w:val="both"/>
        <w:rPr>
          <w:color w:val="auto"/>
          <w:szCs w:val="24"/>
        </w:rPr>
      </w:pPr>
      <w:r w:rsidRPr="00404C11">
        <w:rPr>
          <w:caps/>
          <w:color w:val="auto"/>
          <w:szCs w:val="24"/>
          <w:u w:val="single"/>
        </w:rPr>
        <w:t>ANALYSIS SUMMARY</w:t>
      </w:r>
      <w:r w:rsidRPr="00404C11">
        <w:rPr>
          <w:color w:val="auto"/>
          <w:szCs w:val="24"/>
        </w:rPr>
        <w:t>:</w:t>
      </w:r>
    </w:p>
    <w:p w:rsidR="0092645D" w:rsidRPr="00404C11" w:rsidRDefault="0092645D" w:rsidP="00E2331E">
      <w:pPr>
        <w:tabs>
          <w:tab w:val="left" w:pos="288"/>
          <w:tab w:val="left" w:pos="4752"/>
        </w:tabs>
        <w:spacing w:line="240" w:lineRule="exact"/>
        <w:jc w:val="both"/>
        <w:rPr>
          <w:color w:val="auto"/>
          <w:szCs w:val="24"/>
        </w:rPr>
      </w:pPr>
    </w:p>
    <w:p w:rsidR="00A90D55" w:rsidRDefault="001D0F22" w:rsidP="00E2331E">
      <w:pPr>
        <w:tabs>
          <w:tab w:val="left" w:pos="288"/>
          <w:tab w:val="left" w:pos="4752"/>
        </w:tabs>
        <w:spacing w:line="240" w:lineRule="exact"/>
        <w:jc w:val="both"/>
        <w:rPr>
          <w:color w:val="auto"/>
          <w:szCs w:val="24"/>
          <w:u w:val="single"/>
        </w:rPr>
      </w:pPr>
      <w:r w:rsidRPr="00404C11">
        <w:rPr>
          <w:color w:val="auto"/>
          <w:szCs w:val="24"/>
          <w:u w:val="single"/>
        </w:rPr>
        <w:t>Conversion disorder</w:t>
      </w:r>
    </w:p>
    <w:p w:rsidR="00A90D55" w:rsidRDefault="009C147B" w:rsidP="00E2331E">
      <w:pPr>
        <w:tabs>
          <w:tab w:val="left" w:pos="288"/>
          <w:tab w:val="left" w:pos="4752"/>
        </w:tabs>
        <w:spacing w:line="240" w:lineRule="exact"/>
        <w:jc w:val="both"/>
        <w:rPr>
          <w:color w:val="auto"/>
          <w:szCs w:val="24"/>
        </w:rPr>
      </w:pPr>
      <w:r>
        <w:rPr>
          <w:color w:val="auto"/>
          <w:szCs w:val="24"/>
        </w:rPr>
        <w:t xml:space="preserve">Following an evaluation done at the request of the PEB, the Navy psychiatrist determined the CI had Axis I: Conversion disorder; Axis II Histrionic personality traits (not disorder as listed on the PEB proceedings); Axis III History of syncope, low back pain, headaches; and Axis IV GAF 51-60. </w:t>
      </w:r>
      <w:r w:rsidR="0092645D">
        <w:rPr>
          <w:color w:val="auto"/>
          <w:szCs w:val="24"/>
        </w:rPr>
        <w:t xml:space="preserve"> </w:t>
      </w:r>
      <w:r>
        <w:rPr>
          <w:color w:val="auto"/>
          <w:szCs w:val="24"/>
        </w:rPr>
        <w:t>The mental status exam was normal except for poor insight and judgment and the CI was determined to be psychologically fit for full duty and responsible for his actions.</w:t>
      </w:r>
      <w:r w:rsidR="0092645D">
        <w:rPr>
          <w:color w:val="auto"/>
          <w:szCs w:val="24"/>
        </w:rPr>
        <w:t xml:space="preserve"> </w:t>
      </w:r>
      <w:r>
        <w:rPr>
          <w:color w:val="auto"/>
          <w:szCs w:val="24"/>
        </w:rPr>
        <w:t xml:space="preserve"> However, the PEB work card suggests the PEB determined the CI was unfit because of this condition secondary to recurrent disruptive episodes and consequent burdensome medical evaluations. It was stated that he will continue to have these episodes as before and should be considered unfit. </w:t>
      </w:r>
      <w:r w:rsidR="0092645D">
        <w:rPr>
          <w:color w:val="auto"/>
          <w:szCs w:val="24"/>
        </w:rPr>
        <w:t xml:space="preserve"> </w:t>
      </w:r>
      <w:r>
        <w:rPr>
          <w:color w:val="auto"/>
          <w:szCs w:val="24"/>
        </w:rPr>
        <w:t xml:space="preserve">The </w:t>
      </w:r>
      <w:r w:rsidR="008740AB">
        <w:rPr>
          <w:color w:val="auto"/>
          <w:szCs w:val="24"/>
        </w:rPr>
        <w:t>C</w:t>
      </w:r>
      <w:r>
        <w:rPr>
          <w:color w:val="auto"/>
          <w:szCs w:val="24"/>
        </w:rPr>
        <w:t>ommander’s letter was not very specific but stated the CI was not able to perform any meaningful tasks and missed eight hours of work each week for medical appointments and evaluations.</w:t>
      </w:r>
      <w:r w:rsidR="0092645D">
        <w:rPr>
          <w:color w:val="auto"/>
          <w:szCs w:val="24"/>
        </w:rPr>
        <w:t xml:space="preserve"> </w:t>
      </w:r>
      <w:r>
        <w:rPr>
          <w:color w:val="auto"/>
          <w:szCs w:val="24"/>
        </w:rPr>
        <w:t xml:space="preserve"> According to the work card, one PEB member </w:t>
      </w:r>
      <w:r w:rsidR="00006C1C">
        <w:rPr>
          <w:color w:val="auto"/>
          <w:szCs w:val="24"/>
        </w:rPr>
        <w:t xml:space="preserve">thought the CI was fit (at least initially). </w:t>
      </w:r>
      <w:r w:rsidR="0092645D">
        <w:rPr>
          <w:color w:val="auto"/>
          <w:szCs w:val="24"/>
        </w:rPr>
        <w:t xml:space="preserve"> </w:t>
      </w:r>
      <w:r w:rsidR="00006C1C">
        <w:rPr>
          <w:color w:val="auto"/>
          <w:szCs w:val="24"/>
        </w:rPr>
        <w:t xml:space="preserve">The PEB determined the CI was unfit for Conversion disorder and rated it at 10%. </w:t>
      </w:r>
      <w:r w:rsidR="0092645D">
        <w:rPr>
          <w:color w:val="auto"/>
          <w:szCs w:val="24"/>
        </w:rPr>
        <w:t xml:space="preserve"> </w:t>
      </w:r>
      <w:r w:rsidR="00006C1C">
        <w:rPr>
          <w:color w:val="auto"/>
          <w:szCs w:val="24"/>
        </w:rPr>
        <w:t>No rationale for this rating is available.</w:t>
      </w:r>
    </w:p>
    <w:p w:rsidR="00006C1C" w:rsidRDefault="00006C1C" w:rsidP="00E2331E">
      <w:pPr>
        <w:tabs>
          <w:tab w:val="left" w:pos="288"/>
          <w:tab w:val="left" w:pos="4752"/>
        </w:tabs>
        <w:spacing w:line="240" w:lineRule="exact"/>
        <w:jc w:val="both"/>
        <w:rPr>
          <w:color w:val="auto"/>
          <w:szCs w:val="24"/>
        </w:rPr>
      </w:pPr>
    </w:p>
    <w:p w:rsidR="00BC194D" w:rsidRDefault="00006C1C" w:rsidP="00E2331E">
      <w:pPr>
        <w:tabs>
          <w:tab w:val="left" w:pos="288"/>
          <w:tab w:val="left" w:pos="4752"/>
        </w:tabs>
        <w:spacing w:line="240" w:lineRule="exact"/>
        <w:jc w:val="both"/>
        <w:rPr>
          <w:color w:val="auto"/>
          <w:szCs w:val="24"/>
        </w:rPr>
      </w:pPr>
      <w:r>
        <w:rPr>
          <w:color w:val="auto"/>
          <w:szCs w:val="24"/>
        </w:rPr>
        <w:t xml:space="preserve">Using an evaluation done two months after separation, the Veterans Administration (VA) rated this disability as 9413 Adjustment disorder with anxiety and tension headaches (also claimed as conversion disorder with </w:t>
      </w:r>
      <w:proofErr w:type="spellStart"/>
      <w:r>
        <w:rPr>
          <w:color w:val="auto"/>
          <w:szCs w:val="24"/>
        </w:rPr>
        <w:t>pseudoseizure</w:t>
      </w:r>
      <w:proofErr w:type="spellEnd"/>
      <w:r>
        <w:rPr>
          <w:color w:val="auto"/>
          <w:szCs w:val="24"/>
        </w:rPr>
        <w:t>) at 10%.</w:t>
      </w:r>
      <w:r w:rsidR="00200B9F">
        <w:rPr>
          <w:color w:val="auto"/>
          <w:szCs w:val="24"/>
        </w:rPr>
        <w:t xml:space="preserve"> </w:t>
      </w:r>
      <w:r w:rsidR="0092645D">
        <w:rPr>
          <w:color w:val="auto"/>
          <w:szCs w:val="24"/>
        </w:rPr>
        <w:t xml:space="preserve"> </w:t>
      </w:r>
      <w:r w:rsidR="008740AB">
        <w:rPr>
          <w:color w:val="auto"/>
          <w:szCs w:val="24"/>
        </w:rPr>
        <w:t xml:space="preserve">The VA psychiatrist determined that the CI did not have a conversion disorder. </w:t>
      </w:r>
      <w:r w:rsidR="0092645D">
        <w:rPr>
          <w:color w:val="auto"/>
          <w:szCs w:val="24"/>
        </w:rPr>
        <w:t xml:space="preserve"> </w:t>
      </w:r>
      <w:r w:rsidR="008740AB">
        <w:rPr>
          <w:color w:val="auto"/>
          <w:szCs w:val="24"/>
        </w:rPr>
        <w:t xml:space="preserve">The examiner’s impression was that a more accurate </w:t>
      </w:r>
      <w:r w:rsidR="008740AB">
        <w:rPr>
          <w:color w:val="auto"/>
          <w:szCs w:val="24"/>
        </w:rPr>
        <w:lastRenderedPageBreak/>
        <w:t>diagnosis would be an adjustment disorder with anxiety as he only developed the seizure-like episodes towards the end of his military service and had significant relief since being discharged from the service.</w:t>
      </w:r>
      <w:r w:rsidR="0092645D">
        <w:rPr>
          <w:color w:val="auto"/>
          <w:szCs w:val="24"/>
        </w:rPr>
        <w:t xml:space="preserve"> </w:t>
      </w:r>
      <w:r w:rsidR="008740AB">
        <w:rPr>
          <w:color w:val="auto"/>
          <w:szCs w:val="24"/>
        </w:rPr>
        <w:t xml:space="preserve"> </w:t>
      </w:r>
      <w:r w:rsidR="00200B9F">
        <w:rPr>
          <w:color w:val="auto"/>
          <w:szCs w:val="24"/>
        </w:rPr>
        <w:t xml:space="preserve">At the </w:t>
      </w:r>
      <w:r w:rsidR="008740AB">
        <w:rPr>
          <w:color w:val="auto"/>
          <w:szCs w:val="24"/>
        </w:rPr>
        <w:t>time</w:t>
      </w:r>
      <w:r w:rsidR="00200B9F">
        <w:rPr>
          <w:color w:val="auto"/>
          <w:szCs w:val="24"/>
        </w:rPr>
        <w:t xml:space="preserve"> of evaluation the CI was </w:t>
      </w:r>
      <w:r w:rsidR="008740AB">
        <w:rPr>
          <w:color w:val="auto"/>
          <w:szCs w:val="24"/>
        </w:rPr>
        <w:t xml:space="preserve">on anti-anxiety medication and was </w:t>
      </w:r>
      <w:r w:rsidR="00200B9F">
        <w:rPr>
          <w:color w:val="auto"/>
          <w:szCs w:val="24"/>
        </w:rPr>
        <w:t>asymptomatic</w:t>
      </w:r>
      <w:r w:rsidR="008740AB">
        <w:rPr>
          <w:color w:val="auto"/>
          <w:szCs w:val="24"/>
        </w:rPr>
        <w:t>.</w:t>
      </w:r>
      <w:r w:rsidR="00200B9F">
        <w:rPr>
          <w:color w:val="auto"/>
          <w:szCs w:val="24"/>
        </w:rPr>
        <w:t xml:space="preserve"> </w:t>
      </w:r>
    </w:p>
    <w:p w:rsidR="00404C11" w:rsidRPr="00404C11" w:rsidRDefault="00404C11" w:rsidP="00E2331E">
      <w:pPr>
        <w:tabs>
          <w:tab w:val="left" w:pos="288"/>
          <w:tab w:val="left" w:pos="4752"/>
        </w:tabs>
        <w:spacing w:line="240" w:lineRule="exact"/>
        <w:jc w:val="both"/>
        <w:rPr>
          <w:color w:val="auto"/>
          <w:szCs w:val="24"/>
        </w:rPr>
      </w:pPr>
    </w:p>
    <w:p w:rsidR="00E2331E" w:rsidRDefault="00404C11" w:rsidP="00E2331E">
      <w:pPr>
        <w:tabs>
          <w:tab w:val="left" w:pos="288"/>
          <w:tab w:val="left" w:pos="4752"/>
        </w:tabs>
        <w:spacing w:line="240" w:lineRule="exact"/>
        <w:jc w:val="both"/>
        <w:rPr>
          <w:color w:val="auto"/>
          <w:szCs w:val="24"/>
          <w:u w:val="single"/>
        </w:rPr>
      </w:pPr>
      <w:r>
        <w:rPr>
          <w:color w:val="auto"/>
          <w:szCs w:val="24"/>
          <w:u w:val="single"/>
        </w:rPr>
        <w:t>Low back pain</w:t>
      </w:r>
    </w:p>
    <w:p w:rsidR="00C01490" w:rsidRDefault="00BC194D" w:rsidP="00E2331E">
      <w:pPr>
        <w:tabs>
          <w:tab w:val="left" w:pos="288"/>
          <w:tab w:val="left" w:pos="4752"/>
        </w:tabs>
        <w:spacing w:line="240" w:lineRule="exact"/>
        <w:jc w:val="both"/>
        <w:rPr>
          <w:color w:val="auto"/>
          <w:szCs w:val="24"/>
        </w:rPr>
      </w:pPr>
      <w:r w:rsidRPr="00BC194D">
        <w:rPr>
          <w:color w:val="auto"/>
          <w:szCs w:val="24"/>
        </w:rPr>
        <w:t xml:space="preserve">The Navy PEB considered the CI’s back pain to be </w:t>
      </w:r>
      <w:r>
        <w:rPr>
          <w:color w:val="auto"/>
          <w:szCs w:val="24"/>
        </w:rPr>
        <w:t xml:space="preserve">a diagnosis related to his conversion disorder, category II, and therefore did not rate it as a separately unfitting condition. </w:t>
      </w:r>
    </w:p>
    <w:p w:rsidR="00C01490" w:rsidRDefault="00C01490" w:rsidP="00E2331E">
      <w:pPr>
        <w:tabs>
          <w:tab w:val="left" w:pos="288"/>
          <w:tab w:val="left" w:pos="4752"/>
        </w:tabs>
        <w:spacing w:line="240" w:lineRule="exact"/>
        <w:jc w:val="both"/>
        <w:rPr>
          <w:color w:val="auto"/>
          <w:szCs w:val="24"/>
        </w:rPr>
      </w:pPr>
    </w:p>
    <w:p w:rsidR="00C01490" w:rsidRPr="00BC194D" w:rsidRDefault="00C01490" w:rsidP="00C01490">
      <w:pPr>
        <w:tabs>
          <w:tab w:val="left" w:pos="288"/>
          <w:tab w:val="left" w:pos="4752"/>
        </w:tabs>
        <w:spacing w:line="240" w:lineRule="exact"/>
        <w:jc w:val="both"/>
        <w:rPr>
          <w:color w:val="auto"/>
          <w:szCs w:val="24"/>
        </w:rPr>
      </w:pPr>
      <w:r>
        <w:rPr>
          <w:color w:val="auto"/>
          <w:szCs w:val="24"/>
        </w:rPr>
        <w:t xml:space="preserve">Using an evaluation done two months after separation, the VA rated this disability as 5237 lumbar strain at 10%. </w:t>
      </w:r>
    </w:p>
    <w:p w:rsidR="00C01490" w:rsidRDefault="00C01490" w:rsidP="00C01490">
      <w:pPr>
        <w:tabs>
          <w:tab w:val="left" w:pos="288"/>
          <w:tab w:val="left" w:pos="4752"/>
        </w:tabs>
        <w:spacing w:line="240" w:lineRule="exact"/>
        <w:jc w:val="both"/>
        <w:rPr>
          <w:color w:val="auto"/>
          <w:szCs w:val="24"/>
          <w:u w:val="single"/>
        </w:rPr>
      </w:pPr>
    </w:p>
    <w:p w:rsidR="00A86BD5" w:rsidRDefault="00C01490" w:rsidP="00E2331E">
      <w:pPr>
        <w:tabs>
          <w:tab w:val="left" w:pos="288"/>
          <w:tab w:val="left" w:pos="4752"/>
        </w:tabs>
        <w:spacing w:line="240" w:lineRule="exact"/>
        <w:jc w:val="both"/>
        <w:rPr>
          <w:color w:val="auto"/>
          <w:szCs w:val="24"/>
        </w:rPr>
      </w:pPr>
      <w:r>
        <w:rPr>
          <w:color w:val="auto"/>
          <w:szCs w:val="24"/>
        </w:rPr>
        <w:t xml:space="preserve">Unlike </w:t>
      </w:r>
      <w:proofErr w:type="spellStart"/>
      <w:r>
        <w:rPr>
          <w:color w:val="auto"/>
          <w:szCs w:val="24"/>
        </w:rPr>
        <w:t>somatization</w:t>
      </w:r>
      <w:proofErr w:type="spellEnd"/>
      <w:r>
        <w:rPr>
          <w:color w:val="auto"/>
          <w:szCs w:val="24"/>
        </w:rPr>
        <w:t xml:space="preserve"> disorder, conversion disorder does not include multiple physical complaints.</w:t>
      </w:r>
      <w:r w:rsidR="0092645D">
        <w:rPr>
          <w:color w:val="auto"/>
          <w:szCs w:val="24"/>
        </w:rPr>
        <w:t xml:space="preserve"> </w:t>
      </w:r>
      <w:r>
        <w:rPr>
          <w:color w:val="auto"/>
          <w:szCs w:val="24"/>
        </w:rPr>
        <w:t xml:space="preserve"> Conversion disorder consists of one or more symptoms or deficits affecting voluntary motor or sensory function that suggests a neurological condition or general medical condition such as syncope or blindness. </w:t>
      </w:r>
      <w:r w:rsidR="00BC194D">
        <w:rPr>
          <w:color w:val="auto"/>
          <w:szCs w:val="24"/>
        </w:rPr>
        <w:t xml:space="preserve"> Therefore it is not appropriate to </w:t>
      </w:r>
      <w:r w:rsidR="00A86BD5">
        <w:rPr>
          <w:color w:val="auto"/>
          <w:szCs w:val="24"/>
        </w:rPr>
        <w:t>consider</w:t>
      </w:r>
      <w:r w:rsidR="00BC194D">
        <w:rPr>
          <w:color w:val="auto"/>
          <w:szCs w:val="24"/>
        </w:rPr>
        <w:t xml:space="preserve"> the CI’s back pain </w:t>
      </w:r>
      <w:r w:rsidR="00A86BD5">
        <w:rPr>
          <w:color w:val="auto"/>
          <w:szCs w:val="24"/>
        </w:rPr>
        <w:t>a</w:t>
      </w:r>
      <w:r w:rsidR="00BC194D">
        <w:rPr>
          <w:color w:val="auto"/>
          <w:szCs w:val="24"/>
        </w:rPr>
        <w:t>s rel</w:t>
      </w:r>
      <w:r w:rsidR="00A86BD5">
        <w:rPr>
          <w:color w:val="auto"/>
          <w:szCs w:val="24"/>
        </w:rPr>
        <w:t>ated to his conversion disorder and the Board was compelled to determine if this condition was unfitting.</w:t>
      </w:r>
      <w:r w:rsidR="0092645D">
        <w:rPr>
          <w:color w:val="auto"/>
          <w:szCs w:val="24"/>
        </w:rPr>
        <w:t xml:space="preserve"> </w:t>
      </w:r>
      <w:r w:rsidR="00A86BD5">
        <w:rPr>
          <w:color w:val="auto"/>
          <w:szCs w:val="24"/>
        </w:rPr>
        <w:t xml:space="preserve"> The Board collectively opined that the CI’s low back pain was not unfitting.</w:t>
      </w:r>
    </w:p>
    <w:p w:rsidR="00A86BD5" w:rsidRDefault="00A86BD5" w:rsidP="00E2331E">
      <w:pPr>
        <w:tabs>
          <w:tab w:val="left" w:pos="288"/>
          <w:tab w:val="left" w:pos="4752"/>
        </w:tabs>
        <w:spacing w:line="240" w:lineRule="exact"/>
        <w:jc w:val="both"/>
        <w:rPr>
          <w:color w:val="auto"/>
          <w:szCs w:val="24"/>
        </w:rPr>
      </w:pPr>
    </w:p>
    <w:p w:rsidR="00404C11" w:rsidRDefault="00404C11" w:rsidP="00E2331E">
      <w:pPr>
        <w:tabs>
          <w:tab w:val="left" w:pos="288"/>
          <w:tab w:val="left" w:pos="4752"/>
        </w:tabs>
        <w:spacing w:line="240" w:lineRule="exact"/>
        <w:jc w:val="both"/>
        <w:rPr>
          <w:color w:val="auto"/>
          <w:szCs w:val="24"/>
          <w:u w:val="single"/>
        </w:rPr>
      </w:pPr>
      <w:proofErr w:type="spellStart"/>
      <w:r>
        <w:rPr>
          <w:color w:val="auto"/>
          <w:szCs w:val="24"/>
          <w:u w:val="single"/>
        </w:rPr>
        <w:t>Pseudoseizures</w:t>
      </w:r>
      <w:proofErr w:type="spellEnd"/>
    </w:p>
    <w:p w:rsidR="00C01490" w:rsidRDefault="00A86BD5" w:rsidP="00E2331E">
      <w:pPr>
        <w:tabs>
          <w:tab w:val="left" w:pos="288"/>
          <w:tab w:val="left" w:pos="4752"/>
        </w:tabs>
        <w:spacing w:line="240" w:lineRule="exact"/>
        <w:jc w:val="both"/>
        <w:rPr>
          <w:color w:val="auto"/>
          <w:szCs w:val="24"/>
        </w:rPr>
      </w:pPr>
      <w:r w:rsidRPr="00BC194D">
        <w:rPr>
          <w:color w:val="auto"/>
          <w:szCs w:val="24"/>
        </w:rPr>
        <w:t xml:space="preserve">The Navy PEB considered the CI’s </w:t>
      </w:r>
      <w:proofErr w:type="spellStart"/>
      <w:r>
        <w:rPr>
          <w:color w:val="auto"/>
          <w:szCs w:val="24"/>
        </w:rPr>
        <w:t>pseudoseizures</w:t>
      </w:r>
      <w:proofErr w:type="spellEnd"/>
      <w:r w:rsidRPr="00BC194D">
        <w:rPr>
          <w:color w:val="auto"/>
          <w:szCs w:val="24"/>
        </w:rPr>
        <w:t xml:space="preserve"> to be </w:t>
      </w:r>
      <w:r>
        <w:rPr>
          <w:color w:val="auto"/>
          <w:szCs w:val="24"/>
        </w:rPr>
        <w:t xml:space="preserve">a diagnosis related to his conversion disorder, category II, and therefore did not rate it as a separately unfitting condition. </w:t>
      </w:r>
    </w:p>
    <w:p w:rsidR="00C01490" w:rsidRDefault="00C01490" w:rsidP="00E2331E">
      <w:pPr>
        <w:tabs>
          <w:tab w:val="left" w:pos="288"/>
          <w:tab w:val="left" w:pos="4752"/>
        </w:tabs>
        <w:spacing w:line="240" w:lineRule="exact"/>
        <w:jc w:val="both"/>
        <w:rPr>
          <w:color w:val="auto"/>
          <w:szCs w:val="24"/>
        </w:rPr>
      </w:pPr>
    </w:p>
    <w:p w:rsidR="00C01490" w:rsidRDefault="00C01490" w:rsidP="00C01490">
      <w:pPr>
        <w:tabs>
          <w:tab w:val="left" w:pos="288"/>
          <w:tab w:val="left" w:pos="4752"/>
        </w:tabs>
        <w:spacing w:line="240" w:lineRule="exact"/>
        <w:jc w:val="both"/>
        <w:rPr>
          <w:color w:val="auto"/>
          <w:szCs w:val="24"/>
          <w:u w:val="single"/>
        </w:rPr>
      </w:pPr>
      <w:r>
        <w:rPr>
          <w:color w:val="auto"/>
          <w:szCs w:val="24"/>
        </w:rPr>
        <w:t>The VA also considered this condition part of the CI’s overall mental health condition and did not rate it separately.</w:t>
      </w:r>
    </w:p>
    <w:p w:rsidR="00C01490" w:rsidRDefault="00C01490" w:rsidP="00C01490">
      <w:pPr>
        <w:tabs>
          <w:tab w:val="left" w:pos="288"/>
          <w:tab w:val="left" w:pos="4752"/>
        </w:tabs>
        <w:spacing w:line="240" w:lineRule="exact"/>
        <w:jc w:val="both"/>
        <w:rPr>
          <w:color w:val="auto"/>
          <w:szCs w:val="24"/>
          <w:u w:val="single"/>
        </w:rPr>
      </w:pPr>
    </w:p>
    <w:p w:rsidR="00A02C1A" w:rsidRDefault="00A86BD5" w:rsidP="00E2331E">
      <w:pPr>
        <w:tabs>
          <w:tab w:val="left" w:pos="288"/>
          <w:tab w:val="left" w:pos="4752"/>
        </w:tabs>
        <w:spacing w:line="240" w:lineRule="exact"/>
        <w:jc w:val="both"/>
        <w:rPr>
          <w:color w:val="auto"/>
          <w:szCs w:val="24"/>
        </w:rPr>
      </w:pPr>
      <w:r>
        <w:rPr>
          <w:color w:val="auto"/>
          <w:szCs w:val="24"/>
        </w:rPr>
        <w:t xml:space="preserve">The </w:t>
      </w:r>
      <w:r w:rsidR="0092645D">
        <w:rPr>
          <w:color w:val="auto"/>
          <w:szCs w:val="24"/>
        </w:rPr>
        <w:t>B</w:t>
      </w:r>
      <w:r>
        <w:rPr>
          <w:color w:val="auto"/>
          <w:szCs w:val="24"/>
        </w:rPr>
        <w:t xml:space="preserve">oard collectively opined the </w:t>
      </w:r>
      <w:proofErr w:type="spellStart"/>
      <w:r>
        <w:rPr>
          <w:color w:val="auto"/>
          <w:szCs w:val="24"/>
        </w:rPr>
        <w:t>pseudoseizures</w:t>
      </w:r>
      <w:proofErr w:type="spellEnd"/>
      <w:r>
        <w:rPr>
          <w:color w:val="auto"/>
          <w:szCs w:val="24"/>
        </w:rPr>
        <w:t xml:space="preserve"> were an integral part of the CI’s conversion disorder and not a separate diagnosis to be considered. </w:t>
      </w:r>
    </w:p>
    <w:p w:rsidR="00A02C1A" w:rsidRDefault="00A02C1A" w:rsidP="00E2331E">
      <w:pPr>
        <w:tabs>
          <w:tab w:val="left" w:pos="288"/>
          <w:tab w:val="left" w:pos="4752"/>
        </w:tabs>
        <w:spacing w:line="240" w:lineRule="exact"/>
        <w:jc w:val="both"/>
        <w:rPr>
          <w:color w:val="auto"/>
          <w:szCs w:val="24"/>
        </w:rPr>
      </w:pPr>
    </w:p>
    <w:p w:rsidR="00404C11" w:rsidRDefault="00404C11" w:rsidP="00E2331E">
      <w:pPr>
        <w:tabs>
          <w:tab w:val="left" w:pos="288"/>
          <w:tab w:val="left" w:pos="4752"/>
        </w:tabs>
        <w:spacing w:line="240" w:lineRule="exact"/>
        <w:jc w:val="both"/>
        <w:rPr>
          <w:color w:val="auto"/>
          <w:szCs w:val="24"/>
          <w:u w:val="single"/>
        </w:rPr>
      </w:pPr>
      <w:r>
        <w:rPr>
          <w:color w:val="auto"/>
          <w:szCs w:val="24"/>
          <w:u w:val="single"/>
        </w:rPr>
        <w:t>Chronic daily headaches</w:t>
      </w:r>
    </w:p>
    <w:p w:rsidR="00C01490" w:rsidRDefault="00A86BD5" w:rsidP="00E2331E">
      <w:pPr>
        <w:tabs>
          <w:tab w:val="left" w:pos="288"/>
          <w:tab w:val="left" w:pos="4752"/>
        </w:tabs>
        <w:spacing w:line="240" w:lineRule="exact"/>
        <w:jc w:val="both"/>
        <w:rPr>
          <w:color w:val="auto"/>
          <w:szCs w:val="24"/>
        </w:rPr>
      </w:pPr>
      <w:r w:rsidRPr="00BC194D">
        <w:rPr>
          <w:color w:val="auto"/>
          <w:szCs w:val="24"/>
        </w:rPr>
        <w:t xml:space="preserve">The Navy PEB considered the CI’s </w:t>
      </w:r>
      <w:r>
        <w:rPr>
          <w:color w:val="auto"/>
          <w:szCs w:val="24"/>
        </w:rPr>
        <w:t>headaches</w:t>
      </w:r>
      <w:r w:rsidRPr="00BC194D">
        <w:rPr>
          <w:color w:val="auto"/>
          <w:szCs w:val="24"/>
        </w:rPr>
        <w:t xml:space="preserve"> to be </w:t>
      </w:r>
      <w:r>
        <w:rPr>
          <w:color w:val="auto"/>
          <w:szCs w:val="24"/>
        </w:rPr>
        <w:t xml:space="preserve">a diagnosis related to his conversion disorder, category II, and therefore did not rate it as a separately unfitting condition. </w:t>
      </w:r>
    </w:p>
    <w:p w:rsidR="00C01490" w:rsidRDefault="00C01490" w:rsidP="00E2331E">
      <w:pPr>
        <w:tabs>
          <w:tab w:val="left" w:pos="288"/>
          <w:tab w:val="left" w:pos="4752"/>
        </w:tabs>
        <w:spacing w:line="240" w:lineRule="exact"/>
        <w:jc w:val="both"/>
        <w:rPr>
          <w:color w:val="auto"/>
          <w:szCs w:val="24"/>
        </w:rPr>
      </w:pPr>
    </w:p>
    <w:p w:rsidR="00C01490" w:rsidRDefault="00C01490" w:rsidP="00C01490">
      <w:pPr>
        <w:tabs>
          <w:tab w:val="left" w:pos="288"/>
          <w:tab w:val="left" w:pos="4752"/>
        </w:tabs>
        <w:spacing w:line="240" w:lineRule="exact"/>
        <w:jc w:val="both"/>
        <w:rPr>
          <w:color w:val="auto"/>
          <w:szCs w:val="24"/>
          <w:u w:val="single"/>
        </w:rPr>
      </w:pPr>
      <w:r>
        <w:rPr>
          <w:color w:val="auto"/>
          <w:szCs w:val="24"/>
        </w:rPr>
        <w:t>The VA also considered this condition part of the CI’s overall mental health condition and did not rate it separately.</w:t>
      </w:r>
    </w:p>
    <w:p w:rsidR="00C01490" w:rsidRDefault="00C01490" w:rsidP="00C01490">
      <w:pPr>
        <w:tabs>
          <w:tab w:val="left" w:pos="288"/>
          <w:tab w:val="left" w:pos="4752"/>
        </w:tabs>
        <w:spacing w:line="240" w:lineRule="exact"/>
        <w:jc w:val="both"/>
        <w:rPr>
          <w:color w:val="auto"/>
          <w:szCs w:val="24"/>
          <w:u w:val="single"/>
        </w:rPr>
      </w:pPr>
    </w:p>
    <w:p w:rsidR="00A02C1A" w:rsidRDefault="00C01490" w:rsidP="00E2331E">
      <w:pPr>
        <w:tabs>
          <w:tab w:val="left" w:pos="288"/>
          <w:tab w:val="left" w:pos="4752"/>
        </w:tabs>
        <w:spacing w:line="240" w:lineRule="exact"/>
        <w:jc w:val="both"/>
        <w:rPr>
          <w:color w:val="auto"/>
          <w:szCs w:val="24"/>
        </w:rPr>
      </w:pPr>
      <w:r>
        <w:rPr>
          <w:color w:val="auto"/>
          <w:szCs w:val="24"/>
        </w:rPr>
        <w:t xml:space="preserve">Unlike </w:t>
      </w:r>
      <w:proofErr w:type="spellStart"/>
      <w:r w:rsidR="00A02C1A">
        <w:rPr>
          <w:color w:val="auto"/>
          <w:szCs w:val="24"/>
        </w:rPr>
        <w:t>s</w:t>
      </w:r>
      <w:r w:rsidR="00A86BD5">
        <w:rPr>
          <w:color w:val="auto"/>
          <w:szCs w:val="24"/>
        </w:rPr>
        <w:t>omatization</w:t>
      </w:r>
      <w:proofErr w:type="spellEnd"/>
      <w:r w:rsidR="00A86BD5">
        <w:rPr>
          <w:color w:val="auto"/>
          <w:szCs w:val="24"/>
        </w:rPr>
        <w:t xml:space="preserve"> disorder, conversion disorder does not include multiple physical complaints. </w:t>
      </w:r>
      <w:r w:rsidR="0092645D">
        <w:rPr>
          <w:color w:val="auto"/>
          <w:szCs w:val="24"/>
        </w:rPr>
        <w:t xml:space="preserve"> </w:t>
      </w:r>
      <w:r w:rsidR="00A86BD5">
        <w:rPr>
          <w:color w:val="auto"/>
          <w:szCs w:val="24"/>
        </w:rPr>
        <w:t xml:space="preserve">Conversion disorder consists of one or more </w:t>
      </w:r>
      <w:r w:rsidR="00A02C1A">
        <w:rPr>
          <w:color w:val="auto"/>
          <w:szCs w:val="24"/>
        </w:rPr>
        <w:t xml:space="preserve">symptoms or deficits affecting </w:t>
      </w:r>
      <w:r w:rsidR="00A86BD5">
        <w:rPr>
          <w:color w:val="auto"/>
          <w:szCs w:val="24"/>
        </w:rPr>
        <w:t>voluntary motor or sensory function that suggests a neurological condition</w:t>
      </w:r>
      <w:r w:rsidR="00A02C1A">
        <w:rPr>
          <w:color w:val="auto"/>
          <w:szCs w:val="24"/>
        </w:rPr>
        <w:t xml:space="preserve"> or general medical condition such as syncope or blindness</w:t>
      </w:r>
      <w:r w:rsidR="00A86BD5">
        <w:rPr>
          <w:color w:val="auto"/>
          <w:szCs w:val="24"/>
        </w:rPr>
        <w:t xml:space="preserve">. </w:t>
      </w:r>
      <w:r w:rsidR="0092645D">
        <w:rPr>
          <w:color w:val="auto"/>
          <w:szCs w:val="24"/>
        </w:rPr>
        <w:t xml:space="preserve"> </w:t>
      </w:r>
      <w:r w:rsidR="00A86BD5">
        <w:rPr>
          <w:color w:val="auto"/>
          <w:szCs w:val="24"/>
        </w:rPr>
        <w:t xml:space="preserve">Therefore it is not appropriate to consider the CI’s headaches as related to his conversion disorder and the Board was compelled to determine if this condition was unfitting. </w:t>
      </w:r>
      <w:r w:rsidR="0092645D">
        <w:rPr>
          <w:color w:val="auto"/>
          <w:szCs w:val="24"/>
        </w:rPr>
        <w:t xml:space="preserve"> </w:t>
      </w:r>
      <w:r w:rsidR="00A86BD5">
        <w:rPr>
          <w:color w:val="auto"/>
          <w:szCs w:val="24"/>
        </w:rPr>
        <w:t xml:space="preserve">The </w:t>
      </w:r>
      <w:r w:rsidR="00A86BD5">
        <w:rPr>
          <w:color w:val="auto"/>
          <w:szCs w:val="24"/>
        </w:rPr>
        <w:lastRenderedPageBreak/>
        <w:t>Board collectively opined that the CI’s headaches were not unfitting.</w:t>
      </w:r>
      <w:r w:rsidR="00215863">
        <w:rPr>
          <w:color w:val="auto"/>
          <w:szCs w:val="24"/>
        </w:rPr>
        <w:t xml:space="preserve"> </w:t>
      </w:r>
    </w:p>
    <w:p w:rsidR="00A02C1A" w:rsidRDefault="00A02C1A" w:rsidP="00E2331E">
      <w:pPr>
        <w:tabs>
          <w:tab w:val="left" w:pos="288"/>
          <w:tab w:val="left" w:pos="4752"/>
        </w:tabs>
        <w:spacing w:line="240" w:lineRule="exact"/>
        <w:jc w:val="both"/>
        <w:rPr>
          <w:color w:val="auto"/>
          <w:szCs w:val="24"/>
        </w:rPr>
      </w:pPr>
    </w:p>
    <w:p w:rsidR="00404C11" w:rsidRDefault="00404C11" w:rsidP="00E2331E">
      <w:pPr>
        <w:tabs>
          <w:tab w:val="left" w:pos="288"/>
          <w:tab w:val="left" w:pos="4752"/>
        </w:tabs>
        <w:spacing w:line="240" w:lineRule="exact"/>
        <w:jc w:val="both"/>
        <w:rPr>
          <w:color w:val="auto"/>
          <w:szCs w:val="24"/>
          <w:u w:val="single"/>
        </w:rPr>
      </w:pPr>
      <w:r>
        <w:rPr>
          <w:color w:val="auto"/>
          <w:szCs w:val="24"/>
          <w:u w:val="single"/>
        </w:rPr>
        <w:t>Histrionic personality traits</w:t>
      </w:r>
    </w:p>
    <w:p w:rsidR="00404C11" w:rsidRDefault="00A86BD5" w:rsidP="00E2331E">
      <w:pPr>
        <w:tabs>
          <w:tab w:val="left" w:pos="288"/>
          <w:tab w:val="left" w:pos="4752"/>
        </w:tabs>
        <w:spacing w:line="240" w:lineRule="exact"/>
        <w:jc w:val="both"/>
        <w:rPr>
          <w:color w:val="auto"/>
          <w:szCs w:val="24"/>
        </w:rPr>
      </w:pPr>
      <w:r w:rsidRPr="00BC194D">
        <w:rPr>
          <w:color w:val="auto"/>
          <w:szCs w:val="24"/>
        </w:rPr>
        <w:t xml:space="preserve">The Navy PEB considered the CI’s </w:t>
      </w:r>
      <w:r>
        <w:rPr>
          <w:color w:val="auto"/>
          <w:szCs w:val="24"/>
        </w:rPr>
        <w:t>histrionic personality disorder</w:t>
      </w:r>
      <w:r w:rsidRPr="00BC194D">
        <w:rPr>
          <w:color w:val="auto"/>
          <w:szCs w:val="24"/>
        </w:rPr>
        <w:t xml:space="preserve"> to be </w:t>
      </w:r>
      <w:r>
        <w:rPr>
          <w:color w:val="auto"/>
          <w:szCs w:val="24"/>
        </w:rPr>
        <w:t>a category IV diagnosis</w:t>
      </w:r>
      <w:r w:rsidR="00215863">
        <w:rPr>
          <w:color w:val="auto"/>
          <w:szCs w:val="24"/>
        </w:rPr>
        <w:t xml:space="preserve">. Category IV diagnoses </w:t>
      </w:r>
      <w:r>
        <w:rPr>
          <w:color w:val="auto"/>
          <w:szCs w:val="24"/>
        </w:rPr>
        <w:t>are not disabilities.</w:t>
      </w:r>
      <w:r w:rsidR="0092645D">
        <w:rPr>
          <w:color w:val="auto"/>
          <w:szCs w:val="24"/>
        </w:rPr>
        <w:t xml:space="preserve"> </w:t>
      </w:r>
      <w:r>
        <w:rPr>
          <w:color w:val="auto"/>
          <w:szCs w:val="24"/>
        </w:rPr>
        <w:t xml:space="preserve"> The Axis II diagnosis made by the Navy psychiatrist was histrionic personality traits, not </w:t>
      </w:r>
      <w:r w:rsidR="00215863">
        <w:rPr>
          <w:color w:val="auto"/>
          <w:szCs w:val="24"/>
        </w:rPr>
        <w:t>histrionic personality disorder, however personality traits as well as personality disorders are not considered as unfitting conditions.</w:t>
      </w:r>
    </w:p>
    <w:p w:rsidR="00215863" w:rsidRDefault="00215863" w:rsidP="00E2331E">
      <w:pPr>
        <w:tabs>
          <w:tab w:val="left" w:pos="288"/>
          <w:tab w:val="left" w:pos="4752"/>
        </w:tabs>
        <w:spacing w:line="240" w:lineRule="exact"/>
        <w:jc w:val="both"/>
        <w:rPr>
          <w:color w:val="auto"/>
          <w:szCs w:val="24"/>
        </w:rPr>
      </w:pPr>
    </w:p>
    <w:p w:rsidR="00215863" w:rsidRPr="00404C11" w:rsidRDefault="00215863" w:rsidP="00E2331E">
      <w:pPr>
        <w:tabs>
          <w:tab w:val="left" w:pos="288"/>
          <w:tab w:val="left" w:pos="4752"/>
        </w:tabs>
        <w:spacing w:line="240" w:lineRule="exact"/>
        <w:jc w:val="both"/>
        <w:rPr>
          <w:color w:val="auto"/>
          <w:szCs w:val="24"/>
        </w:rPr>
      </w:pPr>
      <w:r>
        <w:rPr>
          <w:color w:val="auto"/>
          <w:szCs w:val="24"/>
        </w:rPr>
        <w:t>Using an evaluation done two months after separation, the VA determined that no personality disorder or traits were present.</w:t>
      </w:r>
    </w:p>
    <w:p w:rsidR="00A90D55" w:rsidRPr="00404C11" w:rsidRDefault="00A90D55" w:rsidP="00E2331E">
      <w:pPr>
        <w:tabs>
          <w:tab w:val="left" w:pos="288"/>
          <w:tab w:val="left" w:pos="4752"/>
        </w:tabs>
        <w:spacing w:line="240" w:lineRule="exact"/>
        <w:jc w:val="both"/>
        <w:rPr>
          <w:color w:val="auto"/>
          <w:szCs w:val="24"/>
        </w:rPr>
      </w:pPr>
      <w:r w:rsidRPr="00404C11">
        <w:rPr>
          <w:color w:val="auto"/>
          <w:szCs w:val="24"/>
        </w:rPr>
        <w:t>________________________________________________________________</w:t>
      </w:r>
    </w:p>
    <w:p w:rsidR="00E2331E" w:rsidRPr="00404C11" w:rsidRDefault="00E2331E" w:rsidP="00E2331E">
      <w:pPr>
        <w:tabs>
          <w:tab w:val="left" w:pos="288"/>
          <w:tab w:val="left" w:pos="4752"/>
        </w:tabs>
        <w:spacing w:line="240" w:lineRule="exact"/>
        <w:jc w:val="both"/>
        <w:rPr>
          <w:color w:val="auto"/>
          <w:szCs w:val="24"/>
          <w:u w:val="single"/>
        </w:rPr>
      </w:pPr>
    </w:p>
    <w:p w:rsidR="00404C11" w:rsidRDefault="00662F08" w:rsidP="00E2331E">
      <w:pPr>
        <w:tabs>
          <w:tab w:val="left" w:pos="288"/>
          <w:tab w:val="left" w:pos="4752"/>
        </w:tabs>
        <w:spacing w:line="240" w:lineRule="exact"/>
        <w:jc w:val="both"/>
        <w:rPr>
          <w:color w:val="auto"/>
          <w:szCs w:val="24"/>
        </w:rPr>
      </w:pPr>
      <w:r w:rsidRPr="00404C11">
        <w:rPr>
          <w:caps/>
          <w:color w:val="auto"/>
          <w:szCs w:val="24"/>
          <w:u w:val="single"/>
        </w:rPr>
        <w:t>BOARD FINDINGS</w:t>
      </w:r>
      <w:r w:rsidR="00B522CD" w:rsidRPr="00404C11">
        <w:rPr>
          <w:color w:val="auto"/>
          <w:szCs w:val="24"/>
        </w:rPr>
        <w:t>:</w:t>
      </w:r>
      <w:r w:rsidR="005D3A07" w:rsidRPr="00404C11">
        <w:rPr>
          <w:color w:val="auto"/>
          <w:szCs w:val="24"/>
        </w:rPr>
        <w:t xml:space="preserve">  </w:t>
      </w:r>
      <w:r w:rsidR="006F1A46" w:rsidRPr="00404C11">
        <w:rPr>
          <w:color w:val="auto"/>
          <w:szCs w:val="24"/>
        </w:rPr>
        <w:t xml:space="preserve">IAW </w:t>
      </w:r>
      <w:proofErr w:type="spellStart"/>
      <w:r w:rsidR="006F1A46" w:rsidRPr="00404C11">
        <w:rPr>
          <w:color w:val="auto"/>
          <w:szCs w:val="24"/>
        </w:rPr>
        <w:t>DoDI</w:t>
      </w:r>
      <w:proofErr w:type="spellEnd"/>
      <w:r w:rsidR="006F1A46" w:rsidRPr="00404C11">
        <w:rPr>
          <w:color w:val="auto"/>
          <w:szCs w:val="24"/>
        </w:rPr>
        <w:t xml:space="preserve"> 6040.44, the PDBR used the Veteran’s Affairs Schedule of Rating Disabilities (VASRD) as the most favorable basis for rating.  </w:t>
      </w:r>
      <w:r w:rsidR="000A5318" w:rsidRPr="00404C11">
        <w:rPr>
          <w:color w:val="auto"/>
          <w:szCs w:val="24"/>
        </w:rPr>
        <w:t>After careful consideration of all available information</w:t>
      </w:r>
      <w:r w:rsidR="000A5318">
        <w:rPr>
          <w:color w:val="FF0000"/>
          <w:szCs w:val="24"/>
        </w:rPr>
        <w:t xml:space="preserve"> </w:t>
      </w:r>
      <w:r w:rsidR="00404C11" w:rsidRPr="00404C11">
        <w:rPr>
          <w:color w:val="auto"/>
          <w:szCs w:val="24"/>
        </w:rPr>
        <w:t>the Board concluded by simple majority that the CI’s condition is appropriately rated</w:t>
      </w:r>
      <w:r w:rsidR="00404C11">
        <w:rPr>
          <w:color w:val="FF0000"/>
          <w:szCs w:val="24"/>
        </w:rPr>
        <w:t xml:space="preserve"> </w:t>
      </w:r>
      <w:r w:rsidR="00404C11" w:rsidRPr="00404C11">
        <w:rPr>
          <w:color w:val="auto"/>
          <w:szCs w:val="24"/>
        </w:rPr>
        <w:t>at 30% for 9424 Conversion disorder using the VASRD general rating for mental disorders.</w:t>
      </w:r>
    </w:p>
    <w:p w:rsidR="008740AB" w:rsidRDefault="008740AB" w:rsidP="00E2331E">
      <w:pPr>
        <w:tabs>
          <w:tab w:val="left" w:pos="288"/>
          <w:tab w:val="left" w:pos="4752"/>
        </w:tabs>
        <w:spacing w:line="240" w:lineRule="exact"/>
        <w:jc w:val="both"/>
        <w:rPr>
          <w:color w:val="FF0000"/>
          <w:szCs w:val="24"/>
        </w:rPr>
      </w:pPr>
    </w:p>
    <w:p w:rsidR="008740AB" w:rsidRPr="008740AB" w:rsidRDefault="008740AB" w:rsidP="00E2331E">
      <w:pPr>
        <w:tabs>
          <w:tab w:val="left" w:pos="288"/>
          <w:tab w:val="left" w:pos="4752"/>
        </w:tabs>
        <w:spacing w:line="240" w:lineRule="exact"/>
        <w:jc w:val="both"/>
        <w:rPr>
          <w:color w:val="auto"/>
          <w:szCs w:val="24"/>
        </w:rPr>
      </w:pPr>
      <w:r>
        <w:rPr>
          <w:color w:val="auto"/>
          <w:szCs w:val="24"/>
        </w:rPr>
        <w:t xml:space="preserve">The Board opined that the CI had signs and symptoms of both conversion disorder and anxiety disorder. </w:t>
      </w:r>
      <w:r w:rsidR="0092645D">
        <w:rPr>
          <w:color w:val="auto"/>
          <w:szCs w:val="24"/>
        </w:rPr>
        <w:t xml:space="preserve"> </w:t>
      </w:r>
      <w:r>
        <w:rPr>
          <w:color w:val="auto"/>
          <w:szCs w:val="24"/>
        </w:rPr>
        <w:t>However, both are rated by using the VASRD general rating formula for mental disorders to evaluate the overall di</w:t>
      </w:r>
      <w:r w:rsidR="00C01490">
        <w:rPr>
          <w:color w:val="auto"/>
          <w:szCs w:val="24"/>
        </w:rPr>
        <w:t>sability and</w:t>
      </w:r>
      <w:r>
        <w:rPr>
          <w:color w:val="auto"/>
          <w:szCs w:val="24"/>
        </w:rPr>
        <w:t xml:space="preserve"> the Board decided to rate using the diagnosis of conversion disorder. </w:t>
      </w:r>
      <w:r w:rsidR="0092645D">
        <w:rPr>
          <w:color w:val="auto"/>
          <w:szCs w:val="24"/>
        </w:rPr>
        <w:t xml:space="preserve"> </w:t>
      </w:r>
      <w:r w:rsidR="00105346">
        <w:rPr>
          <w:color w:val="auto"/>
          <w:szCs w:val="24"/>
        </w:rPr>
        <w:t xml:space="preserve">The 30% rating is based on the CI’s inability to perform the duties of his office, grade and rank not only during periods of significant stress. </w:t>
      </w:r>
      <w:r w:rsidR="0092645D">
        <w:rPr>
          <w:color w:val="auto"/>
          <w:szCs w:val="24"/>
        </w:rPr>
        <w:t xml:space="preserve"> </w:t>
      </w:r>
      <w:r>
        <w:rPr>
          <w:color w:val="auto"/>
          <w:szCs w:val="24"/>
        </w:rPr>
        <w:t>The Commander’s letter stated the CI was not able to perform any meaningful tasks</w:t>
      </w:r>
      <w:r w:rsidR="00105346">
        <w:rPr>
          <w:color w:val="auto"/>
          <w:szCs w:val="24"/>
        </w:rPr>
        <w:t>.</w:t>
      </w:r>
      <w:r>
        <w:rPr>
          <w:color w:val="auto"/>
          <w:szCs w:val="24"/>
        </w:rPr>
        <w:t xml:space="preserve"> </w:t>
      </w:r>
      <w:r w:rsidR="0092645D">
        <w:rPr>
          <w:color w:val="auto"/>
          <w:szCs w:val="24"/>
        </w:rPr>
        <w:t xml:space="preserve"> </w:t>
      </w:r>
      <w:r w:rsidR="00105346">
        <w:rPr>
          <w:color w:val="auto"/>
          <w:szCs w:val="24"/>
        </w:rPr>
        <w:t>The Board determined this warrants a 30% ratin</w:t>
      </w:r>
      <w:r w:rsidR="006A121C">
        <w:rPr>
          <w:color w:val="auto"/>
          <w:szCs w:val="24"/>
        </w:rPr>
        <w:t>g for o</w:t>
      </w:r>
      <w:r w:rsidR="00105346">
        <w:rPr>
          <w:color w:val="auto"/>
          <w:szCs w:val="24"/>
        </w:rPr>
        <w:t xml:space="preserve">ccasional decrease in work efficiency and intermittent periods of inability to perform occupational tasks (although generally functioning satisfactorily, with routine behavior, self-care, and conversation normal). </w:t>
      </w:r>
      <w:r w:rsidR="0092645D">
        <w:rPr>
          <w:color w:val="auto"/>
          <w:szCs w:val="24"/>
        </w:rPr>
        <w:t xml:space="preserve"> </w:t>
      </w:r>
      <w:r w:rsidR="00105346">
        <w:rPr>
          <w:color w:val="auto"/>
          <w:szCs w:val="24"/>
        </w:rPr>
        <w:t xml:space="preserve">This was due to symptoms of anxiety and </w:t>
      </w:r>
      <w:proofErr w:type="spellStart"/>
      <w:r w:rsidR="00105346">
        <w:rPr>
          <w:color w:val="auto"/>
          <w:szCs w:val="24"/>
        </w:rPr>
        <w:t>pseudoseizure</w:t>
      </w:r>
      <w:proofErr w:type="spellEnd"/>
      <w:r w:rsidR="00105346">
        <w:rPr>
          <w:color w:val="auto"/>
          <w:szCs w:val="24"/>
        </w:rPr>
        <w:t xml:space="preserve"> spells that occurred weekly or less often. </w:t>
      </w:r>
      <w:r w:rsidR="0092645D">
        <w:rPr>
          <w:color w:val="auto"/>
          <w:szCs w:val="24"/>
        </w:rPr>
        <w:t xml:space="preserve"> </w:t>
      </w:r>
      <w:r w:rsidR="00105346">
        <w:rPr>
          <w:color w:val="auto"/>
          <w:szCs w:val="24"/>
        </w:rPr>
        <w:t>The CI</w:t>
      </w:r>
      <w:r w:rsidR="006A121C">
        <w:rPr>
          <w:color w:val="auto"/>
          <w:szCs w:val="24"/>
        </w:rPr>
        <w:t>’s</w:t>
      </w:r>
      <w:r w:rsidR="00105346">
        <w:rPr>
          <w:color w:val="auto"/>
          <w:szCs w:val="24"/>
        </w:rPr>
        <w:t xml:space="preserve"> spells appeared to be controlled with the anti-anxiety medication th</w:t>
      </w:r>
      <w:r w:rsidR="006A121C">
        <w:rPr>
          <w:color w:val="auto"/>
          <w:szCs w:val="24"/>
        </w:rPr>
        <w:t xml:space="preserve">at was started in December 2004. </w:t>
      </w:r>
      <w:r w:rsidR="0092645D">
        <w:rPr>
          <w:color w:val="auto"/>
          <w:szCs w:val="24"/>
        </w:rPr>
        <w:t xml:space="preserve"> </w:t>
      </w:r>
      <w:r w:rsidR="006A121C">
        <w:rPr>
          <w:color w:val="auto"/>
          <w:szCs w:val="24"/>
        </w:rPr>
        <w:t>H</w:t>
      </w:r>
      <w:r w:rsidR="00105346">
        <w:rPr>
          <w:color w:val="auto"/>
          <w:szCs w:val="24"/>
        </w:rPr>
        <w:t>owever he had another episode in May 2005</w:t>
      </w:r>
      <w:r w:rsidR="006A121C">
        <w:rPr>
          <w:color w:val="auto"/>
          <w:szCs w:val="24"/>
        </w:rPr>
        <w:t xml:space="preserve"> that the PEB was not aware of. While this occurred after separation, it demonstrates that the condition had not resolved at the time of separation. </w:t>
      </w:r>
      <w:r w:rsidR="0092645D">
        <w:rPr>
          <w:color w:val="auto"/>
          <w:szCs w:val="24"/>
        </w:rPr>
        <w:t xml:space="preserve"> </w:t>
      </w:r>
      <w:r w:rsidR="006A121C">
        <w:rPr>
          <w:color w:val="auto"/>
          <w:szCs w:val="24"/>
        </w:rPr>
        <w:t xml:space="preserve">In their rating rationale, the VA stated the CI had improved after separating from service and they rated his disability at 10%. </w:t>
      </w:r>
      <w:r w:rsidR="0092645D">
        <w:rPr>
          <w:color w:val="auto"/>
          <w:szCs w:val="24"/>
        </w:rPr>
        <w:t xml:space="preserve"> </w:t>
      </w:r>
      <w:r w:rsidR="006A121C">
        <w:rPr>
          <w:color w:val="auto"/>
          <w:szCs w:val="24"/>
        </w:rPr>
        <w:t>However, the Board must determine the level of disability at the time of separation</w:t>
      </w:r>
      <w:r w:rsidR="00105346">
        <w:rPr>
          <w:color w:val="auto"/>
          <w:szCs w:val="24"/>
        </w:rPr>
        <w:t xml:space="preserve"> </w:t>
      </w:r>
      <w:r w:rsidR="006A121C">
        <w:rPr>
          <w:color w:val="auto"/>
          <w:szCs w:val="24"/>
        </w:rPr>
        <w:t>and this is 30%.</w:t>
      </w:r>
      <w:r w:rsidR="00105346">
        <w:rPr>
          <w:color w:val="auto"/>
          <w:szCs w:val="24"/>
        </w:rPr>
        <w:t xml:space="preserve"> </w:t>
      </w:r>
      <w:r>
        <w:rPr>
          <w:color w:val="auto"/>
          <w:szCs w:val="24"/>
        </w:rPr>
        <w:t xml:space="preserve"> </w:t>
      </w:r>
    </w:p>
    <w:p w:rsidR="00404C11" w:rsidRDefault="00404C11" w:rsidP="00E2331E">
      <w:pPr>
        <w:tabs>
          <w:tab w:val="left" w:pos="288"/>
          <w:tab w:val="left" w:pos="4752"/>
        </w:tabs>
        <w:spacing w:line="240" w:lineRule="exact"/>
        <w:jc w:val="both"/>
        <w:rPr>
          <w:color w:val="FF0000"/>
          <w:szCs w:val="24"/>
        </w:rPr>
      </w:pPr>
    </w:p>
    <w:p w:rsidR="00404C11" w:rsidRDefault="00404C11" w:rsidP="00E2331E">
      <w:pPr>
        <w:tabs>
          <w:tab w:val="left" w:pos="288"/>
          <w:tab w:val="left" w:pos="4752"/>
        </w:tabs>
        <w:spacing w:line="240" w:lineRule="exact"/>
        <w:jc w:val="both"/>
        <w:rPr>
          <w:color w:val="auto"/>
          <w:szCs w:val="24"/>
        </w:rPr>
      </w:pPr>
      <w:r>
        <w:rPr>
          <w:color w:val="auto"/>
          <w:szCs w:val="24"/>
        </w:rPr>
        <w:t xml:space="preserve">The </w:t>
      </w:r>
      <w:r w:rsidR="0092645D">
        <w:rPr>
          <w:color w:val="auto"/>
          <w:szCs w:val="24"/>
        </w:rPr>
        <w:t>B</w:t>
      </w:r>
      <w:r>
        <w:rPr>
          <w:color w:val="auto"/>
          <w:szCs w:val="24"/>
        </w:rPr>
        <w:t>oard also examined each of the other conditions considered by the IPEB or rated by the VA and did not find any of these to be unfitting.</w:t>
      </w:r>
    </w:p>
    <w:p w:rsidR="00404C11" w:rsidRDefault="00404C11" w:rsidP="00E2331E">
      <w:pPr>
        <w:tabs>
          <w:tab w:val="left" w:pos="288"/>
          <w:tab w:val="left" w:pos="4752"/>
        </w:tabs>
        <w:spacing w:line="240" w:lineRule="exact"/>
        <w:jc w:val="both"/>
        <w:rPr>
          <w:color w:val="auto"/>
          <w:szCs w:val="24"/>
        </w:rPr>
      </w:pPr>
    </w:p>
    <w:p w:rsidR="001D38EB" w:rsidRPr="000A5318" w:rsidRDefault="00404C11" w:rsidP="00E2331E">
      <w:pPr>
        <w:tabs>
          <w:tab w:val="left" w:pos="288"/>
          <w:tab w:val="left" w:pos="4752"/>
        </w:tabs>
        <w:spacing w:line="240" w:lineRule="exact"/>
        <w:jc w:val="both"/>
        <w:rPr>
          <w:color w:val="auto"/>
          <w:szCs w:val="24"/>
        </w:rPr>
      </w:pPr>
      <w:r>
        <w:rPr>
          <w:color w:val="auto"/>
          <w:szCs w:val="24"/>
        </w:rPr>
        <w:lastRenderedPageBreak/>
        <w:t>T</w:t>
      </w:r>
      <w:r w:rsidR="001D38EB" w:rsidRPr="000A5318">
        <w:rPr>
          <w:color w:val="auto"/>
          <w:szCs w:val="24"/>
        </w:rPr>
        <w:t xml:space="preserve">he single voter for dissent (who recommended </w:t>
      </w:r>
      <w:r w:rsidR="000A5318" w:rsidRPr="000A5318">
        <w:rPr>
          <w:color w:val="auto"/>
          <w:szCs w:val="24"/>
        </w:rPr>
        <w:t xml:space="preserve">no </w:t>
      </w:r>
      <w:proofErr w:type="spellStart"/>
      <w:r w:rsidR="000A5318" w:rsidRPr="000A5318">
        <w:rPr>
          <w:color w:val="auto"/>
          <w:szCs w:val="24"/>
        </w:rPr>
        <w:t>recharacterization</w:t>
      </w:r>
      <w:proofErr w:type="spellEnd"/>
      <w:r w:rsidR="000A5318" w:rsidRPr="000A5318">
        <w:rPr>
          <w:color w:val="auto"/>
          <w:szCs w:val="24"/>
        </w:rPr>
        <w:t>)</w:t>
      </w:r>
      <w:r w:rsidR="001D38EB" w:rsidRPr="000A5318">
        <w:rPr>
          <w:color w:val="auto"/>
          <w:szCs w:val="24"/>
        </w:rPr>
        <w:t xml:space="preserve"> </w:t>
      </w:r>
      <w:r w:rsidR="000A5318" w:rsidRPr="000A5318">
        <w:rPr>
          <w:color w:val="auto"/>
          <w:szCs w:val="24"/>
        </w:rPr>
        <w:t xml:space="preserve">elected not to submit a </w:t>
      </w:r>
      <w:r w:rsidR="001D38EB" w:rsidRPr="000A5318">
        <w:rPr>
          <w:color w:val="auto"/>
          <w:szCs w:val="24"/>
        </w:rPr>
        <w:t xml:space="preserve">minority opinion. </w:t>
      </w:r>
    </w:p>
    <w:p w:rsidR="00B522CD" w:rsidRPr="00405B10" w:rsidRDefault="00B522CD" w:rsidP="00E2331E">
      <w:pPr>
        <w:tabs>
          <w:tab w:val="left" w:pos="288"/>
          <w:tab w:val="left" w:pos="4752"/>
        </w:tabs>
        <w:spacing w:line="240" w:lineRule="exact"/>
        <w:jc w:val="both"/>
        <w:rPr>
          <w:color w:val="auto"/>
          <w:szCs w:val="24"/>
        </w:rPr>
      </w:pPr>
      <w:r w:rsidRPr="00405B10">
        <w:rPr>
          <w:color w:val="auto"/>
          <w:szCs w:val="24"/>
        </w:rPr>
        <w:t>_________________________________</w:t>
      </w:r>
      <w:r w:rsidR="006F1A46" w:rsidRPr="00405B10">
        <w:rPr>
          <w:color w:val="auto"/>
          <w:szCs w:val="24"/>
        </w:rPr>
        <w:t>_______________________________</w:t>
      </w:r>
    </w:p>
    <w:p w:rsidR="00B522CD" w:rsidRPr="00405B10" w:rsidRDefault="00B522CD" w:rsidP="00E2331E">
      <w:pPr>
        <w:tabs>
          <w:tab w:val="left" w:pos="288"/>
          <w:tab w:val="left" w:pos="4752"/>
        </w:tabs>
        <w:spacing w:line="240" w:lineRule="exact"/>
        <w:jc w:val="both"/>
        <w:rPr>
          <w:color w:val="auto"/>
          <w:szCs w:val="24"/>
        </w:rPr>
      </w:pPr>
    </w:p>
    <w:p w:rsidR="006F1A46" w:rsidRPr="00405B10" w:rsidRDefault="00662F08" w:rsidP="00E2331E">
      <w:pPr>
        <w:tabs>
          <w:tab w:val="left" w:pos="288"/>
          <w:tab w:val="left" w:pos="4752"/>
        </w:tabs>
        <w:spacing w:line="240" w:lineRule="exact"/>
        <w:jc w:val="both"/>
        <w:rPr>
          <w:color w:val="auto"/>
          <w:szCs w:val="24"/>
        </w:rPr>
      </w:pPr>
      <w:r w:rsidRPr="00405B10">
        <w:rPr>
          <w:caps/>
          <w:color w:val="auto"/>
          <w:szCs w:val="24"/>
          <w:u w:val="single"/>
        </w:rPr>
        <w:t>RECOMMENDATION</w:t>
      </w:r>
      <w:r w:rsidRPr="00405B10">
        <w:rPr>
          <w:color w:val="auto"/>
          <w:szCs w:val="24"/>
        </w:rPr>
        <w:t>:</w:t>
      </w:r>
      <w:r w:rsidR="00686094" w:rsidRPr="00405B10">
        <w:rPr>
          <w:color w:val="auto"/>
          <w:szCs w:val="24"/>
        </w:rPr>
        <w:t xml:space="preserve">  </w:t>
      </w:r>
      <w:r w:rsidR="006F1A46" w:rsidRPr="00405B10">
        <w:rPr>
          <w:color w:val="auto"/>
          <w:szCs w:val="24"/>
        </w:rPr>
        <w:t xml:space="preserve">The Board recommends that the CI’s prior determination be modified as follows and that the discharge with severance pay be </w:t>
      </w:r>
      <w:proofErr w:type="spellStart"/>
      <w:r w:rsidR="006F1A46" w:rsidRPr="00405B10">
        <w:rPr>
          <w:color w:val="auto"/>
          <w:szCs w:val="24"/>
        </w:rPr>
        <w:t>recharacterized</w:t>
      </w:r>
      <w:proofErr w:type="spellEnd"/>
      <w:r w:rsidR="006F1A46" w:rsidRPr="00405B10">
        <w:rPr>
          <w:color w:val="auto"/>
          <w:szCs w:val="24"/>
        </w:rPr>
        <w:t xml:space="preserve"> to reflect </w:t>
      </w:r>
      <w:r w:rsidR="001C7418" w:rsidRPr="00405B10">
        <w:rPr>
          <w:color w:val="auto"/>
          <w:szCs w:val="24"/>
        </w:rPr>
        <w:t xml:space="preserve">permanent </w:t>
      </w:r>
      <w:r w:rsidR="006F1A46" w:rsidRPr="00405B10">
        <w:rPr>
          <w:color w:val="auto"/>
          <w:szCs w:val="24"/>
        </w:rPr>
        <w:t xml:space="preserve">disability retirement, effective as of the date of </w:t>
      </w:r>
      <w:r w:rsidR="001D38EB" w:rsidRPr="00405B10">
        <w:rPr>
          <w:color w:val="auto"/>
          <w:szCs w:val="24"/>
        </w:rPr>
        <w:t xml:space="preserve">the </w:t>
      </w:r>
      <w:r w:rsidR="00686094" w:rsidRPr="00405B10">
        <w:rPr>
          <w:color w:val="auto"/>
          <w:szCs w:val="24"/>
        </w:rPr>
        <w:t>CI’s</w:t>
      </w:r>
      <w:r w:rsidR="006F1A46" w:rsidRPr="00405B10">
        <w:rPr>
          <w:color w:val="auto"/>
          <w:szCs w:val="24"/>
        </w:rPr>
        <w:t xml:space="preserve"> prior medical separation.</w:t>
      </w:r>
    </w:p>
    <w:p w:rsidR="006F1A46" w:rsidRPr="00405B10" w:rsidRDefault="006F1A46" w:rsidP="00E2331E">
      <w:pPr>
        <w:tabs>
          <w:tab w:val="left" w:pos="288"/>
          <w:tab w:val="left" w:pos="4752"/>
        </w:tabs>
        <w:spacing w:line="240" w:lineRule="exact"/>
        <w:rPr>
          <w:color w:val="auto"/>
          <w:szCs w:val="24"/>
        </w:rPr>
      </w:pPr>
    </w:p>
    <w:tbl>
      <w:tblPr>
        <w:tblStyle w:val="TableGrid"/>
        <w:tblW w:w="0" w:type="auto"/>
        <w:tblInd w:w="108" w:type="dxa"/>
        <w:tblLook w:val="04A0"/>
      </w:tblPr>
      <w:tblGrid>
        <w:gridCol w:w="6300"/>
        <w:gridCol w:w="1800"/>
        <w:gridCol w:w="1170"/>
      </w:tblGrid>
      <w:tr w:rsidR="006F1A46" w:rsidRPr="00405B10" w:rsidTr="001D3186">
        <w:tc>
          <w:tcPr>
            <w:tcW w:w="6300" w:type="dxa"/>
            <w:shd w:val="clear" w:color="auto" w:fill="D9D9D9" w:themeFill="background1" w:themeFillShade="D9"/>
          </w:tcPr>
          <w:p w:rsidR="006F1A46" w:rsidRPr="00405B10" w:rsidRDefault="006F1A46" w:rsidP="00E2331E">
            <w:pPr>
              <w:tabs>
                <w:tab w:val="left" w:pos="288"/>
                <w:tab w:val="left" w:pos="4752"/>
              </w:tabs>
              <w:spacing w:line="240" w:lineRule="exact"/>
              <w:jc w:val="both"/>
              <w:rPr>
                <w:rFonts w:ascii="Courier" w:hAnsi="Courier"/>
                <w:caps/>
                <w:color w:val="auto"/>
                <w:sz w:val="24"/>
                <w:szCs w:val="24"/>
              </w:rPr>
            </w:pPr>
            <w:r w:rsidRPr="00405B10">
              <w:rPr>
                <w:rFonts w:ascii="Courier" w:hAnsi="Courier"/>
                <w:caps/>
                <w:color w:val="auto"/>
                <w:sz w:val="24"/>
                <w:szCs w:val="24"/>
              </w:rPr>
              <w:t>Unfitting Condition</w:t>
            </w:r>
          </w:p>
        </w:tc>
        <w:tc>
          <w:tcPr>
            <w:tcW w:w="1800" w:type="dxa"/>
            <w:shd w:val="clear" w:color="auto" w:fill="D9D9D9" w:themeFill="background1" w:themeFillShade="D9"/>
          </w:tcPr>
          <w:p w:rsidR="006F1A46" w:rsidRPr="00405B10" w:rsidRDefault="006F1A46" w:rsidP="00E2331E">
            <w:pPr>
              <w:tabs>
                <w:tab w:val="left" w:pos="288"/>
                <w:tab w:val="left" w:pos="4752"/>
              </w:tabs>
              <w:spacing w:line="240" w:lineRule="exact"/>
              <w:jc w:val="center"/>
              <w:rPr>
                <w:rFonts w:ascii="Courier" w:hAnsi="Courier"/>
                <w:color w:val="auto"/>
                <w:sz w:val="24"/>
                <w:szCs w:val="24"/>
              </w:rPr>
            </w:pPr>
            <w:r w:rsidRPr="00405B10">
              <w:rPr>
                <w:rFonts w:ascii="Courier" w:hAnsi="Courier"/>
                <w:color w:val="auto"/>
                <w:sz w:val="24"/>
                <w:szCs w:val="24"/>
              </w:rPr>
              <w:t>VASRD Code</w:t>
            </w:r>
          </w:p>
        </w:tc>
        <w:tc>
          <w:tcPr>
            <w:tcW w:w="1170" w:type="dxa"/>
            <w:shd w:val="clear" w:color="auto" w:fill="D9D9D9" w:themeFill="background1" w:themeFillShade="D9"/>
          </w:tcPr>
          <w:p w:rsidR="006F1A46" w:rsidRPr="00405B10" w:rsidRDefault="006F1A46" w:rsidP="00E2331E">
            <w:pPr>
              <w:tabs>
                <w:tab w:val="left" w:pos="288"/>
                <w:tab w:val="left" w:pos="4752"/>
              </w:tabs>
              <w:spacing w:line="240" w:lineRule="exact"/>
              <w:jc w:val="center"/>
              <w:rPr>
                <w:rFonts w:ascii="Courier" w:hAnsi="Courier"/>
                <w:color w:val="auto"/>
                <w:sz w:val="24"/>
                <w:szCs w:val="24"/>
              </w:rPr>
            </w:pPr>
            <w:r w:rsidRPr="00405B10">
              <w:rPr>
                <w:rFonts w:ascii="Courier" w:hAnsi="Courier"/>
                <w:color w:val="auto"/>
                <w:sz w:val="24"/>
                <w:szCs w:val="24"/>
              </w:rPr>
              <w:t>Rating</w:t>
            </w:r>
          </w:p>
        </w:tc>
      </w:tr>
      <w:tr w:rsidR="006F1A46" w:rsidRPr="00405B10" w:rsidTr="001D3186">
        <w:tc>
          <w:tcPr>
            <w:tcW w:w="6300" w:type="dxa"/>
          </w:tcPr>
          <w:p w:rsidR="006F1A46" w:rsidRPr="00405B10" w:rsidRDefault="00D63FF0" w:rsidP="00E2331E">
            <w:pPr>
              <w:tabs>
                <w:tab w:val="left" w:pos="288"/>
                <w:tab w:val="left" w:pos="4752"/>
              </w:tabs>
              <w:spacing w:line="240" w:lineRule="exact"/>
              <w:jc w:val="both"/>
              <w:rPr>
                <w:rFonts w:ascii="Courier" w:hAnsi="Courier"/>
                <w:color w:val="auto"/>
                <w:sz w:val="24"/>
                <w:szCs w:val="24"/>
              </w:rPr>
            </w:pPr>
            <w:r>
              <w:rPr>
                <w:rFonts w:ascii="Courier" w:hAnsi="Courier"/>
                <w:color w:val="auto"/>
                <w:sz w:val="24"/>
                <w:szCs w:val="24"/>
              </w:rPr>
              <w:t>Conversion disorder</w:t>
            </w:r>
          </w:p>
        </w:tc>
        <w:tc>
          <w:tcPr>
            <w:tcW w:w="1800" w:type="dxa"/>
          </w:tcPr>
          <w:p w:rsidR="006F1A46" w:rsidRPr="00405B10" w:rsidRDefault="00D63FF0" w:rsidP="00E2331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9424</w:t>
            </w:r>
          </w:p>
        </w:tc>
        <w:tc>
          <w:tcPr>
            <w:tcW w:w="1170" w:type="dxa"/>
          </w:tcPr>
          <w:p w:rsidR="006F1A46" w:rsidRPr="00405B10" w:rsidRDefault="00D63FF0" w:rsidP="00E2331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30</w:t>
            </w:r>
            <w:r w:rsidR="001D3186" w:rsidRPr="00405B10">
              <w:rPr>
                <w:rFonts w:ascii="Courier" w:hAnsi="Courier"/>
                <w:color w:val="auto"/>
                <w:sz w:val="24"/>
                <w:szCs w:val="24"/>
              </w:rPr>
              <w:t>%</w:t>
            </w:r>
          </w:p>
        </w:tc>
      </w:tr>
      <w:tr w:rsidR="006F1A46" w:rsidRPr="00405B10" w:rsidTr="001D3186">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6F1A46" w:rsidRPr="00405B10" w:rsidRDefault="006F1A46" w:rsidP="00E2331E">
            <w:pPr>
              <w:tabs>
                <w:tab w:val="left" w:pos="288"/>
                <w:tab w:val="left" w:pos="4752"/>
              </w:tabs>
              <w:spacing w:line="240" w:lineRule="exact"/>
              <w:jc w:val="center"/>
              <w:rPr>
                <w:rFonts w:ascii="Courier" w:hAnsi="Courier"/>
                <w:color w:val="auto"/>
                <w:sz w:val="24"/>
                <w:szCs w:val="24"/>
              </w:rPr>
            </w:pPr>
            <w:r w:rsidRPr="00405B10">
              <w:rPr>
                <w:rFonts w:ascii="Courier" w:hAnsi="Courier"/>
                <w:caps/>
                <w:color w:val="auto"/>
                <w:sz w:val="24"/>
                <w:szCs w:val="24"/>
              </w:rPr>
              <w:t>Combined</w:t>
            </w:r>
          </w:p>
        </w:tc>
        <w:tc>
          <w:tcPr>
            <w:tcW w:w="1170" w:type="dxa"/>
            <w:tcBorders>
              <w:bottom w:val="single" w:sz="4" w:space="0" w:color="000000" w:themeColor="text1"/>
            </w:tcBorders>
          </w:tcPr>
          <w:p w:rsidR="006F1A46" w:rsidRPr="00405B10" w:rsidRDefault="00D63FF0" w:rsidP="00E2331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30</w:t>
            </w:r>
            <w:r w:rsidR="006F1A46" w:rsidRPr="00405B10">
              <w:rPr>
                <w:rFonts w:ascii="Courier" w:hAnsi="Courier"/>
                <w:color w:val="auto"/>
                <w:sz w:val="24"/>
                <w:szCs w:val="24"/>
              </w:rPr>
              <w:t>%</w:t>
            </w:r>
          </w:p>
        </w:tc>
      </w:tr>
    </w:tbl>
    <w:p w:rsidR="00B522CD" w:rsidRPr="00405B10" w:rsidRDefault="00B522CD" w:rsidP="00E2331E">
      <w:pPr>
        <w:tabs>
          <w:tab w:val="left" w:pos="288"/>
          <w:tab w:val="left" w:pos="4752"/>
        </w:tabs>
        <w:spacing w:line="240" w:lineRule="exact"/>
        <w:jc w:val="both"/>
        <w:rPr>
          <w:color w:val="auto"/>
          <w:szCs w:val="24"/>
        </w:rPr>
      </w:pPr>
      <w:r w:rsidRPr="00405B10">
        <w:rPr>
          <w:color w:val="auto"/>
          <w:szCs w:val="24"/>
        </w:rPr>
        <w:t>_________________________________</w:t>
      </w:r>
      <w:r w:rsidR="006F1A46" w:rsidRPr="00405B10">
        <w:rPr>
          <w:color w:val="auto"/>
          <w:szCs w:val="24"/>
        </w:rPr>
        <w:t>_______________________________</w:t>
      </w:r>
    </w:p>
    <w:p w:rsidR="00D91DA6" w:rsidRPr="00405B10" w:rsidRDefault="00D91DA6" w:rsidP="00E2331E">
      <w:pPr>
        <w:tabs>
          <w:tab w:val="left" w:pos="288"/>
          <w:tab w:val="left" w:pos="4752"/>
        </w:tabs>
        <w:spacing w:line="240" w:lineRule="exact"/>
        <w:jc w:val="both"/>
        <w:rPr>
          <w:color w:val="auto"/>
          <w:szCs w:val="24"/>
        </w:rPr>
      </w:pPr>
    </w:p>
    <w:p w:rsidR="00D91DA6" w:rsidRPr="00405B10" w:rsidRDefault="00114F20" w:rsidP="00E2331E">
      <w:pPr>
        <w:tabs>
          <w:tab w:val="left" w:pos="288"/>
          <w:tab w:val="left" w:pos="4752"/>
        </w:tabs>
        <w:spacing w:line="240" w:lineRule="exact"/>
        <w:jc w:val="both"/>
        <w:rPr>
          <w:color w:val="auto"/>
          <w:szCs w:val="24"/>
        </w:rPr>
      </w:pPr>
      <w:r w:rsidRPr="00405B10">
        <w:rPr>
          <w:color w:val="auto"/>
          <w:szCs w:val="24"/>
        </w:rPr>
        <w:t>The following documentary evidence was considered:</w:t>
      </w:r>
    </w:p>
    <w:p w:rsidR="00114F20" w:rsidRPr="00405B10" w:rsidRDefault="00114F20" w:rsidP="00E2331E">
      <w:pPr>
        <w:tabs>
          <w:tab w:val="left" w:pos="288"/>
          <w:tab w:val="left" w:pos="4752"/>
        </w:tabs>
        <w:spacing w:line="240" w:lineRule="exact"/>
        <w:jc w:val="both"/>
        <w:rPr>
          <w:color w:val="auto"/>
          <w:szCs w:val="24"/>
        </w:rPr>
      </w:pPr>
    </w:p>
    <w:p w:rsidR="00114F20" w:rsidRPr="00405B10" w:rsidRDefault="00114F20" w:rsidP="00E2331E">
      <w:pPr>
        <w:tabs>
          <w:tab w:val="left" w:pos="288"/>
          <w:tab w:val="left" w:pos="4752"/>
        </w:tabs>
        <w:spacing w:line="240" w:lineRule="exact"/>
        <w:rPr>
          <w:color w:val="auto"/>
          <w:szCs w:val="24"/>
        </w:rPr>
      </w:pPr>
      <w:r w:rsidRPr="00405B10">
        <w:rPr>
          <w:color w:val="auto"/>
          <w:szCs w:val="24"/>
        </w:rPr>
        <w:t xml:space="preserve">Exhibit A.  DD Form </w:t>
      </w:r>
      <w:proofErr w:type="gramStart"/>
      <w:r w:rsidRPr="00405B10">
        <w:rPr>
          <w:color w:val="auto"/>
          <w:szCs w:val="24"/>
        </w:rPr>
        <w:t>294,</w:t>
      </w:r>
      <w:proofErr w:type="gramEnd"/>
      <w:r w:rsidRPr="00405B10">
        <w:rPr>
          <w:color w:val="auto"/>
          <w:szCs w:val="24"/>
        </w:rPr>
        <w:t xml:space="preserve"> dated</w:t>
      </w:r>
      <w:r w:rsidR="00AC5B96" w:rsidRPr="00405B10">
        <w:rPr>
          <w:color w:val="auto"/>
          <w:szCs w:val="24"/>
        </w:rPr>
        <w:t xml:space="preserve"> </w:t>
      </w:r>
      <w:r w:rsidR="00EB01D7">
        <w:rPr>
          <w:color w:val="auto"/>
          <w:szCs w:val="24"/>
        </w:rPr>
        <w:t>20090209</w:t>
      </w:r>
      <w:r w:rsidR="00AC5B96" w:rsidRPr="00405B10">
        <w:rPr>
          <w:color w:val="auto"/>
          <w:szCs w:val="24"/>
        </w:rPr>
        <w:t>,</w:t>
      </w:r>
      <w:r w:rsidRPr="00405B10">
        <w:rPr>
          <w:color w:val="auto"/>
          <w:szCs w:val="24"/>
        </w:rPr>
        <w:t xml:space="preserve"> w/</w:t>
      </w:r>
      <w:proofErr w:type="spellStart"/>
      <w:r w:rsidRPr="00405B10">
        <w:rPr>
          <w:color w:val="auto"/>
          <w:szCs w:val="24"/>
        </w:rPr>
        <w:t>atchs</w:t>
      </w:r>
      <w:proofErr w:type="spellEnd"/>
      <w:r w:rsidRPr="00405B10">
        <w:rPr>
          <w:color w:val="auto"/>
          <w:szCs w:val="24"/>
        </w:rPr>
        <w:t>.</w:t>
      </w:r>
    </w:p>
    <w:p w:rsidR="00114F20" w:rsidRPr="00405B10" w:rsidRDefault="00114F20" w:rsidP="00E2331E">
      <w:pPr>
        <w:tabs>
          <w:tab w:val="left" w:pos="288"/>
          <w:tab w:val="left" w:pos="4752"/>
        </w:tabs>
        <w:spacing w:line="240" w:lineRule="exact"/>
        <w:rPr>
          <w:color w:val="auto"/>
          <w:szCs w:val="24"/>
        </w:rPr>
      </w:pPr>
      <w:r w:rsidRPr="00405B10">
        <w:rPr>
          <w:color w:val="auto"/>
          <w:szCs w:val="24"/>
        </w:rPr>
        <w:t xml:space="preserve">Exhibit B.  </w:t>
      </w:r>
      <w:proofErr w:type="gramStart"/>
      <w:r w:rsidRPr="00405B10">
        <w:rPr>
          <w:color w:val="auto"/>
          <w:szCs w:val="24"/>
        </w:rPr>
        <w:t>Service Treatment Record.</w:t>
      </w:r>
      <w:proofErr w:type="gramEnd"/>
    </w:p>
    <w:p w:rsidR="00114F20" w:rsidRPr="00405B10" w:rsidRDefault="00114F20" w:rsidP="00E2331E">
      <w:pPr>
        <w:tabs>
          <w:tab w:val="left" w:pos="288"/>
          <w:tab w:val="left" w:pos="4752"/>
        </w:tabs>
        <w:spacing w:line="240" w:lineRule="exact"/>
        <w:rPr>
          <w:color w:val="auto"/>
          <w:szCs w:val="24"/>
        </w:rPr>
      </w:pPr>
      <w:r w:rsidRPr="00405B10">
        <w:rPr>
          <w:color w:val="auto"/>
          <w:szCs w:val="24"/>
        </w:rPr>
        <w:t xml:space="preserve">Exhibit C.  </w:t>
      </w:r>
      <w:proofErr w:type="gramStart"/>
      <w:r w:rsidRPr="00405B10">
        <w:rPr>
          <w:color w:val="auto"/>
          <w:szCs w:val="24"/>
        </w:rPr>
        <w:t>Department of Veterans</w:t>
      </w:r>
      <w:r w:rsidR="00385D6F" w:rsidRPr="00405B10">
        <w:rPr>
          <w:color w:val="auto"/>
          <w:szCs w:val="24"/>
        </w:rPr>
        <w:t>'</w:t>
      </w:r>
      <w:r w:rsidRPr="00405B10">
        <w:rPr>
          <w:color w:val="auto"/>
          <w:szCs w:val="24"/>
        </w:rPr>
        <w:t xml:space="preserve"> Affairs Treatment Record.</w:t>
      </w:r>
      <w:proofErr w:type="gramEnd"/>
    </w:p>
    <w:p w:rsidR="00D91DA6" w:rsidRPr="00405B10" w:rsidRDefault="00D91DA6" w:rsidP="00E2331E">
      <w:pPr>
        <w:tabs>
          <w:tab w:val="left" w:pos="288"/>
          <w:tab w:val="left" w:pos="4752"/>
        </w:tabs>
        <w:spacing w:line="240" w:lineRule="exact"/>
        <w:jc w:val="both"/>
        <w:rPr>
          <w:color w:val="auto"/>
          <w:szCs w:val="24"/>
        </w:rPr>
      </w:pPr>
    </w:p>
    <w:p w:rsidR="00114F20" w:rsidRPr="00405B10" w:rsidRDefault="00114F20" w:rsidP="00E2331E">
      <w:pPr>
        <w:tabs>
          <w:tab w:val="left" w:pos="288"/>
          <w:tab w:val="left" w:pos="4752"/>
        </w:tabs>
        <w:spacing w:line="240" w:lineRule="exact"/>
        <w:jc w:val="both"/>
        <w:rPr>
          <w:color w:val="auto"/>
          <w:szCs w:val="24"/>
        </w:rPr>
      </w:pPr>
    </w:p>
    <w:p w:rsidR="00114F20" w:rsidRPr="00405B10" w:rsidRDefault="00114F20" w:rsidP="00E2331E">
      <w:pPr>
        <w:tabs>
          <w:tab w:val="left" w:pos="288"/>
          <w:tab w:val="left" w:pos="4752"/>
        </w:tabs>
        <w:spacing w:line="240" w:lineRule="exact"/>
        <w:jc w:val="both"/>
        <w:rPr>
          <w:color w:val="auto"/>
          <w:szCs w:val="24"/>
        </w:rPr>
      </w:pPr>
    </w:p>
    <w:p w:rsidR="00CC7831" w:rsidRDefault="00CC7831">
      <w:pPr>
        <w:rPr>
          <w:color w:val="auto"/>
          <w:szCs w:val="24"/>
        </w:rPr>
      </w:pPr>
      <w:r>
        <w:rPr>
          <w:color w:val="auto"/>
          <w:szCs w:val="24"/>
        </w:rPr>
        <w:br w:type="page"/>
      </w:r>
    </w:p>
    <w:p w:rsidR="00CC7831" w:rsidRDefault="00CC7831" w:rsidP="00CC7831">
      <w:pPr>
        <w:pStyle w:val="Default"/>
        <w:framePr w:w="15390" w:wrap="auto" w:vAnchor="page" w:hAnchor="page" w:x="101" w:y="13996"/>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Pr="00405B10" w:rsidRDefault="00114F20" w:rsidP="00E2331E">
      <w:pPr>
        <w:tabs>
          <w:tab w:val="left" w:pos="288"/>
          <w:tab w:val="left" w:pos="4752"/>
        </w:tabs>
        <w:spacing w:line="240" w:lineRule="exact"/>
        <w:jc w:val="both"/>
        <w:rPr>
          <w:color w:val="auto"/>
          <w:szCs w:val="24"/>
        </w:rPr>
      </w:pPr>
    </w:p>
    <w:sectPr w:rsidR="00114F20" w:rsidRPr="00405B10"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083" w:rsidRDefault="006B0083">
      <w:r>
        <w:separator/>
      </w:r>
    </w:p>
  </w:endnote>
  <w:endnote w:type="continuationSeparator" w:id="0">
    <w:p w:rsidR="006B0083" w:rsidRDefault="006B0083">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82219A">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82219A">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CC7831">
      <w:rPr>
        <w:rStyle w:val="PageNumber"/>
        <w:noProof/>
      </w:rPr>
      <w:t>7</w:t>
    </w:r>
    <w:r>
      <w:rPr>
        <w:rStyle w:val="PageNumber"/>
      </w:rPr>
      <w:fldChar w:fldCharType="end"/>
    </w:r>
  </w:p>
  <w:p w:rsidR="00AC5B96" w:rsidRDefault="00AE63A0" w:rsidP="00AC5B96">
    <w:pPr>
      <w:pStyle w:val="Footer"/>
    </w:pPr>
    <w:r>
      <w:tab/>
    </w:r>
    <w:r>
      <w:tab/>
    </w:r>
    <w:r w:rsidR="00771512" w:rsidRPr="001D3186">
      <w:rPr>
        <w:caps/>
        <w:color w:val="000080"/>
      </w:rPr>
      <w:t>PD09</w:t>
    </w:r>
    <w:r w:rsidR="00771512">
      <w:rPr>
        <w:caps/>
        <w:color w:val="000080"/>
      </w:rPr>
      <w:t>00</w:t>
    </w:r>
    <w:r w:rsidR="00405B10">
      <w:rPr>
        <w:caps/>
        <w:color w:val="000080"/>
      </w:rPr>
      <w:t>138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083" w:rsidRDefault="006B0083">
      <w:r>
        <w:separator/>
      </w:r>
    </w:p>
  </w:footnote>
  <w:footnote w:type="continuationSeparator" w:id="0">
    <w:p w:rsidR="006B0083" w:rsidRDefault="006B00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06C1C"/>
    <w:rsid w:val="000145C2"/>
    <w:rsid w:val="000379D0"/>
    <w:rsid w:val="00051622"/>
    <w:rsid w:val="000A2BCE"/>
    <w:rsid w:val="000A5318"/>
    <w:rsid w:val="000C79F2"/>
    <w:rsid w:val="000D43F9"/>
    <w:rsid w:val="000F427B"/>
    <w:rsid w:val="0010530E"/>
    <w:rsid w:val="00105346"/>
    <w:rsid w:val="0010730C"/>
    <w:rsid w:val="00114F20"/>
    <w:rsid w:val="00131140"/>
    <w:rsid w:val="00142026"/>
    <w:rsid w:val="001555A2"/>
    <w:rsid w:val="00177659"/>
    <w:rsid w:val="00185ECB"/>
    <w:rsid w:val="001A43E6"/>
    <w:rsid w:val="001C181A"/>
    <w:rsid w:val="001C2053"/>
    <w:rsid w:val="001C28D1"/>
    <w:rsid w:val="001C7418"/>
    <w:rsid w:val="001D0F22"/>
    <w:rsid w:val="001D3186"/>
    <w:rsid w:val="001D38EB"/>
    <w:rsid w:val="001D6A8C"/>
    <w:rsid w:val="00200B9F"/>
    <w:rsid w:val="00215863"/>
    <w:rsid w:val="00221B79"/>
    <w:rsid w:val="00246860"/>
    <w:rsid w:val="002540B6"/>
    <w:rsid w:val="00271095"/>
    <w:rsid w:val="00274E46"/>
    <w:rsid w:val="00322A20"/>
    <w:rsid w:val="00334DFB"/>
    <w:rsid w:val="003402B2"/>
    <w:rsid w:val="0034734A"/>
    <w:rsid w:val="00352E18"/>
    <w:rsid w:val="0035559B"/>
    <w:rsid w:val="00385D6F"/>
    <w:rsid w:val="00393651"/>
    <w:rsid w:val="003D7DDB"/>
    <w:rsid w:val="003E0543"/>
    <w:rsid w:val="003E72A7"/>
    <w:rsid w:val="003E78B8"/>
    <w:rsid w:val="004007E9"/>
    <w:rsid w:val="00404C11"/>
    <w:rsid w:val="00405B10"/>
    <w:rsid w:val="004574C6"/>
    <w:rsid w:val="004A4136"/>
    <w:rsid w:val="004A6631"/>
    <w:rsid w:val="004B583D"/>
    <w:rsid w:val="0052590B"/>
    <w:rsid w:val="00526591"/>
    <w:rsid w:val="00531183"/>
    <w:rsid w:val="00540AA0"/>
    <w:rsid w:val="005436C2"/>
    <w:rsid w:val="00590704"/>
    <w:rsid w:val="005D3A07"/>
    <w:rsid w:val="006604DD"/>
    <w:rsid w:val="00662F08"/>
    <w:rsid w:val="00686094"/>
    <w:rsid w:val="00692661"/>
    <w:rsid w:val="006A121C"/>
    <w:rsid w:val="006A40E6"/>
    <w:rsid w:val="006B0083"/>
    <w:rsid w:val="006C3FC6"/>
    <w:rsid w:val="006E7356"/>
    <w:rsid w:val="006F1A46"/>
    <w:rsid w:val="0072310F"/>
    <w:rsid w:val="00730741"/>
    <w:rsid w:val="00744EBB"/>
    <w:rsid w:val="00771512"/>
    <w:rsid w:val="00795E4F"/>
    <w:rsid w:val="007A0B39"/>
    <w:rsid w:val="007A168F"/>
    <w:rsid w:val="007A22E4"/>
    <w:rsid w:val="007B0A06"/>
    <w:rsid w:val="007D0292"/>
    <w:rsid w:val="007E341C"/>
    <w:rsid w:val="007E4FBB"/>
    <w:rsid w:val="00811D5B"/>
    <w:rsid w:val="00817713"/>
    <w:rsid w:val="0082219A"/>
    <w:rsid w:val="00830999"/>
    <w:rsid w:val="00830D5E"/>
    <w:rsid w:val="00837465"/>
    <w:rsid w:val="008740AB"/>
    <w:rsid w:val="00875B51"/>
    <w:rsid w:val="008E4A60"/>
    <w:rsid w:val="00914ADB"/>
    <w:rsid w:val="0092645D"/>
    <w:rsid w:val="00942645"/>
    <w:rsid w:val="00946F81"/>
    <w:rsid w:val="0097224E"/>
    <w:rsid w:val="009B69D3"/>
    <w:rsid w:val="009C147B"/>
    <w:rsid w:val="00A01F78"/>
    <w:rsid w:val="00A02C1A"/>
    <w:rsid w:val="00A86BD5"/>
    <w:rsid w:val="00A86CB6"/>
    <w:rsid w:val="00A90D55"/>
    <w:rsid w:val="00AB25B6"/>
    <w:rsid w:val="00AC439D"/>
    <w:rsid w:val="00AC5B96"/>
    <w:rsid w:val="00AE63A0"/>
    <w:rsid w:val="00B0730C"/>
    <w:rsid w:val="00B32179"/>
    <w:rsid w:val="00B522CD"/>
    <w:rsid w:val="00B53794"/>
    <w:rsid w:val="00B70CFD"/>
    <w:rsid w:val="00B82277"/>
    <w:rsid w:val="00BC194D"/>
    <w:rsid w:val="00BD6806"/>
    <w:rsid w:val="00BE0DEB"/>
    <w:rsid w:val="00C01490"/>
    <w:rsid w:val="00C53F88"/>
    <w:rsid w:val="00C84D4A"/>
    <w:rsid w:val="00C85579"/>
    <w:rsid w:val="00C94098"/>
    <w:rsid w:val="00CA068D"/>
    <w:rsid w:val="00CB28E2"/>
    <w:rsid w:val="00CB7FF7"/>
    <w:rsid w:val="00CC2044"/>
    <w:rsid w:val="00CC7831"/>
    <w:rsid w:val="00CD34C7"/>
    <w:rsid w:val="00D21207"/>
    <w:rsid w:val="00D3572C"/>
    <w:rsid w:val="00D52393"/>
    <w:rsid w:val="00D529DD"/>
    <w:rsid w:val="00D63FF0"/>
    <w:rsid w:val="00D76AB2"/>
    <w:rsid w:val="00D910C2"/>
    <w:rsid w:val="00D91DA6"/>
    <w:rsid w:val="00DE7E74"/>
    <w:rsid w:val="00DF4856"/>
    <w:rsid w:val="00E15539"/>
    <w:rsid w:val="00E2331E"/>
    <w:rsid w:val="00EA0D03"/>
    <w:rsid w:val="00EA2DD8"/>
    <w:rsid w:val="00EB01D7"/>
    <w:rsid w:val="00EC2E06"/>
    <w:rsid w:val="00EF608E"/>
    <w:rsid w:val="00F1516A"/>
    <w:rsid w:val="00F22A26"/>
    <w:rsid w:val="00F26B5C"/>
    <w:rsid w:val="00F72183"/>
    <w:rsid w:val="00F72B5A"/>
    <w:rsid w:val="00F93627"/>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CC7831"/>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7</Pages>
  <Words>1481</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15</cp:revision>
  <cp:lastPrinted>2009-08-10T14:37:00Z</cp:lastPrinted>
  <dcterms:created xsi:type="dcterms:W3CDTF">2009-08-05T18:53:00Z</dcterms:created>
  <dcterms:modified xsi:type="dcterms:W3CDTF">2012-01-25T13:23:00Z</dcterms:modified>
</cp:coreProperties>
</file>