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540BEF" w:rsidRPr="00D91DA6" w:rsidRDefault="00540BEF" w:rsidP="00540BEF">
      <w:pPr>
        <w:tabs>
          <w:tab w:val="left" w:pos="288"/>
          <w:tab w:val="left" w:pos="4752"/>
        </w:tabs>
        <w:spacing w:line="240" w:lineRule="exact"/>
        <w:jc w:val="both"/>
        <w:rPr>
          <w:color w:val="000080"/>
        </w:rPr>
      </w:pPr>
      <w:r w:rsidRPr="00D91DA6">
        <w:rPr>
          <w:color w:val="000080"/>
        </w:rPr>
        <w:t>NAME:</w:t>
      </w:r>
      <w:r w:rsidRPr="00D91DA6">
        <w:rPr>
          <w:color w:val="000080"/>
        </w:rPr>
        <w:tab/>
      </w:r>
      <w:r w:rsidRPr="00D91DA6">
        <w:rPr>
          <w:color w:val="000080"/>
        </w:rPr>
        <w:tab/>
      </w:r>
      <w:r>
        <w:rPr>
          <w:color w:val="000080"/>
        </w:rPr>
        <w:t>BRANCH OF SERVICE</w:t>
      </w:r>
      <w:r w:rsidRPr="00D91DA6">
        <w:rPr>
          <w:color w:val="000080"/>
        </w:rPr>
        <w:t xml:space="preserve">: </w:t>
      </w:r>
      <w:r w:rsidR="000E0993">
        <w:rPr>
          <w:color w:val="000080"/>
        </w:rPr>
        <w:t>ARMY</w:t>
      </w:r>
    </w:p>
    <w:p w:rsidR="00B02565" w:rsidRDefault="00540BEF" w:rsidP="00540BEF">
      <w:pPr>
        <w:tabs>
          <w:tab w:val="left" w:pos="288"/>
          <w:tab w:val="left" w:pos="4752"/>
        </w:tabs>
        <w:spacing w:line="240" w:lineRule="exact"/>
        <w:jc w:val="both"/>
        <w:rPr>
          <w:color w:val="000080"/>
        </w:rPr>
      </w:pPr>
      <w:r>
        <w:rPr>
          <w:color w:val="000080"/>
        </w:rPr>
        <w:t>CASE</w:t>
      </w:r>
      <w:r w:rsidRPr="00D91DA6">
        <w:rPr>
          <w:color w:val="000080"/>
        </w:rPr>
        <w:t xml:space="preserve"> NUMBER:  </w:t>
      </w:r>
      <w:r>
        <w:rPr>
          <w:color w:val="000080"/>
        </w:rPr>
        <w:t>PD0900</w:t>
      </w:r>
      <w:r w:rsidR="00657FA1">
        <w:rPr>
          <w:color w:val="000080"/>
        </w:rPr>
        <w:t>134</w:t>
      </w:r>
      <w:r w:rsidRPr="00D91DA6">
        <w:rPr>
          <w:color w:val="000080"/>
        </w:rPr>
        <w:tab/>
      </w:r>
      <w:r w:rsidRPr="00D91DA6">
        <w:rPr>
          <w:color w:val="000080"/>
        </w:rPr>
        <w:tab/>
        <w:t xml:space="preserve">BOARD DATE: </w:t>
      </w:r>
      <w:r w:rsidR="000F02BE">
        <w:rPr>
          <w:color w:val="000080"/>
        </w:rPr>
        <w:t>2010</w:t>
      </w:r>
      <w:r w:rsidR="00163612">
        <w:rPr>
          <w:color w:val="000080"/>
        </w:rPr>
        <w:t>0304</w:t>
      </w:r>
    </w:p>
    <w:p w:rsidR="00540BEF" w:rsidRDefault="00540BEF" w:rsidP="00540BEF">
      <w:pPr>
        <w:tabs>
          <w:tab w:val="left" w:pos="288"/>
          <w:tab w:val="left" w:pos="4752"/>
        </w:tabs>
        <w:spacing w:line="240" w:lineRule="exact"/>
        <w:jc w:val="both"/>
        <w:rPr>
          <w:color w:val="000080"/>
        </w:rPr>
      </w:pPr>
      <w:r w:rsidRPr="00D91DA6">
        <w:rPr>
          <w:color w:val="000080"/>
        </w:rPr>
        <w:t xml:space="preserve">SEPARATION DATE: </w:t>
      </w:r>
      <w:r w:rsidR="000E0993">
        <w:rPr>
          <w:color w:val="000080"/>
        </w:rPr>
        <w:t>200</w:t>
      </w:r>
      <w:r w:rsidR="00EC1D37">
        <w:rPr>
          <w:color w:val="000080"/>
        </w:rPr>
        <w:t>70601</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EC1D37" w:rsidRPr="00335CD7" w:rsidRDefault="002C6E5B" w:rsidP="00335CD7">
      <w:pPr>
        <w:tabs>
          <w:tab w:val="left" w:pos="288"/>
          <w:tab w:val="left" w:pos="4752"/>
        </w:tabs>
        <w:spacing w:line="240" w:lineRule="exact"/>
        <w:jc w:val="both"/>
        <w:rPr>
          <w:color w:val="000080"/>
        </w:rPr>
      </w:pPr>
      <w:r w:rsidRPr="00335CD7">
        <w:rPr>
          <w:color w:val="000080"/>
          <w:u w:val="single"/>
        </w:rPr>
        <w:t>SUMMARY OF CASE</w:t>
      </w:r>
      <w:r w:rsidRPr="00335CD7">
        <w:rPr>
          <w:color w:val="000080"/>
        </w:rPr>
        <w:t xml:space="preserve">:  This covered individual (CI) was </w:t>
      </w:r>
      <w:r w:rsidR="00A5685A" w:rsidRPr="00335CD7">
        <w:rPr>
          <w:color w:val="000080"/>
        </w:rPr>
        <w:t>an active duty NCO (Construction Equipment Operator)</w:t>
      </w:r>
      <w:r w:rsidRPr="00335CD7">
        <w:rPr>
          <w:color w:val="000080"/>
        </w:rPr>
        <w:t xml:space="preserve"> medically separated from the Army in 200</w:t>
      </w:r>
      <w:r w:rsidR="00A5685A" w:rsidRPr="00335CD7">
        <w:rPr>
          <w:color w:val="000080"/>
        </w:rPr>
        <w:t>7</w:t>
      </w:r>
      <w:r w:rsidRPr="00335CD7">
        <w:rPr>
          <w:color w:val="000080"/>
        </w:rPr>
        <w:t xml:space="preserve"> after </w:t>
      </w:r>
      <w:r w:rsidR="00A5685A" w:rsidRPr="00335CD7">
        <w:rPr>
          <w:color w:val="000080"/>
        </w:rPr>
        <w:t>18</w:t>
      </w:r>
      <w:r w:rsidRPr="00335CD7">
        <w:rPr>
          <w:color w:val="000080"/>
        </w:rPr>
        <w:t xml:space="preserve"> years of </w:t>
      </w:r>
      <w:r w:rsidR="00A5685A" w:rsidRPr="00335CD7">
        <w:rPr>
          <w:color w:val="000080"/>
        </w:rPr>
        <w:t xml:space="preserve">combined </w:t>
      </w:r>
      <w:r w:rsidRPr="00335CD7">
        <w:rPr>
          <w:color w:val="000080"/>
        </w:rPr>
        <w:t>service</w:t>
      </w:r>
      <w:r w:rsidR="00A5685A" w:rsidRPr="00335CD7">
        <w:rPr>
          <w:color w:val="000080"/>
        </w:rPr>
        <w:t xml:space="preserve"> (10 years active duty).  The medical base</w:t>
      </w:r>
      <w:r w:rsidRPr="00335CD7">
        <w:rPr>
          <w:color w:val="000080"/>
        </w:rPr>
        <w:t xml:space="preserve">s for the separation </w:t>
      </w:r>
      <w:r w:rsidR="00A5685A" w:rsidRPr="00335CD7">
        <w:rPr>
          <w:color w:val="000080"/>
        </w:rPr>
        <w:t xml:space="preserve">were </w:t>
      </w:r>
      <w:r w:rsidR="002960C8">
        <w:rPr>
          <w:color w:val="000080"/>
        </w:rPr>
        <w:t>post-traumatic stress disorder (</w:t>
      </w:r>
      <w:r w:rsidR="00A5685A" w:rsidRPr="00335CD7">
        <w:rPr>
          <w:color w:val="000080"/>
        </w:rPr>
        <w:t>PTSD</w:t>
      </w:r>
      <w:r w:rsidR="002960C8">
        <w:rPr>
          <w:color w:val="000080"/>
        </w:rPr>
        <w:t>)</w:t>
      </w:r>
      <w:r w:rsidR="00A5685A" w:rsidRPr="00335CD7">
        <w:rPr>
          <w:color w:val="000080"/>
        </w:rPr>
        <w:t xml:space="preserve"> and a back condition.  The CI’s career had included multiple combat deployments (</w:t>
      </w:r>
      <w:r w:rsidR="00937977" w:rsidRPr="00335CD7">
        <w:rPr>
          <w:color w:val="000080"/>
        </w:rPr>
        <w:t xml:space="preserve">Persian </w:t>
      </w:r>
      <w:r w:rsidR="00A5685A" w:rsidRPr="00335CD7">
        <w:rPr>
          <w:color w:val="000080"/>
        </w:rPr>
        <w:t xml:space="preserve">Gulf, Bosnia and </w:t>
      </w:r>
      <w:r w:rsidR="002960C8">
        <w:rPr>
          <w:color w:val="000080"/>
        </w:rPr>
        <w:t>Operation Iraqi Freedom (</w:t>
      </w:r>
      <w:r w:rsidR="00A5685A" w:rsidRPr="00335CD7">
        <w:rPr>
          <w:color w:val="000080"/>
        </w:rPr>
        <w:t>OIF</w:t>
      </w:r>
      <w:r w:rsidR="002960C8">
        <w:rPr>
          <w:color w:val="000080"/>
        </w:rPr>
        <w:t>)</w:t>
      </w:r>
      <w:r w:rsidR="00A5685A" w:rsidRPr="00335CD7">
        <w:rPr>
          <w:color w:val="000080"/>
        </w:rPr>
        <w:t xml:space="preserve"> X 2).  </w:t>
      </w:r>
      <w:r w:rsidR="00937977" w:rsidRPr="00335CD7">
        <w:rPr>
          <w:color w:val="000080"/>
        </w:rPr>
        <w:t xml:space="preserve">He was involved in mine clearing operations for all of the deployments, with multiple exposures to close detonations and casualties.  </w:t>
      </w:r>
      <w:r w:rsidR="00A5685A" w:rsidRPr="00335CD7">
        <w:rPr>
          <w:color w:val="000080"/>
        </w:rPr>
        <w:t xml:space="preserve">He was medically evacuated from his last OIF deployment after an </w:t>
      </w:r>
      <w:r w:rsidR="004C7BE3" w:rsidRPr="004C7BE3">
        <w:rPr>
          <w:color w:val="000080"/>
        </w:rPr>
        <w:t>Improvised Explosive Device</w:t>
      </w:r>
      <w:r w:rsidR="004C7BE3">
        <w:rPr>
          <w:color w:val="000080"/>
        </w:rPr>
        <w:t xml:space="preserve"> (</w:t>
      </w:r>
      <w:r w:rsidR="00A5685A" w:rsidRPr="00335CD7">
        <w:rPr>
          <w:color w:val="000080"/>
        </w:rPr>
        <w:t>IED</w:t>
      </w:r>
      <w:r w:rsidR="004C7BE3">
        <w:rPr>
          <w:color w:val="000080"/>
        </w:rPr>
        <w:t>)</w:t>
      </w:r>
      <w:r w:rsidR="00A5685A" w:rsidRPr="00335CD7">
        <w:rPr>
          <w:color w:val="000080"/>
        </w:rPr>
        <w:t xml:space="preserve"> injury.  His vehicle was struck and he incurred vertebral fractures requiring surgical pinning and stabilization (L 4/5 and L5/S1).  He had a preceding history of back pain dating to a training injury in 2003.  </w:t>
      </w:r>
      <w:r w:rsidR="00937977" w:rsidRPr="00335CD7">
        <w:rPr>
          <w:color w:val="000080"/>
        </w:rPr>
        <w:t xml:space="preserve">His lumbar condition was associated with left L5/S1 </w:t>
      </w:r>
      <w:proofErr w:type="spellStart"/>
      <w:r w:rsidR="00937977" w:rsidRPr="00335CD7">
        <w:rPr>
          <w:color w:val="000080"/>
        </w:rPr>
        <w:t>radicular</w:t>
      </w:r>
      <w:proofErr w:type="spellEnd"/>
      <w:r w:rsidR="00937977" w:rsidRPr="00335CD7">
        <w:rPr>
          <w:color w:val="000080"/>
        </w:rPr>
        <w:t xml:space="preserve"> pain and sensory symptoms, but EMG (nerve conduction) and motor exams</w:t>
      </w:r>
      <w:r w:rsidR="00124B13" w:rsidRPr="00335CD7">
        <w:rPr>
          <w:color w:val="000080"/>
        </w:rPr>
        <w:t xml:space="preserve"> were normal</w:t>
      </w:r>
      <w:r w:rsidR="00937977" w:rsidRPr="00335CD7">
        <w:rPr>
          <w:color w:val="000080"/>
        </w:rPr>
        <w:t xml:space="preserve">.  </w:t>
      </w:r>
      <w:r w:rsidR="001B7179" w:rsidRPr="00335CD7">
        <w:rPr>
          <w:color w:val="000080"/>
        </w:rPr>
        <w:t xml:space="preserve">A </w:t>
      </w:r>
      <w:r w:rsidR="004C7BE3" w:rsidRPr="004C7BE3">
        <w:rPr>
          <w:color w:val="000080"/>
        </w:rPr>
        <w:t>Magnetic Resonance Imaging</w:t>
      </w:r>
      <w:r w:rsidR="004C7BE3">
        <w:rPr>
          <w:color w:val="000080"/>
        </w:rPr>
        <w:t xml:space="preserve"> (MRI)</w:t>
      </w:r>
      <w:r w:rsidR="001B7179" w:rsidRPr="00335CD7">
        <w:rPr>
          <w:color w:val="000080"/>
        </w:rPr>
        <w:t xml:space="preserve"> demonstrated L5/S1 moderate disc protrusion, but repeat surgery was not indicated.  </w:t>
      </w:r>
      <w:r w:rsidR="00937977" w:rsidRPr="00335CD7">
        <w:rPr>
          <w:color w:val="000080"/>
        </w:rPr>
        <w:t xml:space="preserve">He developed typical PTSD symptoms soon after his evacuation from </w:t>
      </w:r>
      <w:proofErr w:type="spellStart"/>
      <w:r w:rsidR="00937977" w:rsidRPr="00335CD7">
        <w:rPr>
          <w:color w:val="000080"/>
        </w:rPr>
        <w:t>Landstuhl</w:t>
      </w:r>
      <w:proofErr w:type="spellEnd"/>
      <w:r w:rsidR="00937977" w:rsidRPr="00335CD7">
        <w:rPr>
          <w:color w:val="000080"/>
        </w:rPr>
        <w:t xml:space="preserve"> to Ft. Campbell, KY </w:t>
      </w:r>
      <w:r w:rsidR="0012448A" w:rsidRPr="00335CD7">
        <w:rPr>
          <w:color w:val="000080"/>
        </w:rPr>
        <w:t xml:space="preserve">in early 2006.  He was treated as an outpatient, but required psychoactive medications.  He received permanent L3 and S3 profiles for </w:t>
      </w:r>
      <w:r w:rsidR="00163612" w:rsidRPr="00335CD7">
        <w:rPr>
          <w:color w:val="000080"/>
        </w:rPr>
        <w:t>the lumbar</w:t>
      </w:r>
      <w:r w:rsidR="0012448A" w:rsidRPr="00335CD7">
        <w:rPr>
          <w:color w:val="000080"/>
        </w:rPr>
        <w:t xml:space="preserve"> and PTSD conditions and was referred for a </w:t>
      </w:r>
      <w:r w:rsidR="004C7BE3">
        <w:rPr>
          <w:color w:val="000080"/>
        </w:rPr>
        <w:t>Medical Evaluation Board (</w:t>
      </w:r>
      <w:r w:rsidR="0012448A" w:rsidRPr="00335CD7">
        <w:rPr>
          <w:color w:val="000080"/>
        </w:rPr>
        <w:t>MEB</w:t>
      </w:r>
      <w:r w:rsidR="004C7BE3">
        <w:rPr>
          <w:color w:val="000080"/>
        </w:rPr>
        <w:t>)</w:t>
      </w:r>
      <w:r w:rsidR="0012448A" w:rsidRPr="00335CD7">
        <w:rPr>
          <w:color w:val="000080"/>
        </w:rPr>
        <w:t xml:space="preserve">.  The MEB forwarded three conditions to the PEB, i.e., PTSD, back pain and </w:t>
      </w:r>
      <w:proofErr w:type="spellStart"/>
      <w:r w:rsidR="0012448A" w:rsidRPr="00335CD7">
        <w:rPr>
          <w:color w:val="000080"/>
        </w:rPr>
        <w:t>radiculopathy</w:t>
      </w:r>
      <w:proofErr w:type="spellEnd"/>
      <w:r w:rsidR="0012448A" w:rsidRPr="00335CD7">
        <w:rPr>
          <w:color w:val="000080"/>
        </w:rPr>
        <w:t>, a</w:t>
      </w:r>
      <w:r w:rsidR="00163612" w:rsidRPr="00335CD7">
        <w:rPr>
          <w:color w:val="000080"/>
        </w:rPr>
        <w:t xml:space="preserve">s medically unacceptable IAW AR </w:t>
      </w:r>
      <w:r w:rsidR="0012448A" w:rsidRPr="00335CD7">
        <w:rPr>
          <w:color w:val="000080"/>
        </w:rPr>
        <w:t xml:space="preserve">40-501.  </w:t>
      </w:r>
      <w:r w:rsidR="00694EEA" w:rsidRPr="00335CD7">
        <w:rPr>
          <w:color w:val="000080"/>
        </w:rPr>
        <w:t>Additional conditions are discussed below</w:t>
      </w:r>
      <w:r w:rsidR="00AE5E14" w:rsidRPr="00335CD7">
        <w:rPr>
          <w:color w:val="000080"/>
        </w:rPr>
        <w:t xml:space="preserve">, but were not forwarded for </w:t>
      </w:r>
      <w:r w:rsidR="004C7BE3">
        <w:rPr>
          <w:color w:val="000080"/>
        </w:rPr>
        <w:t xml:space="preserve">Physical Evaluation Board </w:t>
      </w:r>
      <w:proofErr w:type="gramStart"/>
      <w:r w:rsidR="004C7BE3">
        <w:rPr>
          <w:color w:val="000080"/>
        </w:rPr>
        <w:t>(</w:t>
      </w:r>
      <w:r w:rsidR="00AE5E14" w:rsidRPr="00335CD7">
        <w:rPr>
          <w:color w:val="000080"/>
        </w:rPr>
        <w:t>PEB</w:t>
      </w:r>
      <w:r w:rsidR="004C7BE3">
        <w:rPr>
          <w:color w:val="000080"/>
        </w:rPr>
        <w:t>)</w:t>
      </w:r>
      <w:r w:rsidR="00AE5E14" w:rsidRPr="00335CD7">
        <w:rPr>
          <w:color w:val="000080"/>
        </w:rPr>
        <w:t xml:space="preserve"> </w:t>
      </w:r>
      <w:r w:rsidR="00AE4624" w:rsidRPr="00335CD7">
        <w:rPr>
          <w:color w:val="000080"/>
        </w:rPr>
        <w:t>adjudication</w:t>
      </w:r>
      <w:r w:rsidR="00AE5E14" w:rsidRPr="00335CD7">
        <w:rPr>
          <w:color w:val="000080"/>
        </w:rPr>
        <w:t xml:space="preserve"> on the DA </w:t>
      </w:r>
      <w:r w:rsidR="004C7BE3">
        <w:rPr>
          <w:color w:val="000080"/>
        </w:rPr>
        <w:t xml:space="preserve">Form </w:t>
      </w:r>
      <w:r w:rsidR="00AE5E14" w:rsidRPr="00335CD7">
        <w:rPr>
          <w:color w:val="000080"/>
        </w:rPr>
        <w:t>3947.</w:t>
      </w:r>
      <w:proofErr w:type="gramEnd"/>
      <w:r w:rsidR="0012448A" w:rsidRPr="00335CD7">
        <w:rPr>
          <w:color w:val="000080"/>
        </w:rPr>
        <w:t xml:space="preserve">  The PEB combined the back </w:t>
      </w:r>
      <w:r w:rsidR="00124B13" w:rsidRPr="00335CD7">
        <w:rPr>
          <w:color w:val="000080"/>
        </w:rPr>
        <w:t xml:space="preserve">pain </w:t>
      </w:r>
      <w:r w:rsidR="0012448A" w:rsidRPr="00335CD7">
        <w:rPr>
          <w:color w:val="000080"/>
        </w:rPr>
        <w:t xml:space="preserve">and </w:t>
      </w:r>
      <w:proofErr w:type="spellStart"/>
      <w:r w:rsidR="0012448A" w:rsidRPr="00335CD7">
        <w:rPr>
          <w:color w:val="000080"/>
        </w:rPr>
        <w:t>radicul</w:t>
      </w:r>
      <w:r w:rsidR="00124B13" w:rsidRPr="00335CD7">
        <w:rPr>
          <w:color w:val="000080"/>
        </w:rPr>
        <w:t>opathy</w:t>
      </w:r>
      <w:proofErr w:type="spellEnd"/>
      <w:r w:rsidR="0012448A" w:rsidRPr="00335CD7">
        <w:rPr>
          <w:color w:val="000080"/>
        </w:rPr>
        <w:t xml:space="preserve"> as a single unfitting condition rated 10% and found the PTSD unfitting at 10%.  The CI was medically separated with a combined disability rating of 20%.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Pr="00335CD7" w:rsidRDefault="002C6E5B" w:rsidP="00335CD7">
      <w:pPr>
        <w:tabs>
          <w:tab w:val="left" w:pos="288"/>
          <w:tab w:val="left" w:pos="4752"/>
        </w:tabs>
        <w:spacing w:line="240" w:lineRule="exact"/>
        <w:jc w:val="both"/>
        <w:rPr>
          <w:color w:val="000080"/>
        </w:rPr>
      </w:pPr>
      <w:r w:rsidRPr="00335CD7">
        <w:rPr>
          <w:color w:val="000080"/>
          <w:u w:val="single"/>
        </w:rPr>
        <w:t>CI CONTENTION</w:t>
      </w:r>
      <w:r w:rsidRPr="00335CD7">
        <w:rPr>
          <w:color w:val="000080"/>
        </w:rPr>
        <w:t>:  The CI</w:t>
      </w:r>
      <w:r w:rsidR="001E2E87" w:rsidRPr="00335CD7">
        <w:rPr>
          <w:color w:val="000080"/>
        </w:rPr>
        <w:t xml:space="preserve">’s application simply provides descriptions of his back and PTSD conditions without </w:t>
      </w:r>
      <w:r w:rsidR="00335CD7">
        <w:rPr>
          <w:color w:val="000080"/>
        </w:rPr>
        <w:t>stated</w:t>
      </w:r>
      <w:r w:rsidR="001E2E87" w:rsidRPr="00335CD7">
        <w:rPr>
          <w:color w:val="000080"/>
        </w:rPr>
        <w:t xml:space="preserve"> contentions. </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335CD7" w:rsidRDefault="00335CD7">
      <w:pPr>
        <w:rPr>
          <w:color w:val="000080"/>
          <w:u w:val="single"/>
        </w:rPr>
      </w:pPr>
      <w:r>
        <w:rPr>
          <w:color w:val="000080"/>
          <w:u w:val="single"/>
        </w:rPr>
        <w:br w:type="page"/>
      </w:r>
    </w:p>
    <w:p w:rsidR="002338CA" w:rsidRPr="00335CD7" w:rsidRDefault="002C6E5B" w:rsidP="00875F2D">
      <w:pPr>
        <w:tabs>
          <w:tab w:val="left" w:pos="288"/>
          <w:tab w:val="left" w:pos="4752"/>
        </w:tabs>
        <w:spacing w:line="240" w:lineRule="exact"/>
        <w:jc w:val="both"/>
        <w:rPr>
          <w:color w:val="000080"/>
        </w:rPr>
      </w:pPr>
      <w:r w:rsidRPr="00335CD7">
        <w:rPr>
          <w:color w:val="000080"/>
          <w:u w:val="single"/>
        </w:rPr>
        <w:lastRenderedPageBreak/>
        <w:t>RATING COMPARISON</w:t>
      </w:r>
      <w:r w:rsidRPr="00335CD7">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990" w:type="dxa"/>
        <w:tblInd w:w="-311" w:type="dxa"/>
        <w:tblLayout w:type="fixed"/>
        <w:tblLook w:val="04A0"/>
      </w:tblPr>
      <w:tblGrid>
        <w:gridCol w:w="2607"/>
        <w:gridCol w:w="718"/>
        <w:gridCol w:w="809"/>
        <w:gridCol w:w="990"/>
        <w:gridCol w:w="2043"/>
        <w:gridCol w:w="299"/>
        <w:gridCol w:w="720"/>
        <w:gridCol w:w="814"/>
        <w:gridCol w:w="990"/>
      </w:tblGrid>
      <w:tr w:rsidR="00684E2B" w:rsidTr="00A5685A">
        <w:trPr>
          <w:trHeight w:val="233"/>
        </w:trPr>
        <w:tc>
          <w:tcPr>
            <w:tcW w:w="5124" w:type="dxa"/>
            <w:gridSpan w:val="4"/>
            <w:tcBorders>
              <w:right w:val="thinThickThinSmallGap" w:sz="24" w:space="0" w:color="auto"/>
            </w:tcBorders>
            <w:shd w:val="clear" w:color="auto" w:fill="C6D9F1" w:themeFill="text2" w:themeFillTint="33"/>
          </w:tcPr>
          <w:p w:rsidR="00684E2B" w:rsidRPr="00BC09D1" w:rsidRDefault="00684E2B" w:rsidP="00AD76D2">
            <w:pPr>
              <w:pStyle w:val="ListParagraph"/>
              <w:spacing w:after="0" w:line="240" w:lineRule="auto"/>
              <w:ind w:left="0"/>
              <w:jc w:val="center"/>
              <w:rPr>
                <w:rFonts w:cs="Times New Roman"/>
                <w:b/>
                <w:sz w:val="20"/>
                <w:szCs w:val="20"/>
              </w:rPr>
            </w:pPr>
            <w:r w:rsidRPr="00BC09D1">
              <w:rPr>
                <w:rFonts w:cs="Times New Roman"/>
                <w:b/>
                <w:sz w:val="20"/>
                <w:szCs w:val="20"/>
              </w:rPr>
              <w:t>Service PEB</w:t>
            </w:r>
          </w:p>
        </w:tc>
        <w:tc>
          <w:tcPr>
            <w:tcW w:w="4866" w:type="dxa"/>
            <w:gridSpan w:val="5"/>
            <w:tcBorders>
              <w:left w:val="thinThickThinSmallGap" w:sz="24" w:space="0" w:color="auto"/>
            </w:tcBorders>
            <w:shd w:val="clear" w:color="auto" w:fill="C6D9F1" w:themeFill="text2" w:themeFillTint="33"/>
          </w:tcPr>
          <w:p w:rsidR="00684E2B" w:rsidRPr="00BC09D1" w:rsidRDefault="00684E2B" w:rsidP="00EC1D37">
            <w:pPr>
              <w:pStyle w:val="ListParagraph"/>
              <w:spacing w:after="0" w:line="240" w:lineRule="auto"/>
              <w:ind w:left="0"/>
              <w:jc w:val="center"/>
              <w:rPr>
                <w:rFonts w:cs="Times New Roman"/>
                <w:b/>
                <w:sz w:val="20"/>
                <w:szCs w:val="20"/>
              </w:rPr>
            </w:pPr>
            <w:r w:rsidRPr="00BC09D1">
              <w:rPr>
                <w:rFonts w:cs="Times New Roman"/>
                <w:b/>
                <w:sz w:val="20"/>
                <w:szCs w:val="20"/>
              </w:rPr>
              <w:t>VA (</w:t>
            </w:r>
            <w:r w:rsidR="00EC1D37">
              <w:rPr>
                <w:rFonts w:cs="Times New Roman"/>
                <w:b/>
                <w:sz w:val="20"/>
                <w:szCs w:val="20"/>
              </w:rPr>
              <w:t xml:space="preserve">14 </w:t>
            </w:r>
            <w:r w:rsidRPr="00BC09D1">
              <w:rPr>
                <w:rFonts w:cs="Times New Roman"/>
                <w:b/>
                <w:sz w:val="20"/>
                <w:szCs w:val="20"/>
              </w:rPr>
              <w:t>Mo. after Separation)</w:t>
            </w:r>
            <w:r w:rsidR="000C3C13">
              <w:rPr>
                <w:rFonts w:cs="Times New Roman"/>
                <w:b/>
                <w:sz w:val="20"/>
                <w:szCs w:val="20"/>
              </w:rPr>
              <w:t xml:space="preserve"> – All Effective </w:t>
            </w:r>
            <w:r w:rsidR="005F743D">
              <w:rPr>
                <w:rFonts w:cs="Times New Roman"/>
                <w:b/>
                <w:sz w:val="20"/>
                <w:szCs w:val="20"/>
              </w:rPr>
              <w:t>20080604</w:t>
            </w:r>
          </w:p>
        </w:tc>
      </w:tr>
      <w:tr w:rsidR="00BB20CC" w:rsidTr="00A5685A">
        <w:trPr>
          <w:trHeight w:val="233"/>
        </w:trPr>
        <w:tc>
          <w:tcPr>
            <w:tcW w:w="2607" w:type="dxa"/>
            <w:tcBorders>
              <w:bottom w:val="single" w:sz="4" w:space="0" w:color="000000" w:themeColor="text1"/>
            </w:tcBorders>
            <w:shd w:val="clear" w:color="auto" w:fill="C6D9F1" w:themeFill="text2" w:themeFillTint="33"/>
          </w:tcPr>
          <w:p w:rsidR="000C3C13" w:rsidRPr="00BC09D1" w:rsidRDefault="000C3C13" w:rsidP="00AD76D2">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18" w:type="dxa"/>
            <w:tcBorders>
              <w:bottom w:val="single" w:sz="4" w:space="0" w:color="000000" w:themeColor="text1"/>
            </w:tcBorders>
            <w:shd w:val="clear" w:color="auto" w:fill="C6D9F1" w:themeFill="text2" w:themeFillTint="33"/>
          </w:tcPr>
          <w:p w:rsidR="000C3C13" w:rsidRPr="00BC09D1" w:rsidRDefault="000C3C13" w:rsidP="00AD76D2">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09" w:type="dxa"/>
            <w:tcBorders>
              <w:bottom w:val="single" w:sz="4" w:space="0" w:color="000000" w:themeColor="text1"/>
            </w:tcBorders>
            <w:shd w:val="clear" w:color="auto" w:fill="C6D9F1" w:themeFill="text2" w:themeFillTint="33"/>
          </w:tcPr>
          <w:p w:rsidR="000C3C13" w:rsidRPr="00BC09D1" w:rsidRDefault="000C3C13" w:rsidP="00AD76D2">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C6D9F1" w:themeFill="text2" w:themeFillTint="33"/>
          </w:tcPr>
          <w:p w:rsidR="000C3C13" w:rsidRPr="00BC09D1" w:rsidRDefault="000C3C13" w:rsidP="00AD76D2">
            <w:pPr>
              <w:pStyle w:val="ListParagraph"/>
              <w:spacing w:after="0" w:line="240" w:lineRule="auto"/>
              <w:ind w:left="0"/>
              <w:jc w:val="center"/>
              <w:rPr>
                <w:rFonts w:cs="Times New Roman"/>
                <w:b/>
                <w:sz w:val="20"/>
                <w:szCs w:val="20"/>
              </w:rPr>
            </w:pPr>
            <w:r w:rsidRPr="00BC09D1">
              <w:rPr>
                <w:rFonts w:cs="Times New Roman"/>
                <w:b/>
                <w:sz w:val="20"/>
                <w:szCs w:val="20"/>
              </w:rPr>
              <w:t>Date</w:t>
            </w:r>
          </w:p>
        </w:tc>
        <w:tc>
          <w:tcPr>
            <w:tcW w:w="2342" w:type="dxa"/>
            <w:gridSpan w:val="2"/>
            <w:tcBorders>
              <w:left w:val="thinThickThinSmallGap" w:sz="24" w:space="0" w:color="auto"/>
              <w:bottom w:val="single" w:sz="4" w:space="0" w:color="000000" w:themeColor="text1"/>
            </w:tcBorders>
            <w:shd w:val="clear" w:color="auto" w:fill="C6D9F1" w:themeFill="text2" w:themeFillTint="33"/>
          </w:tcPr>
          <w:p w:rsidR="000C3C13" w:rsidRPr="00BC09D1" w:rsidRDefault="000C3C13" w:rsidP="00AD76D2">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0C3C13" w:rsidRPr="00BC09D1" w:rsidRDefault="000C3C13" w:rsidP="00AD76D2">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4" w:type="dxa"/>
            <w:tcBorders>
              <w:bottom w:val="single" w:sz="4" w:space="0" w:color="000000" w:themeColor="text1"/>
            </w:tcBorders>
            <w:shd w:val="clear" w:color="auto" w:fill="C6D9F1" w:themeFill="text2" w:themeFillTint="33"/>
          </w:tcPr>
          <w:p w:rsidR="000C3C13" w:rsidRPr="00BC09D1" w:rsidRDefault="000C3C13" w:rsidP="00AD76D2">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tcBorders>
            <w:shd w:val="clear" w:color="auto" w:fill="C6D9F1" w:themeFill="text2" w:themeFillTint="33"/>
          </w:tcPr>
          <w:p w:rsidR="000C3C13" w:rsidRPr="00BC09D1" w:rsidRDefault="000C3C13" w:rsidP="00AD76D2">
            <w:pPr>
              <w:pStyle w:val="ListParagraph"/>
              <w:spacing w:after="0" w:line="240" w:lineRule="auto"/>
              <w:ind w:left="0"/>
              <w:jc w:val="center"/>
              <w:rPr>
                <w:rFonts w:cs="Times New Roman"/>
                <w:b/>
                <w:sz w:val="20"/>
                <w:szCs w:val="20"/>
              </w:rPr>
            </w:pPr>
            <w:r w:rsidRPr="00BC09D1">
              <w:rPr>
                <w:rFonts w:cs="Times New Roman"/>
                <w:b/>
                <w:sz w:val="20"/>
                <w:szCs w:val="20"/>
              </w:rPr>
              <w:t>Exam</w:t>
            </w:r>
          </w:p>
        </w:tc>
      </w:tr>
      <w:tr w:rsidR="00A5685A" w:rsidTr="00A5685A">
        <w:trPr>
          <w:trHeight w:val="152"/>
        </w:trPr>
        <w:tc>
          <w:tcPr>
            <w:tcW w:w="2607" w:type="dxa"/>
            <w:shd w:val="clear" w:color="auto" w:fill="FFFFFF" w:themeFill="background1"/>
          </w:tcPr>
          <w:p w:rsidR="00372FFA" w:rsidRPr="00473D5C" w:rsidRDefault="00372FFA" w:rsidP="00AD76D2">
            <w:pPr>
              <w:pStyle w:val="ListParagraph"/>
              <w:spacing w:after="0" w:line="240" w:lineRule="auto"/>
              <w:ind w:left="0"/>
              <w:rPr>
                <w:rFonts w:cs="Times New Roman"/>
                <w:sz w:val="18"/>
                <w:szCs w:val="18"/>
              </w:rPr>
            </w:pPr>
            <w:r>
              <w:rPr>
                <w:rFonts w:cs="Times New Roman"/>
                <w:sz w:val="18"/>
                <w:szCs w:val="18"/>
              </w:rPr>
              <w:t>PTSD</w:t>
            </w:r>
          </w:p>
        </w:tc>
        <w:tc>
          <w:tcPr>
            <w:tcW w:w="718" w:type="dxa"/>
            <w:shd w:val="clear" w:color="auto" w:fill="FFFFFF" w:themeFill="background1"/>
          </w:tcPr>
          <w:p w:rsidR="00372FFA" w:rsidRPr="00473D5C" w:rsidRDefault="00372FFA" w:rsidP="00AD76D2">
            <w:pPr>
              <w:pStyle w:val="ListParagraph"/>
              <w:spacing w:after="0" w:line="240" w:lineRule="auto"/>
              <w:ind w:left="0"/>
              <w:jc w:val="center"/>
              <w:rPr>
                <w:rFonts w:cs="Times New Roman"/>
                <w:sz w:val="18"/>
                <w:szCs w:val="18"/>
              </w:rPr>
            </w:pPr>
            <w:r w:rsidRPr="00473D5C">
              <w:rPr>
                <w:rFonts w:cs="Times New Roman"/>
                <w:sz w:val="18"/>
                <w:szCs w:val="18"/>
              </w:rPr>
              <w:t>94</w:t>
            </w:r>
            <w:r>
              <w:rPr>
                <w:rFonts w:cs="Times New Roman"/>
                <w:sz w:val="18"/>
                <w:szCs w:val="18"/>
              </w:rPr>
              <w:t>11</w:t>
            </w:r>
          </w:p>
        </w:tc>
        <w:tc>
          <w:tcPr>
            <w:tcW w:w="809" w:type="dxa"/>
            <w:shd w:val="clear" w:color="auto" w:fill="FFFFFF" w:themeFill="background1"/>
          </w:tcPr>
          <w:p w:rsidR="00372FFA" w:rsidRPr="00473D5C" w:rsidRDefault="00372FFA" w:rsidP="00AD76D2">
            <w:pPr>
              <w:pStyle w:val="ListParagraph"/>
              <w:spacing w:after="0" w:line="240" w:lineRule="auto"/>
              <w:ind w:left="0"/>
              <w:jc w:val="center"/>
              <w:rPr>
                <w:rFonts w:cs="Times New Roman"/>
                <w:sz w:val="18"/>
                <w:szCs w:val="18"/>
              </w:rPr>
            </w:pPr>
            <w:r w:rsidRPr="00473D5C">
              <w:rPr>
                <w:rFonts w:cs="Times New Roman"/>
                <w:sz w:val="18"/>
                <w:szCs w:val="18"/>
              </w:rPr>
              <w:t>10%</w:t>
            </w:r>
          </w:p>
        </w:tc>
        <w:tc>
          <w:tcPr>
            <w:tcW w:w="990" w:type="dxa"/>
            <w:tcBorders>
              <w:right w:val="thinThickThinSmallGap" w:sz="24" w:space="0" w:color="auto"/>
            </w:tcBorders>
            <w:shd w:val="clear" w:color="auto" w:fill="FFFFFF" w:themeFill="background1"/>
          </w:tcPr>
          <w:p w:rsidR="00372FFA" w:rsidRPr="00473D5C" w:rsidRDefault="00372FFA" w:rsidP="00AD76D2">
            <w:pPr>
              <w:pStyle w:val="ListParagraph"/>
              <w:spacing w:after="0" w:line="240" w:lineRule="auto"/>
              <w:ind w:left="0"/>
              <w:rPr>
                <w:rFonts w:cs="Times New Roman"/>
                <w:sz w:val="18"/>
                <w:szCs w:val="18"/>
              </w:rPr>
            </w:pPr>
            <w:r>
              <w:rPr>
                <w:rFonts w:cs="Times New Roman"/>
                <w:sz w:val="18"/>
                <w:szCs w:val="18"/>
              </w:rPr>
              <w:t>20070531</w:t>
            </w:r>
          </w:p>
        </w:tc>
        <w:tc>
          <w:tcPr>
            <w:tcW w:w="2342" w:type="dxa"/>
            <w:gridSpan w:val="2"/>
            <w:tcBorders>
              <w:left w:val="thinThickThinSmallGap" w:sz="24" w:space="0" w:color="auto"/>
            </w:tcBorders>
            <w:shd w:val="clear" w:color="auto" w:fill="FFFFFF" w:themeFill="background1"/>
          </w:tcPr>
          <w:p w:rsidR="00372FFA" w:rsidRPr="00473D5C" w:rsidRDefault="00372FFA" w:rsidP="00AD76D2">
            <w:pPr>
              <w:pStyle w:val="ListParagraph"/>
              <w:spacing w:after="0" w:line="240" w:lineRule="auto"/>
              <w:ind w:left="0"/>
              <w:rPr>
                <w:rFonts w:cs="Times New Roman"/>
                <w:sz w:val="18"/>
                <w:szCs w:val="18"/>
              </w:rPr>
            </w:pPr>
            <w:r>
              <w:rPr>
                <w:rFonts w:cs="Times New Roman"/>
                <w:sz w:val="18"/>
                <w:szCs w:val="18"/>
              </w:rPr>
              <w:t>General</w:t>
            </w:r>
            <w:r w:rsidRPr="00473D5C">
              <w:rPr>
                <w:rFonts w:cs="Times New Roman"/>
                <w:sz w:val="18"/>
                <w:szCs w:val="18"/>
              </w:rPr>
              <w:t xml:space="preserve"> Anxiety Disorder</w:t>
            </w:r>
          </w:p>
        </w:tc>
        <w:tc>
          <w:tcPr>
            <w:tcW w:w="720" w:type="dxa"/>
            <w:shd w:val="clear" w:color="auto" w:fill="FFFFFF" w:themeFill="background1"/>
          </w:tcPr>
          <w:p w:rsidR="00372FFA" w:rsidRPr="00473D5C" w:rsidRDefault="00372FFA" w:rsidP="00AD76D2">
            <w:pPr>
              <w:pStyle w:val="ListParagraph"/>
              <w:spacing w:after="0" w:line="240" w:lineRule="auto"/>
              <w:ind w:left="0"/>
              <w:jc w:val="center"/>
              <w:rPr>
                <w:rFonts w:cs="Times New Roman"/>
                <w:sz w:val="18"/>
                <w:szCs w:val="18"/>
              </w:rPr>
            </w:pPr>
            <w:r w:rsidRPr="00473D5C">
              <w:rPr>
                <w:rFonts w:cs="Times New Roman"/>
                <w:sz w:val="18"/>
                <w:szCs w:val="18"/>
              </w:rPr>
              <w:t xml:space="preserve">9400 </w:t>
            </w:r>
          </w:p>
        </w:tc>
        <w:tc>
          <w:tcPr>
            <w:tcW w:w="814" w:type="dxa"/>
            <w:shd w:val="clear" w:color="auto" w:fill="FFFFFF" w:themeFill="background1"/>
          </w:tcPr>
          <w:p w:rsidR="00372FFA" w:rsidRPr="00473D5C" w:rsidRDefault="00372FFA" w:rsidP="00AD76D2">
            <w:pPr>
              <w:pStyle w:val="ListParagraph"/>
              <w:spacing w:after="0" w:line="240" w:lineRule="auto"/>
              <w:ind w:left="0"/>
              <w:jc w:val="center"/>
              <w:rPr>
                <w:rFonts w:cs="Times New Roman"/>
                <w:sz w:val="18"/>
                <w:szCs w:val="18"/>
              </w:rPr>
            </w:pPr>
            <w:r w:rsidRPr="00473D5C">
              <w:rPr>
                <w:rFonts w:cs="Times New Roman"/>
                <w:sz w:val="18"/>
                <w:szCs w:val="18"/>
              </w:rPr>
              <w:t>50%</w:t>
            </w:r>
          </w:p>
        </w:tc>
        <w:tc>
          <w:tcPr>
            <w:tcW w:w="990" w:type="dxa"/>
            <w:shd w:val="clear" w:color="auto" w:fill="FFFFFF" w:themeFill="background1"/>
          </w:tcPr>
          <w:p w:rsidR="00372FFA" w:rsidRPr="00473D5C" w:rsidRDefault="00372FFA" w:rsidP="00372FFA">
            <w:pPr>
              <w:pStyle w:val="ListParagraph"/>
              <w:spacing w:after="0" w:line="240" w:lineRule="auto"/>
              <w:ind w:left="0"/>
              <w:jc w:val="center"/>
              <w:rPr>
                <w:rFonts w:cs="Times New Roman"/>
                <w:sz w:val="18"/>
                <w:szCs w:val="18"/>
              </w:rPr>
            </w:pPr>
            <w:r>
              <w:rPr>
                <w:rFonts w:cs="Times New Roman"/>
                <w:sz w:val="18"/>
                <w:szCs w:val="18"/>
              </w:rPr>
              <w:t>20080731</w:t>
            </w:r>
          </w:p>
        </w:tc>
      </w:tr>
      <w:tr w:rsidR="00BB20CC" w:rsidTr="00A5685A">
        <w:trPr>
          <w:trHeight w:val="125"/>
        </w:trPr>
        <w:tc>
          <w:tcPr>
            <w:tcW w:w="2607" w:type="dxa"/>
            <w:shd w:val="clear" w:color="auto" w:fill="FFFFFF" w:themeFill="background1"/>
          </w:tcPr>
          <w:p w:rsidR="00577A26" w:rsidRPr="00473D5C" w:rsidRDefault="00577A26" w:rsidP="00AD76D2">
            <w:pPr>
              <w:pStyle w:val="ListParagraph"/>
              <w:spacing w:after="0" w:line="240" w:lineRule="auto"/>
              <w:ind w:left="0"/>
              <w:rPr>
                <w:rFonts w:cs="Times New Roman"/>
                <w:sz w:val="18"/>
                <w:szCs w:val="18"/>
              </w:rPr>
            </w:pPr>
            <w:r>
              <w:rPr>
                <w:rFonts w:cs="Times New Roman"/>
                <w:sz w:val="18"/>
                <w:szCs w:val="18"/>
              </w:rPr>
              <w:t>Chronic Radiating Low Back Pain</w:t>
            </w:r>
          </w:p>
        </w:tc>
        <w:tc>
          <w:tcPr>
            <w:tcW w:w="718" w:type="dxa"/>
            <w:shd w:val="clear" w:color="auto" w:fill="FFFFFF" w:themeFill="background1"/>
          </w:tcPr>
          <w:p w:rsidR="00577A26" w:rsidRPr="00473D5C" w:rsidRDefault="00577A26" w:rsidP="00AD76D2">
            <w:pPr>
              <w:pStyle w:val="ListParagraph"/>
              <w:spacing w:after="0" w:line="240" w:lineRule="auto"/>
              <w:ind w:left="0"/>
              <w:jc w:val="center"/>
              <w:rPr>
                <w:rFonts w:cs="Times New Roman"/>
                <w:sz w:val="18"/>
                <w:szCs w:val="18"/>
              </w:rPr>
            </w:pPr>
            <w:r>
              <w:rPr>
                <w:rFonts w:cs="Times New Roman"/>
                <w:sz w:val="18"/>
                <w:szCs w:val="18"/>
              </w:rPr>
              <w:t>5241</w:t>
            </w:r>
          </w:p>
        </w:tc>
        <w:tc>
          <w:tcPr>
            <w:tcW w:w="809" w:type="dxa"/>
            <w:shd w:val="clear" w:color="auto" w:fill="FFFFFF" w:themeFill="background1"/>
          </w:tcPr>
          <w:p w:rsidR="00577A26" w:rsidRPr="00473D5C" w:rsidRDefault="00577A26" w:rsidP="00AD76D2">
            <w:pPr>
              <w:pStyle w:val="ListParagraph"/>
              <w:spacing w:after="0" w:line="240" w:lineRule="auto"/>
              <w:ind w:left="0"/>
              <w:jc w:val="center"/>
              <w:rPr>
                <w:rFonts w:cs="Times New Roman"/>
                <w:sz w:val="18"/>
                <w:szCs w:val="18"/>
              </w:rPr>
            </w:pPr>
            <w:r>
              <w:rPr>
                <w:rFonts w:cs="Times New Roman"/>
                <w:sz w:val="18"/>
                <w:szCs w:val="18"/>
              </w:rPr>
              <w:t>1</w:t>
            </w:r>
            <w:r w:rsidRPr="00473D5C">
              <w:rPr>
                <w:rFonts w:cs="Times New Roman"/>
                <w:sz w:val="18"/>
                <w:szCs w:val="18"/>
              </w:rPr>
              <w:t>0%</w:t>
            </w:r>
          </w:p>
        </w:tc>
        <w:tc>
          <w:tcPr>
            <w:tcW w:w="990" w:type="dxa"/>
            <w:tcBorders>
              <w:right w:val="thinThickThinSmallGap" w:sz="24" w:space="0" w:color="auto"/>
            </w:tcBorders>
            <w:shd w:val="clear" w:color="auto" w:fill="FFFFFF" w:themeFill="background1"/>
          </w:tcPr>
          <w:p w:rsidR="00577A26" w:rsidRPr="00473D5C" w:rsidRDefault="00577A26" w:rsidP="00AD76D2">
            <w:pPr>
              <w:pStyle w:val="ListParagraph"/>
              <w:spacing w:after="0" w:line="240" w:lineRule="auto"/>
              <w:ind w:left="0"/>
              <w:jc w:val="center"/>
              <w:rPr>
                <w:rFonts w:cs="Times New Roman"/>
                <w:b/>
                <w:sz w:val="18"/>
                <w:szCs w:val="18"/>
              </w:rPr>
            </w:pPr>
            <w:r>
              <w:rPr>
                <w:rFonts w:cs="Times New Roman"/>
                <w:sz w:val="18"/>
                <w:szCs w:val="18"/>
              </w:rPr>
              <w:t>20070531</w:t>
            </w:r>
          </w:p>
        </w:tc>
        <w:tc>
          <w:tcPr>
            <w:tcW w:w="2342" w:type="dxa"/>
            <w:gridSpan w:val="2"/>
            <w:tcBorders>
              <w:left w:val="thinThickThinSmallGap" w:sz="24" w:space="0" w:color="auto"/>
            </w:tcBorders>
            <w:shd w:val="clear" w:color="auto" w:fill="FFFFFF" w:themeFill="background1"/>
          </w:tcPr>
          <w:p w:rsidR="00577A26" w:rsidRPr="00BC09D1" w:rsidRDefault="00577A26" w:rsidP="00AD76D2">
            <w:pPr>
              <w:pStyle w:val="ListParagraph"/>
              <w:spacing w:after="0" w:line="240" w:lineRule="auto"/>
              <w:ind w:left="0"/>
              <w:rPr>
                <w:rFonts w:cs="Times New Roman"/>
                <w:sz w:val="18"/>
                <w:szCs w:val="18"/>
              </w:rPr>
            </w:pPr>
            <w:r>
              <w:rPr>
                <w:rFonts w:cs="Times New Roman"/>
                <w:sz w:val="18"/>
                <w:szCs w:val="18"/>
              </w:rPr>
              <w:t>…</w:t>
            </w:r>
            <w:proofErr w:type="spellStart"/>
            <w:r>
              <w:rPr>
                <w:rFonts w:cs="Times New Roman"/>
                <w:sz w:val="18"/>
                <w:szCs w:val="18"/>
              </w:rPr>
              <w:t>Degen</w:t>
            </w:r>
            <w:proofErr w:type="spellEnd"/>
            <w:r>
              <w:rPr>
                <w:rFonts w:cs="Times New Roman"/>
                <w:sz w:val="18"/>
                <w:szCs w:val="18"/>
              </w:rPr>
              <w:t>. Disc Disease L4/5…</w:t>
            </w:r>
          </w:p>
        </w:tc>
        <w:tc>
          <w:tcPr>
            <w:tcW w:w="720" w:type="dxa"/>
            <w:shd w:val="clear" w:color="auto" w:fill="FFFFFF" w:themeFill="background1"/>
          </w:tcPr>
          <w:p w:rsidR="00577A26" w:rsidRPr="00473D5C" w:rsidRDefault="00577A26" w:rsidP="00AD76D2">
            <w:pPr>
              <w:pStyle w:val="ListParagraph"/>
              <w:spacing w:after="0" w:line="240" w:lineRule="auto"/>
              <w:ind w:left="0"/>
              <w:jc w:val="center"/>
              <w:rPr>
                <w:rFonts w:cs="Times New Roman"/>
                <w:sz w:val="18"/>
                <w:szCs w:val="18"/>
              </w:rPr>
            </w:pPr>
            <w:r>
              <w:rPr>
                <w:rFonts w:cs="Times New Roman"/>
                <w:sz w:val="18"/>
                <w:szCs w:val="18"/>
              </w:rPr>
              <w:t>5241</w:t>
            </w:r>
          </w:p>
        </w:tc>
        <w:tc>
          <w:tcPr>
            <w:tcW w:w="814" w:type="dxa"/>
            <w:shd w:val="clear" w:color="auto" w:fill="FFFFFF" w:themeFill="background1"/>
          </w:tcPr>
          <w:p w:rsidR="00577A26" w:rsidRPr="00473D5C" w:rsidRDefault="00577A26" w:rsidP="00AD76D2">
            <w:pPr>
              <w:pStyle w:val="ListParagraph"/>
              <w:spacing w:after="0" w:line="240" w:lineRule="auto"/>
              <w:ind w:left="0"/>
              <w:jc w:val="center"/>
              <w:rPr>
                <w:rFonts w:cs="Times New Roman"/>
                <w:sz w:val="18"/>
                <w:szCs w:val="18"/>
              </w:rPr>
            </w:pPr>
            <w:r>
              <w:rPr>
                <w:rFonts w:cs="Times New Roman"/>
                <w:sz w:val="18"/>
                <w:szCs w:val="18"/>
              </w:rPr>
              <w:t>20%</w:t>
            </w:r>
          </w:p>
        </w:tc>
        <w:tc>
          <w:tcPr>
            <w:tcW w:w="990" w:type="dxa"/>
            <w:shd w:val="clear" w:color="auto" w:fill="FFFFFF" w:themeFill="background1"/>
          </w:tcPr>
          <w:p w:rsidR="00577A26" w:rsidRPr="00473D5C" w:rsidRDefault="00577A26" w:rsidP="00577A26">
            <w:pPr>
              <w:pStyle w:val="ListParagraph"/>
              <w:spacing w:after="0" w:line="240" w:lineRule="auto"/>
              <w:ind w:left="0"/>
              <w:jc w:val="center"/>
              <w:rPr>
                <w:rFonts w:cs="Times New Roman"/>
                <w:sz w:val="18"/>
                <w:szCs w:val="18"/>
              </w:rPr>
            </w:pPr>
            <w:r>
              <w:rPr>
                <w:rFonts w:cs="Times New Roman"/>
                <w:sz w:val="18"/>
                <w:szCs w:val="18"/>
              </w:rPr>
              <w:t>20080717</w:t>
            </w:r>
          </w:p>
        </w:tc>
      </w:tr>
      <w:tr w:rsidR="00BB20CC" w:rsidTr="00A5685A">
        <w:trPr>
          <w:trHeight w:val="188"/>
        </w:trPr>
        <w:tc>
          <w:tcPr>
            <w:tcW w:w="4134" w:type="dxa"/>
            <w:gridSpan w:val="3"/>
            <w:shd w:val="clear" w:color="auto" w:fill="FFFFFF" w:themeFill="background1"/>
          </w:tcPr>
          <w:p w:rsidR="00BB20CC" w:rsidRPr="00BC09D1" w:rsidRDefault="00BB20CC" w:rsidP="00372FFA">
            <w:pPr>
              <w:pStyle w:val="ListParagraph"/>
              <w:spacing w:after="0" w:line="240" w:lineRule="auto"/>
              <w:ind w:left="0"/>
              <w:rPr>
                <w:rFonts w:cs="Times New Roman"/>
                <w:sz w:val="18"/>
                <w:szCs w:val="18"/>
              </w:rPr>
            </w:pPr>
            <w:r>
              <w:rPr>
                <w:rFonts w:cs="Times New Roman"/>
                <w:sz w:val="18"/>
                <w:szCs w:val="18"/>
              </w:rPr>
              <w:t xml:space="preserve">LLE </w:t>
            </w:r>
            <w:proofErr w:type="spellStart"/>
            <w:r>
              <w:rPr>
                <w:rFonts w:cs="Times New Roman"/>
                <w:sz w:val="18"/>
                <w:szCs w:val="18"/>
              </w:rPr>
              <w:t>Radicular</w:t>
            </w:r>
            <w:proofErr w:type="spellEnd"/>
            <w:r>
              <w:rPr>
                <w:rFonts w:cs="Times New Roman"/>
                <w:sz w:val="18"/>
                <w:szCs w:val="18"/>
              </w:rPr>
              <w:t xml:space="preserve"> Pain &gt; Combined with back rating.</w:t>
            </w:r>
          </w:p>
        </w:tc>
        <w:tc>
          <w:tcPr>
            <w:tcW w:w="990" w:type="dxa"/>
            <w:tcBorders>
              <w:right w:val="thinThickThinSmallGap" w:sz="24" w:space="0" w:color="auto"/>
            </w:tcBorders>
            <w:shd w:val="clear" w:color="auto" w:fill="FFFFFF" w:themeFill="background1"/>
          </w:tcPr>
          <w:p w:rsidR="00BB20CC" w:rsidRPr="002E333A" w:rsidRDefault="00BB20CC" w:rsidP="00AD76D2">
            <w:pPr>
              <w:pStyle w:val="ListParagraph"/>
              <w:spacing w:after="0" w:line="240" w:lineRule="auto"/>
              <w:ind w:left="0"/>
              <w:jc w:val="center"/>
              <w:rPr>
                <w:rFonts w:cs="Times New Roman"/>
                <w:sz w:val="18"/>
                <w:szCs w:val="18"/>
              </w:rPr>
            </w:pPr>
            <w:r>
              <w:rPr>
                <w:rFonts w:cs="Times New Roman"/>
                <w:sz w:val="18"/>
                <w:szCs w:val="18"/>
              </w:rPr>
              <w:t>20070531</w:t>
            </w:r>
          </w:p>
        </w:tc>
        <w:tc>
          <w:tcPr>
            <w:tcW w:w="2043" w:type="dxa"/>
            <w:tcBorders>
              <w:left w:val="thinThickThinSmallGap" w:sz="24" w:space="0" w:color="auto"/>
              <w:right w:val="single" w:sz="4" w:space="0" w:color="auto"/>
            </w:tcBorders>
            <w:shd w:val="clear" w:color="auto" w:fill="FFFFFF" w:themeFill="background1"/>
          </w:tcPr>
          <w:p w:rsidR="00BB20CC" w:rsidRPr="00BC09D1" w:rsidRDefault="00BB20CC" w:rsidP="00AD76D2">
            <w:pPr>
              <w:pStyle w:val="ListParagraph"/>
              <w:spacing w:after="0" w:line="240" w:lineRule="auto"/>
              <w:ind w:left="0"/>
              <w:rPr>
                <w:rFonts w:cs="Times New Roman"/>
                <w:sz w:val="18"/>
                <w:szCs w:val="18"/>
              </w:rPr>
            </w:pPr>
            <w:proofErr w:type="spellStart"/>
            <w:r>
              <w:rPr>
                <w:rFonts w:cs="Times New Roman"/>
                <w:sz w:val="18"/>
                <w:szCs w:val="18"/>
              </w:rPr>
              <w:t>Radiculopathy</w:t>
            </w:r>
            <w:proofErr w:type="spellEnd"/>
            <w:r>
              <w:rPr>
                <w:rFonts w:cs="Times New Roman"/>
                <w:sz w:val="18"/>
                <w:szCs w:val="18"/>
              </w:rPr>
              <w:t>, LLE</w:t>
            </w:r>
          </w:p>
        </w:tc>
        <w:tc>
          <w:tcPr>
            <w:tcW w:w="1019" w:type="dxa"/>
            <w:gridSpan w:val="2"/>
            <w:tcBorders>
              <w:left w:val="single" w:sz="4" w:space="0" w:color="auto"/>
            </w:tcBorders>
            <w:shd w:val="clear" w:color="auto" w:fill="FFFFFF" w:themeFill="background1"/>
          </w:tcPr>
          <w:p w:rsidR="00BB20CC" w:rsidRPr="000B15A7" w:rsidRDefault="00BB20CC" w:rsidP="00AD76D2">
            <w:pPr>
              <w:jc w:val="center"/>
              <w:rPr>
                <w:rFonts w:eastAsiaTheme="minorEastAsia"/>
                <w:color w:val="auto"/>
                <w:sz w:val="18"/>
                <w:szCs w:val="18"/>
              </w:rPr>
            </w:pPr>
            <w:r w:rsidRPr="000B15A7">
              <w:rPr>
                <w:rFonts w:eastAsiaTheme="minorEastAsia"/>
                <w:color w:val="auto"/>
                <w:sz w:val="18"/>
                <w:szCs w:val="18"/>
              </w:rPr>
              <w:t>5241-8520</w:t>
            </w:r>
          </w:p>
        </w:tc>
        <w:tc>
          <w:tcPr>
            <w:tcW w:w="814" w:type="dxa"/>
            <w:shd w:val="clear" w:color="auto" w:fill="FFFFFF" w:themeFill="background1"/>
          </w:tcPr>
          <w:p w:rsidR="00BB20CC" w:rsidRPr="00BB20CC" w:rsidRDefault="00BB20CC" w:rsidP="00BB20CC">
            <w:pPr>
              <w:jc w:val="center"/>
              <w:rPr>
                <w:color w:val="auto"/>
              </w:rPr>
            </w:pPr>
            <w:r>
              <w:rPr>
                <w:rFonts w:cs="Times New Roman"/>
                <w:color w:val="auto"/>
                <w:sz w:val="18"/>
                <w:szCs w:val="18"/>
              </w:rPr>
              <w:t>10%</w:t>
            </w:r>
          </w:p>
        </w:tc>
        <w:tc>
          <w:tcPr>
            <w:tcW w:w="990" w:type="dxa"/>
            <w:shd w:val="clear" w:color="auto" w:fill="FFFFFF" w:themeFill="background1"/>
          </w:tcPr>
          <w:p w:rsidR="00BB20CC" w:rsidRPr="00BB20CC" w:rsidRDefault="00BB20CC" w:rsidP="00BB20CC">
            <w:pPr>
              <w:pStyle w:val="ListParagraph"/>
              <w:spacing w:after="0" w:line="240" w:lineRule="auto"/>
              <w:ind w:left="0"/>
              <w:jc w:val="center"/>
              <w:rPr>
                <w:rFonts w:cs="Times New Roman"/>
                <w:sz w:val="18"/>
                <w:szCs w:val="18"/>
              </w:rPr>
            </w:pPr>
            <w:r>
              <w:rPr>
                <w:rFonts w:cs="Times New Roman"/>
                <w:sz w:val="18"/>
                <w:szCs w:val="18"/>
              </w:rPr>
              <w:t>20080717</w:t>
            </w:r>
          </w:p>
        </w:tc>
      </w:tr>
      <w:tr w:rsidR="00BB20CC" w:rsidTr="00A5685A">
        <w:trPr>
          <w:trHeight w:val="143"/>
        </w:trPr>
        <w:tc>
          <w:tcPr>
            <w:tcW w:w="5124" w:type="dxa"/>
            <w:gridSpan w:val="4"/>
            <w:tcBorders>
              <w:right w:val="thinThickThinSmallGap" w:sz="24" w:space="0" w:color="auto"/>
            </w:tcBorders>
            <w:shd w:val="clear" w:color="auto" w:fill="FFFFFF" w:themeFill="background1"/>
          </w:tcPr>
          <w:p w:rsidR="00BB20CC" w:rsidRPr="00BC09D1" w:rsidRDefault="00BB20CC" w:rsidP="00AD76D2">
            <w:pPr>
              <w:pStyle w:val="ListParagraph"/>
              <w:spacing w:after="0" w:line="240" w:lineRule="auto"/>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w:t>
            </w:r>
            <w:r>
              <w:rPr>
                <w:rFonts w:eastAsiaTheme="minorEastAsia"/>
                <w:sz w:val="18"/>
                <w:szCs w:val="18"/>
              </w:rPr>
              <w:t>ies.↓</w:t>
            </w:r>
          </w:p>
        </w:tc>
        <w:tc>
          <w:tcPr>
            <w:tcW w:w="2342" w:type="dxa"/>
            <w:gridSpan w:val="2"/>
            <w:tcBorders>
              <w:left w:val="thinThickThinSmallGap" w:sz="24" w:space="0" w:color="auto"/>
            </w:tcBorders>
            <w:shd w:val="clear" w:color="auto" w:fill="FFFFFF" w:themeFill="background1"/>
          </w:tcPr>
          <w:p w:rsidR="00BB20CC" w:rsidRPr="00BC09D1" w:rsidRDefault="00BB20CC" w:rsidP="00AD76D2">
            <w:pPr>
              <w:pStyle w:val="ListParagraph"/>
              <w:spacing w:after="0" w:line="240" w:lineRule="auto"/>
              <w:ind w:left="0"/>
              <w:rPr>
                <w:rFonts w:cs="Times New Roman"/>
                <w:sz w:val="18"/>
                <w:szCs w:val="18"/>
              </w:rPr>
            </w:pPr>
            <w:proofErr w:type="spellStart"/>
            <w:r>
              <w:rPr>
                <w:rFonts w:cs="Times New Roman"/>
                <w:sz w:val="18"/>
                <w:szCs w:val="18"/>
              </w:rPr>
              <w:t>Degen</w:t>
            </w:r>
            <w:proofErr w:type="spellEnd"/>
            <w:r>
              <w:rPr>
                <w:rFonts w:cs="Times New Roman"/>
                <w:sz w:val="18"/>
                <w:szCs w:val="18"/>
              </w:rPr>
              <w:t>. Disc Disease, Cervical</w:t>
            </w:r>
          </w:p>
        </w:tc>
        <w:tc>
          <w:tcPr>
            <w:tcW w:w="720" w:type="dxa"/>
            <w:shd w:val="clear" w:color="auto" w:fill="FFFFFF" w:themeFill="background1"/>
          </w:tcPr>
          <w:p w:rsidR="00BB20CC" w:rsidRPr="000B15A7" w:rsidRDefault="00BB20CC" w:rsidP="00AD76D2">
            <w:pPr>
              <w:jc w:val="center"/>
              <w:rPr>
                <w:rFonts w:eastAsiaTheme="minorEastAsia"/>
                <w:color w:val="auto"/>
                <w:sz w:val="18"/>
                <w:szCs w:val="18"/>
                <w:highlight w:val="yellow"/>
              </w:rPr>
            </w:pPr>
            <w:r w:rsidRPr="000B15A7">
              <w:rPr>
                <w:rFonts w:eastAsiaTheme="minorEastAsia"/>
                <w:color w:val="auto"/>
                <w:sz w:val="18"/>
                <w:szCs w:val="18"/>
              </w:rPr>
              <w:t>5242</w:t>
            </w:r>
          </w:p>
        </w:tc>
        <w:tc>
          <w:tcPr>
            <w:tcW w:w="814" w:type="dxa"/>
            <w:shd w:val="clear" w:color="auto" w:fill="FFFFFF" w:themeFill="background1"/>
          </w:tcPr>
          <w:p w:rsidR="00BB20CC" w:rsidRPr="00BB20CC" w:rsidRDefault="00BB20CC" w:rsidP="00BB20CC">
            <w:pPr>
              <w:jc w:val="center"/>
              <w:rPr>
                <w:rFonts w:eastAsiaTheme="minorEastAsia"/>
                <w:color w:val="auto"/>
                <w:sz w:val="18"/>
                <w:szCs w:val="18"/>
              </w:rPr>
            </w:pPr>
            <w:r w:rsidRPr="00BB20CC">
              <w:rPr>
                <w:rFonts w:eastAsiaTheme="minorEastAsia"/>
                <w:color w:val="auto"/>
                <w:sz w:val="18"/>
                <w:szCs w:val="18"/>
              </w:rPr>
              <w:t>10%</w:t>
            </w:r>
          </w:p>
        </w:tc>
        <w:tc>
          <w:tcPr>
            <w:tcW w:w="990" w:type="dxa"/>
            <w:shd w:val="clear" w:color="auto" w:fill="FFFFFF" w:themeFill="background1"/>
          </w:tcPr>
          <w:p w:rsidR="00BB20CC" w:rsidRPr="00BB20CC" w:rsidRDefault="00BB20CC" w:rsidP="00BB20CC">
            <w:pPr>
              <w:jc w:val="center"/>
              <w:rPr>
                <w:color w:val="auto"/>
              </w:rPr>
            </w:pPr>
            <w:r w:rsidRPr="00BB20CC">
              <w:rPr>
                <w:rFonts w:cs="Times New Roman"/>
                <w:color w:val="auto"/>
                <w:sz w:val="18"/>
                <w:szCs w:val="18"/>
              </w:rPr>
              <w:t>20080717</w:t>
            </w:r>
          </w:p>
        </w:tc>
      </w:tr>
      <w:tr w:rsidR="00A5685A" w:rsidTr="00A5685A">
        <w:trPr>
          <w:trHeight w:val="143"/>
        </w:trPr>
        <w:tc>
          <w:tcPr>
            <w:tcW w:w="5124" w:type="dxa"/>
            <w:gridSpan w:val="4"/>
            <w:tcBorders>
              <w:right w:val="thinThickThinSmallGap" w:sz="24" w:space="0" w:color="auto"/>
            </w:tcBorders>
            <w:shd w:val="clear" w:color="auto" w:fill="FFFFFF" w:themeFill="background1"/>
          </w:tcPr>
          <w:p w:rsidR="00A5685A" w:rsidRDefault="00A5685A" w:rsidP="00AD76D2">
            <w:pPr>
              <w:pStyle w:val="ListParagraph"/>
              <w:spacing w:after="0" w:line="240" w:lineRule="auto"/>
              <w:ind w:left="0"/>
              <w:jc w:val="center"/>
              <w:rPr>
                <w:rFonts w:eastAsiaTheme="minorEastAsia"/>
                <w:sz w:val="18"/>
                <w:szCs w:val="18"/>
              </w:rPr>
            </w:pPr>
          </w:p>
        </w:tc>
        <w:tc>
          <w:tcPr>
            <w:tcW w:w="2043" w:type="dxa"/>
            <w:tcBorders>
              <w:left w:val="thinThickThinSmallGap" w:sz="24" w:space="0" w:color="auto"/>
              <w:right w:val="single" w:sz="4" w:space="0" w:color="auto"/>
            </w:tcBorders>
            <w:shd w:val="clear" w:color="auto" w:fill="FFFFFF" w:themeFill="background1"/>
          </w:tcPr>
          <w:p w:rsidR="00A5685A" w:rsidRPr="00BC09D1" w:rsidRDefault="00A5685A" w:rsidP="00577A26">
            <w:pPr>
              <w:pStyle w:val="ListParagraph"/>
              <w:spacing w:after="0" w:line="240" w:lineRule="auto"/>
              <w:ind w:left="0"/>
              <w:rPr>
                <w:rFonts w:cs="Times New Roman"/>
                <w:sz w:val="18"/>
                <w:szCs w:val="18"/>
              </w:rPr>
            </w:pPr>
            <w:r>
              <w:rPr>
                <w:rFonts w:eastAsiaTheme="minorEastAsia"/>
                <w:sz w:val="18"/>
                <w:szCs w:val="18"/>
              </w:rPr>
              <w:t>…</w:t>
            </w:r>
            <w:r w:rsidRPr="000B15A7">
              <w:rPr>
                <w:rFonts w:eastAsiaTheme="minorEastAsia"/>
                <w:sz w:val="18"/>
                <w:szCs w:val="18"/>
              </w:rPr>
              <w:t>Migraine Headaches</w:t>
            </w:r>
          </w:p>
        </w:tc>
        <w:tc>
          <w:tcPr>
            <w:tcW w:w="1019" w:type="dxa"/>
            <w:gridSpan w:val="2"/>
            <w:tcBorders>
              <w:left w:val="single" w:sz="4" w:space="0" w:color="auto"/>
            </w:tcBorders>
            <w:shd w:val="clear" w:color="auto" w:fill="FFFFFF" w:themeFill="background1"/>
          </w:tcPr>
          <w:p w:rsidR="00A5685A" w:rsidRPr="000B15A7" w:rsidRDefault="00A5685A" w:rsidP="00577A26">
            <w:pPr>
              <w:jc w:val="center"/>
              <w:rPr>
                <w:rFonts w:eastAsiaTheme="minorEastAsia"/>
                <w:color w:val="auto"/>
                <w:sz w:val="18"/>
                <w:szCs w:val="18"/>
              </w:rPr>
            </w:pPr>
            <w:r w:rsidRPr="000B15A7">
              <w:rPr>
                <w:rFonts w:eastAsiaTheme="minorEastAsia"/>
                <w:color w:val="auto"/>
                <w:sz w:val="18"/>
                <w:szCs w:val="18"/>
              </w:rPr>
              <w:t>8045-8100</w:t>
            </w:r>
          </w:p>
        </w:tc>
        <w:tc>
          <w:tcPr>
            <w:tcW w:w="814" w:type="dxa"/>
            <w:shd w:val="clear" w:color="auto" w:fill="FFFFFF" w:themeFill="background1"/>
          </w:tcPr>
          <w:p w:rsidR="00A5685A" w:rsidRPr="00BB20CC" w:rsidRDefault="00A5685A" w:rsidP="00BB20CC">
            <w:pPr>
              <w:jc w:val="center"/>
              <w:rPr>
                <w:rFonts w:eastAsiaTheme="minorEastAsia"/>
                <w:color w:val="auto"/>
                <w:sz w:val="18"/>
                <w:szCs w:val="18"/>
              </w:rPr>
            </w:pPr>
            <w:r w:rsidRPr="00BB20CC">
              <w:rPr>
                <w:rFonts w:eastAsiaTheme="minorEastAsia"/>
                <w:color w:val="auto"/>
                <w:sz w:val="18"/>
                <w:szCs w:val="18"/>
              </w:rPr>
              <w:t>10%</w:t>
            </w:r>
          </w:p>
        </w:tc>
        <w:tc>
          <w:tcPr>
            <w:tcW w:w="990" w:type="dxa"/>
            <w:shd w:val="clear" w:color="auto" w:fill="FFFFFF" w:themeFill="background1"/>
          </w:tcPr>
          <w:p w:rsidR="00A5685A" w:rsidRPr="00BB20CC" w:rsidRDefault="00A5685A" w:rsidP="00BB20CC">
            <w:pPr>
              <w:jc w:val="center"/>
              <w:rPr>
                <w:color w:val="auto"/>
              </w:rPr>
            </w:pPr>
            <w:r w:rsidRPr="00BB20CC">
              <w:rPr>
                <w:rFonts w:cs="Times New Roman"/>
                <w:color w:val="auto"/>
                <w:sz w:val="18"/>
                <w:szCs w:val="18"/>
              </w:rPr>
              <w:t>20080717</w:t>
            </w:r>
          </w:p>
        </w:tc>
      </w:tr>
      <w:tr w:rsidR="00BB20CC" w:rsidTr="00A5685A">
        <w:trPr>
          <w:trHeight w:val="143"/>
        </w:trPr>
        <w:tc>
          <w:tcPr>
            <w:tcW w:w="5124" w:type="dxa"/>
            <w:gridSpan w:val="4"/>
            <w:tcBorders>
              <w:right w:val="thinThickThinSmallGap" w:sz="24" w:space="0" w:color="auto"/>
            </w:tcBorders>
            <w:shd w:val="clear" w:color="auto" w:fill="FFFFFF" w:themeFill="background1"/>
          </w:tcPr>
          <w:p w:rsidR="00BB20CC" w:rsidRDefault="00BB20CC" w:rsidP="00AD76D2">
            <w:pPr>
              <w:pStyle w:val="ListParagraph"/>
              <w:spacing w:after="0" w:line="240" w:lineRule="auto"/>
              <w:ind w:left="0"/>
              <w:jc w:val="center"/>
              <w:rPr>
                <w:rFonts w:eastAsiaTheme="minorEastAsia"/>
                <w:sz w:val="18"/>
                <w:szCs w:val="18"/>
              </w:rPr>
            </w:pPr>
          </w:p>
        </w:tc>
        <w:tc>
          <w:tcPr>
            <w:tcW w:w="2043" w:type="dxa"/>
            <w:tcBorders>
              <w:left w:val="thinThickThinSmallGap" w:sz="24" w:space="0" w:color="auto"/>
              <w:right w:val="single" w:sz="4" w:space="0" w:color="auto"/>
            </w:tcBorders>
            <w:shd w:val="clear" w:color="auto" w:fill="FFFFFF" w:themeFill="background1"/>
          </w:tcPr>
          <w:p w:rsidR="00BB20CC" w:rsidRPr="00BC09D1" w:rsidRDefault="00BB20CC" w:rsidP="00AD76D2">
            <w:pPr>
              <w:pStyle w:val="ListParagraph"/>
              <w:spacing w:after="0" w:line="240" w:lineRule="auto"/>
              <w:ind w:left="0"/>
              <w:rPr>
                <w:rFonts w:cs="Times New Roman"/>
                <w:sz w:val="18"/>
                <w:szCs w:val="18"/>
              </w:rPr>
            </w:pPr>
            <w:r>
              <w:rPr>
                <w:rFonts w:cs="Times New Roman"/>
                <w:sz w:val="18"/>
                <w:szCs w:val="18"/>
              </w:rPr>
              <w:t>Memory Deficits…TBI</w:t>
            </w:r>
          </w:p>
        </w:tc>
        <w:tc>
          <w:tcPr>
            <w:tcW w:w="1019" w:type="dxa"/>
            <w:gridSpan w:val="2"/>
            <w:tcBorders>
              <w:left w:val="single" w:sz="4" w:space="0" w:color="auto"/>
            </w:tcBorders>
            <w:shd w:val="clear" w:color="auto" w:fill="FFFFFF" w:themeFill="background1"/>
          </w:tcPr>
          <w:p w:rsidR="00BB20CC" w:rsidRPr="00E71D12" w:rsidRDefault="00BB20CC" w:rsidP="00AD76D2">
            <w:pPr>
              <w:jc w:val="center"/>
              <w:rPr>
                <w:rFonts w:eastAsiaTheme="minorEastAsia"/>
                <w:color w:val="auto"/>
                <w:sz w:val="18"/>
                <w:szCs w:val="18"/>
              </w:rPr>
            </w:pPr>
            <w:r w:rsidRPr="00E71D12">
              <w:rPr>
                <w:rFonts w:eastAsiaTheme="minorEastAsia"/>
                <w:color w:val="auto"/>
                <w:sz w:val="18"/>
                <w:szCs w:val="18"/>
              </w:rPr>
              <w:t>8045-9304</w:t>
            </w:r>
          </w:p>
        </w:tc>
        <w:tc>
          <w:tcPr>
            <w:tcW w:w="814" w:type="dxa"/>
            <w:shd w:val="clear" w:color="auto" w:fill="FFFFFF" w:themeFill="background1"/>
          </w:tcPr>
          <w:p w:rsidR="00BB20CC" w:rsidRPr="00BB20CC" w:rsidRDefault="00BB20CC" w:rsidP="00BB20CC">
            <w:pPr>
              <w:jc w:val="center"/>
              <w:rPr>
                <w:rFonts w:eastAsiaTheme="minorEastAsia"/>
                <w:color w:val="auto"/>
                <w:sz w:val="18"/>
                <w:szCs w:val="18"/>
              </w:rPr>
            </w:pPr>
            <w:r w:rsidRPr="00BB20CC">
              <w:rPr>
                <w:rFonts w:eastAsiaTheme="minorEastAsia"/>
                <w:color w:val="auto"/>
                <w:sz w:val="18"/>
                <w:szCs w:val="18"/>
              </w:rPr>
              <w:t>10%</w:t>
            </w:r>
          </w:p>
        </w:tc>
        <w:tc>
          <w:tcPr>
            <w:tcW w:w="990" w:type="dxa"/>
            <w:shd w:val="clear" w:color="auto" w:fill="FFFFFF" w:themeFill="background1"/>
          </w:tcPr>
          <w:p w:rsidR="00BB20CC" w:rsidRPr="00BB20CC" w:rsidRDefault="00BB20CC" w:rsidP="00BB20CC">
            <w:pPr>
              <w:jc w:val="center"/>
              <w:rPr>
                <w:color w:val="auto"/>
              </w:rPr>
            </w:pPr>
            <w:r w:rsidRPr="00BB20CC">
              <w:rPr>
                <w:rFonts w:cs="Times New Roman"/>
                <w:color w:val="auto"/>
                <w:sz w:val="18"/>
                <w:szCs w:val="18"/>
              </w:rPr>
              <w:t>20080717</w:t>
            </w:r>
          </w:p>
        </w:tc>
      </w:tr>
      <w:tr w:rsidR="005F743D" w:rsidTr="00A5685A">
        <w:trPr>
          <w:trHeight w:val="143"/>
        </w:trPr>
        <w:tc>
          <w:tcPr>
            <w:tcW w:w="5124" w:type="dxa"/>
            <w:gridSpan w:val="4"/>
            <w:tcBorders>
              <w:right w:val="thinThickThinSmallGap" w:sz="24" w:space="0" w:color="auto"/>
            </w:tcBorders>
            <w:shd w:val="clear" w:color="auto" w:fill="FFFFFF" w:themeFill="background1"/>
          </w:tcPr>
          <w:p w:rsidR="00BB20CC" w:rsidRDefault="00BB20CC" w:rsidP="00AD76D2">
            <w:pPr>
              <w:pStyle w:val="ListParagraph"/>
              <w:spacing w:after="0" w:line="240" w:lineRule="auto"/>
              <w:ind w:left="0"/>
              <w:jc w:val="center"/>
              <w:rPr>
                <w:rFonts w:eastAsiaTheme="minorEastAsia"/>
                <w:sz w:val="18"/>
                <w:szCs w:val="18"/>
              </w:rPr>
            </w:pPr>
          </w:p>
        </w:tc>
        <w:tc>
          <w:tcPr>
            <w:tcW w:w="2043" w:type="dxa"/>
            <w:tcBorders>
              <w:left w:val="thinThickThinSmallGap" w:sz="24" w:space="0" w:color="auto"/>
              <w:right w:val="single" w:sz="4" w:space="0" w:color="auto"/>
            </w:tcBorders>
            <w:shd w:val="clear" w:color="auto" w:fill="FFFFFF" w:themeFill="background1"/>
          </w:tcPr>
          <w:p w:rsidR="00BB20CC" w:rsidRPr="00BC09D1" w:rsidRDefault="00BB20CC" w:rsidP="00AD76D2">
            <w:pPr>
              <w:pStyle w:val="ListParagraph"/>
              <w:spacing w:after="0" w:line="240" w:lineRule="auto"/>
              <w:ind w:left="0"/>
              <w:rPr>
                <w:rFonts w:cs="Times New Roman"/>
                <w:sz w:val="18"/>
                <w:szCs w:val="18"/>
              </w:rPr>
            </w:pPr>
            <w:r>
              <w:rPr>
                <w:rFonts w:cs="Times New Roman"/>
                <w:sz w:val="18"/>
                <w:szCs w:val="18"/>
              </w:rPr>
              <w:t xml:space="preserve">Healed </w:t>
            </w:r>
            <w:proofErr w:type="spellStart"/>
            <w:r>
              <w:rPr>
                <w:rFonts w:cs="Times New Roman"/>
                <w:sz w:val="18"/>
                <w:szCs w:val="18"/>
              </w:rPr>
              <w:t>Fx</w:t>
            </w:r>
            <w:proofErr w:type="spellEnd"/>
            <w:r>
              <w:rPr>
                <w:rFonts w:cs="Times New Roman"/>
                <w:sz w:val="18"/>
                <w:szCs w:val="18"/>
              </w:rPr>
              <w:t xml:space="preserve"> L Wrist</w:t>
            </w:r>
          </w:p>
        </w:tc>
        <w:tc>
          <w:tcPr>
            <w:tcW w:w="1019" w:type="dxa"/>
            <w:gridSpan w:val="2"/>
            <w:tcBorders>
              <w:left w:val="single" w:sz="4" w:space="0" w:color="auto"/>
            </w:tcBorders>
            <w:shd w:val="clear" w:color="auto" w:fill="FFFFFF" w:themeFill="background1"/>
          </w:tcPr>
          <w:p w:rsidR="00BB20CC" w:rsidRPr="00E71D12" w:rsidRDefault="00BB20CC" w:rsidP="00AD76D2">
            <w:pPr>
              <w:jc w:val="center"/>
              <w:rPr>
                <w:rFonts w:eastAsiaTheme="minorEastAsia"/>
                <w:sz w:val="18"/>
                <w:szCs w:val="18"/>
              </w:rPr>
            </w:pPr>
            <w:r w:rsidRPr="00E71D12">
              <w:rPr>
                <w:color w:val="auto"/>
                <w:sz w:val="18"/>
                <w:szCs w:val="18"/>
              </w:rPr>
              <w:t>5299-5215</w:t>
            </w:r>
          </w:p>
        </w:tc>
        <w:tc>
          <w:tcPr>
            <w:tcW w:w="814" w:type="dxa"/>
            <w:shd w:val="clear" w:color="auto" w:fill="FFFFFF" w:themeFill="background1"/>
          </w:tcPr>
          <w:p w:rsidR="00BB20CC" w:rsidRPr="00BB20CC" w:rsidRDefault="00BB20CC" w:rsidP="00BB20CC">
            <w:pPr>
              <w:jc w:val="center"/>
              <w:rPr>
                <w:rFonts w:eastAsiaTheme="minorEastAsia"/>
                <w:color w:val="auto"/>
                <w:sz w:val="18"/>
                <w:szCs w:val="18"/>
              </w:rPr>
            </w:pPr>
            <w:r w:rsidRPr="00BB20CC">
              <w:rPr>
                <w:rFonts w:eastAsiaTheme="minorEastAsia"/>
                <w:color w:val="auto"/>
                <w:sz w:val="18"/>
                <w:szCs w:val="18"/>
              </w:rPr>
              <w:t>0%</w:t>
            </w:r>
          </w:p>
        </w:tc>
        <w:tc>
          <w:tcPr>
            <w:tcW w:w="990" w:type="dxa"/>
            <w:shd w:val="clear" w:color="auto" w:fill="FFFFFF" w:themeFill="background1"/>
          </w:tcPr>
          <w:p w:rsidR="00BB20CC" w:rsidRPr="00BB20CC" w:rsidRDefault="00BB20CC" w:rsidP="00BB20CC">
            <w:pPr>
              <w:jc w:val="center"/>
              <w:rPr>
                <w:color w:val="auto"/>
              </w:rPr>
            </w:pPr>
            <w:r w:rsidRPr="00BB20CC">
              <w:rPr>
                <w:rFonts w:cs="Times New Roman"/>
                <w:color w:val="auto"/>
                <w:sz w:val="18"/>
                <w:szCs w:val="18"/>
              </w:rPr>
              <w:t>20080717</w:t>
            </w:r>
          </w:p>
        </w:tc>
      </w:tr>
      <w:tr w:rsidR="00BB20CC" w:rsidTr="00A5685A">
        <w:trPr>
          <w:trHeight w:val="143"/>
        </w:trPr>
        <w:tc>
          <w:tcPr>
            <w:tcW w:w="5124" w:type="dxa"/>
            <w:gridSpan w:val="4"/>
            <w:tcBorders>
              <w:right w:val="thinThickThinSmallGap" w:sz="24" w:space="0" w:color="auto"/>
            </w:tcBorders>
            <w:shd w:val="clear" w:color="auto" w:fill="FFFFFF" w:themeFill="background1"/>
          </w:tcPr>
          <w:p w:rsidR="00BB20CC" w:rsidRDefault="00BB20CC" w:rsidP="00AD76D2">
            <w:pPr>
              <w:pStyle w:val="ListParagraph"/>
              <w:spacing w:after="0" w:line="240" w:lineRule="auto"/>
              <w:ind w:left="0"/>
              <w:jc w:val="center"/>
              <w:rPr>
                <w:rFonts w:eastAsiaTheme="minorEastAsia"/>
                <w:sz w:val="18"/>
                <w:szCs w:val="18"/>
              </w:rPr>
            </w:pPr>
          </w:p>
        </w:tc>
        <w:tc>
          <w:tcPr>
            <w:tcW w:w="2043" w:type="dxa"/>
            <w:tcBorders>
              <w:left w:val="thinThickThinSmallGap" w:sz="24" w:space="0" w:color="auto"/>
              <w:right w:val="single" w:sz="4" w:space="0" w:color="auto"/>
            </w:tcBorders>
            <w:shd w:val="clear" w:color="auto" w:fill="FFFFFF" w:themeFill="background1"/>
          </w:tcPr>
          <w:p w:rsidR="00BB20CC" w:rsidRPr="00E71D12" w:rsidRDefault="00BB20CC" w:rsidP="00AD76D2">
            <w:pPr>
              <w:pStyle w:val="ListParagraph"/>
              <w:spacing w:after="0" w:line="240" w:lineRule="auto"/>
              <w:ind w:left="0"/>
              <w:rPr>
                <w:rFonts w:cs="Times New Roman"/>
                <w:sz w:val="18"/>
                <w:szCs w:val="18"/>
              </w:rPr>
            </w:pPr>
            <w:r w:rsidRPr="00E71D12">
              <w:rPr>
                <w:sz w:val="18"/>
                <w:szCs w:val="18"/>
              </w:rPr>
              <w:t>Arthri</w:t>
            </w:r>
            <w:r>
              <w:rPr>
                <w:sz w:val="18"/>
                <w:szCs w:val="18"/>
              </w:rPr>
              <w:t>ti</w:t>
            </w:r>
            <w:r w:rsidRPr="00E71D12">
              <w:rPr>
                <w:sz w:val="18"/>
                <w:szCs w:val="18"/>
              </w:rPr>
              <w:t>s; Bilateral Hips</w:t>
            </w:r>
          </w:p>
        </w:tc>
        <w:tc>
          <w:tcPr>
            <w:tcW w:w="1019" w:type="dxa"/>
            <w:gridSpan w:val="2"/>
            <w:tcBorders>
              <w:left w:val="single" w:sz="4" w:space="0" w:color="auto"/>
            </w:tcBorders>
            <w:shd w:val="clear" w:color="auto" w:fill="FFFFFF" w:themeFill="background1"/>
          </w:tcPr>
          <w:p w:rsidR="00BB20CC" w:rsidRPr="00E71D12" w:rsidRDefault="00BB20CC" w:rsidP="00AD76D2">
            <w:pPr>
              <w:jc w:val="center"/>
              <w:rPr>
                <w:rFonts w:eastAsiaTheme="minorEastAsia"/>
                <w:sz w:val="18"/>
                <w:szCs w:val="18"/>
              </w:rPr>
            </w:pPr>
            <w:r w:rsidRPr="00E71D12">
              <w:rPr>
                <w:color w:val="auto"/>
                <w:sz w:val="18"/>
                <w:szCs w:val="18"/>
              </w:rPr>
              <w:t>5010-5253</w:t>
            </w:r>
          </w:p>
        </w:tc>
        <w:tc>
          <w:tcPr>
            <w:tcW w:w="814" w:type="dxa"/>
            <w:shd w:val="clear" w:color="auto" w:fill="FFFFFF" w:themeFill="background1"/>
          </w:tcPr>
          <w:p w:rsidR="00BB20CC" w:rsidRPr="00BB20CC" w:rsidRDefault="00BB20CC" w:rsidP="00BB20CC">
            <w:pPr>
              <w:jc w:val="center"/>
              <w:rPr>
                <w:rFonts w:eastAsiaTheme="minorEastAsia"/>
                <w:color w:val="auto"/>
                <w:sz w:val="18"/>
                <w:szCs w:val="18"/>
              </w:rPr>
            </w:pPr>
            <w:r w:rsidRPr="00BB20CC">
              <w:rPr>
                <w:rFonts w:eastAsiaTheme="minorEastAsia"/>
                <w:color w:val="auto"/>
                <w:sz w:val="18"/>
                <w:szCs w:val="18"/>
              </w:rPr>
              <w:t>0%</w:t>
            </w:r>
          </w:p>
        </w:tc>
        <w:tc>
          <w:tcPr>
            <w:tcW w:w="990" w:type="dxa"/>
            <w:shd w:val="clear" w:color="auto" w:fill="FFFFFF" w:themeFill="background1"/>
          </w:tcPr>
          <w:p w:rsidR="00BB20CC" w:rsidRPr="00BB20CC" w:rsidRDefault="00BB20CC" w:rsidP="00BB20CC">
            <w:pPr>
              <w:jc w:val="center"/>
              <w:rPr>
                <w:color w:val="auto"/>
              </w:rPr>
            </w:pPr>
            <w:r w:rsidRPr="00BB20CC">
              <w:rPr>
                <w:rFonts w:cs="Times New Roman"/>
                <w:color w:val="auto"/>
                <w:sz w:val="18"/>
                <w:szCs w:val="18"/>
              </w:rPr>
              <w:t>20080717</w:t>
            </w:r>
          </w:p>
        </w:tc>
      </w:tr>
      <w:tr w:rsidR="00BB20CC" w:rsidTr="00A5685A">
        <w:trPr>
          <w:trHeight w:val="143"/>
        </w:trPr>
        <w:tc>
          <w:tcPr>
            <w:tcW w:w="5124" w:type="dxa"/>
            <w:gridSpan w:val="4"/>
            <w:tcBorders>
              <w:right w:val="thinThickThinSmallGap" w:sz="24" w:space="0" w:color="auto"/>
            </w:tcBorders>
            <w:shd w:val="clear" w:color="auto" w:fill="FFFFFF" w:themeFill="background1"/>
          </w:tcPr>
          <w:p w:rsidR="00BB20CC" w:rsidRDefault="00BB20CC" w:rsidP="00AD76D2">
            <w:pPr>
              <w:pStyle w:val="ListParagraph"/>
              <w:spacing w:after="0" w:line="240" w:lineRule="auto"/>
              <w:ind w:left="0"/>
              <w:jc w:val="center"/>
              <w:rPr>
                <w:rFonts w:eastAsiaTheme="minorEastAsia"/>
                <w:sz w:val="18"/>
                <w:szCs w:val="18"/>
              </w:rPr>
            </w:pPr>
          </w:p>
        </w:tc>
        <w:tc>
          <w:tcPr>
            <w:tcW w:w="2342" w:type="dxa"/>
            <w:gridSpan w:val="2"/>
            <w:tcBorders>
              <w:left w:val="thinThickThinSmallGap" w:sz="24" w:space="0" w:color="auto"/>
            </w:tcBorders>
            <w:shd w:val="clear" w:color="auto" w:fill="FFFFFF" w:themeFill="background1"/>
          </w:tcPr>
          <w:p w:rsidR="00BB20CC" w:rsidRPr="00E71D12" w:rsidRDefault="00BB20CC" w:rsidP="00AD76D2">
            <w:pPr>
              <w:autoSpaceDE w:val="0"/>
              <w:autoSpaceDN w:val="0"/>
              <w:adjustRightInd w:val="0"/>
              <w:rPr>
                <w:rFonts w:eastAsiaTheme="minorEastAsia" w:cs="Times New Roman"/>
                <w:sz w:val="18"/>
                <w:szCs w:val="18"/>
              </w:rPr>
            </w:pPr>
            <w:r w:rsidRPr="00E71D12">
              <w:rPr>
                <w:color w:val="auto"/>
                <w:sz w:val="18"/>
                <w:szCs w:val="18"/>
              </w:rPr>
              <w:t>Kidney Stones</w:t>
            </w:r>
          </w:p>
        </w:tc>
        <w:tc>
          <w:tcPr>
            <w:tcW w:w="720" w:type="dxa"/>
            <w:shd w:val="clear" w:color="auto" w:fill="FFFFFF" w:themeFill="background1"/>
          </w:tcPr>
          <w:p w:rsidR="00BB20CC" w:rsidRPr="00E71D12" w:rsidRDefault="00BB20CC" w:rsidP="00AD76D2">
            <w:pPr>
              <w:jc w:val="center"/>
              <w:rPr>
                <w:rFonts w:eastAsiaTheme="minorEastAsia"/>
                <w:sz w:val="18"/>
                <w:szCs w:val="18"/>
              </w:rPr>
            </w:pPr>
            <w:r w:rsidRPr="00E71D12">
              <w:rPr>
                <w:color w:val="auto"/>
                <w:sz w:val="18"/>
                <w:szCs w:val="18"/>
              </w:rPr>
              <w:t>7508</w:t>
            </w:r>
          </w:p>
        </w:tc>
        <w:tc>
          <w:tcPr>
            <w:tcW w:w="814" w:type="dxa"/>
            <w:shd w:val="clear" w:color="auto" w:fill="FFFFFF" w:themeFill="background1"/>
          </w:tcPr>
          <w:p w:rsidR="00BB20CC" w:rsidRPr="00BB20CC" w:rsidRDefault="00BB20CC" w:rsidP="00BB20CC">
            <w:pPr>
              <w:jc w:val="center"/>
              <w:rPr>
                <w:rFonts w:eastAsiaTheme="minorEastAsia"/>
                <w:color w:val="auto"/>
                <w:sz w:val="18"/>
                <w:szCs w:val="18"/>
              </w:rPr>
            </w:pPr>
            <w:r w:rsidRPr="00BB20CC">
              <w:rPr>
                <w:rFonts w:eastAsiaTheme="minorEastAsia"/>
                <w:color w:val="auto"/>
                <w:sz w:val="18"/>
                <w:szCs w:val="18"/>
              </w:rPr>
              <w:t>0%</w:t>
            </w:r>
          </w:p>
        </w:tc>
        <w:tc>
          <w:tcPr>
            <w:tcW w:w="990" w:type="dxa"/>
            <w:shd w:val="clear" w:color="auto" w:fill="FFFFFF" w:themeFill="background1"/>
          </w:tcPr>
          <w:p w:rsidR="00BB20CC" w:rsidRPr="00BB20CC" w:rsidRDefault="00BB20CC" w:rsidP="00BB20CC">
            <w:pPr>
              <w:jc w:val="center"/>
              <w:rPr>
                <w:color w:val="auto"/>
              </w:rPr>
            </w:pPr>
            <w:r w:rsidRPr="00BB20CC">
              <w:rPr>
                <w:rFonts w:cs="Times New Roman"/>
                <w:color w:val="auto"/>
                <w:sz w:val="18"/>
                <w:szCs w:val="18"/>
              </w:rPr>
              <w:t>20080717</w:t>
            </w:r>
          </w:p>
        </w:tc>
      </w:tr>
      <w:tr w:rsidR="00BB20CC" w:rsidTr="00A5685A">
        <w:trPr>
          <w:trHeight w:val="242"/>
        </w:trPr>
        <w:tc>
          <w:tcPr>
            <w:tcW w:w="5124" w:type="dxa"/>
            <w:gridSpan w:val="4"/>
            <w:tcBorders>
              <w:right w:val="thinThickThinSmallGap" w:sz="24" w:space="0" w:color="auto"/>
            </w:tcBorders>
            <w:shd w:val="clear" w:color="auto" w:fill="C6D9F1" w:themeFill="text2" w:themeFillTint="33"/>
          </w:tcPr>
          <w:p w:rsidR="00BB20CC" w:rsidRPr="00BC09D1" w:rsidRDefault="00BB20CC" w:rsidP="00AD76D2">
            <w:pPr>
              <w:pStyle w:val="ListParagraph"/>
              <w:spacing w:after="0" w:line="240" w:lineRule="auto"/>
              <w:ind w:left="0"/>
              <w:jc w:val="center"/>
              <w:rPr>
                <w:rFonts w:cs="Times New Roman"/>
                <w:b/>
                <w:sz w:val="20"/>
                <w:szCs w:val="20"/>
              </w:rPr>
            </w:pPr>
            <w:r w:rsidRPr="00BC09D1">
              <w:rPr>
                <w:rFonts w:cs="Times New Roman"/>
                <w:b/>
                <w:sz w:val="20"/>
                <w:szCs w:val="20"/>
              </w:rPr>
              <w:t xml:space="preserve">TOTAL Combined:  </w:t>
            </w:r>
            <w:r w:rsidR="005F743D">
              <w:rPr>
                <w:rFonts w:cs="Times New Roman"/>
                <w:b/>
                <w:sz w:val="20"/>
                <w:szCs w:val="20"/>
              </w:rPr>
              <w:t>2</w:t>
            </w:r>
            <w:r w:rsidRPr="00BC09D1">
              <w:rPr>
                <w:rFonts w:cs="Times New Roman"/>
                <w:b/>
                <w:sz w:val="20"/>
                <w:szCs w:val="20"/>
              </w:rPr>
              <w:t>0%</w:t>
            </w:r>
          </w:p>
        </w:tc>
        <w:tc>
          <w:tcPr>
            <w:tcW w:w="4866" w:type="dxa"/>
            <w:gridSpan w:val="5"/>
            <w:tcBorders>
              <w:left w:val="thinThickThinSmallGap" w:sz="24" w:space="0" w:color="auto"/>
            </w:tcBorders>
            <w:shd w:val="clear" w:color="auto" w:fill="C6D9F1" w:themeFill="text2" w:themeFillTint="33"/>
          </w:tcPr>
          <w:p w:rsidR="00BB20CC" w:rsidRPr="00BC09D1" w:rsidRDefault="00BB20CC" w:rsidP="00AD76D2">
            <w:pPr>
              <w:pStyle w:val="ListParagraph"/>
              <w:spacing w:after="0" w:line="240" w:lineRule="auto"/>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sidR="0012448A">
              <w:rPr>
                <w:rFonts w:cs="Times New Roman"/>
                <w:b/>
                <w:sz w:val="20"/>
                <w:szCs w:val="20"/>
              </w:rPr>
              <w:t xml:space="preserve">): </w:t>
            </w:r>
            <w:r w:rsidR="005F743D">
              <w:rPr>
                <w:rFonts w:cs="Times New Roman"/>
                <w:b/>
                <w:sz w:val="20"/>
                <w:szCs w:val="20"/>
              </w:rPr>
              <w:t>7</w:t>
            </w:r>
            <w:r w:rsidRPr="00BC09D1">
              <w:rPr>
                <w:rFonts w:cs="Times New Roman"/>
                <w:b/>
                <w:sz w:val="20"/>
                <w:szCs w:val="20"/>
              </w:rPr>
              <w:t xml:space="preserve">0%                                                                         </w:t>
            </w:r>
            <w:r w:rsidRPr="00BC09D1">
              <w:rPr>
                <w:rFonts w:cs="Times New Roman"/>
                <w:color w:val="00000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335CD7" w:rsidRDefault="002C6E5B" w:rsidP="002C6E5B">
      <w:pPr>
        <w:tabs>
          <w:tab w:val="left" w:pos="288"/>
          <w:tab w:val="left" w:pos="4752"/>
        </w:tabs>
        <w:spacing w:line="240" w:lineRule="exact"/>
        <w:jc w:val="both"/>
        <w:rPr>
          <w:color w:val="000080"/>
        </w:rPr>
      </w:pPr>
      <w:r w:rsidRPr="00335CD7">
        <w:rPr>
          <w:color w:val="000080"/>
          <w:u w:val="single"/>
        </w:rPr>
        <w:t>ANALYSIS SUMMARY</w:t>
      </w:r>
      <w:r w:rsidRPr="00335CD7">
        <w:rPr>
          <w:color w:val="000080"/>
        </w:rPr>
        <w:t>:</w:t>
      </w:r>
    </w:p>
    <w:p w:rsidR="002C6E5B" w:rsidRPr="00335CD7" w:rsidRDefault="002C6E5B" w:rsidP="002C6E5B">
      <w:pPr>
        <w:tabs>
          <w:tab w:val="left" w:pos="288"/>
          <w:tab w:val="left" w:pos="4752"/>
        </w:tabs>
        <w:spacing w:line="240" w:lineRule="exact"/>
        <w:jc w:val="both"/>
        <w:rPr>
          <w:color w:val="000080"/>
        </w:rPr>
      </w:pPr>
    </w:p>
    <w:p w:rsidR="001E2E87" w:rsidRPr="00335CD7" w:rsidRDefault="001E2E87" w:rsidP="00335CD7">
      <w:pPr>
        <w:tabs>
          <w:tab w:val="left" w:pos="288"/>
          <w:tab w:val="left" w:pos="4752"/>
        </w:tabs>
        <w:spacing w:line="240" w:lineRule="exact"/>
        <w:jc w:val="both"/>
        <w:rPr>
          <w:color w:val="000080"/>
        </w:rPr>
      </w:pPr>
      <w:proofErr w:type="gramStart"/>
      <w:r w:rsidRPr="00335CD7">
        <w:rPr>
          <w:color w:val="000080"/>
          <w:u w:val="single"/>
        </w:rPr>
        <w:t>PTSD</w:t>
      </w:r>
      <w:r w:rsidRPr="00335CD7">
        <w:rPr>
          <w:color w:val="000080"/>
        </w:rPr>
        <w:t>.</w:t>
      </w:r>
      <w:proofErr w:type="gramEnd"/>
      <w:r w:rsidRPr="00335CD7">
        <w:rPr>
          <w:color w:val="000080"/>
        </w:rPr>
        <w:t xml:space="preserve">  The difference in the MEB psychiatric diagnosis of PTSD and the VA psychiatrist’s diagnosis of </w:t>
      </w:r>
      <w:r w:rsidR="002F05B8" w:rsidRPr="00335CD7">
        <w:rPr>
          <w:color w:val="000080"/>
        </w:rPr>
        <w:t xml:space="preserve">generalized anxiety disorder appears to reflect a change in symptoms rather than a difference of opinion.  Typical </w:t>
      </w:r>
      <w:proofErr w:type="spellStart"/>
      <w:r w:rsidR="002F05B8" w:rsidRPr="00335CD7">
        <w:rPr>
          <w:color w:val="000080"/>
        </w:rPr>
        <w:t>hyperarousal</w:t>
      </w:r>
      <w:proofErr w:type="spellEnd"/>
      <w:r w:rsidR="002F05B8" w:rsidRPr="00335CD7">
        <w:rPr>
          <w:color w:val="000080"/>
        </w:rPr>
        <w:t>, exaggerated startle response, flashbacks, nightmares, etc., were documented during the MEB period but had resolved by the time of the VA psychiatric exam (</w:t>
      </w:r>
      <w:r w:rsidR="00C8461E">
        <w:rPr>
          <w:color w:val="000080"/>
        </w:rPr>
        <w:t>14 months</w:t>
      </w:r>
      <w:r w:rsidR="002F05B8" w:rsidRPr="00335CD7">
        <w:rPr>
          <w:color w:val="000080"/>
        </w:rPr>
        <w:t xml:space="preserve"> later).  Some VA clinical notes during that interval are in evidence.  These document </w:t>
      </w:r>
      <w:r w:rsidR="00124B13" w:rsidRPr="00335CD7">
        <w:rPr>
          <w:color w:val="000080"/>
        </w:rPr>
        <w:t>resolving PTSD-specific</w:t>
      </w:r>
      <w:r w:rsidR="002F05B8" w:rsidRPr="00335CD7">
        <w:rPr>
          <w:color w:val="000080"/>
        </w:rPr>
        <w:t xml:space="preserve"> symptoms, although his anxiety </w:t>
      </w:r>
      <w:r w:rsidR="00093A49" w:rsidRPr="00335CD7">
        <w:rPr>
          <w:color w:val="000080"/>
        </w:rPr>
        <w:t xml:space="preserve">and depression appeared to worsen over time.  He developed occasional suicidal ideation and increasing withdrawal and social isolation.  In addition he began to manifest headache and cognitive dysfunction consistent with traumatic brain injury (TBI).  He was determined to be unemployable by the VA, although that status was </w:t>
      </w:r>
      <w:r w:rsidR="00163612" w:rsidRPr="00335CD7">
        <w:rPr>
          <w:color w:val="000080"/>
        </w:rPr>
        <w:t xml:space="preserve">not </w:t>
      </w:r>
      <w:r w:rsidR="00C8461E">
        <w:rPr>
          <w:color w:val="000080"/>
        </w:rPr>
        <w:t xml:space="preserve">solely </w:t>
      </w:r>
      <w:r w:rsidR="00163612" w:rsidRPr="00335CD7">
        <w:rPr>
          <w:color w:val="000080"/>
        </w:rPr>
        <w:t>the</w:t>
      </w:r>
      <w:r w:rsidR="00093A49" w:rsidRPr="00335CD7">
        <w:rPr>
          <w:color w:val="000080"/>
        </w:rPr>
        <w:t xml:space="preserve"> result of </w:t>
      </w:r>
      <w:r w:rsidR="00C8461E">
        <w:rPr>
          <w:color w:val="000080"/>
        </w:rPr>
        <w:t>psychiatric impairment</w:t>
      </w:r>
      <w:r w:rsidR="00163612" w:rsidRPr="00335CD7">
        <w:rPr>
          <w:color w:val="000080"/>
        </w:rPr>
        <w:t xml:space="preserve">.  There were significant contributions from </w:t>
      </w:r>
      <w:r w:rsidR="00093A49" w:rsidRPr="00335CD7">
        <w:rPr>
          <w:color w:val="000080"/>
        </w:rPr>
        <w:t>his pain and physical limitations</w:t>
      </w:r>
      <w:r w:rsidR="00124B13" w:rsidRPr="00335CD7">
        <w:rPr>
          <w:color w:val="000080"/>
        </w:rPr>
        <w:t xml:space="preserve">, </w:t>
      </w:r>
      <w:r w:rsidR="00163612" w:rsidRPr="00335CD7">
        <w:rPr>
          <w:color w:val="000080"/>
        </w:rPr>
        <w:t xml:space="preserve">and from his </w:t>
      </w:r>
      <w:r w:rsidR="00093A49" w:rsidRPr="00335CD7">
        <w:rPr>
          <w:color w:val="000080"/>
        </w:rPr>
        <w:t xml:space="preserve">evolving memory and cognitive impairments.  The PEB rating of 10% </w:t>
      </w:r>
      <w:r w:rsidR="00970481" w:rsidRPr="00335CD7">
        <w:rPr>
          <w:color w:val="000080"/>
        </w:rPr>
        <w:t>invoked</w:t>
      </w:r>
      <w:r w:rsidR="00093A49" w:rsidRPr="00335CD7">
        <w:rPr>
          <w:color w:val="000080"/>
        </w:rPr>
        <w:t xml:space="preserve"> </w:t>
      </w:r>
      <w:proofErr w:type="spellStart"/>
      <w:r w:rsidR="00093A49" w:rsidRPr="00335CD7">
        <w:rPr>
          <w:color w:val="000080"/>
        </w:rPr>
        <w:t>DoDI</w:t>
      </w:r>
      <w:proofErr w:type="spellEnd"/>
      <w:r w:rsidR="00093A49" w:rsidRPr="00335CD7">
        <w:rPr>
          <w:color w:val="000080"/>
        </w:rPr>
        <w:t xml:space="preserve"> 1332.39 guid</w:t>
      </w:r>
      <w:r w:rsidR="00970481" w:rsidRPr="00335CD7">
        <w:rPr>
          <w:color w:val="000080"/>
        </w:rPr>
        <w:t>elines</w:t>
      </w:r>
      <w:r w:rsidR="00093A49" w:rsidRPr="00335CD7">
        <w:rPr>
          <w:color w:val="000080"/>
        </w:rPr>
        <w:t xml:space="preserve">.  </w:t>
      </w:r>
      <w:r w:rsidR="00190825" w:rsidRPr="00335CD7">
        <w:rPr>
          <w:color w:val="000080"/>
        </w:rPr>
        <w:t xml:space="preserve">The DA </w:t>
      </w:r>
      <w:r w:rsidR="004C7BE3">
        <w:rPr>
          <w:color w:val="000080"/>
        </w:rPr>
        <w:t xml:space="preserve">Form </w:t>
      </w:r>
      <w:r w:rsidR="00190825" w:rsidRPr="00335CD7">
        <w:rPr>
          <w:color w:val="000080"/>
        </w:rPr>
        <w:t>199 referenced the Commander’s statement in rationale</w:t>
      </w:r>
      <w:r w:rsidR="00970481" w:rsidRPr="00335CD7">
        <w:rPr>
          <w:color w:val="000080"/>
        </w:rPr>
        <w:t xml:space="preserve"> for the rating</w:t>
      </w:r>
      <w:r w:rsidR="00190825" w:rsidRPr="00335CD7">
        <w:rPr>
          <w:color w:val="000080"/>
        </w:rPr>
        <w:t>.  Th</w:t>
      </w:r>
      <w:r w:rsidR="00970481" w:rsidRPr="00335CD7">
        <w:rPr>
          <w:color w:val="000080"/>
        </w:rPr>
        <w:t>e Commander</w:t>
      </w:r>
      <w:r w:rsidR="00190825" w:rsidRPr="00335CD7">
        <w:rPr>
          <w:color w:val="000080"/>
        </w:rPr>
        <w:t xml:space="preserve"> stated ‘duty performance has been and remains outstanding even with his injuries physically impairing him</w:t>
      </w:r>
      <w:r w:rsidR="00335CD7">
        <w:rPr>
          <w:color w:val="000080"/>
        </w:rPr>
        <w:t>...</w:t>
      </w:r>
      <w:r w:rsidR="00190825" w:rsidRPr="00335CD7">
        <w:rPr>
          <w:color w:val="000080"/>
        </w:rPr>
        <w:t xml:space="preserve">He is a quality NCO’.  It is clear that </w:t>
      </w:r>
      <w:r w:rsidR="00970481" w:rsidRPr="00335CD7">
        <w:rPr>
          <w:color w:val="000080"/>
        </w:rPr>
        <w:t>t</w:t>
      </w:r>
      <w:r w:rsidR="00190825" w:rsidRPr="00335CD7">
        <w:rPr>
          <w:color w:val="000080"/>
        </w:rPr>
        <w:t xml:space="preserve">he </w:t>
      </w:r>
      <w:r w:rsidR="00970481" w:rsidRPr="00335CD7">
        <w:rPr>
          <w:color w:val="000080"/>
        </w:rPr>
        <w:t xml:space="preserve">CI </w:t>
      </w:r>
      <w:r w:rsidR="00190825" w:rsidRPr="00335CD7">
        <w:rPr>
          <w:color w:val="000080"/>
        </w:rPr>
        <w:t xml:space="preserve">remained motivated and </w:t>
      </w:r>
      <w:r w:rsidR="00970481" w:rsidRPr="00335CD7">
        <w:rPr>
          <w:color w:val="000080"/>
        </w:rPr>
        <w:t xml:space="preserve">quite </w:t>
      </w:r>
      <w:r w:rsidR="00190825" w:rsidRPr="00335CD7">
        <w:rPr>
          <w:color w:val="000080"/>
        </w:rPr>
        <w:t xml:space="preserve">functional </w:t>
      </w:r>
      <w:r w:rsidR="001F3E5C" w:rsidRPr="00335CD7">
        <w:rPr>
          <w:color w:val="000080"/>
        </w:rPr>
        <w:t xml:space="preserve">within his physical limitations </w:t>
      </w:r>
      <w:r w:rsidR="00190825" w:rsidRPr="00335CD7">
        <w:rPr>
          <w:color w:val="000080"/>
        </w:rPr>
        <w:t>while on active duty, although he did not fare well in civilian life</w:t>
      </w:r>
      <w:r w:rsidR="001F3E5C" w:rsidRPr="00335CD7">
        <w:rPr>
          <w:color w:val="000080"/>
        </w:rPr>
        <w:t xml:space="preserve"> after separation</w:t>
      </w:r>
      <w:r w:rsidR="00190825" w:rsidRPr="00335CD7">
        <w:rPr>
          <w:color w:val="000080"/>
        </w:rPr>
        <w:t xml:space="preserve">.  </w:t>
      </w:r>
      <w:r w:rsidR="00365EDD" w:rsidRPr="00335CD7">
        <w:rPr>
          <w:color w:val="000080"/>
        </w:rPr>
        <w:t xml:space="preserve">The psychiatric addendum to the </w:t>
      </w:r>
      <w:r w:rsidR="004C7BE3">
        <w:rPr>
          <w:color w:val="000080"/>
        </w:rPr>
        <w:t>narrative summary (</w:t>
      </w:r>
      <w:r w:rsidR="00365EDD" w:rsidRPr="00335CD7">
        <w:rPr>
          <w:color w:val="000080"/>
        </w:rPr>
        <w:t>NARSUM</w:t>
      </w:r>
      <w:r w:rsidR="004C7BE3">
        <w:rPr>
          <w:color w:val="000080"/>
        </w:rPr>
        <w:t>)</w:t>
      </w:r>
      <w:r w:rsidR="00365EDD" w:rsidRPr="00335CD7">
        <w:rPr>
          <w:color w:val="000080"/>
        </w:rPr>
        <w:t xml:space="preserve">, in addition to establishing ample DSM IV criteria for an Axis I </w:t>
      </w:r>
      <w:r w:rsidR="00C8461E">
        <w:rPr>
          <w:color w:val="000080"/>
        </w:rPr>
        <w:t>diagnosis of PTSD, opined that i</w:t>
      </w:r>
      <w:r w:rsidR="00365EDD" w:rsidRPr="00335CD7">
        <w:rPr>
          <w:color w:val="000080"/>
        </w:rPr>
        <w:t xml:space="preserve">mpairment for social and industrial adaptability was marked.  The global assessment of functioning (GAF) score was 55 </w:t>
      </w:r>
      <w:r w:rsidR="00C8461E">
        <w:rPr>
          <w:color w:val="000080"/>
        </w:rPr>
        <w:t>representative of</w:t>
      </w:r>
      <w:r w:rsidR="00365EDD" w:rsidRPr="00335CD7">
        <w:rPr>
          <w:color w:val="000080"/>
        </w:rPr>
        <w:t xml:space="preserve"> moderate impairment.  He carried a profile restricti</w:t>
      </w:r>
      <w:r w:rsidR="00970481" w:rsidRPr="00335CD7">
        <w:rPr>
          <w:color w:val="000080"/>
        </w:rPr>
        <w:t>ng</w:t>
      </w:r>
      <w:r w:rsidR="00365EDD" w:rsidRPr="00335CD7">
        <w:rPr>
          <w:color w:val="000080"/>
        </w:rPr>
        <w:t xml:space="preserve"> access to firearms.  Although his mental status and cognitive examination was normal for the most part, he displayed an ‘empty and frustrated’ mood.  The Action Officer opines that a fair VASRD §4.130 rating at separation would have been 30%</w:t>
      </w:r>
      <w:r w:rsidR="007E1C76" w:rsidRPr="00335CD7">
        <w:rPr>
          <w:color w:val="000080"/>
        </w:rPr>
        <w:t xml:space="preserve">, although a 10% rating could be defended on the basis of </w:t>
      </w:r>
      <w:r w:rsidR="00970481" w:rsidRPr="00335CD7">
        <w:rPr>
          <w:color w:val="000080"/>
        </w:rPr>
        <w:t xml:space="preserve">his </w:t>
      </w:r>
      <w:r w:rsidR="007E1C76" w:rsidRPr="00335CD7">
        <w:rPr>
          <w:color w:val="000080"/>
        </w:rPr>
        <w:t>function</w:t>
      </w:r>
      <w:r w:rsidR="00970481" w:rsidRPr="00335CD7">
        <w:rPr>
          <w:color w:val="000080"/>
        </w:rPr>
        <w:t>al status</w:t>
      </w:r>
      <w:r w:rsidR="00365EDD" w:rsidRPr="00335CD7">
        <w:rPr>
          <w:color w:val="000080"/>
        </w:rPr>
        <w:t xml:space="preserve">.  </w:t>
      </w:r>
      <w:r w:rsidR="00365EDD" w:rsidRPr="00335CD7">
        <w:rPr>
          <w:color w:val="000080"/>
        </w:rPr>
        <w:lastRenderedPageBreak/>
        <w:t xml:space="preserve">Since the </w:t>
      </w:r>
      <w:r w:rsidR="003C1A59" w:rsidRPr="00335CD7">
        <w:rPr>
          <w:color w:val="000080"/>
        </w:rPr>
        <w:t xml:space="preserve">separation diagnosis was PTSD, however, the Board is obligated to recommend retroactive application of §4.130.  This </w:t>
      </w:r>
      <w:r w:rsidR="001F3E5C" w:rsidRPr="00335CD7">
        <w:rPr>
          <w:color w:val="000080"/>
        </w:rPr>
        <w:t>mandates a</w:t>
      </w:r>
      <w:r w:rsidR="003C1A59" w:rsidRPr="00335CD7">
        <w:rPr>
          <w:color w:val="000080"/>
        </w:rPr>
        <w:t xml:space="preserve"> six month TDRL rating of 50% at separation.</w:t>
      </w:r>
    </w:p>
    <w:p w:rsidR="003C1A59" w:rsidRPr="00335CD7" w:rsidRDefault="003C1A59" w:rsidP="00335CD7">
      <w:pPr>
        <w:tabs>
          <w:tab w:val="left" w:pos="288"/>
          <w:tab w:val="left" w:pos="4752"/>
        </w:tabs>
        <w:spacing w:line="240" w:lineRule="exact"/>
        <w:jc w:val="both"/>
        <w:rPr>
          <w:color w:val="000080"/>
        </w:rPr>
      </w:pPr>
    </w:p>
    <w:p w:rsidR="003C1A59" w:rsidRPr="00335CD7" w:rsidRDefault="003C1A59" w:rsidP="00335CD7">
      <w:pPr>
        <w:tabs>
          <w:tab w:val="left" w:pos="288"/>
          <w:tab w:val="left" w:pos="4752"/>
        </w:tabs>
        <w:spacing w:line="240" w:lineRule="exact"/>
        <w:jc w:val="both"/>
        <w:rPr>
          <w:color w:val="000080"/>
        </w:rPr>
      </w:pPr>
      <w:r w:rsidRPr="00335CD7">
        <w:rPr>
          <w:color w:val="000080"/>
        </w:rPr>
        <w:t xml:space="preserve">The Board faces in this case a common </w:t>
      </w:r>
      <w:r w:rsidR="00970481" w:rsidRPr="00335CD7">
        <w:rPr>
          <w:color w:val="000080"/>
        </w:rPr>
        <w:t>issue</w:t>
      </w:r>
      <w:r w:rsidRPr="00335CD7">
        <w:rPr>
          <w:color w:val="000080"/>
        </w:rPr>
        <w:t xml:space="preserve"> with retroactive </w:t>
      </w:r>
      <w:r w:rsidR="00970481" w:rsidRPr="00335CD7">
        <w:rPr>
          <w:color w:val="000080"/>
        </w:rPr>
        <w:t xml:space="preserve">application of </w:t>
      </w:r>
      <w:r w:rsidRPr="00335CD7">
        <w:rPr>
          <w:color w:val="000080"/>
        </w:rPr>
        <w:t xml:space="preserve">§4.129, i.e., there was no </w:t>
      </w:r>
      <w:r w:rsidR="00A40A30" w:rsidRPr="00335CD7">
        <w:rPr>
          <w:color w:val="000080"/>
        </w:rPr>
        <w:t xml:space="preserve">formal </w:t>
      </w:r>
      <w:r w:rsidRPr="00335CD7">
        <w:rPr>
          <w:color w:val="000080"/>
        </w:rPr>
        <w:t xml:space="preserve">psychiatric examination performed at the six month interval </w:t>
      </w:r>
      <w:r w:rsidR="00A40A30" w:rsidRPr="00335CD7">
        <w:rPr>
          <w:color w:val="000080"/>
        </w:rPr>
        <w:t xml:space="preserve">to </w:t>
      </w:r>
      <w:r w:rsidR="00970481" w:rsidRPr="00335CD7">
        <w:rPr>
          <w:color w:val="000080"/>
        </w:rPr>
        <w:t>provide</w:t>
      </w:r>
      <w:r w:rsidRPr="00335CD7">
        <w:rPr>
          <w:color w:val="000080"/>
        </w:rPr>
        <w:t xml:space="preserve"> a </w:t>
      </w:r>
      <w:r w:rsidR="00970481" w:rsidRPr="00335CD7">
        <w:rPr>
          <w:color w:val="000080"/>
        </w:rPr>
        <w:t>timely</w:t>
      </w:r>
      <w:r w:rsidRPr="00335CD7">
        <w:rPr>
          <w:color w:val="000080"/>
        </w:rPr>
        <w:t xml:space="preserve"> </w:t>
      </w:r>
      <w:r w:rsidR="00A40A30" w:rsidRPr="00335CD7">
        <w:rPr>
          <w:color w:val="000080"/>
        </w:rPr>
        <w:t>source for</w:t>
      </w:r>
      <w:r w:rsidRPr="00335CD7">
        <w:rPr>
          <w:color w:val="000080"/>
        </w:rPr>
        <w:t xml:space="preserve"> </w:t>
      </w:r>
      <w:r w:rsidR="00A40A30" w:rsidRPr="00335CD7">
        <w:rPr>
          <w:color w:val="000080"/>
        </w:rPr>
        <w:t>its</w:t>
      </w:r>
      <w:r w:rsidRPr="00335CD7">
        <w:rPr>
          <w:color w:val="000080"/>
        </w:rPr>
        <w:t xml:space="preserve"> permanent rating recommendation.</w:t>
      </w:r>
      <w:r w:rsidR="00A40A30" w:rsidRPr="00335CD7">
        <w:rPr>
          <w:color w:val="000080"/>
        </w:rPr>
        <w:t xml:space="preserve">  There are </w:t>
      </w:r>
      <w:r w:rsidR="007E1C76" w:rsidRPr="00335CD7">
        <w:rPr>
          <w:color w:val="000080"/>
        </w:rPr>
        <w:t xml:space="preserve">appropriately </w:t>
      </w:r>
      <w:r w:rsidR="00A40A30" w:rsidRPr="00335CD7">
        <w:rPr>
          <w:color w:val="000080"/>
        </w:rPr>
        <w:t xml:space="preserve">timed VA </w:t>
      </w:r>
      <w:r w:rsidR="007E1C76" w:rsidRPr="00335CD7">
        <w:rPr>
          <w:color w:val="000080"/>
        </w:rPr>
        <w:t xml:space="preserve">clinical </w:t>
      </w:r>
      <w:r w:rsidR="00A40A30" w:rsidRPr="00335CD7">
        <w:rPr>
          <w:color w:val="000080"/>
        </w:rPr>
        <w:t xml:space="preserve">notes documenting that suicidal ideation was not </w:t>
      </w:r>
      <w:r w:rsidR="00B24532" w:rsidRPr="00335CD7">
        <w:rPr>
          <w:color w:val="000080"/>
        </w:rPr>
        <w:t xml:space="preserve">yet </w:t>
      </w:r>
      <w:r w:rsidR="00A40A30" w:rsidRPr="00335CD7">
        <w:rPr>
          <w:color w:val="000080"/>
        </w:rPr>
        <w:t xml:space="preserve">present at six months.  </w:t>
      </w:r>
      <w:r w:rsidR="00F40AD1" w:rsidRPr="00335CD7">
        <w:rPr>
          <w:color w:val="000080"/>
        </w:rPr>
        <w:t xml:space="preserve">He was described as ‘somewhat depressed and irritable’ with ‘intense social anxiety’.  As already noted, he was unemployed on a multi-factorial basis.  The VA psychiatric rating examination at </w:t>
      </w:r>
      <w:r w:rsidR="00EC1D37" w:rsidRPr="00335CD7">
        <w:rPr>
          <w:color w:val="000080"/>
        </w:rPr>
        <w:t xml:space="preserve">14 months </w:t>
      </w:r>
      <w:r w:rsidR="00F40AD1" w:rsidRPr="00335CD7">
        <w:rPr>
          <w:color w:val="000080"/>
        </w:rPr>
        <w:t xml:space="preserve">from separation was referenced in support of a 50% rating decision citing §4.130 criteria.  </w:t>
      </w:r>
      <w:r w:rsidR="00EC1D37" w:rsidRPr="00335CD7">
        <w:rPr>
          <w:color w:val="000080"/>
        </w:rPr>
        <w:t xml:space="preserve">Since the CI had not applied for VA disability within 12 months, the effective date was not retroactive to separation.  </w:t>
      </w:r>
      <w:r w:rsidR="00F40AD1" w:rsidRPr="00335CD7">
        <w:rPr>
          <w:color w:val="000080"/>
        </w:rPr>
        <w:t xml:space="preserve">That exam documented intermittent suicidal ideation and </w:t>
      </w:r>
      <w:r w:rsidR="007E1C76" w:rsidRPr="00335CD7">
        <w:rPr>
          <w:color w:val="000080"/>
        </w:rPr>
        <w:t xml:space="preserve">‘weekly’ </w:t>
      </w:r>
      <w:r w:rsidR="00F40AD1" w:rsidRPr="00335CD7">
        <w:rPr>
          <w:color w:val="000080"/>
        </w:rPr>
        <w:t xml:space="preserve">panic attacks.  He was noted with an ‘anxious, depressed’ mood and memory impairment, but his mental status examination was otherwise normal.  </w:t>
      </w:r>
      <w:r w:rsidR="00B24532" w:rsidRPr="00335CD7">
        <w:rPr>
          <w:color w:val="000080"/>
        </w:rPr>
        <w:t xml:space="preserve">He remained on three psychoactive medications.  </w:t>
      </w:r>
      <w:r w:rsidR="00F40AD1" w:rsidRPr="00335CD7">
        <w:rPr>
          <w:color w:val="000080"/>
        </w:rPr>
        <w:t>Activities of daily living were slightly impaired and his GAF was recorded as 53 (</w:t>
      </w:r>
      <w:r w:rsidR="00C8461E">
        <w:rPr>
          <w:color w:val="000080"/>
        </w:rPr>
        <w:t>similar to that at separation</w:t>
      </w:r>
      <w:r w:rsidR="00F40AD1" w:rsidRPr="00335CD7">
        <w:rPr>
          <w:color w:val="000080"/>
        </w:rPr>
        <w:t xml:space="preserve">).  There was social isolation but his marriage and family </w:t>
      </w:r>
      <w:r w:rsidR="00C8461E">
        <w:rPr>
          <w:color w:val="000080"/>
        </w:rPr>
        <w:t>relationships were</w:t>
      </w:r>
      <w:r w:rsidR="00F40AD1" w:rsidRPr="00335CD7">
        <w:rPr>
          <w:color w:val="000080"/>
        </w:rPr>
        <w:t xml:space="preserve"> intact.  </w:t>
      </w:r>
      <w:r w:rsidR="00790DB5" w:rsidRPr="00335CD7">
        <w:rPr>
          <w:color w:val="000080"/>
        </w:rPr>
        <w:t>The psychiatrist opined ‘reduced reliability and productivity’, but elaborated that there was not total occupational impairment on the basis of mental disorder.</w:t>
      </w:r>
      <w:r w:rsidR="000727C1" w:rsidRPr="00335CD7">
        <w:rPr>
          <w:color w:val="000080"/>
        </w:rPr>
        <w:t xml:space="preserve">  The Action Officer opines that the §4.130 rating of 50% based on the one year exam is fair, although some VA raters would grant 70% based on suicidal ideation alone.  There was a close fit with the 30% ‘due to’ descriptors, but occupational and social impairment </w:t>
      </w:r>
      <w:r w:rsidR="007E1C76" w:rsidRPr="00335CD7">
        <w:rPr>
          <w:color w:val="000080"/>
        </w:rPr>
        <w:t xml:space="preserve">was </w:t>
      </w:r>
      <w:r w:rsidR="000727C1" w:rsidRPr="00335CD7">
        <w:rPr>
          <w:color w:val="000080"/>
        </w:rPr>
        <w:t xml:space="preserve">verbatim for 50%.  </w:t>
      </w:r>
      <w:r w:rsidR="00B24532" w:rsidRPr="00335CD7">
        <w:rPr>
          <w:color w:val="000080"/>
        </w:rPr>
        <w:t>G</w:t>
      </w:r>
      <w:r w:rsidR="000727C1" w:rsidRPr="00335CD7">
        <w:rPr>
          <w:color w:val="000080"/>
        </w:rPr>
        <w:t xml:space="preserve">iven the marked difference between functional status at separation </w:t>
      </w:r>
      <w:r w:rsidR="007E1C76" w:rsidRPr="00335CD7">
        <w:rPr>
          <w:color w:val="000080"/>
        </w:rPr>
        <w:t>versus</w:t>
      </w:r>
      <w:r w:rsidR="000727C1" w:rsidRPr="00335CD7">
        <w:rPr>
          <w:color w:val="000080"/>
        </w:rPr>
        <w:t xml:space="preserve"> one year</w:t>
      </w:r>
      <w:r w:rsidR="007E1C76" w:rsidRPr="00335CD7">
        <w:rPr>
          <w:color w:val="000080"/>
        </w:rPr>
        <w:t xml:space="preserve"> later and </w:t>
      </w:r>
      <w:r w:rsidR="000727C1" w:rsidRPr="00335CD7">
        <w:rPr>
          <w:color w:val="000080"/>
        </w:rPr>
        <w:t xml:space="preserve">especially considering that the PTSD mandate for </w:t>
      </w:r>
      <w:r w:rsidR="00163612" w:rsidRPr="00335CD7">
        <w:rPr>
          <w:color w:val="000080"/>
        </w:rPr>
        <w:t>applying</w:t>
      </w:r>
      <w:r w:rsidR="000727C1" w:rsidRPr="00335CD7">
        <w:rPr>
          <w:color w:val="000080"/>
        </w:rPr>
        <w:t xml:space="preserve"> a post-separation rating was no longer operant, the Board </w:t>
      </w:r>
      <w:r w:rsidR="007E1C76" w:rsidRPr="00335CD7">
        <w:rPr>
          <w:color w:val="000080"/>
        </w:rPr>
        <w:t xml:space="preserve">cannot justify a permanent rating recommendation based solely on the </w:t>
      </w:r>
      <w:r w:rsidR="00487399" w:rsidRPr="00335CD7">
        <w:rPr>
          <w:color w:val="000080"/>
        </w:rPr>
        <w:t xml:space="preserve">2008 </w:t>
      </w:r>
      <w:r w:rsidR="007E1C76" w:rsidRPr="00335CD7">
        <w:rPr>
          <w:color w:val="000080"/>
        </w:rPr>
        <w:t>VA psychiatric examination.</w:t>
      </w:r>
      <w:r w:rsidR="00487399" w:rsidRPr="00335CD7">
        <w:rPr>
          <w:color w:val="000080"/>
        </w:rPr>
        <w:t xml:space="preserve">  In addition to the absence of suicidal ideation, it can be established that DSM IV criteria for PTSD had resolved at the six month mark.   If the speculative impact of pure mental disorder on </w:t>
      </w:r>
      <w:r w:rsidR="00A47167" w:rsidRPr="00335CD7">
        <w:rPr>
          <w:color w:val="000080"/>
        </w:rPr>
        <w:t xml:space="preserve">the GAF and occupational impairment </w:t>
      </w:r>
      <w:r w:rsidR="001320A9">
        <w:rPr>
          <w:color w:val="000080"/>
        </w:rPr>
        <w:t>is</w:t>
      </w:r>
      <w:r w:rsidR="00A47167" w:rsidRPr="00335CD7">
        <w:rPr>
          <w:color w:val="000080"/>
        </w:rPr>
        <w:t xml:space="preserve"> disregarded, the one year rating would be closer to 30%.  If actual performance was the sole basis for a §4.130 rating at separation, it would have been 10%.  In extrapolating a six month rating, the Board believes that 30% is fair middle ground.  There is not enough reasonable doubt in the CI’s </w:t>
      </w:r>
      <w:r w:rsidR="00011E40" w:rsidRPr="00335CD7">
        <w:rPr>
          <w:color w:val="000080"/>
        </w:rPr>
        <w:t xml:space="preserve">favor to justify a 50% permanent rating recommendation in the face of the mitigating factors already discussed.  The Board recommends a permanent rating of </w:t>
      </w:r>
      <w:r w:rsidR="004C4930" w:rsidRPr="00335CD7">
        <w:rPr>
          <w:color w:val="000080"/>
        </w:rPr>
        <w:t>30% with a change in the VASRD code from 9411 at separation to 9400 (generalized anxiety disorder) after TDRL.</w:t>
      </w:r>
    </w:p>
    <w:p w:rsidR="001E2E87" w:rsidRPr="00335CD7" w:rsidRDefault="001E2E87" w:rsidP="00335CD7">
      <w:pPr>
        <w:tabs>
          <w:tab w:val="left" w:pos="288"/>
          <w:tab w:val="left" w:pos="4752"/>
        </w:tabs>
        <w:spacing w:line="240" w:lineRule="exact"/>
        <w:jc w:val="both"/>
        <w:rPr>
          <w:color w:val="000080"/>
        </w:rPr>
      </w:pPr>
    </w:p>
    <w:p w:rsidR="002C6E5B" w:rsidRPr="00335CD7" w:rsidRDefault="004C4930" w:rsidP="00335CD7">
      <w:pPr>
        <w:tabs>
          <w:tab w:val="left" w:pos="288"/>
          <w:tab w:val="left" w:pos="4752"/>
        </w:tabs>
        <w:spacing w:line="240" w:lineRule="exact"/>
        <w:jc w:val="both"/>
        <w:rPr>
          <w:color w:val="000080"/>
        </w:rPr>
      </w:pPr>
      <w:r w:rsidRPr="00335CD7">
        <w:rPr>
          <w:color w:val="000080"/>
          <w:u w:val="single"/>
        </w:rPr>
        <w:t>Back</w:t>
      </w:r>
      <w:r w:rsidR="002C6E5B" w:rsidRPr="00335CD7">
        <w:rPr>
          <w:color w:val="000080"/>
          <w:u w:val="single"/>
        </w:rPr>
        <w:t xml:space="preserve"> Condition</w:t>
      </w:r>
      <w:r w:rsidR="002C6E5B" w:rsidRPr="00335CD7">
        <w:rPr>
          <w:color w:val="000080"/>
        </w:rPr>
        <w:t xml:space="preserve">.  </w:t>
      </w:r>
      <w:r w:rsidR="0052784B" w:rsidRPr="00335CD7">
        <w:rPr>
          <w:color w:val="000080"/>
        </w:rPr>
        <w:t>Th</w:t>
      </w:r>
      <w:r w:rsidR="008F5210" w:rsidRPr="00335CD7">
        <w:rPr>
          <w:color w:val="000080"/>
        </w:rPr>
        <w:t>ere were two goniometric range-of-</w:t>
      </w:r>
      <w:r w:rsidR="0052784B" w:rsidRPr="00335CD7">
        <w:rPr>
          <w:color w:val="000080"/>
        </w:rPr>
        <w:t>motion (ROM) exams documented during the MEB period.</w:t>
      </w:r>
      <w:r w:rsidR="008F5210" w:rsidRPr="00335CD7">
        <w:rPr>
          <w:color w:val="000080"/>
        </w:rPr>
        <w:t xml:space="preserve">  One was performed by a contracted VA physician as part of the MEB procedure and </w:t>
      </w:r>
      <w:r w:rsidR="008F5210" w:rsidRPr="00335CD7">
        <w:rPr>
          <w:color w:val="000080"/>
        </w:rPr>
        <w:lastRenderedPageBreak/>
        <w:t xml:space="preserve">the other by Physical Therapy (PT).  The latter was quoted in the NARSUM; the former was quoted in the DA </w:t>
      </w:r>
      <w:r w:rsidR="00FF520B">
        <w:rPr>
          <w:color w:val="000080"/>
        </w:rPr>
        <w:t xml:space="preserve">Form </w:t>
      </w:r>
      <w:r w:rsidR="008F5210" w:rsidRPr="00335CD7">
        <w:rPr>
          <w:color w:val="000080"/>
        </w:rPr>
        <w:t xml:space="preserve">199.  Those exams </w:t>
      </w:r>
      <w:r w:rsidR="00AD76D2" w:rsidRPr="00335CD7">
        <w:rPr>
          <w:color w:val="000080"/>
        </w:rPr>
        <w:t xml:space="preserve">(MEB = contracted VA) </w:t>
      </w:r>
      <w:r w:rsidR="008F5210" w:rsidRPr="00335CD7">
        <w:rPr>
          <w:color w:val="000080"/>
        </w:rPr>
        <w:t xml:space="preserve">and the VA rating examination </w:t>
      </w:r>
      <w:r w:rsidR="000403C0" w:rsidRPr="00335CD7">
        <w:rPr>
          <w:color w:val="000080"/>
        </w:rPr>
        <w:t>(14</w:t>
      </w:r>
      <w:r w:rsidR="008F5210" w:rsidRPr="00335CD7">
        <w:rPr>
          <w:color w:val="000080"/>
        </w:rPr>
        <w:t xml:space="preserve"> month) are summarized in the table below.</w:t>
      </w:r>
    </w:p>
    <w:p w:rsidR="00560D57" w:rsidRDefault="00560D57" w:rsidP="002C6E5B">
      <w:pPr>
        <w:tabs>
          <w:tab w:val="left" w:pos="288"/>
          <w:tab w:val="left" w:pos="4752"/>
        </w:tabs>
        <w:spacing w:line="240" w:lineRule="exact"/>
        <w:rPr>
          <w:rFonts w:asciiTheme="minorHAnsi" w:hAnsiTheme="minorHAnsi"/>
          <w:color w:val="auto"/>
          <w:szCs w:val="24"/>
        </w:rPr>
      </w:pPr>
    </w:p>
    <w:tbl>
      <w:tblPr>
        <w:tblW w:w="7466"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1616"/>
        <w:gridCol w:w="1710"/>
        <w:gridCol w:w="1980"/>
      </w:tblGrid>
      <w:tr w:rsidR="00560D57" w:rsidRPr="007862B0" w:rsidTr="00384866">
        <w:tc>
          <w:tcPr>
            <w:tcW w:w="2160" w:type="dxa"/>
            <w:shd w:val="clear" w:color="auto" w:fill="C6D9F1" w:themeFill="text2" w:themeFillTint="33"/>
          </w:tcPr>
          <w:p w:rsidR="00560D57" w:rsidRPr="00E04A6C" w:rsidRDefault="00560D57" w:rsidP="00AD76D2">
            <w:pPr>
              <w:pStyle w:val="ListParagraph"/>
              <w:spacing w:after="0" w:line="240" w:lineRule="exact"/>
              <w:ind w:left="0"/>
              <w:jc w:val="center"/>
              <w:rPr>
                <w:rFonts w:ascii="Calibri" w:eastAsia="Calibri" w:hAnsi="Calibri" w:cs="Times New Roman"/>
              </w:rPr>
            </w:pPr>
            <w:proofErr w:type="spellStart"/>
            <w:r>
              <w:rPr>
                <w:rFonts w:ascii="Calibri" w:eastAsia="Calibri" w:hAnsi="Calibri" w:cs="Times New Roman"/>
              </w:rPr>
              <w:t>Thoracolumbar</w:t>
            </w:r>
            <w:proofErr w:type="spellEnd"/>
            <w:r>
              <w:rPr>
                <w:rFonts w:ascii="Calibri" w:eastAsia="Calibri" w:hAnsi="Calibri" w:cs="Times New Roman"/>
              </w:rPr>
              <w:t xml:space="preserve"> </w:t>
            </w:r>
            <w:r w:rsidRPr="00E04A6C">
              <w:rPr>
                <w:rFonts w:ascii="Calibri" w:eastAsia="Calibri" w:hAnsi="Calibri" w:cs="Times New Roman"/>
              </w:rPr>
              <w:t>ROM</w:t>
            </w:r>
          </w:p>
        </w:tc>
        <w:tc>
          <w:tcPr>
            <w:tcW w:w="1616" w:type="dxa"/>
            <w:shd w:val="clear" w:color="auto" w:fill="C6D9F1" w:themeFill="text2" w:themeFillTint="33"/>
          </w:tcPr>
          <w:p w:rsidR="00560D57" w:rsidRPr="007862B0" w:rsidRDefault="005F743D" w:rsidP="00384866">
            <w:pPr>
              <w:pStyle w:val="ListParagraph"/>
              <w:spacing w:after="0" w:line="240" w:lineRule="exact"/>
              <w:ind w:left="0"/>
              <w:jc w:val="center"/>
              <w:rPr>
                <w:rFonts w:ascii="Calibri" w:eastAsia="Calibri" w:hAnsi="Calibri" w:cs="Times New Roman"/>
              </w:rPr>
            </w:pPr>
            <w:r>
              <w:rPr>
                <w:rFonts w:ascii="Calibri" w:eastAsia="Calibri" w:hAnsi="Calibri" w:cs="Times New Roman"/>
              </w:rPr>
              <w:t>MEB</w:t>
            </w:r>
            <w:r w:rsidR="00560D57">
              <w:rPr>
                <w:rFonts w:ascii="Calibri" w:eastAsia="Calibri" w:hAnsi="Calibri" w:cs="Times New Roman"/>
              </w:rPr>
              <w:t xml:space="preserve"> – </w:t>
            </w:r>
            <w:r w:rsidRPr="005F743D">
              <w:rPr>
                <w:rFonts w:ascii="Calibri" w:eastAsia="Calibri" w:hAnsi="Calibri" w:cs="Times New Roman"/>
              </w:rPr>
              <w:t>9/29</w:t>
            </w:r>
            <w:r w:rsidR="00384866" w:rsidRPr="005F743D">
              <w:rPr>
                <w:rFonts w:ascii="Calibri" w:eastAsia="Calibri" w:hAnsi="Calibri" w:cs="Times New Roman"/>
              </w:rPr>
              <w:t>/</w:t>
            </w:r>
            <w:r>
              <w:rPr>
                <w:rFonts w:ascii="Calibri" w:eastAsia="Calibri" w:hAnsi="Calibri" w:cs="Times New Roman"/>
              </w:rPr>
              <w:t>06</w:t>
            </w:r>
          </w:p>
        </w:tc>
        <w:tc>
          <w:tcPr>
            <w:tcW w:w="1710" w:type="dxa"/>
            <w:shd w:val="clear" w:color="auto" w:fill="C6D9F1" w:themeFill="text2" w:themeFillTint="33"/>
          </w:tcPr>
          <w:p w:rsidR="00560D57" w:rsidRDefault="0052784B" w:rsidP="0052784B">
            <w:pPr>
              <w:pStyle w:val="ListParagraph"/>
              <w:spacing w:after="0" w:line="240" w:lineRule="exact"/>
              <w:ind w:left="0"/>
              <w:jc w:val="center"/>
              <w:rPr>
                <w:rFonts w:ascii="Calibri" w:eastAsia="Calibri" w:hAnsi="Calibri" w:cs="Times New Roman"/>
              </w:rPr>
            </w:pPr>
            <w:r>
              <w:rPr>
                <w:rFonts w:ascii="Calibri" w:eastAsia="Calibri" w:hAnsi="Calibri" w:cs="Times New Roman"/>
              </w:rPr>
              <w:t>PT</w:t>
            </w:r>
            <w:r w:rsidR="00560D57">
              <w:rPr>
                <w:rFonts w:ascii="Calibri" w:eastAsia="Calibri" w:hAnsi="Calibri" w:cs="Times New Roman"/>
              </w:rPr>
              <w:t xml:space="preserve"> </w:t>
            </w:r>
            <w:r w:rsidR="005F743D">
              <w:rPr>
                <w:rFonts w:ascii="Calibri" w:eastAsia="Calibri" w:hAnsi="Calibri" w:cs="Times New Roman"/>
              </w:rPr>
              <w:t>–</w:t>
            </w:r>
            <w:r w:rsidR="00560D57">
              <w:rPr>
                <w:rFonts w:ascii="Calibri" w:eastAsia="Calibri" w:hAnsi="Calibri" w:cs="Times New Roman"/>
              </w:rPr>
              <w:t xml:space="preserve"> </w:t>
            </w:r>
            <w:r>
              <w:rPr>
                <w:rFonts w:ascii="Calibri" w:eastAsia="Calibri" w:hAnsi="Calibri" w:cs="Times New Roman"/>
              </w:rPr>
              <w:t>10</w:t>
            </w:r>
            <w:r w:rsidR="005F743D">
              <w:rPr>
                <w:rFonts w:ascii="Calibri" w:eastAsia="Calibri" w:hAnsi="Calibri" w:cs="Times New Roman"/>
              </w:rPr>
              <w:t>/</w:t>
            </w:r>
            <w:r>
              <w:rPr>
                <w:rFonts w:ascii="Calibri" w:eastAsia="Calibri" w:hAnsi="Calibri" w:cs="Times New Roman"/>
              </w:rPr>
              <w:t>20</w:t>
            </w:r>
            <w:r w:rsidR="005F743D">
              <w:rPr>
                <w:rFonts w:ascii="Calibri" w:eastAsia="Calibri" w:hAnsi="Calibri" w:cs="Times New Roman"/>
              </w:rPr>
              <w:t>/0</w:t>
            </w:r>
            <w:r>
              <w:rPr>
                <w:rFonts w:ascii="Calibri" w:eastAsia="Calibri" w:hAnsi="Calibri" w:cs="Times New Roman"/>
              </w:rPr>
              <w:t>6</w:t>
            </w:r>
          </w:p>
        </w:tc>
        <w:tc>
          <w:tcPr>
            <w:tcW w:w="1980" w:type="dxa"/>
            <w:shd w:val="clear" w:color="auto" w:fill="C6D9F1" w:themeFill="text2" w:themeFillTint="33"/>
          </w:tcPr>
          <w:p w:rsidR="00560D57" w:rsidRPr="003D4DAE" w:rsidRDefault="00560D57" w:rsidP="005F743D">
            <w:pPr>
              <w:pStyle w:val="ListParagraph"/>
              <w:spacing w:after="0" w:line="240" w:lineRule="exact"/>
              <w:ind w:left="0"/>
              <w:jc w:val="center"/>
              <w:rPr>
                <w:rFonts w:ascii="Calibri" w:hAnsi="Calibri"/>
              </w:rPr>
            </w:pPr>
            <w:r>
              <w:rPr>
                <w:rFonts w:ascii="Calibri" w:eastAsia="Calibri" w:hAnsi="Calibri" w:cs="Times New Roman"/>
              </w:rPr>
              <w:t>VA</w:t>
            </w:r>
            <w:r>
              <w:rPr>
                <w:rFonts w:ascii="Calibri" w:hAnsi="Calibri"/>
              </w:rPr>
              <w:t xml:space="preserve"> C&amp;P </w:t>
            </w:r>
            <w:r w:rsidR="005F743D">
              <w:rPr>
                <w:rFonts w:ascii="Calibri" w:hAnsi="Calibri"/>
              </w:rPr>
              <w:t>–</w:t>
            </w:r>
            <w:r>
              <w:rPr>
                <w:rFonts w:ascii="Calibri" w:hAnsi="Calibri"/>
              </w:rPr>
              <w:t xml:space="preserve"> </w:t>
            </w:r>
            <w:r w:rsidR="005F743D">
              <w:rPr>
                <w:rFonts w:ascii="Calibri" w:eastAsia="Calibri" w:hAnsi="Calibri" w:cs="Times New Roman"/>
              </w:rPr>
              <w:t>7/17/08</w:t>
            </w:r>
          </w:p>
        </w:tc>
      </w:tr>
      <w:tr w:rsidR="00560D57" w:rsidRPr="00140096" w:rsidTr="00384866">
        <w:tc>
          <w:tcPr>
            <w:tcW w:w="2160" w:type="dxa"/>
          </w:tcPr>
          <w:p w:rsidR="00560D57" w:rsidRPr="00140096" w:rsidRDefault="00560D57" w:rsidP="00AD76D2">
            <w:pPr>
              <w:pStyle w:val="ListParagraph"/>
              <w:spacing w:after="0" w:line="240" w:lineRule="exact"/>
              <w:ind w:left="0"/>
              <w:rPr>
                <w:rFonts w:ascii="Calibri" w:eastAsia="Calibri" w:hAnsi="Calibri" w:cs="Times New Roman"/>
              </w:rPr>
            </w:pPr>
            <w:r w:rsidRPr="00140096">
              <w:rPr>
                <w:rFonts w:ascii="Calibri" w:eastAsia="Calibri" w:hAnsi="Calibri" w:cs="Times New Roman"/>
              </w:rPr>
              <w:t>Flex</w:t>
            </w:r>
            <w:r>
              <w:rPr>
                <w:rFonts w:ascii="Calibri" w:eastAsia="Calibri" w:hAnsi="Calibri" w:cs="Times New Roman"/>
              </w:rPr>
              <w:t>ion</w:t>
            </w:r>
          </w:p>
        </w:tc>
        <w:tc>
          <w:tcPr>
            <w:tcW w:w="1616" w:type="dxa"/>
          </w:tcPr>
          <w:p w:rsidR="00560D57" w:rsidRPr="00140096" w:rsidRDefault="005F743D" w:rsidP="00AD76D2">
            <w:pPr>
              <w:pStyle w:val="ListParagraph"/>
              <w:spacing w:after="0" w:line="240" w:lineRule="exact"/>
              <w:ind w:left="0"/>
              <w:jc w:val="center"/>
              <w:rPr>
                <w:rFonts w:ascii="Calibri" w:eastAsia="Calibri" w:hAnsi="Calibri" w:cs="Times New Roman"/>
              </w:rPr>
            </w:pPr>
            <w:r>
              <w:rPr>
                <w:rFonts w:ascii="Calibri" w:eastAsia="Calibri" w:hAnsi="Calibri" w:cs="Times New Roman"/>
              </w:rPr>
              <w:t>64</w:t>
            </w:r>
            <w:r w:rsidR="00560D57">
              <w:rPr>
                <w:rFonts w:ascii="Calibri" w:eastAsia="Calibri" w:hAnsi="Calibri" w:cs="Times New Roman"/>
              </w:rPr>
              <w:t>⁰</w:t>
            </w:r>
          </w:p>
        </w:tc>
        <w:tc>
          <w:tcPr>
            <w:tcW w:w="1710" w:type="dxa"/>
          </w:tcPr>
          <w:p w:rsidR="00560D57" w:rsidRDefault="005F743D" w:rsidP="00AD76D2">
            <w:pPr>
              <w:pStyle w:val="ListParagraph"/>
              <w:spacing w:after="0" w:line="240" w:lineRule="exact"/>
              <w:ind w:left="0"/>
              <w:jc w:val="center"/>
              <w:rPr>
                <w:rFonts w:ascii="Calibri" w:eastAsia="Calibri" w:hAnsi="Calibri" w:cs="Times New Roman"/>
              </w:rPr>
            </w:pPr>
            <w:r>
              <w:rPr>
                <w:rFonts w:ascii="Calibri" w:eastAsia="Calibri" w:hAnsi="Calibri" w:cs="Times New Roman"/>
              </w:rPr>
              <w:t>25</w:t>
            </w:r>
            <w:r w:rsidR="00560D57">
              <w:rPr>
                <w:rFonts w:ascii="Calibri" w:eastAsia="Calibri" w:hAnsi="Calibri" w:cs="Times New Roman"/>
              </w:rPr>
              <w:t>⁰</w:t>
            </w:r>
          </w:p>
        </w:tc>
        <w:tc>
          <w:tcPr>
            <w:tcW w:w="1980" w:type="dxa"/>
          </w:tcPr>
          <w:p w:rsidR="00560D57" w:rsidRPr="00140096" w:rsidRDefault="005F743D" w:rsidP="00AD76D2">
            <w:pPr>
              <w:pStyle w:val="ListParagraph"/>
              <w:spacing w:after="0" w:line="240" w:lineRule="exact"/>
              <w:ind w:left="0"/>
              <w:jc w:val="center"/>
              <w:rPr>
                <w:rFonts w:ascii="Calibri" w:eastAsia="Calibri" w:hAnsi="Calibri" w:cs="Times New Roman"/>
              </w:rPr>
            </w:pPr>
            <w:r>
              <w:rPr>
                <w:rFonts w:ascii="Calibri" w:eastAsia="Calibri" w:hAnsi="Calibri" w:cs="Times New Roman"/>
              </w:rPr>
              <w:t>50</w:t>
            </w:r>
            <w:r w:rsidR="00560D57">
              <w:rPr>
                <w:rFonts w:ascii="Calibri" w:eastAsia="Calibri" w:hAnsi="Calibri" w:cs="Times New Roman"/>
              </w:rPr>
              <w:t>⁰</w:t>
            </w:r>
          </w:p>
        </w:tc>
      </w:tr>
      <w:tr w:rsidR="00560D57" w:rsidRPr="00D340CE" w:rsidTr="00384866">
        <w:tc>
          <w:tcPr>
            <w:tcW w:w="2160" w:type="dxa"/>
          </w:tcPr>
          <w:p w:rsidR="00560D57" w:rsidRPr="00140096" w:rsidRDefault="00560D57" w:rsidP="00AD76D2">
            <w:pPr>
              <w:pStyle w:val="ListParagraph"/>
              <w:spacing w:after="0" w:line="240" w:lineRule="exact"/>
              <w:ind w:left="0"/>
              <w:rPr>
                <w:rFonts w:ascii="Calibri" w:eastAsia="Calibri" w:hAnsi="Calibri" w:cs="Times New Roman"/>
              </w:rPr>
            </w:pPr>
            <w:r>
              <w:rPr>
                <w:rFonts w:ascii="Calibri" w:eastAsia="Calibri" w:hAnsi="Calibri" w:cs="Times New Roman"/>
              </w:rPr>
              <w:t>Combined</w:t>
            </w:r>
          </w:p>
        </w:tc>
        <w:tc>
          <w:tcPr>
            <w:tcW w:w="1616" w:type="dxa"/>
          </w:tcPr>
          <w:p w:rsidR="00560D57" w:rsidRPr="00D340CE" w:rsidRDefault="005F743D" w:rsidP="00AD76D2">
            <w:pPr>
              <w:pStyle w:val="ListParagraph"/>
              <w:spacing w:after="0" w:line="240" w:lineRule="exact"/>
              <w:ind w:left="0"/>
              <w:jc w:val="center"/>
              <w:rPr>
                <w:rFonts w:ascii="Calibri" w:eastAsia="Calibri" w:hAnsi="Calibri" w:cs="Times New Roman"/>
              </w:rPr>
            </w:pPr>
            <w:r>
              <w:rPr>
                <w:rFonts w:ascii="Calibri" w:eastAsia="Calibri" w:hAnsi="Calibri" w:cs="Times New Roman"/>
              </w:rPr>
              <w:t>185</w:t>
            </w:r>
            <w:r w:rsidR="00560D57">
              <w:rPr>
                <w:rFonts w:ascii="Calibri" w:eastAsia="Calibri" w:hAnsi="Calibri" w:cs="Times New Roman"/>
              </w:rPr>
              <w:t>⁰</w:t>
            </w:r>
          </w:p>
        </w:tc>
        <w:tc>
          <w:tcPr>
            <w:tcW w:w="1710" w:type="dxa"/>
          </w:tcPr>
          <w:p w:rsidR="00560D57" w:rsidRDefault="005F743D" w:rsidP="00560D57">
            <w:pPr>
              <w:pStyle w:val="ListParagraph"/>
              <w:spacing w:after="0" w:line="240" w:lineRule="exact"/>
              <w:ind w:left="0"/>
              <w:jc w:val="center"/>
              <w:rPr>
                <w:rFonts w:ascii="Calibri" w:eastAsia="Calibri" w:hAnsi="Calibri" w:cs="Times New Roman"/>
              </w:rPr>
            </w:pPr>
            <w:r>
              <w:rPr>
                <w:rFonts w:ascii="Calibri" w:eastAsia="Calibri" w:hAnsi="Calibri" w:cs="Times New Roman"/>
              </w:rPr>
              <w:t>125</w:t>
            </w:r>
            <w:r w:rsidR="00560D57">
              <w:rPr>
                <w:rFonts w:ascii="Calibri" w:eastAsia="Calibri" w:hAnsi="Calibri" w:cs="Times New Roman"/>
              </w:rPr>
              <w:t xml:space="preserve">⁰ </w:t>
            </w:r>
          </w:p>
        </w:tc>
        <w:tc>
          <w:tcPr>
            <w:tcW w:w="1980" w:type="dxa"/>
          </w:tcPr>
          <w:p w:rsidR="00560D57" w:rsidRPr="00D340CE" w:rsidRDefault="005F743D" w:rsidP="00AD76D2">
            <w:pPr>
              <w:pStyle w:val="ListParagraph"/>
              <w:spacing w:after="0" w:line="240" w:lineRule="exact"/>
              <w:ind w:left="0"/>
              <w:jc w:val="center"/>
              <w:rPr>
                <w:rFonts w:ascii="Calibri" w:eastAsia="Calibri" w:hAnsi="Calibri" w:cs="Times New Roman"/>
              </w:rPr>
            </w:pPr>
            <w:r>
              <w:rPr>
                <w:rFonts w:ascii="Calibri" w:eastAsia="Calibri" w:hAnsi="Calibri" w:cs="Times New Roman"/>
              </w:rPr>
              <w:t>14</w:t>
            </w:r>
            <w:r w:rsidR="00384866">
              <w:rPr>
                <w:rFonts w:ascii="Calibri" w:eastAsia="Calibri" w:hAnsi="Calibri" w:cs="Times New Roman"/>
              </w:rPr>
              <w:t>0</w:t>
            </w:r>
            <w:r w:rsidR="00560D57">
              <w:rPr>
                <w:rFonts w:ascii="Calibri" w:eastAsia="Calibri" w:hAnsi="Calibri" w:cs="Times New Roman"/>
              </w:rPr>
              <w:t>⁰</w:t>
            </w:r>
          </w:p>
        </w:tc>
      </w:tr>
      <w:tr w:rsidR="00194930" w:rsidRPr="004E0248" w:rsidTr="00384866">
        <w:tc>
          <w:tcPr>
            <w:tcW w:w="2160" w:type="dxa"/>
          </w:tcPr>
          <w:p w:rsidR="00194930" w:rsidRPr="00384866" w:rsidRDefault="00194930" w:rsidP="004E0248">
            <w:pPr>
              <w:tabs>
                <w:tab w:val="left" w:pos="288"/>
                <w:tab w:val="left" w:pos="4752"/>
              </w:tabs>
              <w:spacing w:line="240" w:lineRule="exact"/>
              <w:rPr>
                <w:rFonts w:asciiTheme="minorHAnsi" w:eastAsiaTheme="minorHAnsi" w:hAnsiTheme="minorHAnsi"/>
                <w:color w:val="auto"/>
                <w:sz w:val="22"/>
                <w:szCs w:val="22"/>
              </w:rPr>
            </w:pPr>
            <w:r w:rsidRPr="00384866">
              <w:rPr>
                <w:rFonts w:asciiTheme="minorHAnsi" w:eastAsiaTheme="minorHAnsi" w:hAnsiTheme="minorHAnsi"/>
                <w:color w:val="auto"/>
                <w:sz w:val="22"/>
                <w:szCs w:val="22"/>
              </w:rPr>
              <w:t>§4.71a Rating</w:t>
            </w:r>
          </w:p>
        </w:tc>
        <w:tc>
          <w:tcPr>
            <w:tcW w:w="1616" w:type="dxa"/>
          </w:tcPr>
          <w:p w:rsidR="00194930" w:rsidRPr="00384866" w:rsidRDefault="005F743D" w:rsidP="004E0248">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r w:rsidR="00194930" w:rsidRPr="00384866">
              <w:rPr>
                <w:rFonts w:asciiTheme="minorHAnsi" w:eastAsiaTheme="minorHAnsi" w:hAnsiTheme="minorHAnsi"/>
                <w:color w:val="auto"/>
                <w:sz w:val="22"/>
                <w:szCs w:val="22"/>
              </w:rPr>
              <w:t>%</w:t>
            </w:r>
          </w:p>
        </w:tc>
        <w:tc>
          <w:tcPr>
            <w:tcW w:w="1710" w:type="dxa"/>
          </w:tcPr>
          <w:p w:rsidR="00194930" w:rsidRPr="00384866" w:rsidRDefault="005F743D" w:rsidP="004E0248">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40</w:t>
            </w:r>
            <w:r w:rsidR="00194930" w:rsidRPr="00384866">
              <w:rPr>
                <w:rFonts w:asciiTheme="minorHAnsi" w:eastAsiaTheme="minorHAnsi" w:hAnsiTheme="minorHAnsi"/>
                <w:color w:val="auto"/>
                <w:sz w:val="22"/>
                <w:szCs w:val="22"/>
              </w:rPr>
              <w:t>%</w:t>
            </w:r>
          </w:p>
        </w:tc>
        <w:tc>
          <w:tcPr>
            <w:tcW w:w="1980" w:type="dxa"/>
          </w:tcPr>
          <w:p w:rsidR="00194930" w:rsidRPr="00384866" w:rsidRDefault="005F743D" w:rsidP="004E0248">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20</w:t>
            </w:r>
            <w:r w:rsidR="00194930" w:rsidRPr="00384866">
              <w:rPr>
                <w:rFonts w:asciiTheme="minorHAnsi" w:eastAsiaTheme="minorHAnsi" w:hAnsiTheme="minorHAnsi"/>
                <w:color w:val="auto"/>
                <w:sz w:val="22"/>
                <w:szCs w:val="22"/>
              </w:rPr>
              <w:t>%</w:t>
            </w:r>
          </w:p>
        </w:tc>
      </w:tr>
    </w:tbl>
    <w:p w:rsidR="00560D57" w:rsidRDefault="00560D57" w:rsidP="002C6E5B">
      <w:pPr>
        <w:tabs>
          <w:tab w:val="left" w:pos="288"/>
          <w:tab w:val="left" w:pos="4752"/>
        </w:tabs>
        <w:spacing w:line="240" w:lineRule="exact"/>
        <w:rPr>
          <w:rFonts w:asciiTheme="minorHAnsi" w:eastAsiaTheme="minorHAnsi" w:hAnsiTheme="minorHAnsi"/>
          <w:color w:val="auto"/>
          <w:szCs w:val="24"/>
        </w:rPr>
      </w:pPr>
    </w:p>
    <w:p w:rsidR="008F5210" w:rsidRPr="00335CD7" w:rsidRDefault="00AD76D2" w:rsidP="00335CD7">
      <w:pPr>
        <w:tabs>
          <w:tab w:val="left" w:pos="288"/>
          <w:tab w:val="left" w:pos="4752"/>
        </w:tabs>
        <w:spacing w:line="240" w:lineRule="exact"/>
        <w:jc w:val="both"/>
        <w:rPr>
          <w:color w:val="000080"/>
        </w:rPr>
      </w:pPr>
      <w:r w:rsidRPr="00335CD7">
        <w:rPr>
          <w:color w:val="000080"/>
        </w:rPr>
        <w:t xml:space="preserve">Although the contracted MEB examiner did not specify if ROM was based on painful motion or not, the DA </w:t>
      </w:r>
      <w:r w:rsidR="00FF520B">
        <w:rPr>
          <w:color w:val="000080"/>
        </w:rPr>
        <w:t xml:space="preserve">Form </w:t>
      </w:r>
      <w:r w:rsidRPr="00335CD7">
        <w:rPr>
          <w:color w:val="000080"/>
        </w:rPr>
        <w:t>199 noted the 64</w:t>
      </w:r>
      <w:r w:rsidR="00335CD7">
        <w:rPr>
          <w:rFonts w:ascii="Calibri" w:hAnsi="Calibri"/>
          <w:color w:val="000080"/>
        </w:rPr>
        <w:t>⁰</w:t>
      </w:r>
      <w:r w:rsidRPr="00335CD7">
        <w:rPr>
          <w:color w:val="000080"/>
        </w:rPr>
        <w:t xml:space="preserve"> as ‘mechanical’.  This may </w:t>
      </w:r>
      <w:r w:rsidR="008538A5" w:rsidRPr="00335CD7">
        <w:rPr>
          <w:color w:val="000080"/>
        </w:rPr>
        <w:t xml:space="preserve">well </w:t>
      </w:r>
      <w:r w:rsidRPr="00335CD7">
        <w:rPr>
          <w:color w:val="000080"/>
        </w:rPr>
        <w:t xml:space="preserve">have been </w:t>
      </w:r>
      <w:r w:rsidR="008538A5" w:rsidRPr="00335CD7">
        <w:rPr>
          <w:color w:val="000080"/>
        </w:rPr>
        <w:t>noted</w:t>
      </w:r>
      <w:r w:rsidRPr="00335CD7">
        <w:rPr>
          <w:color w:val="000080"/>
        </w:rPr>
        <w:t xml:space="preserve"> to mitigate the PT measurements by application of the </w:t>
      </w:r>
      <w:r w:rsidR="00FF520B">
        <w:rPr>
          <w:color w:val="000080"/>
        </w:rPr>
        <w:t>US Army Physical Disability Agency (</w:t>
      </w:r>
      <w:r w:rsidRPr="00335CD7">
        <w:rPr>
          <w:color w:val="000080"/>
        </w:rPr>
        <w:t>USAPDA</w:t>
      </w:r>
      <w:r w:rsidR="00FF520B">
        <w:rPr>
          <w:color w:val="000080"/>
        </w:rPr>
        <w:t>)</w:t>
      </w:r>
      <w:r w:rsidRPr="00335CD7">
        <w:rPr>
          <w:color w:val="000080"/>
        </w:rPr>
        <w:t xml:space="preserve"> pain policy.</w:t>
      </w:r>
      <w:r w:rsidR="008538A5" w:rsidRPr="00335CD7">
        <w:rPr>
          <w:color w:val="000080"/>
        </w:rPr>
        <w:t xml:space="preserve">  </w:t>
      </w:r>
      <w:r w:rsidR="001B7179" w:rsidRPr="00335CD7">
        <w:rPr>
          <w:color w:val="000080"/>
        </w:rPr>
        <w:t>The PT and VA exams specified pain as end-point</w:t>
      </w:r>
      <w:r w:rsidR="00397562" w:rsidRPr="00335CD7">
        <w:rPr>
          <w:color w:val="000080"/>
        </w:rPr>
        <w:t xml:space="preserve"> for measurements</w:t>
      </w:r>
      <w:r w:rsidR="001B7179" w:rsidRPr="00335CD7">
        <w:rPr>
          <w:color w:val="000080"/>
        </w:rPr>
        <w:t xml:space="preserve">.  The contracted MEB exam noted the use of a cane, but not </w:t>
      </w:r>
      <w:proofErr w:type="spellStart"/>
      <w:r w:rsidR="001B7179" w:rsidRPr="00335CD7">
        <w:rPr>
          <w:color w:val="000080"/>
        </w:rPr>
        <w:t>antalgic</w:t>
      </w:r>
      <w:proofErr w:type="spellEnd"/>
      <w:r w:rsidR="001B7179" w:rsidRPr="00335CD7">
        <w:rPr>
          <w:color w:val="000080"/>
        </w:rPr>
        <w:t xml:space="preserve"> gait.  None of the exams noted abnormal contour applicable to rating.  The PT ROM measurements would support a §4.71a rating of 40%, but appears to be an ‘outlier’ relative </w:t>
      </w:r>
      <w:r w:rsidR="001320A9">
        <w:rPr>
          <w:color w:val="000080"/>
        </w:rPr>
        <w:t>probative value for</w:t>
      </w:r>
      <w:r w:rsidR="001B7179" w:rsidRPr="00335CD7">
        <w:rPr>
          <w:color w:val="000080"/>
        </w:rPr>
        <w:t xml:space="preserve"> the Board’s</w:t>
      </w:r>
      <w:r w:rsidR="008852CD" w:rsidRPr="00335CD7">
        <w:rPr>
          <w:color w:val="000080"/>
        </w:rPr>
        <w:t xml:space="preserve"> rating recommendation.  No other entries in the record reflected ROM impairment to this severity.  A note by the neurologist performing the </w:t>
      </w:r>
      <w:proofErr w:type="spellStart"/>
      <w:r w:rsidR="0083395B">
        <w:rPr>
          <w:color w:val="000080"/>
        </w:rPr>
        <w:t>e</w:t>
      </w:r>
      <w:r w:rsidR="0083395B" w:rsidRPr="0083395B">
        <w:rPr>
          <w:color w:val="000080"/>
        </w:rPr>
        <w:t>lectromyogram</w:t>
      </w:r>
      <w:proofErr w:type="spellEnd"/>
      <w:r w:rsidR="0083395B">
        <w:rPr>
          <w:color w:val="000080"/>
        </w:rPr>
        <w:t xml:space="preserve"> (</w:t>
      </w:r>
      <w:r w:rsidR="008852CD" w:rsidRPr="00335CD7">
        <w:rPr>
          <w:color w:val="000080"/>
        </w:rPr>
        <w:t>EMG</w:t>
      </w:r>
      <w:r w:rsidR="0083395B">
        <w:rPr>
          <w:color w:val="000080"/>
        </w:rPr>
        <w:t>)</w:t>
      </w:r>
      <w:r w:rsidR="008852CD" w:rsidRPr="00335CD7">
        <w:rPr>
          <w:color w:val="000080"/>
        </w:rPr>
        <w:t xml:space="preserve"> stated ‘fingertips able to reach mid-tibia’ which would connote </w:t>
      </w:r>
      <w:proofErr w:type="spellStart"/>
      <w:r w:rsidR="008852CD" w:rsidRPr="00335CD7">
        <w:rPr>
          <w:color w:val="000080"/>
        </w:rPr>
        <w:t>thoracolumbar</w:t>
      </w:r>
      <w:proofErr w:type="spellEnd"/>
      <w:r w:rsidR="008852CD" w:rsidRPr="00335CD7">
        <w:rPr>
          <w:color w:val="000080"/>
        </w:rPr>
        <w:t xml:space="preserve"> flexion of </w:t>
      </w:r>
      <w:r w:rsidR="001320A9">
        <w:rPr>
          <w:color w:val="000080"/>
        </w:rPr>
        <w:t>60-7</w:t>
      </w:r>
      <w:r w:rsidR="008852CD" w:rsidRPr="00335CD7">
        <w:rPr>
          <w:color w:val="000080"/>
        </w:rPr>
        <w:t>0</w:t>
      </w:r>
      <w:r w:rsidR="00335CD7">
        <w:rPr>
          <w:rFonts w:ascii="Calibri" w:hAnsi="Calibri"/>
          <w:color w:val="000080"/>
        </w:rPr>
        <w:t>⁰</w:t>
      </w:r>
      <w:r w:rsidR="008852CD" w:rsidRPr="00335CD7">
        <w:rPr>
          <w:color w:val="000080"/>
        </w:rPr>
        <w:t xml:space="preserve"> on that occasion.  </w:t>
      </w:r>
      <w:proofErr w:type="gramStart"/>
      <w:r w:rsidR="008852CD" w:rsidRPr="00335CD7">
        <w:rPr>
          <w:color w:val="000080"/>
        </w:rPr>
        <w:t xml:space="preserve">Albeit </w:t>
      </w:r>
      <w:r w:rsidR="000403C0" w:rsidRPr="00335CD7">
        <w:rPr>
          <w:color w:val="000080"/>
        </w:rPr>
        <w:t>outside the 12 month window</w:t>
      </w:r>
      <w:r w:rsidR="008852CD" w:rsidRPr="00335CD7">
        <w:rPr>
          <w:color w:val="000080"/>
        </w:rPr>
        <w:t xml:space="preserve">, the VA examination carries enough probative value </w:t>
      </w:r>
      <w:r w:rsidR="000403C0" w:rsidRPr="00335CD7">
        <w:rPr>
          <w:color w:val="000080"/>
        </w:rPr>
        <w:t xml:space="preserve">(in concert with the competing NARSUM exam) </w:t>
      </w:r>
      <w:r w:rsidR="008852CD" w:rsidRPr="00335CD7">
        <w:rPr>
          <w:color w:val="000080"/>
        </w:rPr>
        <w:t>to discourage a 10% recommendation based solely on the contracted exam</w:t>
      </w:r>
      <w:r w:rsidR="006A395B" w:rsidRPr="00335CD7">
        <w:rPr>
          <w:color w:val="000080"/>
        </w:rPr>
        <w:t>.</w:t>
      </w:r>
      <w:proofErr w:type="gramEnd"/>
      <w:r w:rsidR="006A395B" w:rsidRPr="00335CD7">
        <w:rPr>
          <w:color w:val="000080"/>
        </w:rPr>
        <w:t xml:space="preserve">  Thus t</w:t>
      </w:r>
      <w:r w:rsidR="008852CD" w:rsidRPr="00335CD7">
        <w:rPr>
          <w:color w:val="000080"/>
        </w:rPr>
        <w:t>he Board finds enough reasonable doubt in the CI’s favor to recommend a 20% rating for the back condition.</w:t>
      </w:r>
    </w:p>
    <w:p w:rsidR="007E7B4E" w:rsidRPr="00335CD7" w:rsidRDefault="007E7B4E" w:rsidP="00335CD7">
      <w:pPr>
        <w:tabs>
          <w:tab w:val="left" w:pos="288"/>
          <w:tab w:val="left" w:pos="4752"/>
        </w:tabs>
        <w:spacing w:line="240" w:lineRule="exact"/>
        <w:jc w:val="both"/>
        <w:rPr>
          <w:color w:val="000080"/>
        </w:rPr>
      </w:pPr>
    </w:p>
    <w:p w:rsidR="00246CED" w:rsidRPr="00335CD7" w:rsidRDefault="004C4930" w:rsidP="00335CD7">
      <w:pPr>
        <w:tabs>
          <w:tab w:val="left" w:pos="288"/>
          <w:tab w:val="left" w:pos="4752"/>
        </w:tabs>
        <w:spacing w:line="240" w:lineRule="exact"/>
        <w:jc w:val="both"/>
        <w:rPr>
          <w:color w:val="000080"/>
        </w:rPr>
      </w:pPr>
      <w:proofErr w:type="spellStart"/>
      <w:proofErr w:type="gramStart"/>
      <w:r w:rsidRPr="00335CD7">
        <w:rPr>
          <w:color w:val="000080"/>
          <w:u w:val="single"/>
        </w:rPr>
        <w:t>Radiculopathy</w:t>
      </w:r>
      <w:proofErr w:type="spellEnd"/>
      <w:r w:rsidR="0006431E" w:rsidRPr="00335CD7">
        <w:rPr>
          <w:color w:val="000080"/>
        </w:rPr>
        <w:t>.</w:t>
      </w:r>
      <w:proofErr w:type="gramEnd"/>
      <w:r w:rsidR="0006431E" w:rsidRPr="00335CD7">
        <w:rPr>
          <w:color w:val="000080"/>
        </w:rPr>
        <w:t xml:space="preserve">  </w:t>
      </w:r>
      <w:r w:rsidR="006A395B" w:rsidRPr="00335CD7">
        <w:rPr>
          <w:color w:val="000080"/>
        </w:rPr>
        <w:t xml:space="preserve">By combining the separately submitted spine and </w:t>
      </w:r>
      <w:proofErr w:type="spellStart"/>
      <w:r w:rsidR="006A395B" w:rsidRPr="00335CD7">
        <w:rPr>
          <w:color w:val="000080"/>
        </w:rPr>
        <w:t>radiculopathy</w:t>
      </w:r>
      <w:proofErr w:type="spellEnd"/>
      <w:r w:rsidR="006A395B" w:rsidRPr="00335CD7">
        <w:rPr>
          <w:color w:val="000080"/>
        </w:rPr>
        <w:t xml:space="preserve"> conditions into a single condition rated for the spine, the PEB essentially concluded that the </w:t>
      </w:r>
      <w:proofErr w:type="spellStart"/>
      <w:r w:rsidR="006A395B" w:rsidRPr="00335CD7">
        <w:rPr>
          <w:color w:val="000080"/>
        </w:rPr>
        <w:t>radiculopathy</w:t>
      </w:r>
      <w:proofErr w:type="spellEnd"/>
      <w:r w:rsidR="006A395B" w:rsidRPr="00335CD7">
        <w:rPr>
          <w:color w:val="000080"/>
        </w:rPr>
        <w:t xml:space="preserve"> was not separately unfitting or ratable.  </w:t>
      </w:r>
      <w:r w:rsidR="006A395B" w:rsidRPr="0083395B">
        <w:rPr>
          <w:color w:val="000080"/>
        </w:rPr>
        <w:t>The</w:t>
      </w:r>
      <w:r w:rsidR="006A395B" w:rsidRPr="00335CD7">
        <w:rPr>
          <w:color w:val="000080"/>
        </w:rPr>
        <w:t xml:space="preserve"> Board’s evaluation will therefore be directed at the fitness implications of the sciatic neuropathy.  It is clear that a distinct L4/L5 </w:t>
      </w:r>
      <w:proofErr w:type="spellStart"/>
      <w:r w:rsidR="006A395B" w:rsidRPr="00335CD7">
        <w:rPr>
          <w:color w:val="000080"/>
        </w:rPr>
        <w:t>radiculopathy</w:t>
      </w:r>
      <w:proofErr w:type="spellEnd"/>
      <w:r w:rsidR="006A395B" w:rsidRPr="00335CD7">
        <w:rPr>
          <w:color w:val="000080"/>
        </w:rPr>
        <w:t xml:space="preserve"> was present, as evidenced by the MEB’s designation on the DA </w:t>
      </w:r>
      <w:r w:rsidR="0083395B">
        <w:rPr>
          <w:color w:val="000080"/>
        </w:rPr>
        <w:t xml:space="preserve">Form </w:t>
      </w:r>
      <w:r w:rsidR="006A395B" w:rsidRPr="00335CD7">
        <w:rPr>
          <w:color w:val="000080"/>
        </w:rPr>
        <w:t xml:space="preserve">3947.  </w:t>
      </w:r>
      <w:r w:rsidR="00246CED" w:rsidRPr="00335CD7">
        <w:rPr>
          <w:color w:val="000080"/>
        </w:rPr>
        <w:t xml:space="preserve">Disc involvement at that level was demonstrated by imaging.  </w:t>
      </w:r>
      <w:r w:rsidR="006A395B" w:rsidRPr="00335CD7">
        <w:rPr>
          <w:color w:val="000080"/>
        </w:rPr>
        <w:t>It is also noted that the VA examiner identified it as a separate condition</w:t>
      </w:r>
      <w:r w:rsidR="00397562" w:rsidRPr="00335CD7">
        <w:rPr>
          <w:color w:val="000080"/>
        </w:rPr>
        <w:t xml:space="preserve">; thus </w:t>
      </w:r>
      <w:r w:rsidR="006A395B" w:rsidRPr="00335CD7">
        <w:rPr>
          <w:color w:val="000080"/>
        </w:rPr>
        <w:t xml:space="preserve">the VA coded and rated it.  The neurologic impairment, as evidenced by EMG and physical examination, did not involve a </w:t>
      </w:r>
      <w:r w:rsidR="001320A9">
        <w:rPr>
          <w:color w:val="000080"/>
        </w:rPr>
        <w:t>detect</w:t>
      </w:r>
      <w:r w:rsidR="006A395B" w:rsidRPr="00335CD7">
        <w:rPr>
          <w:color w:val="000080"/>
        </w:rPr>
        <w:t xml:space="preserve">able loss of motor function.  The sensory impairment was confined to the left foot.  In general the Board agrees that a </w:t>
      </w:r>
      <w:proofErr w:type="spellStart"/>
      <w:r w:rsidR="006A395B" w:rsidRPr="00335CD7">
        <w:rPr>
          <w:color w:val="000080"/>
        </w:rPr>
        <w:t>radiculopathy</w:t>
      </w:r>
      <w:proofErr w:type="spellEnd"/>
      <w:r w:rsidR="006A395B" w:rsidRPr="00335CD7">
        <w:rPr>
          <w:color w:val="000080"/>
        </w:rPr>
        <w:t xml:space="preserve"> must have functional implications, not just pain radiation and</w:t>
      </w:r>
      <w:r w:rsidR="001320A9">
        <w:rPr>
          <w:color w:val="000080"/>
        </w:rPr>
        <w:t>/or</w:t>
      </w:r>
      <w:r w:rsidR="006A395B" w:rsidRPr="00335CD7">
        <w:rPr>
          <w:color w:val="000080"/>
        </w:rPr>
        <w:t xml:space="preserve"> inconsequential sensory symptoms, in order to merit a recommendation as additionally unfitting and ratable at separation.  </w:t>
      </w:r>
      <w:r w:rsidR="00246CED" w:rsidRPr="00335CD7">
        <w:rPr>
          <w:color w:val="000080"/>
        </w:rPr>
        <w:t xml:space="preserve">In this case, </w:t>
      </w:r>
      <w:r w:rsidR="00397562" w:rsidRPr="00335CD7">
        <w:rPr>
          <w:color w:val="000080"/>
        </w:rPr>
        <w:t xml:space="preserve">however, functional </w:t>
      </w:r>
      <w:r w:rsidR="000403C0" w:rsidRPr="00335CD7">
        <w:rPr>
          <w:color w:val="000080"/>
        </w:rPr>
        <w:t>limitat</w:t>
      </w:r>
      <w:r w:rsidR="00397562" w:rsidRPr="00335CD7">
        <w:rPr>
          <w:color w:val="000080"/>
        </w:rPr>
        <w:t>ion is</w:t>
      </w:r>
      <w:r w:rsidR="00246CED" w:rsidRPr="00335CD7">
        <w:rPr>
          <w:color w:val="000080"/>
        </w:rPr>
        <w:t xml:space="preserve"> </w:t>
      </w:r>
      <w:r w:rsidR="00397562" w:rsidRPr="00335CD7">
        <w:rPr>
          <w:color w:val="000080"/>
        </w:rPr>
        <w:t>stipulated</w:t>
      </w:r>
      <w:r w:rsidR="00246CED" w:rsidRPr="00335CD7">
        <w:rPr>
          <w:color w:val="000080"/>
        </w:rPr>
        <w:t xml:space="preserve"> by the MEB examiner.  The NARSUM stat</w:t>
      </w:r>
      <w:r w:rsidR="000403C0" w:rsidRPr="00335CD7">
        <w:rPr>
          <w:color w:val="000080"/>
        </w:rPr>
        <w:t>es</w:t>
      </w:r>
      <w:r w:rsidR="00246CED" w:rsidRPr="00335CD7">
        <w:rPr>
          <w:color w:val="000080"/>
        </w:rPr>
        <w:t xml:space="preserve">, ‘If he has to walk long distances at times, he will take a cane because of his left lower extremity </w:t>
      </w:r>
      <w:proofErr w:type="spellStart"/>
      <w:r w:rsidR="00246CED" w:rsidRPr="00335CD7">
        <w:rPr>
          <w:color w:val="000080"/>
        </w:rPr>
        <w:t>radicular</w:t>
      </w:r>
      <w:proofErr w:type="spellEnd"/>
      <w:r w:rsidR="00246CED" w:rsidRPr="00335CD7">
        <w:rPr>
          <w:color w:val="000080"/>
        </w:rPr>
        <w:t xml:space="preserve"> symptoms.’  There can be no question that this limitation becomes unfitting for a soldier.  </w:t>
      </w:r>
      <w:r w:rsidR="001320A9">
        <w:rPr>
          <w:color w:val="000080"/>
        </w:rPr>
        <w:lastRenderedPageBreak/>
        <w:t>After due deliberation</w:t>
      </w:r>
      <w:r w:rsidR="00246CED" w:rsidRPr="00335CD7">
        <w:rPr>
          <w:color w:val="000080"/>
        </w:rPr>
        <w:t xml:space="preserve">, the Board </w:t>
      </w:r>
      <w:r w:rsidR="001320A9">
        <w:rPr>
          <w:color w:val="000080"/>
        </w:rPr>
        <w:t>could not</w:t>
      </w:r>
      <w:r w:rsidR="00246CED" w:rsidRPr="00335CD7">
        <w:rPr>
          <w:color w:val="000080"/>
        </w:rPr>
        <w:t xml:space="preserve"> find enough strength in the PEB position to overcome reasonable doubt in the CI’s favor regarding its adjudication for the sciatic </w:t>
      </w:r>
      <w:proofErr w:type="spellStart"/>
      <w:r w:rsidR="00246CED" w:rsidRPr="00335CD7">
        <w:rPr>
          <w:color w:val="000080"/>
        </w:rPr>
        <w:t>radiculopathy</w:t>
      </w:r>
      <w:proofErr w:type="spellEnd"/>
      <w:r w:rsidR="00246CED" w:rsidRPr="00335CD7">
        <w:rPr>
          <w:color w:val="000080"/>
        </w:rPr>
        <w:t xml:space="preserve">.  The Board, therefore, recommends that it be rated as an additionally unfitting condition.  Appropriate </w:t>
      </w:r>
      <w:r w:rsidR="00A12459" w:rsidRPr="00335CD7">
        <w:rPr>
          <w:color w:val="000080"/>
        </w:rPr>
        <w:t>VASRD rating is 10% for mild impairment under code 8520.</w:t>
      </w:r>
    </w:p>
    <w:p w:rsidR="00A12459" w:rsidRPr="00335CD7" w:rsidRDefault="00A12459" w:rsidP="00335CD7">
      <w:pPr>
        <w:tabs>
          <w:tab w:val="left" w:pos="288"/>
          <w:tab w:val="left" w:pos="4752"/>
        </w:tabs>
        <w:spacing w:line="240" w:lineRule="exact"/>
        <w:jc w:val="both"/>
        <w:rPr>
          <w:color w:val="000080"/>
        </w:rPr>
      </w:pPr>
    </w:p>
    <w:p w:rsidR="00E1074B" w:rsidRPr="00335CD7" w:rsidRDefault="002C6E5B" w:rsidP="00335CD7">
      <w:pPr>
        <w:tabs>
          <w:tab w:val="left" w:pos="288"/>
          <w:tab w:val="left" w:pos="4752"/>
        </w:tabs>
        <w:spacing w:line="240" w:lineRule="exact"/>
        <w:jc w:val="both"/>
        <w:rPr>
          <w:color w:val="000080"/>
        </w:rPr>
      </w:pPr>
      <w:proofErr w:type="gramStart"/>
      <w:r w:rsidRPr="00335CD7">
        <w:rPr>
          <w:color w:val="000080"/>
          <w:u w:val="single"/>
        </w:rPr>
        <w:t>Other Conditions</w:t>
      </w:r>
      <w:r w:rsidRPr="00335CD7">
        <w:rPr>
          <w:color w:val="000080"/>
        </w:rPr>
        <w:t>.</w:t>
      </w:r>
      <w:proofErr w:type="gramEnd"/>
      <w:r w:rsidRPr="00335CD7">
        <w:rPr>
          <w:color w:val="000080"/>
        </w:rPr>
        <w:t xml:space="preserve">  </w:t>
      </w:r>
      <w:r w:rsidR="00694EEA" w:rsidRPr="00335CD7">
        <w:rPr>
          <w:color w:val="000080"/>
        </w:rPr>
        <w:t xml:space="preserve">The only additional conditions documented in the </w:t>
      </w:r>
      <w:r w:rsidR="0083395B">
        <w:rPr>
          <w:color w:val="000080"/>
        </w:rPr>
        <w:t>Disability Evaluation System (</w:t>
      </w:r>
      <w:r w:rsidR="00694EEA" w:rsidRPr="00335CD7">
        <w:rPr>
          <w:color w:val="000080"/>
        </w:rPr>
        <w:t>DES</w:t>
      </w:r>
      <w:r w:rsidR="0083395B">
        <w:rPr>
          <w:color w:val="000080"/>
        </w:rPr>
        <w:t>)</w:t>
      </w:r>
      <w:r w:rsidR="00694EEA" w:rsidRPr="00335CD7">
        <w:rPr>
          <w:color w:val="000080"/>
        </w:rPr>
        <w:t xml:space="preserve"> packet were </w:t>
      </w:r>
      <w:r w:rsidR="00A12459" w:rsidRPr="00335CD7">
        <w:rPr>
          <w:color w:val="000080"/>
        </w:rPr>
        <w:t xml:space="preserve">hypertension, </w:t>
      </w:r>
      <w:proofErr w:type="spellStart"/>
      <w:r w:rsidR="00A12459" w:rsidRPr="00335CD7">
        <w:rPr>
          <w:color w:val="000080"/>
        </w:rPr>
        <w:t>hyperlipidemia</w:t>
      </w:r>
      <w:proofErr w:type="spellEnd"/>
      <w:r w:rsidR="00A12459" w:rsidRPr="00335CD7">
        <w:rPr>
          <w:color w:val="000080"/>
        </w:rPr>
        <w:t xml:space="preserve"> and a history of kidney stone.  </w:t>
      </w:r>
      <w:r w:rsidR="008C3956" w:rsidRPr="00335CD7">
        <w:rPr>
          <w:color w:val="000080"/>
        </w:rPr>
        <w:t>All of these were asymptomatic conditions without fitness implications.  The CI did have several other chronic conditions and injuries documented in the service record and captured by the VA examiner.  These included cervical spine, left wrist and bilateral hip orthopedic conditions.  None of these were entered on the MEB physical or covered in the NARSUM.  No</w:t>
      </w:r>
      <w:r w:rsidR="00397562" w:rsidRPr="00335CD7">
        <w:rPr>
          <w:color w:val="000080"/>
        </w:rPr>
        <w:t>ne of these or</w:t>
      </w:r>
      <w:r w:rsidR="008C3956" w:rsidRPr="00335CD7">
        <w:rPr>
          <w:color w:val="000080"/>
        </w:rPr>
        <w:t xml:space="preserve"> other conditions were under active treatment during the MEB period, noted in the Commander’s statement or covered by the physical profile.  </w:t>
      </w:r>
      <w:r w:rsidR="0099641A" w:rsidRPr="00335CD7">
        <w:rPr>
          <w:color w:val="000080"/>
        </w:rPr>
        <w:t xml:space="preserve">It is noteworthy that the CI manifested headache and cognitive impairment within a year of separation, </w:t>
      </w:r>
      <w:r w:rsidR="00397562" w:rsidRPr="00335CD7">
        <w:rPr>
          <w:color w:val="000080"/>
        </w:rPr>
        <w:t>linked to</w:t>
      </w:r>
      <w:r w:rsidR="0099641A" w:rsidRPr="00335CD7">
        <w:rPr>
          <w:color w:val="000080"/>
        </w:rPr>
        <w:t xml:space="preserve"> TBI</w:t>
      </w:r>
      <w:r w:rsidR="00EC5BB2" w:rsidRPr="00335CD7">
        <w:rPr>
          <w:color w:val="000080"/>
        </w:rPr>
        <w:t xml:space="preserve">.  </w:t>
      </w:r>
      <w:r w:rsidR="0099641A" w:rsidRPr="00335CD7">
        <w:rPr>
          <w:color w:val="000080"/>
        </w:rPr>
        <w:t xml:space="preserve">Certainly his OIF trauma was suggestive as the etiology.  It is clear, however, that clinical manifestations were not readily apparent during the MEB.  Headache, head injury and memory loss were denied on the physical exam, and normal cognitive function was documented by several examiners.  Slow evolution of TBI is a common presentation. </w:t>
      </w:r>
      <w:r w:rsidR="002F0E28" w:rsidRPr="00335CD7">
        <w:rPr>
          <w:color w:val="000080"/>
        </w:rPr>
        <w:t xml:space="preserve"> </w:t>
      </w:r>
      <w:r w:rsidR="00B50227" w:rsidRPr="00335CD7">
        <w:rPr>
          <w:color w:val="000080"/>
        </w:rPr>
        <w:t xml:space="preserve">The Board does not have the authority under </w:t>
      </w:r>
      <w:proofErr w:type="spellStart"/>
      <w:r w:rsidR="00B50227" w:rsidRPr="00335CD7">
        <w:rPr>
          <w:color w:val="000080"/>
        </w:rPr>
        <w:t>DoDI</w:t>
      </w:r>
      <w:proofErr w:type="spellEnd"/>
      <w:r w:rsidR="00B50227" w:rsidRPr="00335CD7">
        <w:rPr>
          <w:color w:val="000080"/>
        </w:rPr>
        <w:t xml:space="preserve"> 6040.44 to render fitness or rating recommendations for any conditions not considered by the DES.  </w:t>
      </w:r>
      <w:r w:rsidR="001320A9">
        <w:rPr>
          <w:color w:val="000080"/>
        </w:rPr>
        <w:t>If contended, TBI or a</w:t>
      </w:r>
      <w:r w:rsidR="0018506F" w:rsidRPr="00335CD7">
        <w:rPr>
          <w:color w:val="000080"/>
        </w:rPr>
        <w:t xml:space="preserve">ny other </w:t>
      </w:r>
      <w:r w:rsidR="00F46F17">
        <w:rPr>
          <w:color w:val="000080"/>
        </w:rPr>
        <w:t>VA-rated</w:t>
      </w:r>
      <w:r w:rsidR="0018506F" w:rsidRPr="00335CD7">
        <w:rPr>
          <w:color w:val="000080"/>
        </w:rPr>
        <w:t xml:space="preserve"> conditions remain eligible for </w:t>
      </w:r>
      <w:r w:rsidR="0083395B">
        <w:rPr>
          <w:color w:val="000080"/>
        </w:rPr>
        <w:t>Army Board of Corrections for Military Records (</w:t>
      </w:r>
      <w:r w:rsidR="0018506F" w:rsidRPr="00335CD7">
        <w:rPr>
          <w:color w:val="000080"/>
        </w:rPr>
        <w:t>ABMCR</w:t>
      </w:r>
      <w:r w:rsidR="0083395B">
        <w:rPr>
          <w:color w:val="000080"/>
        </w:rPr>
        <w:t>)</w:t>
      </w:r>
      <w:r w:rsidR="0018506F" w:rsidRPr="00335CD7">
        <w:rPr>
          <w:color w:val="000080"/>
        </w:rPr>
        <w:t xml:space="preserve"> consideration.</w:t>
      </w:r>
    </w:p>
    <w:p w:rsidR="00E1074B" w:rsidRPr="00335CD7" w:rsidRDefault="00E1074B" w:rsidP="00335CD7">
      <w:pPr>
        <w:tabs>
          <w:tab w:val="left" w:pos="288"/>
          <w:tab w:val="left" w:pos="4752"/>
        </w:tabs>
        <w:spacing w:line="240" w:lineRule="exact"/>
        <w:jc w:val="both"/>
        <w:rPr>
          <w:color w:val="000080"/>
        </w:rPr>
      </w:pPr>
    </w:p>
    <w:p w:rsidR="00E1074B" w:rsidRPr="00335CD7" w:rsidRDefault="00E1074B" w:rsidP="00335CD7">
      <w:pPr>
        <w:tabs>
          <w:tab w:val="left" w:pos="288"/>
          <w:tab w:val="left" w:pos="4752"/>
        </w:tabs>
        <w:spacing w:line="240" w:lineRule="exact"/>
        <w:jc w:val="both"/>
        <w:rPr>
          <w:color w:val="000080"/>
        </w:rPr>
      </w:pPr>
      <w:r w:rsidRPr="00335CD7">
        <w:rPr>
          <w:color w:val="000080"/>
        </w:rPr>
        <w:t>The Board, therefore, has no reasonable basis for recommending any additional unfitting conditions for separation rating.</w:t>
      </w:r>
    </w:p>
    <w:p w:rsidR="00A90D55" w:rsidRPr="00E1074B" w:rsidRDefault="008B5D31" w:rsidP="00E1074B">
      <w:pPr>
        <w:tabs>
          <w:tab w:val="left" w:pos="288"/>
          <w:tab w:val="left" w:pos="4752"/>
        </w:tabs>
        <w:spacing w:line="240" w:lineRule="exact"/>
        <w:rPr>
          <w:color w:val="000080"/>
          <w:u w:val="single"/>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E1074B" w:rsidRDefault="00C56FC8" w:rsidP="00335CD7">
      <w:pPr>
        <w:tabs>
          <w:tab w:val="left" w:pos="288"/>
          <w:tab w:val="left" w:pos="4752"/>
        </w:tabs>
        <w:spacing w:line="240" w:lineRule="exact"/>
        <w:jc w:val="both"/>
        <w:rPr>
          <w:rFonts w:asciiTheme="minorHAnsi" w:eastAsiaTheme="minorHAnsi" w:hAnsiTheme="minorHAnsi"/>
          <w:color w:val="auto"/>
          <w:szCs w:val="24"/>
        </w:rPr>
      </w:pPr>
      <w:r w:rsidRPr="00335CD7">
        <w:rPr>
          <w:color w:val="000080"/>
          <w:u w:val="single"/>
        </w:rPr>
        <w:t>BOARD FINDINGS</w:t>
      </w:r>
      <w:r w:rsidRPr="00335CD7">
        <w:rPr>
          <w:color w:val="000080"/>
        </w:rPr>
        <w:t xml:space="preserve">:  IAW </w:t>
      </w:r>
      <w:proofErr w:type="spellStart"/>
      <w:r w:rsidRPr="00335CD7">
        <w:rPr>
          <w:color w:val="000080"/>
        </w:rPr>
        <w:t>DoDI</w:t>
      </w:r>
      <w:proofErr w:type="spellEnd"/>
      <w:r w:rsidRPr="00335CD7">
        <w:rPr>
          <w:color w:val="000080"/>
        </w:rPr>
        <w:t xml:space="preserve"> 6040.44, provisions of </w:t>
      </w:r>
      <w:proofErr w:type="spellStart"/>
      <w:r w:rsidRPr="00335CD7">
        <w:rPr>
          <w:color w:val="000080"/>
        </w:rPr>
        <w:t>DoD</w:t>
      </w:r>
      <w:proofErr w:type="spellEnd"/>
      <w:r w:rsidRPr="00335CD7">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335CD7">
        <w:rPr>
          <w:color w:val="000080"/>
        </w:rPr>
        <w:t xml:space="preserve"> </w:t>
      </w:r>
      <w:r w:rsidR="001F3E5C" w:rsidRPr="00335CD7">
        <w:rPr>
          <w:color w:val="000080"/>
        </w:rPr>
        <w:t xml:space="preserve">As discussed above, PEB reliance on the USAPDA pain policy for rating the back condition was possibly operant and reliance on </w:t>
      </w:r>
      <w:proofErr w:type="spellStart"/>
      <w:r w:rsidR="001F3E5C" w:rsidRPr="00335CD7">
        <w:rPr>
          <w:color w:val="000080"/>
        </w:rPr>
        <w:t>DoDI</w:t>
      </w:r>
      <w:proofErr w:type="spellEnd"/>
      <w:r w:rsidR="001F3E5C" w:rsidRPr="00335CD7">
        <w:rPr>
          <w:color w:val="000080"/>
        </w:rPr>
        <w:t xml:space="preserve"> 1332.39 for rating PTSD was operant in this case.  The conditions were adjudicated independently of that policy and instruction by the Board. </w:t>
      </w:r>
      <w:r w:rsidR="00E1074B" w:rsidRPr="00335CD7">
        <w:rPr>
          <w:color w:val="000080"/>
        </w:rPr>
        <w:t xml:space="preserve"> In the matter of the PTSD condition, the Board unanimously recommends an initial TDRL rating of 50% in retroactive compliance with VASRD §4.129 as DOD directed; and a 30% permanent rating at 6 months </w:t>
      </w:r>
      <w:r w:rsidR="00B24532" w:rsidRPr="00335CD7">
        <w:rPr>
          <w:color w:val="000080"/>
        </w:rPr>
        <w:t xml:space="preserve">(with a diagnosis </w:t>
      </w:r>
      <w:r w:rsidR="00397562" w:rsidRPr="00335CD7">
        <w:rPr>
          <w:color w:val="000080"/>
        </w:rPr>
        <w:t>of generalized anxiety disorder</w:t>
      </w:r>
      <w:r w:rsidR="00B24532" w:rsidRPr="00335CD7">
        <w:rPr>
          <w:color w:val="000080"/>
        </w:rPr>
        <w:t xml:space="preserve"> coded 9400) </w:t>
      </w:r>
      <w:r w:rsidR="00E1074B" w:rsidRPr="00335CD7">
        <w:rPr>
          <w:color w:val="000080"/>
        </w:rPr>
        <w:t xml:space="preserve">IAW VASRD §4.130.  In the matter of the lumbar spine condition, the Board unanimously recommends a rating of 20% coded 5241 IAW VASRD §4.71a.  In the matter of the left sciatic </w:t>
      </w:r>
      <w:proofErr w:type="spellStart"/>
      <w:r w:rsidR="00E1074B" w:rsidRPr="00335CD7">
        <w:rPr>
          <w:color w:val="000080"/>
        </w:rPr>
        <w:t>radiculopathy</w:t>
      </w:r>
      <w:proofErr w:type="spellEnd"/>
      <w:r w:rsidR="00E1074B" w:rsidRPr="00335CD7">
        <w:rPr>
          <w:color w:val="000080"/>
        </w:rPr>
        <w:t xml:space="preserve">, the Board </w:t>
      </w:r>
      <w:r w:rsidR="000403C0" w:rsidRPr="00335CD7">
        <w:rPr>
          <w:color w:val="000080"/>
        </w:rPr>
        <w:t>by a 3:2 vote</w:t>
      </w:r>
      <w:r w:rsidR="00E1074B" w:rsidRPr="00335CD7">
        <w:rPr>
          <w:color w:val="000080"/>
        </w:rPr>
        <w:t xml:space="preserve"> recommends that it be added as an additionally unfitting condition for separation rating; coded </w:t>
      </w:r>
      <w:r w:rsidR="00E1074B" w:rsidRPr="00335CD7">
        <w:rPr>
          <w:color w:val="000080"/>
        </w:rPr>
        <w:lastRenderedPageBreak/>
        <w:t xml:space="preserve">8520 and rated 10% IAW VASRD §4.124a.  </w:t>
      </w:r>
      <w:r w:rsidR="000403C0" w:rsidRPr="00335CD7">
        <w:rPr>
          <w:color w:val="000080"/>
        </w:rPr>
        <w:t xml:space="preserve">The dissenting voter (who did not believe </w:t>
      </w:r>
      <w:r w:rsidR="00335CD7" w:rsidRPr="00335CD7">
        <w:rPr>
          <w:color w:val="000080"/>
        </w:rPr>
        <w:t xml:space="preserve">the </w:t>
      </w:r>
      <w:proofErr w:type="spellStart"/>
      <w:r w:rsidR="00335CD7" w:rsidRPr="00335CD7">
        <w:rPr>
          <w:color w:val="000080"/>
        </w:rPr>
        <w:t>radiculopathy</w:t>
      </w:r>
      <w:proofErr w:type="spellEnd"/>
      <w:r w:rsidR="00335CD7" w:rsidRPr="00335CD7">
        <w:rPr>
          <w:color w:val="000080"/>
        </w:rPr>
        <w:t xml:space="preserve"> met the threshold for unfitting) did not elect to submit a minority opinion.  </w:t>
      </w:r>
      <w:r w:rsidR="00E1074B" w:rsidRPr="00335CD7">
        <w:rPr>
          <w:color w:val="000080"/>
        </w:rPr>
        <w:t>The Board unanimously agrees that there w</w:t>
      </w:r>
      <w:r w:rsidR="00F46F17">
        <w:rPr>
          <w:color w:val="000080"/>
        </w:rPr>
        <w:t>as no other condition</w:t>
      </w:r>
      <w:r w:rsidR="00E1074B" w:rsidRPr="00335CD7">
        <w:rPr>
          <w:color w:val="000080"/>
        </w:rPr>
        <w:t xml:space="preserve"> </w:t>
      </w:r>
      <w:r w:rsidR="00F46F17">
        <w:rPr>
          <w:color w:val="000080"/>
        </w:rPr>
        <w:t>eligible for review which was</w:t>
      </w:r>
      <w:r w:rsidR="00E1074B" w:rsidRPr="00335CD7">
        <w:rPr>
          <w:color w:val="000080"/>
        </w:rPr>
        <w:t xml:space="preserve"> relevant for consideration as additionally unfitting.</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FB593A" w:rsidRPr="00335CD7" w:rsidRDefault="00C56FC8" w:rsidP="00335CD7">
      <w:pPr>
        <w:tabs>
          <w:tab w:val="left" w:pos="288"/>
          <w:tab w:val="left" w:pos="4752"/>
        </w:tabs>
        <w:spacing w:line="240" w:lineRule="exact"/>
        <w:jc w:val="both"/>
        <w:rPr>
          <w:color w:val="000080"/>
        </w:rPr>
      </w:pPr>
      <w:r w:rsidRPr="00335CD7">
        <w:rPr>
          <w:color w:val="000080"/>
          <w:u w:val="single"/>
        </w:rPr>
        <w:t>RECOMMENDATION</w:t>
      </w:r>
      <w:r w:rsidRPr="00335CD7">
        <w:rPr>
          <w:color w:val="000080"/>
        </w:rPr>
        <w:t xml:space="preserve">: The Board recommends that the CI’s prior determination be modified as follows and that the discharge with severance pay be </w:t>
      </w:r>
      <w:proofErr w:type="spellStart"/>
      <w:r w:rsidRPr="00335CD7">
        <w:rPr>
          <w:color w:val="000080"/>
        </w:rPr>
        <w:t>recharacterized</w:t>
      </w:r>
      <w:proofErr w:type="spellEnd"/>
      <w:r w:rsidRPr="00335CD7">
        <w:rPr>
          <w:color w:val="000080"/>
        </w:rPr>
        <w:t xml:space="preserve"> to reflect permanent disability retirement, effective as of the date of his prior medical separation.</w:t>
      </w:r>
    </w:p>
    <w:p w:rsidR="00FB593A" w:rsidRPr="00533FB5" w:rsidRDefault="00FB593A" w:rsidP="00875F2D">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0"/>
        <w:gridCol w:w="1440"/>
        <w:gridCol w:w="1170"/>
        <w:gridCol w:w="1530"/>
      </w:tblGrid>
      <w:tr w:rsidR="00DB0015" w:rsidRPr="00FB7355" w:rsidTr="000C6B94">
        <w:tc>
          <w:tcPr>
            <w:tcW w:w="5220" w:type="dxa"/>
            <w:shd w:val="clear" w:color="auto" w:fill="D9D9D9"/>
          </w:tcPr>
          <w:p w:rsidR="00DB0015" w:rsidRPr="003543FF" w:rsidRDefault="00DB0015" w:rsidP="00AD76D2">
            <w:pPr>
              <w:tabs>
                <w:tab w:val="left" w:pos="288"/>
                <w:tab w:val="left" w:pos="4752"/>
              </w:tabs>
              <w:spacing w:line="240" w:lineRule="exact"/>
              <w:jc w:val="center"/>
              <w:rPr>
                <w:b/>
                <w:color w:val="000080"/>
                <w:szCs w:val="24"/>
              </w:rPr>
            </w:pPr>
            <w:r>
              <w:rPr>
                <w:b/>
                <w:color w:val="000080"/>
                <w:szCs w:val="24"/>
              </w:rPr>
              <w:t>UNFITTING CONDITION</w:t>
            </w:r>
          </w:p>
        </w:tc>
        <w:tc>
          <w:tcPr>
            <w:tcW w:w="1440" w:type="dxa"/>
            <w:shd w:val="clear" w:color="auto" w:fill="D9D9D9"/>
          </w:tcPr>
          <w:p w:rsidR="00DB0015" w:rsidRPr="003543FF" w:rsidRDefault="00DB0015" w:rsidP="00AD76D2">
            <w:pPr>
              <w:tabs>
                <w:tab w:val="left" w:pos="288"/>
                <w:tab w:val="left" w:pos="4752"/>
              </w:tabs>
              <w:spacing w:line="240" w:lineRule="exact"/>
              <w:jc w:val="center"/>
              <w:rPr>
                <w:b/>
                <w:color w:val="000080"/>
                <w:szCs w:val="24"/>
              </w:rPr>
            </w:pPr>
            <w:r w:rsidRPr="003543FF">
              <w:rPr>
                <w:b/>
                <w:color w:val="000080"/>
                <w:szCs w:val="24"/>
              </w:rPr>
              <w:t>VASRD C</w:t>
            </w:r>
            <w:r>
              <w:rPr>
                <w:b/>
                <w:color w:val="000080"/>
                <w:szCs w:val="24"/>
              </w:rPr>
              <w:t>ODE</w:t>
            </w:r>
          </w:p>
        </w:tc>
        <w:tc>
          <w:tcPr>
            <w:tcW w:w="1170" w:type="dxa"/>
            <w:shd w:val="clear" w:color="auto" w:fill="D9D9D9"/>
          </w:tcPr>
          <w:p w:rsidR="00DB0015" w:rsidRPr="003543FF" w:rsidRDefault="00DB0015" w:rsidP="00AD76D2">
            <w:pPr>
              <w:tabs>
                <w:tab w:val="left" w:pos="288"/>
                <w:tab w:val="left" w:pos="4752"/>
              </w:tabs>
              <w:spacing w:line="240" w:lineRule="exact"/>
              <w:jc w:val="center"/>
              <w:rPr>
                <w:b/>
                <w:color w:val="000080"/>
                <w:szCs w:val="24"/>
              </w:rPr>
            </w:pPr>
            <w:r w:rsidRPr="003543FF">
              <w:rPr>
                <w:b/>
                <w:color w:val="000080"/>
                <w:szCs w:val="24"/>
              </w:rPr>
              <w:t>TDRL R</w:t>
            </w:r>
            <w:r>
              <w:rPr>
                <w:b/>
                <w:color w:val="000080"/>
                <w:szCs w:val="24"/>
              </w:rPr>
              <w:t>ATING</w:t>
            </w:r>
          </w:p>
        </w:tc>
        <w:tc>
          <w:tcPr>
            <w:tcW w:w="1530" w:type="dxa"/>
            <w:shd w:val="pct15" w:color="auto" w:fill="auto"/>
          </w:tcPr>
          <w:p w:rsidR="00DB0015" w:rsidRPr="003543FF" w:rsidRDefault="00DB0015" w:rsidP="00AD76D2">
            <w:pPr>
              <w:tabs>
                <w:tab w:val="left" w:pos="288"/>
                <w:tab w:val="left" w:pos="4752"/>
              </w:tabs>
              <w:spacing w:line="240" w:lineRule="exact"/>
              <w:jc w:val="center"/>
              <w:rPr>
                <w:b/>
                <w:color w:val="000080"/>
                <w:szCs w:val="24"/>
              </w:rPr>
            </w:pPr>
            <w:r w:rsidRPr="003543FF">
              <w:rPr>
                <w:b/>
                <w:color w:val="000080"/>
                <w:szCs w:val="24"/>
              </w:rPr>
              <w:t>P</w:t>
            </w:r>
            <w:r>
              <w:rPr>
                <w:b/>
                <w:color w:val="000080"/>
                <w:szCs w:val="24"/>
              </w:rPr>
              <w:t>ERMANENT</w:t>
            </w:r>
          </w:p>
          <w:p w:rsidR="00DB0015" w:rsidRPr="003543FF" w:rsidRDefault="00DB0015" w:rsidP="00AD76D2">
            <w:pPr>
              <w:tabs>
                <w:tab w:val="left" w:pos="288"/>
                <w:tab w:val="left" w:pos="4752"/>
              </w:tabs>
              <w:spacing w:line="240" w:lineRule="exact"/>
              <w:jc w:val="center"/>
              <w:rPr>
                <w:b/>
                <w:color w:val="000080"/>
                <w:szCs w:val="24"/>
              </w:rPr>
            </w:pPr>
            <w:r w:rsidRPr="003543FF">
              <w:rPr>
                <w:b/>
                <w:color w:val="000080"/>
                <w:szCs w:val="24"/>
              </w:rPr>
              <w:t>R</w:t>
            </w:r>
            <w:r>
              <w:rPr>
                <w:b/>
                <w:color w:val="000080"/>
                <w:szCs w:val="24"/>
              </w:rPr>
              <w:t>ATING</w:t>
            </w:r>
          </w:p>
        </w:tc>
      </w:tr>
      <w:tr w:rsidR="00DB0015" w:rsidRPr="00FB7355" w:rsidTr="000C6B94">
        <w:trPr>
          <w:trHeight w:val="305"/>
        </w:trPr>
        <w:tc>
          <w:tcPr>
            <w:tcW w:w="5220" w:type="dxa"/>
          </w:tcPr>
          <w:p w:rsidR="00DB0015" w:rsidRDefault="00DB0015" w:rsidP="00AD76D2">
            <w:pPr>
              <w:tabs>
                <w:tab w:val="left" w:pos="288"/>
                <w:tab w:val="left" w:pos="4752"/>
              </w:tabs>
              <w:spacing w:before="20" w:after="20" w:line="240" w:lineRule="exact"/>
              <w:rPr>
                <w:color w:val="000080"/>
                <w:szCs w:val="24"/>
              </w:rPr>
            </w:pPr>
            <w:r w:rsidRPr="0043503A">
              <w:rPr>
                <w:color w:val="000080"/>
                <w:szCs w:val="24"/>
              </w:rPr>
              <w:t>P</w:t>
            </w:r>
            <w:r>
              <w:rPr>
                <w:color w:val="000080"/>
                <w:szCs w:val="24"/>
              </w:rPr>
              <w:t>ost-Traumatic Stress Disorder</w:t>
            </w:r>
          </w:p>
          <w:p w:rsidR="00B24532" w:rsidRPr="0043503A" w:rsidRDefault="00B24532" w:rsidP="00AD76D2">
            <w:pPr>
              <w:tabs>
                <w:tab w:val="left" w:pos="288"/>
                <w:tab w:val="left" w:pos="4752"/>
              </w:tabs>
              <w:spacing w:before="20" w:after="20" w:line="240" w:lineRule="exact"/>
              <w:rPr>
                <w:color w:val="000080"/>
                <w:szCs w:val="24"/>
              </w:rPr>
            </w:pPr>
            <w:r w:rsidRPr="000C6B94">
              <w:rPr>
                <w:b/>
                <w:i/>
                <w:color w:val="000080"/>
                <w:szCs w:val="24"/>
              </w:rPr>
              <w:t>Then</w:t>
            </w:r>
            <w:r>
              <w:rPr>
                <w:color w:val="000080"/>
                <w:szCs w:val="24"/>
              </w:rPr>
              <w:t>, Generalized Anxiety Disorder</w:t>
            </w:r>
          </w:p>
        </w:tc>
        <w:tc>
          <w:tcPr>
            <w:tcW w:w="1440" w:type="dxa"/>
            <w:tcBorders>
              <w:bottom w:val="single" w:sz="4" w:space="0" w:color="000000"/>
            </w:tcBorders>
          </w:tcPr>
          <w:p w:rsidR="00DB0015" w:rsidRDefault="00DB0015" w:rsidP="00AD76D2">
            <w:pPr>
              <w:tabs>
                <w:tab w:val="left" w:pos="288"/>
                <w:tab w:val="left" w:pos="4752"/>
              </w:tabs>
              <w:spacing w:before="20" w:after="20" w:line="240" w:lineRule="exact"/>
              <w:jc w:val="center"/>
              <w:rPr>
                <w:color w:val="000080"/>
                <w:szCs w:val="24"/>
              </w:rPr>
            </w:pPr>
            <w:r w:rsidRPr="0043503A">
              <w:rPr>
                <w:color w:val="000080"/>
                <w:szCs w:val="24"/>
              </w:rPr>
              <w:t>9411</w:t>
            </w:r>
          </w:p>
          <w:p w:rsidR="000C6B94" w:rsidRPr="0043503A" w:rsidRDefault="000C6B94" w:rsidP="00AD76D2">
            <w:pPr>
              <w:tabs>
                <w:tab w:val="left" w:pos="288"/>
                <w:tab w:val="left" w:pos="4752"/>
              </w:tabs>
              <w:spacing w:before="20" w:after="20" w:line="240" w:lineRule="exact"/>
              <w:jc w:val="center"/>
              <w:rPr>
                <w:color w:val="000080"/>
                <w:szCs w:val="24"/>
              </w:rPr>
            </w:pPr>
            <w:r>
              <w:rPr>
                <w:color w:val="000080"/>
                <w:szCs w:val="24"/>
              </w:rPr>
              <w:t>9400</w:t>
            </w:r>
          </w:p>
        </w:tc>
        <w:tc>
          <w:tcPr>
            <w:tcW w:w="1170" w:type="dxa"/>
            <w:tcBorders>
              <w:bottom w:val="single" w:sz="4" w:space="0" w:color="000000"/>
            </w:tcBorders>
          </w:tcPr>
          <w:p w:rsidR="00DB0015" w:rsidRDefault="00DB0015" w:rsidP="00AD76D2">
            <w:pPr>
              <w:tabs>
                <w:tab w:val="left" w:pos="288"/>
                <w:tab w:val="left" w:pos="4752"/>
              </w:tabs>
              <w:spacing w:before="20" w:after="20" w:line="240" w:lineRule="exact"/>
              <w:jc w:val="center"/>
              <w:rPr>
                <w:color w:val="000080"/>
                <w:szCs w:val="24"/>
              </w:rPr>
            </w:pPr>
            <w:r>
              <w:rPr>
                <w:color w:val="000080"/>
                <w:szCs w:val="24"/>
              </w:rPr>
              <w:t>50</w:t>
            </w:r>
            <w:r w:rsidRPr="0043503A">
              <w:rPr>
                <w:color w:val="000080"/>
                <w:szCs w:val="24"/>
              </w:rPr>
              <w:t>%</w:t>
            </w:r>
          </w:p>
          <w:p w:rsidR="000C6B94" w:rsidRPr="0043503A" w:rsidRDefault="000C6B94" w:rsidP="00AD76D2">
            <w:pPr>
              <w:tabs>
                <w:tab w:val="left" w:pos="288"/>
                <w:tab w:val="left" w:pos="4752"/>
              </w:tabs>
              <w:spacing w:before="20" w:after="20" w:line="240" w:lineRule="exact"/>
              <w:jc w:val="center"/>
              <w:rPr>
                <w:color w:val="000080"/>
                <w:szCs w:val="24"/>
              </w:rPr>
            </w:pPr>
            <w:r>
              <w:rPr>
                <w:rFonts w:ascii="Calibri" w:hAnsi="Calibri"/>
                <w:color w:val="000080"/>
                <w:szCs w:val="24"/>
              </w:rPr>
              <w:t>→</w:t>
            </w:r>
          </w:p>
        </w:tc>
        <w:tc>
          <w:tcPr>
            <w:tcW w:w="1530" w:type="dxa"/>
            <w:tcBorders>
              <w:bottom w:val="single" w:sz="4" w:space="0" w:color="000000"/>
            </w:tcBorders>
          </w:tcPr>
          <w:p w:rsidR="000C6B94" w:rsidRDefault="000C6B94" w:rsidP="00AD76D2">
            <w:pPr>
              <w:tabs>
                <w:tab w:val="left" w:pos="288"/>
                <w:tab w:val="left" w:pos="4752"/>
              </w:tabs>
              <w:spacing w:before="20" w:after="20" w:line="240" w:lineRule="exact"/>
              <w:jc w:val="center"/>
              <w:rPr>
                <w:color w:val="000080"/>
                <w:szCs w:val="24"/>
              </w:rPr>
            </w:pPr>
          </w:p>
          <w:p w:rsidR="00DB0015" w:rsidRPr="0043503A" w:rsidRDefault="000C6B94" w:rsidP="000C6B94">
            <w:pPr>
              <w:tabs>
                <w:tab w:val="left" w:pos="288"/>
                <w:tab w:val="left" w:pos="4752"/>
              </w:tabs>
              <w:spacing w:before="20" w:after="20" w:line="240" w:lineRule="exact"/>
              <w:rPr>
                <w:color w:val="000080"/>
                <w:szCs w:val="24"/>
              </w:rPr>
            </w:pPr>
            <w:r>
              <w:rPr>
                <w:rFonts w:ascii="Calibri" w:hAnsi="Calibri"/>
                <w:color w:val="000080"/>
                <w:szCs w:val="24"/>
              </w:rPr>
              <w:t xml:space="preserve">→     </w:t>
            </w:r>
            <w:r w:rsidR="002510A4">
              <w:rPr>
                <w:color w:val="000080"/>
                <w:szCs w:val="24"/>
              </w:rPr>
              <w:t>3</w:t>
            </w:r>
            <w:r w:rsidR="00DB0015">
              <w:rPr>
                <w:color w:val="000080"/>
                <w:szCs w:val="24"/>
              </w:rPr>
              <w:t>0</w:t>
            </w:r>
            <w:r w:rsidR="00DB0015" w:rsidRPr="0043503A">
              <w:rPr>
                <w:color w:val="000080"/>
                <w:szCs w:val="24"/>
              </w:rPr>
              <w:t>%</w:t>
            </w:r>
          </w:p>
        </w:tc>
      </w:tr>
      <w:tr w:rsidR="002510A4" w:rsidRPr="00FB7355" w:rsidTr="000C6B94">
        <w:trPr>
          <w:trHeight w:val="305"/>
        </w:trPr>
        <w:tc>
          <w:tcPr>
            <w:tcW w:w="5220" w:type="dxa"/>
          </w:tcPr>
          <w:p w:rsidR="002510A4" w:rsidRPr="0043503A" w:rsidRDefault="002510A4" w:rsidP="00AD76D2">
            <w:pPr>
              <w:tabs>
                <w:tab w:val="left" w:pos="288"/>
                <w:tab w:val="left" w:pos="4752"/>
              </w:tabs>
              <w:spacing w:before="20" w:after="20" w:line="240" w:lineRule="exact"/>
              <w:rPr>
                <w:color w:val="000080"/>
                <w:szCs w:val="24"/>
              </w:rPr>
            </w:pPr>
            <w:r>
              <w:rPr>
                <w:color w:val="000080"/>
                <w:szCs w:val="24"/>
              </w:rPr>
              <w:t>Lumbar Degenerative Disease, Status-Post Vertebral Fractures and Spinal Fusion L4/5 and L5/S1</w:t>
            </w:r>
          </w:p>
        </w:tc>
        <w:tc>
          <w:tcPr>
            <w:tcW w:w="1440" w:type="dxa"/>
            <w:tcBorders>
              <w:bottom w:val="single" w:sz="4" w:space="0" w:color="000000"/>
            </w:tcBorders>
          </w:tcPr>
          <w:p w:rsidR="002510A4" w:rsidRPr="0043503A" w:rsidRDefault="002510A4" w:rsidP="00AD76D2">
            <w:pPr>
              <w:tabs>
                <w:tab w:val="left" w:pos="288"/>
                <w:tab w:val="left" w:pos="4752"/>
              </w:tabs>
              <w:spacing w:before="20" w:after="20" w:line="240" w:lineRule="exact"/>
              <w:jc w:val="center"/>
              <w:rPr>
                <w:color w:val="000080"/>
                <w:szCs w:val="24"/>
              </w:rPr>
            </w:pPr>
            <w:r>
              <w:rPr>
                <w:color w:val="000080"/>
                <w:szCs w:val="24"/>
              </w:rPr>
              <w:t>5241</w:t>
            </w:r>
          </w:p>
        </w:tc>
        <w:tc>
          <w:tcPr>
            <w:tcW w:w="1170" w:type="dxa"/>
            <w:tcBorders>
              <w:bottom w:val="single" w:sz="4" w:space="0" w:color="000000"/>
            </w:tcBorders>
          </w:tcPr>
          <w:p w:rsidR="002510A4" w:rsidRDefault="002510A4" w:rsidP="00AD76D2">
            <w:pPr>
              <w:tabs>
                <w:tab w:val="left" w:pos="288"/>
                <w:tab w:val="left" w:pos="4752"/>
              </w:tabs>
              <w:spacing w:before="20" w:after="20" w:line="240" w:lineRule="exact"/>
              <w:jc w:val="center"/>
              <w:rPr>
                <w:color w:val="000080"/>
                <w:szCs w:val="24"/>
              </w:rPr>
            </w:pPr>
            <w:r>
              <w:rPr>
                <w:color w:val="000080"/>
                <w:szCs w:val="24"/>
              </w:rPr>
              <w:t>20%</w:t>
            </w:r>
          </w:p>
        </w:tc>
        <w:tc>
          <w:tcPr>
            <w:tcW w:w="1530" w:type="dxa"/>
            <w:tcBorders>
              <w:bottom w:val="single" w:sz="4" w:space="0" w:color="000000"/>
            </w:tcBorders>
          </w:tcPr>
          <w:p w:rsidR="002510A4" w:rsidRDefault="002510A4" w:rsidP="00AD76D2">
            <w:pPr>
              <w:tabs>
                <w:tab w:val="left" w:pos="288"/>
                <w:tab w:val="left" w:pos="4752"/>
              </w:tabs>
              <w:spacing w:before="20" w:after="20" w:line="240" w:lineRule="exact"/>
              <w:jc w:val="center"/>
              <w:rPr>
                <w:color w:val="000080"/>
                <w:szCs w:val="24"/>
              </w:rPr>
            </w:pPr>
            <w:r>
              <w:rPr>
                <w:color w:val="000080"/>
                <w:szCs w:val="24"/>
              </w:rPr>
              <w:t>20%</w:t>
            </w:r>
          </w:p>
        </w:tc>
      </w:tr>
      <w:tr w:rsidR="002510A4" w:rsidRPr="00FB7355" w:rsidTr="000C6B94">
        <w:trPr>
          <w:trHeight w:val="305"/>
        </w:trPr>
        <w:tc>
          <w:tcPr>
            <w:tcW w:w="5220" w:type="dxa"/>
          </w:tcPr>
          <w:p w:rsidR="002510A4" w:rsidRPr="0043503A" w:rsidRDefault="002510A4" w:rsidP="00AD76D2">
            <w:pPr>
              <w:tabs>
                <w:tab w:val="left" w:pos="288"/>
                <w:tab w:val="left" w:pos="4752"/>
              </w:tabs>
              <w:spacing w:before="20" w:after="20" w:line="240" w:lineRule="exact"/>
              <w:rPr>
                <w:color w:val="000080"/>
                <w:szCs w:val="24"/>
              </w:rPr>
            </w:pPr>
            <w:r>
              <w:rPr>
                <w:color w:val="000080"/>
                <w:szCs w:val="24"/>
              </w:rPr>
              <w:t xml:space="preserve">Left L5/S1 Spinal </w:t>
            </w:r>
            <w:proofErr w:type="spellStart"/>
            <w:r>
              <w:rPr>
                <w:color w:val="000080"/>
                <w:szCs w:val="24"/>
              </w:rPr>
              <w:t>Radiculopathy</w:t>
            </w:r>
            <w:proofErr w:type="spellEnd"/>
          </w:p>
        </w:tc>
        <w:tc>
          <w:tcPr>
            <w:tcW w:w="1440" w:type="dxa"/>
            <w:tcBorders>
              <w:bottom w:val="single" w:sz="4" w:space="0" w:color="000000"/>
            </w:tcBorders>
          </w:tcPr>
          <w:p w:rsidR="002510A4" w:rsidRPr="0043503A" w:rsidRDefault="002510A4" w:rsidP="00AD76D2">
            <w:pPr>
              <w:tabs>
                <w:tab w:val="left" w:pos="288"/>
                <w:tab w:val="left" w:pos="4752"/>
              </w:tabs>
              <w:spacing w:before="20" w:after="20" w:line="240" w:lineRule="exact"/>
              <w:jc w:val="center"/>
              <w:rPr>
                <w:color w:val="000080"/>
                <w:szCs w:val="24"/>
              </w:rPr>
            </w:pPr>
            <w:r>
              <w:rPr>
                <w:color w:val="000080"/>
                <w:szCs w:val="24"/>
              </w:rPr>
              <w:t>8520</w:t>
            </w:r>
          </w:p>
        </w:tc>
        <w:tc>
          <w:tcPr>
            <w:tcW w:w="1170" w:type="dxa"/>
            <w:tcBorders>
              <w:bottom w:val="single" w:sz="4" w:space="0" w:color="000000"/>
            </w:tcBorders>
          </w:tcPr>
          <w:p w:rsidR="002510A4" w:rsidRDefault="002510A4" w:rsidP="00AD76D2">
            <w:pPr>
              <w:tabs>
                <w:tab w:val="left" w:pos="288"/>
                <w:tab w:val="left" w:pos="4752"/>
              </w:tabs>
              <w:spacing w:before="20" w:after="20" w:line="240" w:lineRule="exact"/>
              <w:jc w:val="center"/>
              <w:rPr>
                <w:color w:val="000080"/>
                <w:szCs w:val="24"/>
              </w:rPr>
            </w:pPr>
            <w:r>
              <w:rPr>
                <w:color w:val="000080"/>
                <w:szCs w:val="24"/>
              </w:rPr>
              <w:t>10%</w:t>
            </w:r>
          </w:p>
        </w:tc>
        <w:tc>
          <w:tcPr>
            <w:tcW w:w="1530" w:type="dxa"/>
            <w:tcBorders>
              <w:bottom w:val="single" w:sz="4" w:space="0" w:color="000000"/>
            </w:tcBorders>
          </w:tcPr>
          <w:p w:rsidR="002510A4" w:rsidRDefault="002510A4" w:rsidP="00AD76D2">
            <w:pPr>
              <w:tabs>
                <w:tab w:val="left" w:pos="288"/>
                <w:tab w:val="left" w:pos="4752"/>
              </w:tabs>
              <w:spacing w:before="20" w:after="20" w:line="240" w:lineRule="exact"/>
              <w:jc w:val="center"/>
              <w:rPr>
                <w:color w:val="000080"/>
                <w:szCs w:val="24"/>
              </w:rPr>
            </w:pPr>
            <w:r>
              <w:rPr>
                <w:color w:val="000080"/>
                <w:szCs w:val="24"/>
              </w:rPr>
              <w:t>10%</w:t>
            </w:r>
          </w:p>
        </w:tc>
      </w:tr>
      <w:tr w:rsidR="00DB0015" w:rsidRPr="00FB7355" w:rsidTr="000C6B94">
        <w:tblPrEx>
          <w:tblLook w:val="0000"/>
        </w:tblPrEx>
        <w:trPr>
          <w:gridBefore w:val="1"/>
          <w:wBefore w:w="5220" w:type="dxa"/>
          <w:trHeight w:val="350"/>
        </w:trPr>
        <w:tc>
          <w:tcPr>
            <w:tcW w:w="1440" w:type="dxa"/>
            <w:tcBorders>
              <w:left w:val="single" w:sz="4" w:space="0" w:color="auto"/>
            </w:tcBorders>
            <w:shd w:val="pct15" w:color="auto" w:fill="auto"/>
          </w:tcPr>
          <w:p w:rsidR="00DB0015" w:rsidRPr="003543FF" w:rsidRDefault="00DB0015" w:rsidP="00AD76D2">
            <w:pPr>
              <w:tabs>
                <w:tab w:val="left" w:pos="288"/>
                <w:tab w:val="left" w:pos="4752"/>
              </w:tabs>
              <w:spacing w:before="60" w:line="240" w:lineRule="exact"/>
              <w:jc w:val="center"/>
              <w:rPr>
                <w:b/>
                <w:color w:val="000080"/>
                <w:szCs w:val="24"/>
              </w:rPr>
            </w:pPr>
            <w:r w:rsidRPr="003543FF">
              <w:rPr>
                <w:b/>
                <w:color w:val="000080"/>
                <w:szCs w:val="24"/>
              </w:rPr>
              <w:t>COMBINED</w:t>
            </w:r>
          </w:p>
        </w:tc>
        <w:tc>
          <w:tcPr>
            <w:tcW w:w="1170" w:type="dxa"/>
            <w:tcBorders>
              <w:left w:val="single" w:sz="4" w:space="0" w:color="auto"/>
            </w:tcBorders>
            <w:shd w:val="pct15" w:color="auto" w:fill="auto"/>
          </w:tcPr>
          <w:p w:rsidR="00DB0015" w:rsidRPr="004C5A6C" w:rsidRDefault="002510A4" w:rsidP="00AD76D2">
            <w:pPr>
              <w:tabs>
                <w:tab w:val="left" w:pos="288"/>
                <w:tab w:val="left" w:pos="4752"/>
              </w:tabs>
              <w:spacing w:before="60" w:line="240" w:lineRule="exact"/>
              <w:jc w:val="center"/>
              <w:rPr>
                <w:b/>
                <w:color w:val="000080"/>
                <w:szCs w:val="24"/>
              </w:rPr>
            </w:pPr>
            <w:r>
              <w:rPr>
                <w:b/>
                <w:color w:val="000080"/>
                <w:szCs w:val="24"/>
              </w:rPr>
              <w:t>60</w:t>
            </w:r>
            <w:r w:rsidR="00DB0015" w:rsidRPr="004C5A6C">
              <w:rPr>
                <w:b/>
                <w:color w:val="000080"/>
                <w:szCs w:val="24"/>
              </w:rPr>
              <w:t>%</w:t>
            </w:r>
          </w:p>
        </w:tc>
        <w:tc>
          <w:tcPr>
            <w:tcW w:w="1530" w:type="dxa"/>
            <w:shd w:val="pct15" w:color="auto" w:fill="auto"/>
          </w:tcPr>
          <w:p w:rsidR="00DB0015" w:rsidRPr="004C5A6C" w:rsidRDefault="002510A4" w:rsidP="00AD76D2">
            <w:pPr>
              <w:tabs>
                <w:tab w:val="left" w:pos="288"/>
                <w:tab w:val="left" w:pos="4752"/>
              </w:tabs>
              <w:spacing w:before="60" w:line="240" w:lineRule="exact"/>
              <w:jc w:val="center"/>
              <w:rPr>
                <w:b/>
                <w:color w:val="000080"/>
                <w:szCs w:val="24"/>
              </w:rPr>
            </w:pPr>
            <w:r>
              <w:rPr>
                <w:b/>
                <w:color w:val="000080"/>
                <w:szCs w:val="24"/>
              </w:rPr>
              <w:t>50</w:t>
            </w:r>
            <w:r w:rsidR="00DB0015" w:rsidRPr="004C5A6C">
              <w:rPr>
                <w:b/>
                <w:color w:val="000080"/>
                <w:szCs w:val="24"/>
              </w:rPr>
              <w:t>%</w:t>
            </w:r>
          </w:p>
        </w:tc>
      </w:tr>
    </w:tbl>
    <w:p w:rsidR="00B522CD" w:rsidRDefault="008B5D31" w:rsidP="00F34D4E">
      <w:pPr>
        <w:tabs>
          <w:tab w:val="left" w:pos="288"/>
          <w:tab w:val="left" w:pos="4752"/>
        </w:tabs>
        <w:spacing w:line="240" w:lineRule="exact"/>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657FA1">
        <w:rPr>
          <w:color w:val="000080"/>
        </w:rPr>
        <w:t>0130</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5E1AFF" w:rsidRDefault="005E1AFF">
      <w:pPr>
        <w:rPr>
          <w:color w:val="000080"/>
        </w:rPr>
      </w:pPr>
      <w:r>
        <w:rPr>
          <w:color w:val="000080"/>
        </w:rPr>
        <w:br w:type="page"/>
      </w:r>
    </w:p>
    <w:p w:rsidR="005E1AFF" w:rsidRDefault="005E1AFF" w:rsidP="005E1AFF">
      <w:pPr>
        <w:pStyle w:val="Default"/>
        <w:framePr w:w="16083" w:wrap="auto" w:vAnchor="page" w:hAnchor="page" w:x="1" w:y="1"/>
      </w:pPr>
      <w:r>
        <w:rPr>
          <w:noProof/>
        </w:rPr>
        <w:lastRenderedPageBreak/>
        <w:drawing>
          <wp:inline distT="0" distB="0" distL="0" distR="0">
            <wp:extent cx="7895590" cy="10034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95590" cy="10034270"/>
                    </a:xfrm>
                    <a:prstGeom prst="rect">
                      <a:avLst/>
                    </a:prstGeom>
                    <a:noFill/>
                    <a:ln w="9525">
                      <a:noFill/>
                      <a:miter lim="800000"/>
                      <a:headEnd/>
                      <a:tailEnd/>
                    </a:ln>
                  </pic:spPr>
                </pic:pic>
              </a:graphicData>
            </a:graphic>
          </wp:inline>
        </w:drawing>
      </w: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sectPr w:rsidR="00AA04B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4E4" w:rsidRDefault="00AB34E4">
      <w:r>
        <w:separator/>
      </w:r>
    </w:p>
  </w:endnote>
  <w:endnote w:type="continuationSeparator" w:id="0">
    <w:p w:rsidR="00AB34E4" w:rsidRDefault="00AB34E4">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D2" w:rsidRDefault="000422EE">
    <w:pPr>
      <w:pStyle w:val="Footer"/>
      <w:framePr w:wrap="around" w:vAnchor="text" w:hAnchor="margin" w:xAlign="center" w:y="1"/>
      <w:rPr>
        <w:rStyle w:val="PageNumber"/>
      </w:rPr>
    </w:pPr>
    <w:r>
      <w:rPr>
        <w:rStyle w:val="PageNumber"/>
      </w:rPr>
      <w:fldChar w:fldCharType="begin"/>
    </w:r>
    <w:r w:rsidR="00AD76D2">
      <w:rPr>
        <w:rStyle w:val="PageNumber"/>
      </w:rPr>
      <w:instrText xml:space="preserve">PAGE  </w:instrText>
    </w:r>
    <w:r>
      <w:rPr>
        <w:rStyle w:val="PageNumber"/>
      </w:rPr>
      <w:fldChar w:fldCharType="separate"/>
    </w:r>
    <w:r w:rsidR="00AD76D2">
      <w:rPr>
        <w:rStyle w:val="PageNumber"/>
        <w:noProof/>
      </w:rPr>
      <w:t>2</w:t>
    </w:r>
    <w:r>
      <w:rPr>
        <w:rStyle w:val="PageNumber"/>
      </w:rPr>
      <w:fldChar w:fldCharType="end"/>
    </w:r>
  </w:p>
  <w:p w:rsidR="00AD76D2" w:rsidRDefault="00AD76D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D2" w:rsidRDefault="000422EE">
    <w:pPr>
      <w:pStyle w:val="Footer"/>
      <w:framePr w:wrap="around" w:vAnchor="text" w:hAnchor="margin" w:xAlign="center" w:y="1"/>
      <w:rPr>
        <w:rStyle w:val="PageNumber"/>
      </w:rPr>
    </w:pPr>
    <w:r>
      <w:rPr>
        <w:rStyle w:val="PageNumber"/>
      </w:rPr>
      <w:fldChar w:fldCharType="begin"/>
    </w:r>
    <w:r w:rsidR="00AD76D2">
      <w:rPr>
        <w:rStyle w:val="PageNumber"/>
      </w:rPr>
      <w:instrText xml:space="preserve">PAGE  </w:instrText>
    </w:r>
    <w:r>
      <w:rPr>
        <w:rStyle w:val="PageNumber"/>
      </w:rPr>
      <w:fldChar w:fldCharType="separate"/>
    </w:r>
    <w:r w:rsidR="005E1AFF">
      <w:rPr>
        <w:rStyle w:val="PageNumber"/>
        <w:noProof/>
      </w:rPr>
      <w:t>8</w:t>
    </w:r>
    <w:r>
      <w:rPr>
        <w:rStyle w:val="PageNumber"/>
      </w:rPr>
      <w:fldChar w:fldCharType="end"/>
    </w:r>
  </w:p>
  <w:p w:rsidR="00AD76D2" w:rsidRDefault="00AD76D2" w:rsidP="002B0749">
    <w:pPr>
      <w:pStyle w:val="Footer"/>
      <w:jc w:val="right"/>
    </w:pPr>
    <w:r>
      <w:tab/>
    </w:r>
    <w:r>
      <w:tab/>
    </w:r>
    <w:r w:rsidRPr="001D3186">
      <w:rPr>
        <w:caps/>
        <w:color w:val="000080"/>
      </w:rPr>
      <w:t>PD09</w:t>
    </w:r>
    <w:r>
      <w:rPr>
        <w:caps/>
        <w:color w:val="000080"/>
      </w:rPr>
      <w:t>00134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4E4" w:rsidRDefault="00AB34E4">
      <w:r>
        <w:separator/>
      </w:r>
    </w:p>
  </w:footnote>
  <w:footnote w:type="continuationSeparator" w:id="0">
    <w:p w:rsidR="00AB34E4" w:rsidRDefault="00AB34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1665"/>
  </w:hdrShapeDefaults>
  <w:footnotePr>
    <w:numRestart w:val="eachSect"/>
    <w:footnote w:id="-1"/>
    <w:footnote w:id="0"/>
  </w:footnotePr>
  <w:endnotePr>
    <w:endnote w:id="-1"/>
    <w:endnote w:id="0"/>
  </w:endnotePr>
  <w:compat/>
  <w:rsids>
    <w:rsidRoot w:val="001C28D1"/>
    <w:rsid w:val="000059FA"/>
    <w:rsid w:val="00006F87"/>
    <w:rsid w:val="00010ABA"/>
    <w:rsid w:val="00011E40"/>
    <w:rsid w:val="00013417"/>
    <w:rsid w:val="000145C2"/>
    <w:rsid w:val="00023D43"/>
    <w:rsid w:val="000344E6"/>
    <w:rsid w:val="00035C3A"/>
    <w:rsid w:val="000379D0"/>
    <w:rsid w:val="000403C0"/>
    <w:rsid w:val="00040FC4"/>
    <w:rsid w:val="000416F8"/>
    <w:rsid w:val="000422EE"/>
    <w:rsid w:val="00051622"/>
    <w:rsid w:val="00053D7C"/>
    <w:rsid w:val="0006431E"/>
    <w:rsid w:val="00072433"/>
    <w:rsid w:val="000727C1"/>
    <w:rsid w:val="0008708B"/>
    <w:rsid w:val="00093A49"/>
    <w:rsid w:val="00094E4F"/>
    <w:rsid w:val="00095899"/>
    <w:rsid w:val="000A2BCE"/>
    <w:rsid w:val="000A41E3"/>
    <w:rsid w:val="000A4BBA"/>
    <w:rsid w:val="000A5071"/>
    <w:rsid w:val="000C3C13"/>
    <w:rsid w:val="000C5813"/>
    <w:rsid w:val="000C6B94"/>
    <w:rsid w:val="000C7DE4"/>
    <w:rsid w:val="000D15E7"/>
    <w:rsid w:val="000D21C7"/>
    <w:rsid w:val="000D248A"/>
    <w:rsid w:val="000D43F9"/>
    <w:rsid w:val="000D4717"/>
    <w:rsid w:val="000D6457"/>
    <w:rsid w:val="000D7D55"/>
    <w:rsid w:val="000E0993"/>
    <w:rsid w:val="000F02BE"/>
    <w:rsid w:val="000F427B"/>
    <w:rsid w:val="00103CCF"/>
    <w:rsid w:val="0010417F"/>
    <w:rsid w:val="001042D2"/>
    <w:rsid w:val="0010530E"/>
    <w:rsid w:val="001103CD"/>
    <w:rsid w:val="00114F20"/>
    <w:rsid w:val="001219DF"/>
    <w:rsid w:val="001231DC"/>
    <w:rsid w:val="00123E74"/>
    <w:rsid w:val="0012448A"/>
    <w:rsid w:val="00124B13"/>
    <w:rsid w:val="001315DD"/>
    <w:rsid w:val="001320A9"/>
    <w:rsid w:val="00135385"/>
    <w:rsid w:val="001364D1"/>
    <w:rsid w:val="001541C5"/>
    <w:rsid w:val="0015623F"/>
    <w:rsid w:val="00163612"/>
    <w:rsid w:val="00177659"/>
    <w:rsid w:val="001779E5"/>
    <w:rsid w:val="00182A4C"/>
    <w:rsid w:val="00183F77"/>
    <w:rsid w:val="0018506F"/>
    <w:rsid w:val="00185ECB"/>
    <w:rsid w:val="00190825"/>
    <w:rsid w:val="0019273F"/>
    <w:rsid w:val="00194930"/>
    <w:rsid w:val="001A7538"/>
    <w:rsid w:val="001B5B59"/>
    <w:rsid w:val="001B7179"/>
    <w:rsid w:val="001C181A"/>
    <w:rsid w:val="001C2053"/>
    <w:rsid w:val="001C28D1"/>
    <w:rsid w:val="001C5CFC"/>
    <w:rsid w:val="001C7418"/>
    <w:rsid w:val="001D0051"/>
    <w:rsid w:val="001D2224"/>
    <w:rsid w:val="001D68CF"/>
    <w:rsid w:val="001D6A8C"/>
    <w:rsid w:val="001D7A56"/>
    <w:rsid w:val="001E18E0"/>
    <w:rsid w:val="001E18E2"/>
    <w:rsid w:val="001E2E87"/>
    <w:rsid w:val="001F3E5C"/>
    <w:rsid w:val="002060B6"/>
    <w:rsid w:val="00216049"/>
    <w:rsid w:val="00217C09"/>
    <w:rsid w:val="00225196"/>
    <w:rsid w:val="00225CB4"/>
    <w:rsid w:val="00232C9B"/>
    <w:rsid w:val="00232F09"/>
    <w:rsid w:val="002338CA"/>
    <w:rsid w:val="0024174E"/>
    <w:rsid w:val="0024227D"/>
    <w:rsid w:val="00246860"/>
    <w:rsid w:val="00246CED"/>
    <w:rsid w:val="00246DFF"/>
    <w:rsid w:val="00246E89"/>
    <w:rsid w:val="002510A4"/>
    <w:rsid w:val="0025183C"/>
    <w:rsid w:val="00255049"/>
    <w:rsid w:val="002556A5"/>
    <w:rsid w:val="0026318D"/>
    <w:rsid w:val="00270864"/>
    <w:rsid w:val="0027159C"/>
    <w:rsid w:val="00274549"/>
    <w:rsid w:val="00274E46"/>
    <w:rsid w:val="00276C86"/>
    <w:rsid w:val="002960C8"/>
    <w:rsid w:val="002A1A7B"/>
    <w:rsid w:val="002A3237"/>
    <w:rsid w:val="002A72C7"/>
    <w:rsid w:val="002B03B2"/>
    <w:rsid w:val="002B0749"/>
    <w:rsid w:val="002C6E5B"/>
    <w:rsid w:val="002D18B4"/>
    <w:rsid w:val="002E1877"/>
    <w:rsid w:val="002E1C31"/>
    <w:rsid w:val="002E333A"/>
    <w:rsid w:val="002E3474"/>
    <w:rsid w:val="002E7570"/>
    <w:rsid w:val="002E764B"/>
    <w:rsid w:val="002F05B8"/>
    <w:rsid w:val="002F0E28"/>
    <w:rsid w:val="002F1B6E"/>
    <w:rsid w:val="002F287E"/>
    <w:rsid w:val="002F2D63"/>
    <w:rsid w:val="002F7F81"/>
    <w:rsid w:val="0030678B"/>
    <w:rsid w:val="00310CD7"/>
    <w:rsid w:val="00323E70"/>
    <w:rsid w:val="003320E8"/>
    <w:rsid w:val="0033555E"/>
    <w:rsid w:val="00335CD7"/>
    <w:rsid w:val="00337351"/>
    <w:rsid w:val="00341A54"/>
    <w:rsid w:val="00351498"/>
    <w:rsid w:val="0036319E"/>
    <w:rsid w:val="00363362"/>
    <w:rsid w:val="00365EDD"/>
    <w:rsid w:val="00372FFA"/>
    <w:rsid w:val="0037520D"/>
    <w:rsid w:val="0037628C"/>
    <w:rsid w:val="00377BD2"/>
    <w:rsid w:val="00384866"/>
    <w:rsid w:val="003857D4"/>
    <w:rsid w:val="00385D6F"/>
    <w:rsid w:val="00387095"/>
    <w:rsid w:val="00390092"/>
    <w:rsid w:val="00393651"/>
    <w:rsid w:val="00397562"/>
    <w:rsid w:val="003A41BA"/>
    <w:rsid w:val="003A6A99"/>
    <w:rsid w:val="003B227A"/>
    <w:rsid w:val="003C1A59"/>
    <w:rsid w:val="003D2BA3"/>
    <w:rsid w:val="003D7089"/>
    <w:rsid w:val="003D7DDB"/>
    <w:rsid w:val="003E02C7"/>
    <w:rsid w:val="003E0543"/>
    <w:rsid w:val="003E31E3"/>
    <w:rsid w:val="003F58B0"/>
    <w:rsid w:val="004007E9"/>
    <w:rsid w:val="00401825"/>
    <w:rsid w:val="00401BBC"/>
    <w:rsid w:val="00403BFB"/>
    <w:rsid w:val="00404B45"/>
    <w:rsid w:val="00406CC5"/>
    <w:rsid w:val="004074A4"/>
    <w:rsid w:val="004101B2"/>
    <w:rsid w:val="004123D7"/>
    <w:rsid w:val="004172DB"/>
    <w:rsid w:val="00422B75"/>
    <w:rsid w:val="00433F36"/>
    <w:rsid w:val="0043503A"/>
    <w:rsid w:val="0044384F"/>
    <w:rsid w:val="004543BC"/>
    <w:rsid w:val="0045645D"/>
    <w:rsid w:val="004574C6"/>
    <w:rsid w:val="00457BCF"/>
    <w:rsid w:val="00460E3F"/>
    <w:rsid w:val="004718E7"/>
    <w:rsid w:val="004761CC"/>
    <w:rsid w:val="00481DA1"/>
    <w:rsid w:val="00487399"/>
    <w:rsid w:val="00495350"/>
    <w:rsid w:val="004A24D2"/>
    <w:rsid w:val="004A4136"/>
    <w:rsid w:val="004A417B"/>
    <w:rsid w:val="004B03F3"/>
    <w:rsid w:val="004B715E"/>
    <w:rsid w:val="004B7169"/>
    <w:rsid w:val="004B79C9"/>
    <w:rsid w:val="004C4930"/>
    <w:rsid w:val="004C5E33"/>
    <w:rsid w:val="004C6CDA"/>
    <w:rsid w:val="004C7BE3"/>
    <w:rsid w:val="004D10D4"/>
    <w:rsid w:val="004D6F2B"/>
    <w:rsid w:val="004E0248"/>
    <w:rsid w:val="004E32EA"/>
    <w:rsid w:val="004F3BFA"/>
    <w:rsid w:val="004F3F7B"/>
    <w:rsid w:val="00510588"/>
    <w:rsid w:val="0051146C"/>
    <w:rsid w:val="005222E7"/>
    <w:rsid w:val="00523E04"/>
    <w:rsid w:val="0052590B"/>
    <w:rsid w:val="00526591"/>
    <w:rsid w:val="0052784B"/>
    <w:rsid w:val="005350A5"/>
    <w:rsid w:val="00536379"/>
    <w:rsid w:val="00540BEF"/>
    <w:rsid w:val="005436C2"/>
    <w:rsid w:val="0055288D"/>
    <w:rsid w:val="00560D57"/>
    <w:rsid w:val="00562A94"/>
    <w:rsid w:val="0056764D"/>
    <w:rsid w:val="00577A26"/>
    <w:rsid w:val="00593043"/>
    <w:rsid w:val="005A258C"/>
    <w:rsid w:val="005A3560"/>
    <w:rsid w:val="005A6C99"/>
    <w:rsid w:val="005B011A"/>
    <w:rsid w:val="005B1D8F"/>
    <w:rsid w:val="005E1AFF"/>
    <w:rsid w:val="005F1115"/>
    <w:rsid w:val="005F27F2"/>
    <w:rsid w:val="005F424D"/>
    <w:rsid w:val="005F743D"/>
    <w:rsid w:val="00600A50"/>
    <w:rsid w:val="00606BEB"/>
    <w:rsid w:val="00613E26"/>
    <w:rsid w:val="00615641"/>
    <w:rsid w:val="00624D0C"/>
    <w:rsid w:val="00626C6B"/>
    <w:rsid w:val="006307BA"/>
    <w:rsid w:val="00634C4A"/>
    <w:rsid w:val="006418C9"/>
    <w:rsid w:val="00645046"/>
    <w:rsid w:val="006550EB"/>
    <w:rsid w:val="00657FA1"/>
    <w:rsid w:val="00662F08"/>
    <w:rsid w:val="00663589"/>
    <w:rsid w:val="00670DDC"/>
    <w:rsid w:val="0067443B"/>
    <w:rsid w:val="00684E2B"/>
    <w:rsid w:val="00690FDA"/>
    <w:rsid w:val="00694EEA"/>
    <w:rsid w:val="006955B4"/>
    <w:rsid w:val="00696476"/>
    <w:rsid w:val="006A10FA"/>
    <w:rsid w:val="006A395B"/>
    <w:rsid w:val="006A40E6"/>
    <w:rsid w:val="006A5C07"/>
    <w:rsid w:val="006A75FA"/>
    <w:rsid w:val="006B07D5"/>
    <w:rsid w:val="006B1309"/>
    <w:rsid w:val="006B5923"/>
    <w:rsid w:val="006B6C14"/>
    <w:rsid w:val="006C3A68"/>
    <w:rsid w:val="006C6AB1"/>
    <w:rsid w:val="006D2D39"/>
    <w:rsid w:val="006E06D1"/>
    <w:rsid w:val="006E2DC8"/>
    <w:rsid w:val="006E7356"/>
    <w:rsid w:val="006E77C8"/>
    <w:rsid w:val="006F149D"/>
    <w:rsid w:val="006F1A46"/>
    <w:rsid w:val="00706BEF"/>
    <w:rsid w:val="007116BC"/>
    <w:rsid w:val="007165CE"/>
    <w:rsid w:val="00720968"/>
    <w:rsid w:val="00721780"/>
    <w:rsid w:val="00721D12"/>
    <w:rsid w:val="00721F8B"/>
    <w:rsid w:val="00736A49"/>
    <w:rsid w:val="00743C2D"/>
    <w:rsid w:val="00744EBB"/>
    <w:rsid w:val="00746AE2"/>
    <w:rsid w:val="007476D8"/>
    <w:rsid w:val="00750C82"/>
    <w:rsid w:val="0076100C"/>
    <w:rsid w:val="007651ED"/>
    <w:rsid w:val="00766C87"/>
    <w:rsid w:val="00781BD4"/>
    <w:rsid w:val="00784832"/>
    <w:rsid w:val="00785D77"/>
    <w:rsid w:val="00790DB5"/>
    <w:rsid w:val="00791F1E"/>
    <w:rsid w:val="00794F3D"/>
    <w:rsid w:val="007A0B39"/>
    <w:rsid w:val="007A14A4"/>
    <w:rsid w:val="007A168F"/>
    <w:rsid w:val="007A28E4"/>
    <w:rsid w:val="007A3BB3"/>
    <w:rsid w:val="007A5AD1"/>
    <w:rsid w:val="007A5B7B"/>
    <w:rsid w:val="007B0A06"/>
    <w:rsid w:val="007B5C5C"/>
    <w:rsid w:val="007B7C41"/>
    <w:rsid w:val="007C433E"/>
    <w:rsid w:val="007C721C"/>
    <w:rsid w:val="007D0292"/>
    <w:rsid w:val="007D21AC"/>
    <w:rsid w:val="007D568A"/>
    <w:rsid w:val="007D574E"/>
    <w:rsid w:val="007E1C76"/>
    <w:rsid w:val="007E2046"/>
    <w:rsid w:val="007E4FBB"/>
    <w:rsid w:val="007E55BF"/>
    <w:rsid w:val="007E7B4E"/>
    <w:rsid w:val="007F0CE2"/>
    <w:rsid w:val="007F0EFF"/>
    <w:rsid w:val="007F1375"/>
    <w:rsid w:val="00805AFD"/>
    <w:rsid w:val="00811D5B"/>
    <w:rsid w:val="00817713"/>
    <w:rsid w:val="00830999"/>
    <w:rsid w:val="00830D5E"/>
    <w:rsid w:val="00830F69"/>
    <w:rsid w:val="0083395B"/>
    <w:rsid w:val="00834458"/>
    <w:rsid w:val="00837465"/>
    <w:rsid w:val="00841457"/>
    <w:rsid w:val="0084374E"/>
    <w:rsid w:val="00844842"/>
    <w:rsid w:val="0085206E"/>
    <w:rsid w:val="00852AD4"/>
    <w:rsid w:val="00852BA8"/>
    <w:rsid w:val="00853718"/>
    <w:rsid w:val="008538A5"/>
    <w:rsid w:val="008541EF"/>
    <w:rsid w:val="0086162B"/>
    <w:rsid w:val="00865207"/>
    <w:rsid w:val="008656A7"/>
    <w:rsid w:val="00871262"/>
    <w:rsid w:val="00871D4E"/>
    <w:rsid w:val="00875B51"/>
    <w:rsid w:val="00875F2D"/>
    <w:rsid w:val="008764DC"/>
    <w:rsid w:val="00883930"/>
    <w:rsid w:val="008852CD"/>
    <w:rsid w:val="00896683"/>
    <w:rsid w:val="008A63A9"/>
    <w:rsid w:val="008B04DB"/>
    <w:rsid w:val="008B5D31"/>
    <w:rsid w:val="008B6705"/>
    <w:rsid w:val="008C3956"/>
    <w:rsid w:val="008D3D0F"/>
    <w:rsid w:val="008D7B07"/>
    <w:rsid w:val="008E2D99"/>
    <w:rsid w:val="008E4A60"/>
    <w:rsid w:val="008F5210"/>
    <w:rsid w:val="009026E8"/>
    <w:rsid w:val="009102BF"/>
    <w:rsid w:val="00914ADB"/>
    <w:rsid w:val="00923B25"/>
    <w:rsid w:val="00937977"/>
    <w:rsid w:val="00942645"/>
    <w:rsid w:val="00950A3A"/>
    <w:rsid w:val="0095340A"/>
    <w:rsid w:val="00954581"/>
    <w:rsid w:val="0095466C"/>
    <w:rsid w:val="0096168C"/>
    <w:rsid w:val="00962F2D"/>
    <w:rsid w:val="009672CD"/>
    <w:rsid w:val="00970481"/>
    <w:rsid w:val="009732B8"/>
    <w:rsid w:val="00976869"/>
    <w:rsid w:val="00977740"/>
    <w:rsid w:val="00977CB4"/>
    <w:rsid w:val="00985099"/>
    <w:rsid w:val="0099641A"/>
    <w:rsid w:val="009A0DE3"/>
    <w:rsid w:val="009A79BA"/>
    <w:rsid w:val="009B1534"/>
    <w:rsid w:val="009B69D3"/>
    <w:rsid w:val="009B7BA7"/>
    <w:rsid w:val="009C0938"/>
    <w:rsid w:val="009C3F82"/>
    <w:rsid w:val="009C7DF5"/>
    <w:rsid w:val="009D056C"/>
    <w:rsid w:val="009D060F"/>
    <w:rsid w:val="009D1ADE"/>
    <w:rsid w:val="009E1283"/>
    <w:rsid w:val="00A00D14"/>
    <w:rsid w:val="00A01408"/>
    <w:rsid w:val="00A02457"/>
    <w:rsid w:val="00A0404B"/>
    <w:rsid w:val="00A1105B"/>
    <w:rsid w:val="00A12459"/>
    <w:rsid w:val="00A15B6B"/>
    <w:rsid w:val="00A16876"/>
    <w:rsid w:val="00A200AA"/>
    <w:rsid w:val="00A2186F"/>
    <w:rsid w:val="00A2270B"/>
    <w:rsid w:val="00A2496E"/>
    <w:rsid w:val="00A258B7"/>
    <w:rsid w:val="00A40A30"/>
    <w:rsid w:val="00A414A9"/>
    <w:rsid w:val="00A47167"/>
    <w:rsid w:val="00A47CF1"/>
    <w:rsid w:val="00A50418"/>
    <w:rsid w:val="00A5685A"/>
    <w:rsid w:val="00A56D26"/>
    <w:rsid w:val="00A608FB"/>
    <w:rsid w:val="00A65C78"/>
    <w:rsid w:val="00A70E7B"/>
    <w:rsid w:val="00A73B84"/>
    <w:rsid w:val="00A76094"/>
    <w:rsid w:val="00A82C52"/>
    <w:rsid w:val="00A86CB6"/>
    <w:rsid w:val="00A90D55"/>
    <w:rsid w:val="00A961EE"/>
    <w:rsid w:val="00AA04B3"/>
    <w:rsid w:val="00AA493E"/>
    <w:rsid w:val="00AB1754"/>
    <w:rsid w:val="00AB34E4"/>
    <w:rsid w:val="00AC439D"/>
    <w:rsid w:val="00AD067E"/>
    <w:rsid w:val="00AD68C5"/>
    <w:rsid w:val="00AD76D2"/>
    <w:rsid w:val="00AE2D29"/>
    <w:rsid w:val="00AE4624"/>
    <w:rsid w:val="00AE5E14"/>
    <w:rsid w:val="00AF4FA5"/>
    <w:rsid w:val="00B02565"/>
    <w:rsid w:val="00B15D30"/>
    <w:rsid w:val="00B23436"/>
    <w:rsid w:val="00B24532"/>
    <w:rsid w:val="00B32179"/>
    <w:rsid w:val="00B40A3E"/>
    <w:rsid w:val="00B50227"/>
    <w:rsid w:val="00B51B4C"/>
    <w:rsid w:val="00B522CD"/>
    <w:rsid w:val="00B55917"/>
    <w:rsid w:val="00B72303"/>
    <w:rsid w:val="00B82277"/>
    <w:rsid w:val="00B95833"/>
    <w:rsid w:val="00BA2D98"/>
    <w:rsid w:val="00BA30D1"/>
    <w:rsid w:val="00BA4609"/>
    <w:rsid w:val="00BA5BE2"/>
    <w:rsid w:val="00BA7F46"/>
    <w:rsid w:val="00BB0A0A"/>
    <w:rsid w:val="00BB20CC"/>
    <w:rsid w:val="00BB6064"/>
    <w:rsid w:val="00BC09D1"/>
    <w:rsid w:val="00BD40AB"/>
    <w:rsid w:val="00BD6806"/>
    <w:rsid w:val="00BD7831"/>
    <w:rsid w:val="00BD7C10"/>
    <w:rsid w:val="00BE0DEB"/>
    <w:rsid w:val="00BE2FC1"/>
    <w:rsid w:val="00BE6365"/>
    <w:rsid w:val="00BF0B7F"/>
    <w:rsid w:val="00BF4720"/>
    <w:rsid w:val="00C038EC"/>
    <w:rsid w:val="00C13B34"/>
    <w:rsid w:val="00C1713D"/>
    <w:rsid w:val="00C177F1"/>
    <w:rsid w:val="00C25978"/>
    <w:rsid w:val="00C261C6"/>
    <w:rsid w:val="00C30A97"/>
    <w:rsid w:val="00C31DDC"/>
    <w:rsid w:val="00C34326"/>
    <w:rsid w:val="00C36201"/>
    <w:rsid w:val="00C368E8"/>
    <w:rsid w:val="00C42CBA"/>
    <w:rsid w:val="00C5019E"/>
    <w:rsid w:val="00C53E8A"/>
    <w:rsid w:val="00C54DF3"/>
    <w:rsid w:val="00C560A7"/>
    <w:rsid w:val="00C56FC8"/>
    <w:rsid w:val="00C60F23"/>
    <w:rsid w:val="00C6160E"/>
    <w:rsid w:val="00C62EB2"/>
    <w:rsid w:val="00C71BEC"/>
    <w:rsid w:val="00C80511"/>
    <w:rsid w:val="00C826F5"/>
    <w:rsid w:val="00C83578"/>
    <w:rsid w:val="00C83740"/>
    <w:rsid w:val="00C8461E"/>
    <w:rsid w:val="00C84AD1"/>
    <w:rsid w:val="00C85579"/>
    <w:rsid w:val="00C931FC"/>
    <w:rsid w:val="00C9650E"/>
    <w:rsid w:val="00CA068D"/>
    <w:rsid w:val="00CA282D"/>
    <w:rsid w:val="00CA4670"/>
    <w:rsid w:val="00CA6B1A"/>
    <w:rsid w:val="00CB23DC"/>
    <w:rsid w:val="00CB28E2"/>
    <w:rsid w:val="00CB7FF7"/>
    <w:rsid w:val="00CC19B3"/>
    <w:rsid w:val="00CC2044"/>
    <w:rsid w:val="00CC69EC"/>
    <w:rsid w:val="00CD34C7"/>
    <w:rsid w:val="00CD63C8"/>
    <w:rsid w:val="00CF158D"/>
    <w:rsid w:val="00CF4394"/>
    <w:rsid w:val="00D14BAE"/>
    <w:rsid w:val="00D1648B"/>
    <w:rsid w:val="00D16819"/>
    <w:rsid w:val="00D20AC0"/>
    <w:rsid w:val="00D336C8"/>
    <w:rsid w:val="00D339E8"/>
    <w:rsid w:val="00D40B1F"/>
    <w:rsid w:val="00D50C8C"/>
    <w:rsid w:val="00D52393"/>
    <w:rsid w:val="00D53F14"/>
    <w:rsid w:val="00D54BE4"/>
    <w:rsid w:val="00D60483"/>
    <w:rsid w:val="00D63577"/>
    <w:rsid w:val="00D74261"/>
    <w:rsid w:val="00D76AB2"/>
    <w:rsid w:val="00D829AD"/>
    <w:rsid w:val="00D82EE2"/>
    <w:rsid w:val="00D87788"/>
    <w:rsid w:val="00D877C8"/>
    <w:rsid w:val="00D910C2"/>
    <w:rsid w:val="00D9168C"/>
    <w:rsid w:val="00D9189B"/>
    <w:rsid w:val="00D91DA6"/>
    <w:rsid w:val="00D972D4"/>
    <w:rsid w:val="00DA195B"/>
    <w:rsid w:val="00DB0015"/>
    <w:rsid w:val="00DB2AAD"/>
    <w:rsid w:val="00DB4A4B"/>
    <w:rsid w:val="00DB6365"/>
    <w:rsid w:val="00DC0BF1"/>
    <w:rsid w:val="00DC41C3"/>
    <w:rsid w:val="00DD3593"/>
    <w:rsid w:val="00DE6952"/>
    <w:rsid w:val="00DE7E74"/>
    <w:rsid w:val="00E00A69"/>
    <w:rsid w:val="00E017F0"/>
    <w:rsid w:val="00E02616"/>
    <w:rsid w:val="00E041E4"/>
    <w:rsid w:val="00E1074B"/>
    <w:rsid w:val="00E1085B"/>
    <w:rsid w:val="00E14581"/>
    <w:rsid w:val="00E15539"/>
    <w:rsid w:val="00E16541"/>
    <w:rsid w:val="00E2632B"/>
    <w:rsid w:val="00E405EA"/>
    <w:rsid w:val="00E408B7"/>
    <w:rsid w:val="00E42789"/>
    <w:rsid w:val="00E464F0"/>
    <w:rsid w:val="00E50BEB"/>
    <w:rsid w:val="00E6092F"/>
    <w:rsid w:val="00E629DA"/>
    <w:rsid w:val="00E738CB"/>
    <w:rsid w:val="00E81C3E"/>
    <w:rsid w:val="00E82B6D"/>
    <w:rsid w:val="00E96645"/>
    <w:rsid w:val="00EA1177"/>
    <w:rsid w:val="00EA11B6"/>
    <w:rsid w:val="00EA2DD8"/>
    <w:rsid w:val="00EA681F"/>
    <w:rsid w:val="00EB3823"/>
    <w:rsid w:val="00EB47D8"/>
    <w:rsid w:val="00EB76E4"/>
    <w:rsid w:val="00EC0E65"/>
    <w:rsid w:val="00EC1D37"/>
    <w:rsid w:val="00EC50C9"/>
    <w:rsid w:val="00EC5BB2"/>
    <w:rsid w:val="00ED664B"/>
    <w:rsid w:val="00EE0B44"/>
    <w:rsid w:val="00EE5E8B"/>
    <w:rsid w:val="00EF5268"/>
    <w:rsid w:val="00EF608E"/>
    <w:rsid w:val="00F05807"/>
    <w:rsid w:val="00F07052"/>
    <w:rsid w:val="00F0706C"/>
    <w:rsid w:val="00F11EBE"/>
    <w:rsid w:val="00F1516A"/>
    <w:rsid w:val="00F22A26"/>
    <w:rsid w:val="00F24072"/>
    <w:rsid w:val="00F26432"/>
    <w:rsid w:val="00F3197A"/>
    <w:rsid w:val="00F32139"/>
    <w:rsid w:val="00F34D4E"/>
    <w:rsid w:val="00F34E08"/>
    <w:rsid w:val="00F40AD1"/>
    <w:rsid w:val="00F41D91"/>
    <w:rsid w:val="00F42363"/>
    <w:rsid w:val="00F46964"/>
    <w:rsid w:val="00F46F17"/>
    <w:rsid w:val="00F5126A"/>
    <w:rsid w:val="00F718A8"/>
    <w:rsid w:val="00F72183"/>
    <w:rsid w:val="00F81B9A"/>
    <w:rsid w:val="00F82981"/>
    <w:rsid w:val="00F8311F"/>
    <w:rsid w:val="00F83248"/>
    <w:rsid w:val="00F853AE"/>
    <w:rsid w:val="00F93DCC"/>
    <w:rsid w:val="00F9435D"/>
    <w:rsid w:val="00FB593A"/>
    <w:rsid w:val="00FB6E82"/>
    <w:rsid w:val="00FC0DC7"/>
    <w:rsid w:val="00FC4576"/>
    <w:rsid w:val="00FC7DBC"/>
    <w:rsid w:val="00FD076A"/>
    <w:rsid w:val="00FD1D5A"/>
    <w:rsid w:val="00FD5059"/>
    <w:rsid w:val="00FD554D"/>
    <w:rsid w:val="00FF0FF7"/>
    <w:rsid w:val="00FF3C25"/>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Revision">
    <w:name w:val="Revision"/>
    <w:hidden/>
    <w:uiPriority w:val="99"/>
    <w:semiHidden/>
    <w:rsid w:val="00B02565"/>
    <w:rPr>
      <w:color w:val="008080"/>
      <w:sz w:val="24"/>
    </w:rPr>
  </w:style>
  <w:style w:type="paragraph" w:customStyle="1" w:styleId="Default">
    <w:name w:val="Default"/>
    <w:rsid w:val="005E1AFF"/>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7369-3C37-4E22-9B0D-6F42E2C0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7</cp:revision>
  <cp:lastPrinted>2010-03-16T15:08:00Z</cp:lastPrinted>
  <dcterms:created xsi:type="dcterms:W3CDTF">2010-03-15T12:46:00Z</dcterms:created>
  <dcterms:modified xsi:type="dcterms:W3CDTF">2012-01-25T13:20:00Z</dcterms:modified>
</cp:coreProperties>
</file>