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695931" w:rsidRPr="00695931" w:rsidRDefault="00695931" w:rsidP="00695931">
      <w:pPr>
        <w:tabs>
          <w:tab w:val="left" w:pos="288"/>
          <w:tab w:val="left" w:pos="4752"/>
        </w:tabs>
        <w:spacing w:line="240" w:lineRule="exact"/>
        <w:rPr>
          <w:color w:val="000080"/>
        </w:rPr>
      </w:pPr>
      <w:r w:rsidRPr="00695931">
        <w:rPr>
          <w:color w:val="000080"/>
        </w:rPr>
        <w:t>NAME:</w:t>
      </w:r>
      <w:r w:rsidRPr="00695931">
        <w:rPr>
          <w:color w:val="000080"/>
        </w:rPr>
        <w:tab/>
      </w:r>
      <w:r w:rsidRPr="00695931">
        <w:rPr>
          <w:color w:val="000080"/>
        </w:rPr>
        <w:tab/>
        <w:t>BRANCH OF SERVICE: ARMY</w:t>
      </w:r>
    </w:p>
    <w:p w:rsidR="009264CE" w:rsidRDefault="00695931" w:rsidP="00695931">
      <w:pPr>
        <w:tabs>
          <w:tab w:val="left" w:pos="288"/>
          <w:tab w:val="left" w:pos="4752"/>
        </w:tabs>
        <w:spacing w:line="240" w:lineRule="exact"/>
        <w:rPr>
          <w:color w:val="000080"/>
        </w:rPr>
      </w:pPr>
      <w:r w:rsidRPr="00695931">
        <w:rPr>
          <w:color w:val="000080"/>
        </w:rPr>
        <w:t>CASE NUMBER:  PD0900127</w:t>
      </w:r>
      <w:r w:rsidRPr="00695931">
        <w:rPr>
          <w:color w:val="000080"/>
        </w:rPr>
        <w:tab/>
      </w:r>
      <w:r w:rsidRPr="00695931">
        <w:rPr>
          <w:color w:val="000080"/>
        </w:rPr>
        <w:tab/>
        <w:t>BOARD DATE: 2010</w:t>
      </w:r>
      <w:r>
        <w:rPr>
          <w:color w:val="000080"/>
        </w:rPr>
        <w:t>0204</w:t>
      </w:r>
    </w:p>
    <w:p w:rsidR="00695931" w:rsidRPr="00695931" w:rsidRDefault="00695931" w:rsidP="00695931">
      <w:pPr>
        <w:tabs>
          <w:tab w:val="left" w:pos="288"/>
          <w:tab w:val="left" w:pos="4752"/>
        </w:tabs>
        <w:spacing w:line="240" w:lineRule="exact"/>
        <w:rPr>
          <w:color w:val="000080"/>
        </w:rPr>
      </w:pPr>
      <w:r w:rsidRPr="00695931">
        <w:rPr>
          <w:color w:val="000080"/>
        </w:rPr>
        <w:t>SEPARATION DATE: 20030611</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5B7EBC" w:rsidRPr="00E86F73" w:rsidRDefault="002C6E5B" w:rsidP="00E86F73">
      <w:pPr>
        <w:tabs>
          <w:tab w:val="left" w:pos="288"/>
          <w:tab w:val="left" w:pos="4752"/>
        </w:tabs>
        <w:spacing w:line="240" w:lineRule="exact"/>
        <w:jc w:val="both"/>
        <w:rPr>
          <w:color w:val="000080"/>
        </w:rPr>
      </w:pPr>
      <w:r w:rsidRPr="00E86F73">
        <w:rPr>
          <w:color w:val="000080"/>
          <w:u w:val="single"/>
        </w:rPr>
        <w:t>SUMMARY OF CASE</w:t>
      </w:r>
      <w:r w:rsidRPr="00E86F73">
        <w:rPr>
          <w:color w:val="000080"/>
        </w:rPr>
        <w:t xml:space="preserve">:  This covered individual (CI) was </w:t>
      </w:r>
      <w:r w:rsidR="00550A41" w:rsidRPr="00E86F73">
        <w:rPr>
          <w:color w:val="000080"/>
        </w:rPr>
        <w:t>an active duty NCO (helicopter crewman)</w:t>
      </w:r>
      <w:r w:rsidRPr="00E86F73">
        <w:rPr>
          <w:color w:val="000080"/>
        </w:rPr>
        <w:t xml:space="preserve"> medically separated from the Army in 200</w:t>
      </w:r>
      <w:r w:rsidR="00550A41" w:rsidRPr="00E86F73">
        <w:rPr>
          <w:color w:val="000080"/>
        </w:rPr>
        <w:t>3</w:t>
      </w:r>
      <w:r w:rsidRPr="00E86F73">
        <w:rPr>
          <w:color w:val="000080"/>
        </w:rPr>
        <w:t xml:space="preserve"> after </w:t>
      </w:r>
      <w:r w:rsidR="00550A41" w:rsidRPr="00E86F73">
        <w:rPr>
          <w:color w:val="000080"/>
        </w:rPr>
        <w:t>13+</w:t>
      </w:r>
      <w:r w:rsidRPr="00E86F73">
        <w:rPr>
          <w:color w:val="000080"/>
        </w:rPr>
        <w:t xml:space="preserve"> years of service.  The medical basis for the separation was </w:t>
      </w:r>
      <w:r w:rsidR="00550A41" w:rsidRPr="00E86F73">
        <w:rPr>
          <w:color w:val="000080"/>
        </w:rPr>
        <w:t xml:space="preserve">a back condition.  He began suffering low back pain in 2001 without a specific precipitating incident.  His duties at that time included moving cargo and rappelling with a heavy load.  This continued to worsen over time and he underwent a </w:t>
      </w:r>
      <w:r w:rsidR="00D51902" w:rsidRPr="00E86F73">
        <w:rPr>
          <w:color w:val="000080"/>
        </w:rPr>
        <w:t>protracted trial of</w:t>
      </w:r>
      <w:r w:rsidR="00550A41" w:rsidRPr="00E86F73">
        <w:rPr>
          <w:color w:val="000080"/>
        </w:rPr>
        <w:t xml:space="preserve"> treatment and </w:t>
      </w:r>
      <w:r w:rsidR="00D51902" w:rsidRPr="00E86F73">
        <w:rPr>
          <w:color w:val="000080"/>
        </w:rPr>
        <w:t xml:space="preserve">further </w:t>
      </w:r>
      <w:r w:rsidR="00550A41" w:rsidRPr="00E86F73">
        <w:rPr>
          <w:color w:val="000080"/>
        </w:rPr>
        <w:t xml:space="preserve">evaluation.  Imaging results revealed S1 </w:t>
      </w:r>
      <w:proofErr w:type="spellStart"/>
      <w:r w:rsidR="00550A41" w:rsidRPr="00E86F73">
        <w:rPr>
          <w:color w:val="000080"/>
        </w:rPr>
        <w:t>lumbarization</w:t>
      </w:r>
      <w:proofErr w:type="spellEnd"/>
      <w:r w:rsidR="00550A41" w:rsidRPr="00E86F73">
        <w:rPr>
          <w:color w:val="000080"/>
        </w:rPr>
        <w:t xml:space="preserve"> with L5/S1 and S1/S2 degenerative disc disease and </w:t>
      </w:r>
      <w:proofErr w:type="spellStart"/>
      <w:r w:rsidR="00550A41" w:rsidRPr="00E86F73">
        <w:rPr>
          <w:color w:val="000080"/>
        </w:rPr>
        <w:t>spondylolisthesis</w:t>
      </w:r>
      <w:proofErr w:type="spellEnd"/>
      <w:r w:rsidR="00550A41" w:rsidRPr="00E86F73">
        <w:rPr>
          <w:color w:val="000080"/>
        </w:rPr>
        <w:t xml:space="preserve"> (Grade I) at S1/S2</w:t>
      </w:r>
      <w:r w:rsidR="005A2974" w:rsidRPr="00E86F73">
        <w:rPr>
          <w:color w:val="000080"/>
        </w:rPr>
        <w:t xml:space="preserve">.  No neurosurgical pathology was identified.  </w:t>
      </w:r>
      <w:r w:rsidR="00E86F73">
        <w:rPr>
          <w:color w:val="000080"/>
        </w:rPr>
        <w:t xml:space="preserve">The condition was associated with </w:t>
      </w:r>
      <w:r w:rsidR="005A2974" w:rsidRPr="00E86F73">
        <w:rPr>
          <w:color w:val="000080"/>
        </w:rPr>
        <w:t>a sensory neuropathy</w:t>
      </w:r>
      <w:r w:rsidR="00427474" w:rsidRPr="00E86F73">
        <w:rPr>
          <w:color w:val="000080"/>
        </w:rPr>
        <w:t xml:space="preserve">, but no motor deficits were identified.  Aggressive conservative management, </w:t>
      </w:r>
      <w:proofErr w:type="gramStart"/>
      <w:r w:rsidR="00427474" w:rsidRPr="00E86F73">
        <w:rPr>
          <w:color w:val="000080"/>
        </w:rPr>
        <w:t>including</w:t>
      </w:r>
      <w:proofErr w:type="gramEnd"/>
      <w:r w:rsidR="00427474" w:rsidRPr="00E86F73">
        <w:rPr>
          <w:color w:val="000080"/>
        </w:rPr>
        <w:t xml:space="preserve"> epidural injections, did not provide adequate improvement.  He was placed on a permanent L3 profile, could not meet the physical requirements of his MOS and underwent a </w:t>
      </w:r>
      <w:r w:rsidR="009264CE">
        <w:rPr>
          <w:color w:val="000080"/>
        </w:rPr>
        <w:t>Medical Evaluation Board (</w:t>
      </w:r>
      <w:r w:rsidR="00427474" w:rsidRPr="00E86F73">
        <w:rPr>
          <w:color w:val="000080"/>
        </w:rPr>
        <w:t>MEB</w:t>
      </w:r>
      <w:r w:rsidR="009264CE">
        <w:rPr>
          <w:color w:val="000080"/>
        </w:rPr>
        <w:t>)</w:t>
      </w:r>
      <w:r w:rsidR="00427474" w:rsidRPr="00E86F73">
        <w:rPr>
          <w:color w:val="000080"/>
        </w:rPr>
        <w:t xml:space="preserve">.  </w:t>
      </w:r>
      <w:r w:rsidR="005B7EBC" w:rsidRPr="00E86F73">
        <w:rPr>
          <w:color w:val="000080"/>
        </w:rPr>
        <w:t xml:space="preserve">The MEB forwarded degenerative disc disease and </w:t>
      </w:r>
      <w:proofErr w:type="spellStart"/>
      <w:r w:rsidR="005B7EBC" w:rsidRPr="00E86F73">
        <w:rPr>
          <w:color w:val="000080"/>
        </w:rPr>
        <w:t>spondylolisthesis</w:t>
      </w:r>
      <w:proofErr w:type="spellEnd"/>
      <w:r w:rsidR="005B7EBC" w:rsidRPr="00E86F73">
        <w:rPr>
          <w:color w:val="000080"/>
        </w:rPr>
        <w:t xml:space="preserve"> as separate medically unacceptable </w:t>
      </w:r>
      <w:r w:rsidR="00E86F73">
        <w:rPr>
          <w:color w:val="000080"/>
        </w:rPr>
        <w:t xml:space="preserve">conditions </w:t>
      </w:r>
      <w:r w:rsidR="005B7EBC" w:rsidRPr="00E86F73">
        <w:rPr>
          <w:color w:val="000080"/>
        </w:rPr>
        <w:t xml:space="preserve">(IAW AR 40-501) to the </w:t>
      </w:r>
      <w:r w:rsidR="009264CE">
        <w:rPr>
          <w:color w:val="000080"/>
        </w:rPr>
        <w:t>Physical Evaluation Board (</w:t>
      </w:r>
      <w:r w:rsidR="005B7EBC" w:rsidRPr="00E86F73">
        <w:rPr>
          <w:color w:val="000080"/>
        </w:rPr>
        <w:t>PEB</w:t>
      </w:r>
      <w:r w:rsidR="009264CE">
        <w:rPr>
          <w:color w:val="000080"/>
        </w:rPr>
        <w:t>)</w:t>
      </w:r>
      <w:r w:rsidR="005B7EBC" w:rsidRPr="00E86F73">
        <w:rPr>
          <w:color w:val="000080"/>
        </w:rPr>
        <w:t xml:space="preserve">.   Additional conditions supported in the </w:t>
      </w:r>
      <w:r w:rsidR="009264CE">
        <w:rPr>
          <w:color w:val="000080"/>
        </w:rPr>
        <w:t>disa</w:t>
      </w:r>
      <w:r w:rsidR="00E97B5E">
        <w:rPr>
          <w:color w:val="000080"/>
        </w:rPr>
        <w:t>b</w:t>
      </w:r>
      <w:r w:rsidR="009264CE">
        <w:rPr>
          <w:color w:val="000080"/>
        </w:rPr>
        <w:t>ility evaluation system (</w:t>
      </w:r>
      <w:r w:rsidR="005B7EBC" w:rsidRPr="00E86F73">
        <w:rPr>
          <w:color w:val="000080"/>
        </w:rPr>
        <w:t>DES</w:t>
      </w:r>
      <w:r w:rsidR="009264CE">
        <w:rPr>
          <w:color w:val="000080"/>
        </w:rPr>
        <w:t>)</w:t>
      </w:r>
      <w:r w:rsidR="005B7EBC" w:rsidRPr="00E86F73">
        <w:rPr>
          <w:color w:val="000080"/>
        </w:rPr>
        <w:t xml:space="preserve"> packet are discussed below, but were not forwarded for PEB adjudication on the DA </w:t>
      </w:r>
      <w:r w:rsidR="009264CE">
        <w:rPr>
          <w:color w:val="000080"/>
        </w:rPr>
        <w:t xml:space="preserve">Form </w:t>
      </w:r>
      <w:r w:rsidR="005B7EBC" w:rsidRPr="00E86F73">
        <w:rPr>
          <w:color w:val="000080"/>
        </w:rPr>
        <w:t xml:space="preserve">3947.  The PEB combined the MEB designated conditions as a single unfitting back condition on the DA </w:t>
      </w:r>
      <w:r w:rsidR="009264CE">
        <w:rPr>
          <w:color w:val="000080"/>
        </w:rPr>
        <w:t xml:space="preserve">Form </w:t>
      </w:r>
      <w:r w:rsidR="005B7EBC" w:rsidRPr="00E86F73">
        <w:rPr>
          <w:color w:val="000080"/>
        </w:rPr>
        <w:t>199 and the CI was separated with a 10% disability rating.</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985595" w:rsidRPr="00E86F73" w:rsidRDefault="002C6E5B" w:rsidP="00E86F73">
      <w:pPr>
        <w:tabs>
          <w:tab w:val="left" w:pos="288"/>
          <w:tab w:val="left" w:pos="4752"/>
        </w:tabs>
        <w:spacing w:line="240" w:lineRule="exact"/>
        <w:jc w:val="both"/>
        <w:rPr>
          <w:color w:val="000080"/>
        </w:rPr>
      </w:pPr>
      <w:r w:rsidRPr="00E86F73">
        <w:rPr>
          <w:color w:val="000080"/>
          <w:u w:val="single"/>
        </w:rPr>
        <w:t>CI CONTENTION</w:t>
      </w:r>
      <w:r w:rsidRPr="00E86F73">
        <w:rPr>
          <w:color w:val="000080"/>
        </w:rPr>
        <w:t xml:space="preserve">:  </w:t>
      </w:r>
      <w:r w:rsidR="00985595" w:rsidRPr="00E86F73">
        <w:rPr>
          <w:color w:val="000080"/>
        </w:rPr>
        <w:t>The CI states: ‘I believe that the seriousness of my back condition was not evaluated correctly. My condition has progressively worsened exactly as I was advised by military physicians and I don't feel as if the continued deterioration was taken into account at the time of separation by the review board. My back condition has profoundly limited my employment opportunities and the pain has completely altered my quality of life.’</w:t>
      </w:r>
    </w:p>
    <w:p w:rsidR="00A90D55" w:rsidRPr="00D91DA6" w:rsidRDefault="008B5D31" w:rsidP="00985595">
      <w:pPr>
        <w:tabs>
          <w:tab w:val="left" w:pos="288"/>
          <w:tab w:val="left" w:pos="4752"/>
        </w:tabs>
        <w:spacing w:line="240" w:lineRule="exact"/>
        <w:rPr>
          <w:color w:val="000080"/>
        </w:rPr>
      </w:pPr>
      <w:r w:rsidRPr="00572481">
        <w:rPr>
          <w:color w:val="000080"/>
          <w:u w:val="single"/>
        </w:rPr>
        <w:t>_______________________________________________________________</w:t>
      </w:r>
      <w:r>
        <w:rPr>
          <w:color w:val="000080"/>
        </w:rPr>
        <w:t>_</w:t>
      </w:r>
    </w:p>
    <w:p w:rsidR="00CB4F09" w:rsidRDefault="00CB4F09">
      <w:pPr>
        <w:rPr>
          <w:color w:val="000080"/>
        </w:rPr>
      </w:pPr>
      <w:r>
        <w:rPr>
          <w:color w:val="000080"/>
        </w:rPr>
        <w:br w:type="page"/>
      </w:r>
    </w:p>
    <w:p w:rsidR="002338CA" w:rsidRPr="00E86F73" w:rsidRDefault="00CB4F09" w:rsidP="00E86F73">
      <w:pPr>
        <w:rPr>
          <w:color w:val="000080"/>
          <w:u w:val="single"/>
        </w:rPr>
      </w:pPr>
      <w:r>
        <w:rPr>
          <w:color w:val="000080"/>
          <w:u w:val="single"/>
        </w:rPr>
        <w:lastRenderedPageBreak/>
        <w:t>R</w:t>
      </w:r>
      <w:r w:rsidR="002C6E5B" w:rsidRPr="00E86F73">
        <w:rPr>
          <w:color w:val="000080"/>
          <w:u w:val="single"/>
        </w:rPr>
        <w:t>ATING COMPARISON</w:t>
      </w:r>
      <w:r w:rsidR="002C6E5B" w:rsidRPr="00E86F73">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540" w:type="dxa"/>
        <w:tblLayout w:type="fixed"/>
        <w:tblLook w:val="04A0"/>
      </w:tblPr>
      <w:tblGrid>
        <w:gridCol w:w="1804"/>
        <w:gridCol w:w="720"/>
        <w:gridCol w:w="810"/>
        <w:gridCol w:w="990"/>
        <w:gridCol w:w="2336"/>
        <w:gridCol w:w="1080"/>
        <w:gridCol w:w="810"/>
        <w:gridCol w:w="990"/>
      </w:tblGrid>
      <w:tr w:rsidR="00684E2B" w:rsidTr="00774016">
        <w:trPr>
          <w:trHeight w:val="233"/>
        </w:trPr>
        <w:tc>
          <w:tcPr>
            <w:tcW w:w="4324"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5216" w:type="dxa"/>
            <w:gridSpan w:val="4"/>
            <w:tcBorders>
              <w:left w:val="thinThickThinSmallGap" w:sz="24" w:space="0" w:color="auto"/>
            </w:tcBorders>
            <w:shd w:val="clear" w:color="auto" w:fill="C6D9F1" w:themeFill="text2" w:themeFillTint="33"/>
          </w:tcPr>
          <w:p w:rsidR="00684E2B" w:rsidRPr="00BC09D1" w:rsidRDefault="00684E2B" w:rsidP="00AF0EA8">
            <w:pPr>
              <w:pStyle w:val="ListParagraph"/>
              <w:spacing w:after="0" w:line="240" w:lineRule="auto"/>
              <w:ind w:left="0"/>
              <w:jc w:val="center"/>
              <w:rPr>
                <w:rFonts w:cs="Times New Roman"/>
                <w:b/>
                <w:sz w:val="20"/>
                <w:szCs w:val="20"/>
              </w:rPr>
            </w:pPr>
            <w:r w:rsidRPr="00BC09D1">
              <w:rPr>
                <w:rFonts w:cs="Times New Roman"/>
                <w:b/>
                <w:sz w:val="20"/>
                <w:szCs w:val="20"/>
              </w:rPr>
              <w:t>VA (</w:t>
            </w:r>
            <w:r w:rsidR="00AF0EA8">
              <w:rPr>
                <w:rFonts w:cs="Times New Roman"/>
                <w:b/>
                <w:sz w:val="20"/>
                <w:szCs w:val="20"/>
              </w:rPr>
              <w:t>4</w:t>
            </w:r>
            <w:r w:rsidRPr="00BC09D1">
              <w:rPr>
                <w:rFonts w:cs="Times New Roman"/>
                <w:b/>
                <w:sz w:val="20"/>
                <w:szCs w:val="20"/>
              </w:rPr>
              <w:t xml:space="preserve"> Mo. after Separation)</w:t>
            </w:r>
            <w:r w:rsidR="000C3C13">
              <w:rPr>
                <w:rFonts w:cs="Times New Roman"/>
                <w:b/>
                <w:sz w:val="20"/>
                <w:szCs w:val="20"/>
              </w:rPr>
              <w:t xml:space="preserve"> – All Effective </w:t>
            </w:r>
            <w:r w:rsidR="00AF0EA8">
              <w:rPr>
                <w:rFonts w:cs="Times New Roman"/>
                <w:b/>
                <w:sz w:val="20"/>
                <w:szCs w:val="20"/>
              </w:rPr>
              <w:t>20030612</w:t>
            </w:r>
          </w:p>
        </w:tc>
      </w:tr>
      <w:tr w:rsidR="000C3C13" w:rsidTr="00774016">
        <w:trPr>
          <w:trHeight w:val="233"/>
        </w:trPr>
        <w:tc>
          <w:tcPr>
            <w:tcW w:w="1804"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336" w:type="dxa"/>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E57EDF" w:rsidTr="00774016">
        <w:trPr>
          <w:trHeight w:val="255"/>
        </w:trPr>
        <w:tc>
          <w:tcPr>
            <w:tcW w:w="1804" w:type="dxa"/>
            <w:vMerge w:val="restart"/>
            <w:shd w:val="clear" w:color="auto" w:fill="FFFFFF" w:themeFill="background1"/>
          </w:tcPr>
          <w:p w:rsidR="00E57EDF" w:rsidRPr="00BC09D1" w:rsidRDefault="00E57EDF" w:rsidP="00F37554">
            <w:pPr>
              <w:pStyle w:val="ListParagraph"/>
              <w:spacing w:after="0" w:line="240" w:lineRule="auto"/>
              <w:ind w:left="0"/>
              <w:rPr>
                <w:rFonts w:cs="Times New Roman"/>
                <w:sz w:val="18"/>
                <w:szCs w:val="18"/>
              </w:rPr>
            </w:pPr>
            <w:r>
              <w:rPr>
                <w:rFonts w:cs="Times New Roman"/>
                <w:sz w:val="18"/>
                <w:szCs w:val="18"/>
              </w:rPr>
              <w:t>Low Back Pain with Degenerative Disc Disease…</w:t>
            </w:r>
          </w:p>
        </w:tc>
        <w:tc>
          <w:tcPr>
            <w:tcW w:w="720" w:type="dxa"/>
            <w:vMerge w:val="restart"/>
            <w:shd w:val="clear" w:color="auto" w:fill="FFFFFF" w:themeFill="background1"/>
          </w:tcPr>
          <w:p w:rsidR="00E57EDF" w:rsidRPr="00BC09D1" w:rsidRDefault="00E57EDF" w:rsidP="00F37554">
            <w:pPr>
              <w:pStyle w:val="ListParagraph"/>
              <w:spacing w:after="0" w:line="240" w:lineRule="auto"/>
              <w:ind w:left="0"/>
              <w:jc w:val="center"/>
              <w:rPr>
                <w:rFonts w:cs="Times New Roman"/>
                <w:sz w:val="18"/>
                <w:szCs w:val="18"/>
              </w:rPr>
            </w:pPr>
            <w:r>
              <w:rPr>
                <w:rFonts w:cs="Times New Roman"/>
                <w:sz w:val="18"/>
                <w:szCs w:val="18"/>
              </w:rPr>
              <w:t>5299-5293 5295</w:t>
            </w:r>
          </w:p>
        </w:tc>
        <w:tc>
          <w:tcPr>
            <w:tcW w:w="810" w:type="dxa"/>
            <w:vMerge w:val="restart"/>
            <w:shd w:val="clear" w:color="auto" w:fill="FFFFFF" w:themeFill="background1"/>
          </w:tcPr>
          <w:p w:rsidR="00E57EDF" w:rsidRPr="00BC09D1" w:rsidRDefault="00E57EDF" w:rsidP="00F37554">
            <w:pPr>
              <w:pStyle w:val="ListParagraph"/>
              <w:spacing w:after="0" w:line="240" w:lineRule="auto"/>
              <w:ind w:left="0"/>
              <w:jc w:val="center"/>
              <w:rPr>
                <w:rFonts w:cs="Times New Roman"/>
                <w:sz w:val="18"/>
                <w:szCs w:val="18"/>
              </w:rPr>
            </w:pPr>
            <w:r>
              <w:rPr>
                <w:rFonts w:cs="Times New Roman"/>
                <w:sz w:val="18"/>
                <w:szCs w:val="18"/>
              </w:rPr>
              <w:t>10%</w:t>
            </w:r>
          </w:p>
        </w:tc>
        <w:tc>
          <w:tcPr>
            <w:tcW w:w="990" w:type="dxa"/>
            <w:vMerge w:val="restart"/>
            <w:tcBorders>
              <w:right w:val="thinThickThinSmallGap" w:sz="24" w:space="0" w:color="auto"/>
            </w:tcBorders>
            <w:shd w:val="clear" w:color="auto" w:fill="FFFFFF" w:themeFill="background1"/>
          </w:tcPr>
          <w:p w:rsidR="00E57EDF" w:rsidRPr="002E333A" w:rsidRDefault="00E57EDF" w:rsidP="00F37554">
            <w:pPr>
              <w:pStyle w:val="ListParagraph"/>
              <w:spacing w:after="0" w:line="240" w:lineRule="auto"/>
              <w:ind w:left="0"/>
              <w:jc w:val="center"/>
              <w:rPr>
                <w:rFonts w:cs="Times New Roman"/>
                <w:sz w:val="18"/>
                <w:szCs w:val="18"/>
              </w:rPr>
            </w:pPr>
            <w:r>
              <w:rPr>
                <w:rFonts w:cs="Times New Roman"/>
                <w:sz w:val="18"/>
                <w:szCs w:val="18"/>
              </w:rPr>
              <w:t>20030210</w:t>
            </w:r>
          </w:p>
        </w:tc>
        <w:tc>
          <w:tcPr>
            <w:tcW w:w="2336" w:type="dxa"/>
            <w:tcBorders>
              <w:left w:val="thinThickThinSmallGap" w:sz="24" w:space="0" w:color="auto"/>
              <w:bottom w:val="single" w:sz="4" w:space="0" w:color="auto"/>
            </w:tcBorders>
            <w:shd w:val="clear" w:color="auto" w:fill="FFFFFF" w:themeFill="background1"/>
          </w:tcPr>
          <w:p w:rsidR="00E57EDF" w:rsidRPr="00BC09D1" w:rsidRDefault="00B64642" w:rsidP="00F37554">
            <w:pPr>
              <w:pStyle w:val="ListParagraph"/>
              <w:ind w:left="0"/>
              <w:rPr>
                <w:rFonts w:cs="Times New Roman"/>
                <w:sz w:val="18"/>
                <w:szCs w:val="18"/>
              </w:rPr>
            </w:pPr>
            <w:proofErr w:type="spellStart"/>
            <w:r>
              <w:rPr>
                <w:rFonts w:cs="Times New Roman"/>
                <w:sz w:val="18"/>
                <w:szCs w:val="18"/>
              </w:rPr>
              <w:t>Spondylolisthesis</w:t>
            </w:r>
            <w:proofErr w:type="spellEnd"/>
            <w:r>
              <w:rPr>
                <w:rFonts w:cs="Times New Roman"/>
                <w:sz w:val="18"/>
                <w:szCs w:val="18"/>
              </w:rPr>
              <w:t>, S1-S2</w:t>
            </w:r>
          </w:p>
        </w:tc>
        <w:tc>
          <w:tcPr>
            <w:tcW w:w="1080" w:type="dxa"/>
            <w:tcBorders>
              <w:bottom w:val="single" w:sz="4" w:space="0" w:color="auto"/>
            </w:tcBorders>
            <w:shd w:val="clear" w:color="auto" w:fill="FFFFFF" w:themeFill="background1"/>
          </w:tcPr>
          <w:p w:rsidR="00E57EDF" w:rsidRPr="00BC09D1" w:rsidRDefault="00E57EDF" w:rsidP="00F37554">
            <w:pPr>
              <w:pStyle w:val="ListParagraph"/>
              <w:spacing w:after="0" w:line="240" w:lineRule="auto"/>
              <w:ind w:left="0"/>
              <w:jc w:val="center"/>
              <w:rPr>
                <w:rFonts w:cs="Times New Roman"/>
                <w:sz w:val="18"/>
                <w:szCs w:val="18"/>
              </w:rPr>
            </w:pPr>
            <w:r>
              <w:rPr>
                <w:rFonts w:cs="Times New Roman"/>
                <w:sz w:val="18"/>
                <w:szCs w:val="18"/>
              </w:rPr>
              <w:t xml:space="preserve">? </w:t>
            </w:r>
            <w:r w:rsidR="00165973">
              <w:rPr>
                <w:rFonts w:cs="Times New Roman"/>
                <w:sz w:val="18"/>
                <w:szCs w:val="18"/>
              </w:rPr>
              <w:t>5295</w:t>
            </w:r>
            <w:r>
              <w:rPr>
                <w:rFonts w:cs="Times New Roman"/>
                <w:sz w:val="18"/>
                <w:szCs w:val="18"/>
              </w:rPr>
              <w:t>*</w:t>
            </w:r>
          </w:p>
        </w:tc>
        <w:tc>
          <w:tcPr>
            <w:tcW w:w="810" w:type="dxa"/>
            <w:tcBorders>
              <w:bottom w:val="single" w:sz="4" w:space="0" w:color="auto"/>
            </w:tcBorders>
            <w:shd w:val="clear" w:color="auto" w:fill="FFFFFF" w:themeFill="background1"/>
          </w:tcPr>
          <w:p w:rsidR="00E57EDF" w:rsidRPr="00BC09D1" w:rsidRDefault="00E57EDF" w:rsidP="00F37554">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bottom w:val="single" w:sz="4" w:space="0" w:color="auto"/>
            </w:tcBorders>
            <w:shd w:val="clear" w:color="auto" w:fill="FFFFFF" w:themeFill="background1"/>
          </w:tcPr>
          <w:p w:rsidR="00E57EDF" w:rsidRPr="00BC09D1" w:rsidRDefault="00E57EDF" w:rsidP="00F37554">
            <w:pPr>
              <w:pStyle w:val="ListParagraph"/>
              <w:spacing w:after="0" w:line="240" w:lineRule="auto"/>
              <w:ind w:left="0"/>
              <w:jc w:val="center"/>
              <w:rPr>
                <w:rFonts w:cs="Times New Roman"/>
                <w:sz w:val="18"/>
                <w:szCs w:val="18"/>
              </w:rPr>
            </w:pPr>
            <w:r>
              <w:rPr>
                <w:rFonts w:cs="Times New Roman"/>
                <w:sz w:val="18"/>
                <w:szCs w:val="18"/>
              </w:rPr>
              <w:t>20031023</w:t>
            </w:r>
          </w:p>
        </w:tc>
      </w:tr>
      <w:tr w:rsidR="00E57EDF" w:rsidTr="00774016">
        <w:trPr>
          <w:trHeight w:val="225"/>
        </w:trPr>
        <w:tc>
          <w:tcPr>
            <w:tcW w:w="1804" w:type="dxa"/>
            <w:vMerge/>
            <w:shd w:val="clear" w:color="auto" w:fill="FFFFFF" w:themeFill="background1"/>
          </w:tcPr>
          <w:p w:rsidR="00E57EDF" w:rsidRDefault="00E57EDF" w:rsidP="00F37554">
            <w:pPr>
              <w:pStyle w:val="ListParagraph"/>
              <w:spacing w:after="0" w:line="240" w:lineRule="auto"/>
              <w:ind w:left="0"/>
              <w:rPr>
                <w:rFonts w:cs="Times New Roman"/>
                <w:sz w:val="18"/>
                <w:szCs w:val="18"/>
              </w:rPr>
            </w:pPr>
          </w:p>
        </w:tc>
        <w:tc>
          <w:tcPr>
            <w:tcW w:w="720" w:type="dxa"/>
            <w:vMerge/>
            <w:shd w:val="clear" w:color="auto" w:fill="FFFFFF" w:themeFill="background1"/>
          </w:tcPr>
          <w:p w:rsidR="00E57EDF" w:rsidRDefault="00E57EDF" w:rsidP="00F37554">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E57EDF" w:rsidRDefault="00E57EDF" w:rsidP="00F37554">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E57EDF" w:rsidRDefault="00E57EDF" w:rsidP="00F37554">
            <w:pPr>
              <w:pStyle w:val="ListParagraph"/>
              <w:spacing w:after="0" w:line="240" w:lineRule="auto"/>
              <w:ind w:left="0"/>
              <w:jc w:val="center"/>
              <w:rPr>
                <w:rFonts w:cs="Times New Roman"/>
                <w:sz w:val="18"/>
                <w:szCs w:val="18"/>
              </w:rPr>
            </w:pPr>
          </w:p>
        </w:tc>
        <w:tc>
          <w:tcPr>
            <w:tcW w:w="2336" w:type="dxa"/>
            <w:tcBorders>
              <w:top w:val="single" w:sz="4" w:space="0" w:color="auto"/>
              <w:left w:val="thinThickThinSmallGap" w:sz="24" w:space="0" w:color="auto"/>
              <w:bottom w:val="single" w:sz="4" w:space="0" w:color="auto"/>
            </w:tcBorders>
            <w:shd w:val="clear" w:color="auto" w:fill="FFFFFF" w:themeFill="background1"/>
          </w:tcPr>
          <w:p w:rsidR="00E57EDF" w:rsidRDefault="00E57EDF" w:rsidP="00E57EDF">
            <w:pPr>
              <w:pStyle w:val="ListParagraph"/>
              <w:spacing w:after="0" w:line="240" w:lineRule="exact"/>
              <w:ind w:left="0"/>
              <w:rPr>
                <w:rFonts w:cs="Times New Roman"/>
                <w:sz w:val="18"/>
                <w:szCs w:val="18"/>
              </w:rPr>
            </w:pPr>
            <w:r>
              <w:rPr>
                <w:rFonts w:cs="Times New Roman"/>
                <w:sz w:val="18"/>
                <w:szCs w:val="18"/>
              </w:rPr>
              <w:t>Degenerative Joint Disease…</w:t>
            </w:r>
          </w:p>
        </w:tc>
        <w:tc>
          <w:tcPr>
            <w:tcW w:w="1080" w:type="dxa"/>
            <w:tcBorders>
              <w:top w:val="single" w:sz="4" w:space="0" w:color="auto"/>
              <w:bottom w:val="single" w:sz="4" w:space="0" w:color="auto"/>
            </w:tcBorders>
            <w:shd w:val="clear" w:color="auto" w:fill="FFFFFF" w:themeFill="background1"/>
          </w:tcPr>
          <w:p w:rsidR="00E57EDF" w:rsidRDefault="00E57EDF" w:rsidP="00E57EDF">
            <w:pPr>
              <w:pStyle w:val="ListParagraph"/>
              <w:spacing w:after="0" w:line="240" w:lineRule="exact"/>
              <w:ind w:left="0"/>
              <w:jc w:val="center"/>
              <w:rPr>
                <w:rFonts w:cs="Times New Roman"/>
                <w:sz w:val="18"/>
                <w:szCs w:val="18"/>
              </w:rPr>
            </w:pPr>
            <w:r>
              <w:rPr>
                <w:rFonts w:cs="Times New Roman"/>
                <w:sz w:val="18"/>
                <w:szCs w:val="18"/>
              </w:rPr>
              <w:t>? 5003*</w:t>
            </w:r>
          </w:p>
        </w:tc>
        <w:tc>
          <w:tcPr>
            <w:tcW w:w="810" w:type="dxa"/>
            <w:tcBorders>
              <w:top w:val="single" w:sz="4" w:space="0" w:color="auto"/>
              <w:bottom w:val="single" w:sz="4" w:space="0" w:color="auto"/>
            </w:tcBorders>
            <w:shd w:val="clear" w:color="auto" w:fill="FFFFFF" w:themeFill="background1"/>
          </w:tcPr>
          <w:p w:rsidR="00E57EDF" w:rsidRDefault="00E57EDF" w:rsidP="00E57EDF">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auto"/>
              <w:bottom w:val="single" w:sz="4" w:space="0" w:color="auto"/>
            </w:tcBorders>
            <w:shd w:val="clear" w:color="auto" w:fill="FFFFFF" w:themeFill="background1"/>
          </w:tcPr>
          <w:p w:rsidR="00E57EDF" w:rsidRPr="00E57EDF" w:rsidRDefault="00E57EDF" w:rsidP="00E57EDF">
            <w:pPr>
              <w:jc w:val="center"/>
              <w:rPr>
                <w:color w:val="auto"/>
              </w:rPr>
            </w:pPr>
            <w:r w:rsidRPr="00E57EDF">
              <w:rPr>
                <w:rFonts w:cs="Times New Roman"/>
                <w:color w:val="auto"/>
                <w:sz w:val="18"/>
                <w:szCs w:val="18"/>
              </w:rPr>
              <w:t>20031023</w:t>
            </w:r>
          </w:p>
        </w:tc>
      </w:tr>
      <w:tr w:rsidR="00E57EDF" w:rsidTr="00774016">
        <w:trPr>
          <w:trHeight w:val="232"/>
        </w:trPr>
        <w:tc>
          <w:tcPr>
            <w:tcW w:w="1804" w:type="dxa"/>
            <w:vMerge/>
            <w:shd w:val="clear" w:color="auto" w:fill="FFFFFF" w:themeFill="background1"/>
          </w:tcPr>
          <w:p w:rsidR="00E57EDF" w:rsidRDefault="00E57EDF" w:rsidP="00F37554">
            <w:pPr>
              <w:pStyle w:val="ListParagraph"/>
              <w:spacing w:after="0" w:line="240" w:lineRule="auto"/>
              <w:ind w:left="0"/>
              <w:rPr>
                <w:rFonts w:cs="Times New Roman"/>
                <w:sz w:val="18"/>
                <w:szCs w:val="18"/>
              </w:rPr>
            </w:pPr>
          </w:p>
        </w:tc>
        <w:tc>
          <w:tcPr>
            <w:tcW w:w="720" w:type="dxa"/>
            <w:vMerge/>
            <w:shd w:val="clear" w:color="auto" w:fill="FFFFFF" w:themeFill="background1"/>
          </w:tcPr>
          <w:p w:rsidR="00E57EDF" w:rsidRDefault="00E57EDF" w:rsidP="00F37554">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E57EDF" w:rsidRDefault="00E57EDF" w:rsidP="00F37554">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E57EDF" w:rsidRDefault="00E57EDF" w:rsidP="00F37554">
            <w:pPr>
              <w:pStyle w:val="ListParagraph"/>
              <w:spacing w:after="0" w:line="240" w:lineRule="auto"/>
              <w:ind w:left="0"/>
              <w:jc w:val="center"/>
              <w:rPr>
                <w:rFonts w:cs="Times New Roman"/>
                <w:sz w:val="18"/>
                <w:szCs w:val="18"/>
              </w:rPr>
            </w:pPr>
          </w:p>
        </w:tc>
        <w:tc>
          <w:tcPr>
            <w:tcW w:w="2336" w:type="dxa"/>
            <w:tcBorders>
              <w:top w:val="single" w:sz="4" w:space="0" w:color="auto"/>
              <w:left w:val="thinThickThinSmallGap" w:sz="24" w:space="0" w:color="auto"/>
            </w:tcBorders>
            <w:shd w:val="clear" w:color="auto" w:fill="FFFFFF" w:themeFill="background1"/>
          </w:tcPr>
          <w:p w:rsidR="00E57EDF" w:rsidRDefault="00E57EDF" w:rsidP="00E57EDF">
            <w:pPr>
              <w:pStyle w:val="ListParagraph"/>
              <w:spacing w:after="0" w:line="240" w:lineRule="exact"/>
              <w:ind w:left="0"/>
              <w:rPr>
                <w:rFonts w:cs="Times New Roman"/>
                <w:sz w:val="18"/>
                <w:szCs w:val="18"/>
              </w:rPr>
            </w:pPr>
            <w:r>
              <w:rPr>
                <w:rFonts w:cs="Times New Roman"/>
                <w:sz w:val="18"/>
                <w:szCs w:val="18"/>
              </w:rPr>
              <w:t>Peripheral Neuropathy…</w:t>
            </w:r>
          </w:p>
        </w:tc>
        <w:tc>
          <w:tcPr>
            <w:tcW w:w="1080" w:type="dxa"/>
            <w:tcBorders>
              <w:top w:val="single" w:sz="4" w:space="0" w:color="auto"/>
            </w:tcBorders>
            <w:shd w:val="clear" w:color="auto" w:fill="FFFFFF" w:themeFill="background1"/>
          </w:tcPr>
          <w:p w:rsidR="00E57EDF" w:rsidRDefault="00AF0EA8" w:rsidP="00E57EDF">
            <w:pPr>
              <w:pStyle w:val="ListParagraph"/>
              <w:spacing w:after="0" w:line="240" w:lineRule="exact"/>
              <w:ind w:left="0"/>
              <w:jc w:val="center"/>
              <w:rPr>
                <w:rFonts w:cs="Times New Roman"/>
                <w:sz w:val="18"/>
                <w:szCs w:val="18"/>
              </w:rPr>
            </w:pPr>
            <w:r>
              <w:rPr>
                <w:rFonts w:cs="Times New Roman"/>
                <w:sz w:val="18"/>
                <w:szCs w:val="18"/>
              </w:rPr>
              <w:t>8599-8520</w:t>
            </w:r>
          </w:p>
        </w:tc>
        <w:tc>
          <w:tcPr>
            <w:tcW w:w="810" w:type="dxa"/>
            <w:tcBorders>
              <w:top w:val="single" w:sz="4" w:space="0" w:color="auto"/>
            </w:tcBorders>
            <w:shd w:val="clear" w:color="auto" w:fill="FFFFFF" w:themeFill="background1"/>
          </w:tcPr>
          <w:p w:rsidR="00E57EDF" w:rsidRDefault="00AF0EA8" w:rsidP="00E57EDF">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auto"/>
            </w:tcBorders>
            <w:shd w:val="clear" w:color="auto" w:fill="FFFFFF" w:themeFill="background1"/>
          </w:tcPr>
          <w:p w:rsidR="00E57EDF" w:rsidRPr="00E57EDF" w:rsidRDefault="00E57EDF" w:rsidP="00E57EDF">
            <w:pPr>
              <w:jc w:val="center"/>
              <w:rPr>
                <w:color w:val="auto"/>
              </w:rPr>
            </w:pPr>
            <w:r w:rsidRPr="00E57EDF">
              <w:rPr>
                <w:rFonts w:cs="Times New Roman"/>
                <w:color w:val="auto"/>
                <w:sz w:val="18"/>
                <w:szCs w:val="18"/>
              </w:rPr>
              <w:t>20031023</w:t>
            </w:r>
          </w:p>
        </w:tc>
      </w:tr>
      <w:tr w:rsidR="000C3C13" w:rsidTr="00774016">
        <w:trPr>
          <w:trHeight w:val="197"/>
        </w:trPr>
        <w:tc>
          <w:tcPr>
            <w:tcW w:w="4324" w:type="dxa"/>
            <w:gridSpan w:val="4"/>
            <w:tcBorders>
              <w:right w:val="thinThickThinSmallGap" w:sz="24" w:space="0" w:color="auto"/>
            </w:tcBorders>
            <w:shd w:val="clear" w:color="auto" w:fill="FFFFFF" w:themeFill="background1"/>
          </w:tcPr>
          <w:p w:rsidR="000C3C13" w:rsidRPr="00BC09D1" w:rsidRDefault="000C3C13"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4226" w:type="dxa"/>
            <w:gridSpan w:val="3"/>
            <w:tcBorders>
              <w:left w:val="thinThickThinSmallGap" w:sz="24" w:space="0" w:color="auto"/>
            </w:tcBorders>
            <w:shd w:val="clear" w:color="auto" w:fill="FFFFFF" w:themeFill="background1"/>
          </w:tcPr>
          <w:p w:rsidR="000C3C13" w:rsidRPr="00BC09D1" w:rsidRDefault="000C3C13" w:rsidP="00690FDA">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sidR="00AF0EA8">
              <w:rPr>
                <w:rFonts w:cs="Times New Roman"/>
                <w:sz w:val="18"/>
                <w:szCs w:val="18"/>
              </w:rPr>
              <w:t>3</w:t>
            </w:r>
            <w:r w:rsidRPr="00BC09D1">
              <w:rPr>
                <w:rFonts w:cs="Times New Roman"/>
                <w:sz w:val="18"/>
                <w:szCs w:val="18"/>
              </w:rPr>
              <w:t xml:space="preserve"> / NSC X </w:t>
            </w:r>
            <w:r w:rsidR="00AF0EA8">
              <w:rPr>
                <w:rFonts w:cs="Times New Roman"/>
                <w:sz w:val="18"/>
                <w:szCs w:val="18"/>
              </w:rPr>
              <w:t>0</w:t>
            </w:r>
          </w:p>
        </w:tc>
        <w:tc>
          <w:tcPr>
            <w:tcW w:w="990" w:type="dxa"/>
            <w:shd w:val="clear" w:color="auto" w:fill="FFFFFF" w:themeFill="background1"/>
          </w:tcPr>
          <w:p w:rsidR="000C3C13" w:rsidRPr="00BC09D1" w:rsidRDefault="00AF0EA8" w:rsidP="00F37554">
            <w:pPr>
              <w:pStyle w:val="ListParagraph"/>
              <w:spacing w:after="0" w:line="240" w:lineRule="auto"/>
              <w:ind w:left="0"/>
              <w:jc w:val="center"/>
              <w:rPr>
                <w:rFonts w:cs="Times New Roman"/>
                <w:sz w:val="18"/>
                <w:szCs w:val="18"/>
              </w:rPr>
            </w:pPr>
            <w:r w:rsidRPr="00E57EDF">
              <w:rPr>
                <w:rFonts w:cs="Times New Roman"/>
                <w:sz w:val="18"/>
                <w:szCs w:val="18"/>
              </w:rPr>
              <w:t>20031023</w:t>
            </w:r>
          </w:p>
        </w:tc>
      </w:tr>
      <w:tr w:rsidR="00684E2B" w:rsidTr="00774016">
        <w:trPr>
          <w:trHeight w:val="242"/>
        </w:trPr>
        <w:tc>
          <w:tcPr>
            <w:tcW w:w="4324"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 xml:space="preserve">TOTAL Combined:  </w:t>
            </w:r>
            <w:r w:rsidR="00AF0EA8">
              <w:rPr>
                <w:rFonts w:cs="Times New Roman"/>
                <w:b/>
                <w:sz w:val="20"/>
                <w:szCs w:val="20"/>
              </w:rPr>
              <w:t>1</w:t>
            </w:r>
            <w:r w:rsidRPr="00BC09D1">
              <w:rPr>
                <w:rFonts w:cs="Times New Roman"/>
                <w:b/>
                <w:sz w:val="20"/>
                <w:szCs w:val="20"/>
              </w:rPr>
              <w:t>0%</w:t>
            </w:r>
          </w:p>
        </w:tc>
        <w:tc>
          <w:tcPr>
            <w:tcW w:w="5216" w:type="dxa"/>
            <w:gridSpan w:val="4"/>
            <w:tcBorders>
              <w:lef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sidR="00AF0EA8">
              <w:rPr>
                <w:rFonts w:cs="Times New Roman"/>
                <w:b/>
                <w:sz w:val="20"/>
                <w:szCs w:val="20"/>
              </w:rPr>
              <w:t>3</w:t>
            </w:r>
            <w:r w:rsidRPr="00BC09D1">
              <w:rPr>
                <w:rFonts w:cs="Times New Roman"/>
                <w:b/>
                <w:sz w:val="20"/>
                <w:szCs w:val="20"/>
              </w:rPr>
              <w:t xml:space="preserve">0%                                                                         </w:t>
            </w:r>
            <w:r w:rsidRPr="00BC09D1">
              <w:rPr>
                <w:rFonts w:cs="Times New Roman"/>
                <w:color w:val="000000"/>
                <w:sz w:val="20"/>
                <w:szCs w:val="20"/>
              </w:rPr>
              <w:t xml:space="preserve"> </w:t>
            </w:r>
          </w:p>
        </w:tc>
      </w:tr>
    </w:tbl>
    <w:p w:rsidR="00AF0EA8" w:rsidRDefault="00AF0EA8" w:rsidP="00AF0EA8">
      <w:pPr>
        <w:tabs>
          <w:tab w:val="left" w:pos="288"/>
          <w:tab w:val="left" w:pos="4752"/>
        </w:tabs>
        <w:spacing w:line="240" w:lineRule="exact"/>
        <w:rPr>
          <w:color w:val="000080"/>
          <w:sz w:val="20"/>
        </w:rPr>
      </w:pPr>
      <w:r w:rsidRPr="00AF0EA8">
        <w:rPr>
          <w:color w:val="000080"/>
          <w:sz w:val="20"/>
        </w:rPr>
        <w:t xml:space="preserve">* Original coding not specified on VARD in evidence.  Rating was </w:t>
      </w:r>
      <w:r>
        <w:rPr>
          <w:color w:val="000080"/>
          <w:sz w:val="20"/>
        </w:rPr>
        <w:t xml:space="preserve">according to </w:t>
      </w:r>
    </w:p>
    <w:p w:rsidR="00EB76E4" w:rsidRPr="00AF0EA8" w:rsidRDefault="00AF0EA8" w:rsidP="00AF0EA8">
      <w:pPr>
        <w:tabs>
          <w:tab w:val="left" w:pos="288"/>
          <w:tab w:val="left" w:pos="4752"/>
        </w:tabs>
        <w:spacing w:line="240" w:lineRule="exact"/>
        <w:rPr>
          <w:color w:val="000080"/>
          <w:sz w:val="20"/>
        </w:rPr>
      </w:pPr>
      <w:r>
        <w:rPr>
          <w:color w:val="000080"/>
          <w:sz w:val="20"/>
        </w:rPr>
        <w:t xml:space="preserve"> </w:t>
      </w:r>
      <w:r w:rsidRPr="00AF0EA8">
        <w:rPr>
          <w:color w:val="000080"/>
          <w:sz w:val="20"/>
        </w:rPr>
        <w:t xml:space="preserve"> </w:t>
      </w:r>
      <w:proofErr w:type="gramStart"/>
      <w:r w:rsidRPr="00AF0EA8">
        <w:rPr>
          <w:color w:val="000080"/>
          <w:sz w:val="20"/>
        </w:rPr>
        <w:t>extrapolated</w:t>
      </w:r>
      <w:proofErr w:type="gramEnd"/>
      <w:r w:rsidRPr="00AF0EA8">
        <w:rPr>
          <w:color w:val="000080"/>
          <w:sz w:val="20"/>
        </w:rPr>
        <w:t xml:space="preserve"> codes entered above.</w:t>
      </w:r>
      <w:r>
        <w:rPr>
          <w:color w:val="000080"/>
          <w:sz w:val="20"/>
        </w:rPr>
        <w:t xml:space="preserve">  </w:t>
      </w:r>
      <w:proofErr w:type="gramStart"/>
      <w:r>
        <w:rPr>
          <w:color w:val="000080"/>
          <w:sz w:val="20"/>
        </w:rPr>
        <w:t>Does not affect Board recommendations.</w:t>
      </w:r>
      <w:proofErr w:type="gramEnd"/>
    </w:p>
    <w:p w:rsidR="002C6E5B" w:rsidRPr="00E86F73" w:rsidRDefault="002C6E5B" w:rsidP="002C6E5B">
      <w:pPr>
        <w:tabs>
          <w:tab w:val="left" w:pos="288"/>
          <w:tab w:val="left" w:pos="4752"/>
        </w:tabs>
        <w:spacing w:line="240" w:lineRule="exact"/>
        <w:jc w:val="both"/>
        <w:rPr>
          <w:color w:val="000080"/>
        </w:rPr>
      </w:pPr>
      <w:r w:rsidRPr="00E86F73">
        <w:rPr>
          <w:color w:val="000080"/>
          <w:u w:val="single"/>
        </w:rPr>
        <w:t>ANALYSIS SUMMARY</w:t>
      </w:r>
      <w:r w:rsidRPr="00E86F73">
        <w:rPr>
          <w:color w:val="000080"/>
        </w:rPr>
        <w:t>:</w:t>
      </w:r>
    </w:p>
    <w:p w:rsidR="002C6E5B" w:rsidRPr="00E86F73" w:rsidRDefault="002C6E5B" w:rsidP="002C6E5B">
      <w:pPr>
        <w:tabs>
          <w:tab w:val="left" w:pos="288"/>
          <w:tab w:val="left" w:pos="4752"/>
        </w:tabs>
        <w:spacing w:line="240" w:lineRule="exact"/>
        <w:jc w:val="both"/>
        <w:rPr>
          <w:color w:val="000080"/>
        </w:rPr>
      </w:pPr>
    </w:p>
    <w:p w:rsidR="003D7089" w:rsidRPr="00E86F73" w:rsidRDefault="00E15B0A" w:rsidP="00E86F73">
      <w:pPr>
        <w:tabs>
          <w:tab w:val="left" w:pos="288"/>
          <w:tab w:val="left" w:pos="4752"/>
        </w:tabs>
        <w:spacing w:line="240" w:lineRule="exact"/>
        <w:jc w:val="both"/>
        <w:rPr>
          <w:color w:val="000080"/>
        </w:rPr>
      </w:pPr>
      <w:r w:rsidRPr="00E86F73">
        <w:rPr>
          <w:color w:val="000080"/>
          <w:u w:val="single"/>
        </w:rPr>
        <w:t>Back</w:t>
      </w:r>
      <w:r w:rsidR="002C6E5B" w:rsidRPr="00E86F73">
        <w:rPr>
          <w:color w:val="000080"/>
          <w:u w:val="single"/>
        </w:rPr>
        <w:t xml:space="preserve"> Condition</w:t>
      </w:r>
      <w:r w:rsidR="002C6E5B" w:rsidRPr="00E86F73">
        <w:rPr>
          <w:color w:val="000080"/>
        </w:rPr>
        <w:t>.  The</w:t>
      </w:r>
      <w:r w:rsidR="003D7089" w:rsidRPr="00E86F73">
        <w:rPr>
          <w:color w:val="000080"/>
        </w:rPr>
        <w:t xml:space="preserve"> </w:t>
      </w:r>
      <w:r w:rsidR="006A4AE3" w:rsidRPr="00E86F73">
        <w:rPr>
          <w:color w:val="000080"/>
        </w:rPr>
        <w:t>back condition</w:t>
      </w:r>
      <w:r w:rsidRPr="00E86F73">
        <w:rPr>
          <w:color w:val="000080"/>
        </w:rPr>
        <w:t xml:space="preserve"> was rated </w:t>
      </w:r>
      <w:r w:rsidR="006A4AE3" w:rsidRPr="00E86F73">
        <w:rPr>
          <w:color w:val="000080"/>
        </w:rPr>
        <w:t xml:space="preserve">under </w:t>
      </w:r>
      <w:r w:rsidR="009264CE">
        <w:rPr>
          <w:color w:val="000080"/>
        </w:rPr>
        <w:t>the Veterans Administration Schedule for Rating Disabilities (</w:t>
      </w:r>
      <w:r w:rsidR="006A4AE3" w:rsidRPr="00E86F73">
        <w:rPr>
          <w:color w:val="000080"/>
        </w:rPr>
        <w:t>VASRD</w:t>
      </w:r>
      <w:r w:rsidR="009264CE">
        <w:rPr>
          <w:color w:val="000080"/>
        </w:rPr>
        <w:t>)</w:t>
      </w:r>
      <w:r w:rsidR="006A4AE3" w:rsidRPr="00E86F73">
        <w:rPr>
          <w:color w:val="000080"/>
        </w:rPr>
        <w:t xml:space="preserve"> spine rating rules no longer in use.  The MEB did not perform a formal goniometric range-of-motion (ROM) exam </w:t>
      </w:r>
      <w:r w:rsidR="00772545">
        <w:rPr>
          <w:color w:val="000080"/>
        </w:rPr>
        <w:t>which</w:t>
      </w:r>
      <w:r w:rsidR="006A4AE3" w:rsidRPr="00E86F73">
        <w:rPr>
          <w:color w:val="000080"/>
        </w:rPr>
        <w:t xml:space="preserve"> was not a </w:t>
      </w:r>
      <w:r w:rsidR="00772545">
        <w:rPr>
          <w:color w:val="000080"/>
        </w:rPr>
        <w:t>specific</w:t>
      </w:r>
      <w:r w:rsidR="006A4AE3" w:rsidRPr="00E86F73">
        <w:rPr>
          <w:color w:val="000080"/>
        </w:rPr>
        <w:t xml:space="preserve"> requirement for rating under the existing VASRD.  The </w:t>
      </w:r>
      <w:r w:rsidR="009264CE">
        <w:rPr>
          <w:color w:val="000080"/>
        </w:rPr>
        <w:t>narrative summary (</w:t>
      </w:r>
      <w:r w:rsidR="006A4AE3" w:rsidRPr="00E86F73">
        <w:rPr>
          <w:color w:val="000080"/>
        </w:rPr>
        <w:t>NARSUM</w:t>
      </w:r>
      <w:r w:rsidR="009264CE">
        <w:rPr>
          <w:color w:val="000080"/>
        </w:rPr>
        <w:t>)</w:t>
      </w:r>
      <w:r w:rsidR="006A4AE3" w:rsidRPr="00E86F73">
        <w:rPr>
          <w:color w:val="000080"/>
        </w:rPr>
        <w:t xml:space="preserve"> document</w:t>
      </w:r>
      <w:r w:rsidR="00D51902" w:rsidRPr="00E86F73">
        <w:rPr>
          <w:color w:val="000080"/>
        </w:rPr>
        <w:t>ed</w:t>
      </w:r>
      <w:r w:rsidR="006A4AE3" w:rsidRPr="00E86F73">
        <w:rPr>
          <w:color w:val="000080"/>
        </w:rPr>
        <w:t xml:space="preserve"> ‘Full active range of motion of the spine, forward flexion and extension.’  </w:t>
      </w:r>
      <w:r w:rsidR="0030342E" w:rsidRPr="00E86F73">
        <w:rPr>
          <w:color w:val="000080"/>
        </w:rPr>
        <w:t>The VA provide</w:t>
      </w:r>
      <w:r w:rsidR="00772545">
        <w:rPr>
          <w:color w:val="000080"/>
        </w:rPr>
        <w:t>d</w:t>
      </w:r>
      <w:r w:rsidR="0030342E" w:rsidRPr="00E86F73">
        <w:rPr>
          <w:color w:val="000080"/>
        </w:rPr>
        <w:t xml:space="preserve"> </w:t>
      </w:r>
      <w:r w:rsidR="00772545">
        <w:rPr>
          <w:color w:val="000080"/>
        </w:rPr>
        <w:t>goniometric</w:t>
      </w:r>
      <w:r w:rsidR="00E86F73">
        <w:rPr>
          <w:color w:val="000080"/>
        </w:rPr>
        <w:t xml:space="preserve"> measurements, noted as 90</w:t>
      </w:r>
      <w:r w:rsidR="00E86F73">
        <w:rPr>
          <w:rFonts w:ascii="Calibri" w:hAnsi="Calibri"/>
          <w:color w:val="000080"/>
        </w:rPr>
        <w:t>⁰</w:t>
      </w:r>
      <w:r w:rsidR="0030342E" w:rsidRPr="00E86F73">
        <w:rPr>
          <w:color w:val="000080"/>
        </w:rPr>
        <w:t xml:space="preserve"> flexion and 240</w:t>
      </w:r>
      <w:r w:rsidR="00E86F73">
        <w:rPr>
          <w:rFonts w:ascii="Calibri" w:hAnsi="Calibri"/>
          <w:color w:val="000080"/>
        </w:rPr>
        <w:t>⁰</w:t>
      </w:r>
      <w:r w:rsidR="0030342E" w:rsidRPr="00E86F73">
        <w:rPr>
          <w:color w:val="000080"/>
        </w:rPr>
        <w:t xml:space="preserve"> combined ROM.  </w:t>
      </w:r>
      <w:r w:rsidR="00D55416" w:rsidRPr="00E86F73">
        <w:rPr>
          <w:color w:val="000080"/>
        </w:rPr>
        <w:t xml:space="preserve">Under </w:t>
      </w:r>
      <w:r w:rsidR="00772545">
        <w:rPr>
          <w:color w:val="000080"/>
        </w:rPr>
        <w:t>the current VASRD</w:t>
      </w:r>
      <w:r w:rsidR="00D55416" w:rsidRPr="00E86F73">
        <w:rPr>
          <w:color w:val="000080"/>
        </w:rPr>
        <w:t xml:space="preserve"> §4.71a</w:t>
      </w:r>
      <w:r w:rsidR="00772545">
        <w:rPr>
          <w:color w:val="000080"/>
        </w:rPr>
        <w:t xml:space="preserve"> rating formula</w:t>
      </w:r>
      <w:r w:rsidR="00D55416" w:rsidRPr="00E86F73">
        <w:rPr>
          <w:color w:val="000080"/>
        </w:rPr>
        <w:t xml:space="preserve">, the VA examination in evidence would yield an unequivocal 10% rating.  The 2003 VASRD rating options provided for more latitude by the examiner and rater.  It is noted that the PEB chose two applicable codes for rating.  The </w:t>
      </w:r>
      <w:r w:rsidR="00772545">
        <w:rPr>
          <w:color w:val="000080"/>
        </w:rPr>
        <w:t>applicable</w:t>
      </w:r>
      <w:r w:rsidR="00D55416" w:rsidRPr="00E86F73">
        <w:rPr>
          <w:color w:val="000080"/>
        </w:rPr>
        <w:t xml:space="preserve"> rating criteria </w:t>
      </w:r>
      <w:r w:rsidR="00772545">
        <w:rPr>
          <w:color w:val="000080"/>
        </w:rPr>
        <w:t>from 2003 are excerpted:</w:t>
      </w:r>
    </w:p>
    <w:p w:rsidR="00D55416" w:rsidRDefault="00D55416" w:rsidP="00E15B0A">
      <w:pPr>
        <w:tabs>
          <w:tab w:val="left" w:pos="288"/>
          <w:tab w:val="left" w:pos="4752"/>
        </w:tabs>
        <w:spacing w:line="240" w:lineRule="exact"/>
        <w:rPr>
          <w:rFonts w:asciiTheme="minorHAnsi" w:hAnsiTheme="minorHAnsi"/>
          <w:color w:val="auto"/>
          <w:szCs w:val="24"/>
        </w:rPr>
      </w:pPr>
    </w:p>
    <w:p w:rsidR="00D55416" w:rsidRPr="00D55416" w:rsidRDefault="00D55416" w:rsidP="00D55416">
      <w:pPr>
        <w:spacing w:line="336" w:lineRule="atLeast"/>
        <w:rPr>
          <w:rFonts w:ascii="Garamond" w:hAnsi="Garamond" w:cs="Garamond"/>
          <w:color w:val="002060"/>
          <w:spacing w:val="2"/>
        </w:rPr>
      </w:pPr>
      <w:r w:rsidRPr="00D55416">
        <w:rPr>
          <w:rFonts w:ascii="Garamond" w:hAnsi="Garamond" w:cs="Garamond"/>
          <w:b/>
          <w:bCs/>
          <w:color w:val="002060"/>
          <w:spacing w:val="2"/>
        </w:rPr>
        <w:t xml:space="preserve">         5293 </w:t>
      </w:r>
      <w:proofErr w:type="spellStart"/>
      <w:r w:rsidRPr="00D55416">
        <w:rPr>
          <w:rFonts w:ascii="Garamond" w:hAnsi="Garamond" w:cs="Garamond"/>
          <w:color w:val="002060"/>
          <w:spacing w:val="2"/>
        </w:rPr>
        <w:t>Intervertebral</w:t>
      </w:r>
      <w:proofErr w:type="spellEnd"/>
      <w:r w:rsidRPr="00D55416">
        <w:rPr>
          <w:rFonts w:ascii="Garamond" w:hAnsi="Garamond" w:cs="Garamond"/>
          <w:color w:val="002060"/>
          <w:spacing w:val="2"/>
        </w:rPr>
        <w:t xml:space="preserve"> disc syndrome:</w:t>
      </w:r>
    </w:p>
    <w:p w:rsidR="00D55416" w:rsidRPr="00D55416" w:rsidRDefault="00D55416" w:rsidP="00D55416">
      <w:pPr>
        <w:spacing w:before="36" w:line="240" w:lineRule="exact"/>
        <w:ind w:left="1872" w:right="1440" w:hanging="216"/>
        <w:jc w:val="both"/>
        <w:rPr>
          <w:rFonts w:ascii="Garamond" w:hAnsi="Garamond" w:cs="Garamond"/>
          <w:color w:val="002060"/>
          <w:spacing w:val="2"/>
        </w:rPr>
      </w:pPr>
      <w:r w:rsidRPr="00D55416">
        <w:rPr>
          <w:rFonts w:ascii="Garamond" w:hAnsi="Garamond" w:cs="Garamond"/>
          <w:color w:val="002060"/>
          <w:spacing w:val="2"/>
        </w:rPr>
        <w:t xml:space="preserve">Pronounced; with persistent symptoms compatible with sciatic neuropathy with characteristic pain and demonstrable muscle </w:t>
      </w:r>
      <w:r w:rsidRPr="00D55416">
        <w:rPr>
          <w:rFonts w:ascii="Garamond" w:hAnsi="Garamond" w:cs="Garamond"/>
          <w:color w:val="002060"/>
        </w:rPr>
        <w:t>spasm, absent ankle jerk, or other neurological findings appropriate</w:t>
      </w:r>
    </w:p>
    <w:p w:rsidR="00D55416" w:rsidRPr="00D55416" w:rsidRDefault="00D55416" w:rsidP="00D55416">
      <w:pPr>
        <w:pStyle w:val="Style1"/>
        <w:ind w:left="1872"/>
        <w:rPr>
          <w:rFonts w:ascii="Garamond" w:hAnsi="Garamond" w:cs="Garamond"/>
          <w:color w:val="002060"/>
          <w:spacing w:val="2"/>
        </w:rPr>
      </w:pPr>
      <w:proofErr w:type="gramStart"/>
      <w:r w:rsidRPr="00D55416">
        <w:rPr>
          <w:rFonts w:ascii="Garamond" w:hAnsi="Garamond" w:cs="Garamond"/>
          <w:color w:val="002060"/>
          <w:spacing w:val="2"/>
        </w:rPr>
        <w:t>to</w:t>
      </w:r>
      <w:proofErr w:type="gramEnd"/>
      <w:r w:rsidRPr="00D55416">
        <w:rPr>
          <w:rFonts w:ascii="Garamond" w:hAnsi="Garamond" w:cs="Garamond"/>
          <w:color w:val="002060"/>
          <w:spacing w:val="2"/>
        </w:rPr>
        <w:t xml:space="preserve"> site of diseased</w:t>
      </w:r>
      <w:r w:rsidRPr="00D55416">
        <w:rPr>
          <w:rFonts w:ascii="Garamond" w:hAnsi="Garamond" w:cs="Garamond"/>
          <w:color w:val="002060"/>
          <w:spacing w:val="2"/>
          <w:vertAlign w:val="subscript"/>
        </w:rPr>
        <w:t>,</w:t>
      </w:r>
      <w:r w:rsidRPr="00D55416">
        <w:rPr>
          <w:rFonts w:ascii="Garamond" w:hAnsi="Garamond" w:cs="Garamond"/>
          <w:color w:val="002060"/>
          <w:spacing w:val="2"/>
        </w:rPr>
        <w:t xml:space="preserve"> disc, little intermittent relief </w:t>
      </w:r>
      <w:r w:rsidRPr="00D55416">
        <w:rPr>
          <w:rFonts w:ascii="Garamond" w:hAnsi="Garamond" w:cs="Garamond"/>
          <w:color w:val="002060"/>
        </w:rPr>
        <w:tab/>
      </w:r>
      <w:r w:rsidRPr="00D55416">
        <w:rPr>
          <w:rFonts w:ascii="Garamond" w:hAnsi="Garamond" w:cs="Garamond"/>
          <w:color w:val="002060"/>
          <w:spacing w:val="2"/>
        </w:rPr>
        <w:t>60</w:t>
      </w:r>
    </w:p>
    <w:p w:rsidR="00D55416" w:rsidRPr="00D55416" w:rsidRDefault="00D55416" w:rsidP="00D55416">
      <w:pPr>
        <w:pStyle w:val="Style1"/>
        <w:rPr>
          <w:rFonts w:ascii="Garamond" w:hAnsi="Garamond" w:cs="Garamond"/>
          <w:color w:val="002060"/>
          <w:spacing w:val="2"/>
        </w:rPr>
      </w:pPr>
      <w:r w:rsidRPr="00D55416">
        <w:rPr>
          <w:rFonts w:ascii="Garamond" w:hAnsi="Garamond" w:cs="Garamond"/>
          <w:color w:val="002060"/>
          <w:spacing w:val="2"/>
        </w:rPr>
        <w:t xml:space="preserve">Severe; recurring attacks, with intermittent relief </w:t>
      </w:r>
      <w:r w:rsidRPr="00D55416">
        <w:rPr>
          <w:rFonts w:ascii="Garamond" w:hAnsi="Garamond" w:cs="Garamond"/>
          <w:color w:val="002060"/>
        </w:rPr>
        <w:tab/>
      </w:r>
      <w:r w:rsidRPr="00D55416">
        <w:rPr>
          <w:rFonts w:ascii="Garamond" w:hAnsi="Garamond" w:cs="Garamond"/>
          <w:color w:val="002060"/>
          <w:spacing w:val="2"/>
        </w:rPr>
        <w:t>.40</w:t>
      </w:r>
    </w:p>
    <w:p w:rsidR="00D55416" w:rsidRPr="00D55416" w:rsidRDefault="00D55416" w:rsidP="00D55416">
      <w:pPr>
        <w:pStyle w:val="Style1"/>
        <w:rPr>
          <w:rFonts w:ascii="Garamond" w:hAnsi="Garamond" w:cs="Garamond"/>
          <w:color w:val="002060"/>
          <w:spacing w:val="2"/>
        </w:rPr>
      </w:pPr>
      <w:r w:rsidRPr="00D55416">
        <w:rPr>
          <w:rFonts w:ascii="Garamond" w:hAnsi="Garamond" w:cs="Garamond"/>
          <w:color w:val="002060"/>
          <w:spacing w:val="2"/>
        </w:rPr>
        <w:t xml:space="preserve">Moderate; recurring attacks </w:t>
      </w:r>
      <w:r w:rsidRPr="00D55416">
        <w:rPr>
          <w:rFonts w:ascii="Garamond" w:hAnsi="Garamond" w:cs="Garamond"/>
          <w:color w:val="002060"/>
        </w:rPr>
        <w:tab/>
      </w:r>
      <w:r w:rsidRPr="00D55416">
        <w:rPr>
          <w:rFonts w:ascii="Garamond" w:hAnsi="Garamond" w:cs="Garamond"/>
          <w:color w:val="002060"/>
          <w:spacing w:val="2"/>
        </w:rPr>
        <w:t>20</w:t>
      </w:r>
    </w:p>
    <w:p w:rsidR="00D55416" w:rsidRPr="00D55416" w:rsidRDefault="00D55416" w:rsidP="00D55416">
      <w:pPr>
        <w:tabs>
          <w:tab w:val="right" w:leader="dot" w:pos="6948"/>
          <w:tab w:val="right" w:leader="dot" w:pos="9000"/>
        </w:tabs>
        <w:ind w:left="1656"/>
        <w:rPr>
          <w:rFonts w:ascii="Garamond" w:hAnsi="Garamond" w:cs="Garamond"/>
          <w:color w:val="002060"/>
          <w:spacing w:val="2"/>
        </w:rPr>
      </w:pPr>
      <w:r w:rsidRPr="00D55416">
        <w:rPr>
          <w:rFonts w:ascii="Garamond" w:hAnsi="Garamond" w:cs="Garamond"/>
          <w:color w:val="002060"/>
          <w:spacing w:val="2"/>
        </w:rPr>
        <w:t xml:space="preserve">Mild </w:t>
      </w:r>
      <w:r w:rsidRPr="00D55416">
        <w:rPr>
          <w:rFonts w:ascii="Garamond" w:hAnsi="Garamond" w:cs="Garamond"/>
          <w:color w:val="002060"/>
        </w:rPr>
        <w:tab/>
      </w:r>
      <w:r w:rsidRPr="00D55416">
        <w:rPr>
          <w:rFonts w:ascii="Garamond" w:hAnsi="Garamond" w:cs="Garamond"/>
          <w:color w:val="002060"/>
        </w:rPr>
        <w:tab/>
      </w:r>
      <w:r w:rsidRPr="00D55416">
        <w:rPr>
          <w:rFonts w:ascii="Garamond" w:hAnsi="Garamond" w:cs="Garamond"/>
          <w:color w:val="002060"/>
          <w:spacing w:val="2"/>
        </w:rPr>
        <w:t>10</w:t>
      </w:r>
    </w:p>
    <w:p w:rsidR="00D55416" w:rsidRPr="00D55416" w:rsidRDefault="00D55416" w:rsidP="00D55416">
      <w:pPr>
        <w:tabs>
          <w:tab w:val="left" w:leader="dot" w:pos="4536"/>
          <w:tab w:val="right" w:leader="dot" w:pos="9000"/>
        </w:tabs>
        <w:ind w:left="1656"/>
        <w:rPr>
          <w:rFonts w:ascii="Garamond" w:hAnsi="Garamond" w:cs="Garamond"/>
          <w:color w:val="002060"/>
          <w:spacing w:val="2"/>
        </w:rPr>
      </w:pPr>
      <w:r w:rsidRPr="00D55416">
        <w:rPr>
          <w:rFonts w:ascii="Garamond" w:hAnsi="Garamond" w:cs="Garamond"/>
          <w:color w:val="002060"/>
          <w:spacing w:val="2"/>
        </w:rPr>
        <w:t xml:space="preserve">Postoperative, cured </w:t>
      </w:r>
      <w:r w:rsidRPr="00D55416">
        <w:rPr>
          <w:rFonts w:ascii="Garamond" w:hAnsi="Garamond" w:cs="Garamond"/>
          <w:color w:val="002060"/>
        </w:rPr>
        <w:tab/>
      </w:r>
      <w:r w:rsidRPr="00D55416">
        <w:rPr>
          <w:rFonts w:ascii="Garamond" w:hAnsi="Garamond" w:cs="Garamond"/>
          <w:color w:val="002060"/>
        </w:rPr>
        <w:tab/>
      </w:r>
      <w:r w:rsidRPr="00D55416">
        <w:rPr>
          <w:rFonts w:ascii="Garamond" w:hAnsi="Garamond" w:cs="Garamond"/>
          <w:color w:val="002060"/>
          <w:spacing w:val="2"/>
        </w:rPr>
        <w:t>0</w:t>
      </w:r>
    </w:p>
    <w:p w:rsidR="00D55416" w:rsidRPr="00D55416" w:rsidRDefault="00D55416" w:rsidP="00D55416">
      <w:pPr>
        <w:spacing w:line="492" w:lineRule="atLeast"/>
        <w:ind w:left="648" w:right="5256"/>
        <w:rPr>
          <w:rFonts w:ascii="Garamond" w:hAnsi="Garamond" w:cs="Garamond"/>
          <w:color w:val="002060"/>
          <w:spacing w:val="2"/>
        </w:rPr>
      </w:pPr>
      <w:r w:rsidRPr="00D55416">
        <w:rPr>
          <w:rFonts w:ascii="Garamond" w:hAnsi="Garamond" w:cs="Garamond"/>
          <w:b/>
          <w:bCs/>
          <w:iCs/>
          <w:color w:val="002060"/>
          <w:spacing w:val="4"/>
        </w:rPr>
        <w:t xml:space="preserve">5295 </w:t>
      </w:r>
      <w:proofErr w:type="spellStart"/>
      <w:r w:rsidRPr="00D55416">
        <w:rPr>
          <w:rFonts w:ascii="Garamond" w:hAnsi="Garamond" w:cs="Garamond"/>
          <w:color w:val="002060"/>
          <w:spacing w:val="2"/>
        </w:rPr>
        <w:t>Lumbosacral</w:t>
      </w:r>
      <w:proofErr w:type="spellEnd"/>
      <w:r w:rsidRPr="00D55416">
        <w:rPr>
          <w:rFonts w:ascii="Garamond" w:hAnsi="Garamond" w:cs="Garamond"/>
          <w:color w:val="002060"/>
          <w:spacing w:val="2"/>
        </w:rPr>
        <w:t xml:space="preserve"> strain:</w:t>
      </w:r>
    </w:p>
    <w:p w:rsidR="00D55416" w:rsidRPr="00D55416" w:rsidRDefault="00D55416" w:rsidP="00D55416">
      <w:pPr>
        <w:spacing w:line="240" w:lineRule="exact"/>
        <w:ind w:left="1872" w:right="2088" w:hanging="216"/>
        <w:jc w:val="both"/>
        <w:rPr>
          <w:rFonts w:ascii="Garamond" w:hAnsi="Garamond" w:cs="Garamond"/>
          <w:color w:val="002060"/>
          <w:spacing w:val="2"/>
        </w:rPr>
      </w:pPr>
      <w:r w:rsidRPr="00D55416">
        <w:rPr>
          <w:rFonts w:ascii="Garamond" w:hAnsi="Garamond" w:cs="Garamond"/>
          <w:color w:val="002060"/>
          <w:spacing w:val="2"/>
        </w:rPr>
        <w:t xml:space="preserve">Severe; with listing of whole spine to opposite side, positive </w:t>
      </w:r>
      <w:r w:rsidRPr="00D55416">
        <w:rPr>
          <w:rFonts w:ascii="Garamond" w:hAnsi="Garamond" w:cs="Garamond"/>
          <w:color w:val="002060"/>
        </w:rPr>
        <w:t>Goldthwaite's sign, marked limitation of forward bending in</w:t>
      </w:r>
      <w:r w:rsidRPr="00D55416">
        <w:rPr>
          <w:rFonts w:ascii="Garamond" w:hAnsi="Garamond" w:cs="Garamond"/>
          <w:color w:val="002060"/>
          <w:spacing w:val="2"/>
        </w:rPr>
        <w:t xml:space="preserve"> standing position, loss of lateral motion with </w:t>
      </w:r>
      <w:proofErr w:type="spellStart"/>
      <w:r w:rsidRPr="00D55416">
        <w:rPr>
          <w:rFonts w:ascii="Garamond" w:hAnsi="Garamond" w:cs="Garamond"/>
          <w:color w:val="002060"/>
          <w:spacing w:val="2"/>
        </w:rPr>
        <w:t>osteoarthritic</w:t>
      </w:r>
      <w:proofErr w:type="spellEnd"/>
      <w:r w:rsidRPr="00D55416">
        <w:rPr>
          <w:rFonts w:ascii="Garamond" w:hAnsi="Garamond" w:cs="Garamond"/>
          <w:color w:val="002060"/>
          <w:spacing w:val="2"/>
        </w:rPr>
        <w:t xml:space="preserve"> </w:t>
      </w:r>
      <w:r w:rsidRPr="00EF11E2">
        <w:rPr>
          <w:rFonts w:ascii="Garamond" w:hAnsi="Garamond" w:cs="Garamond"/>
          <w:color w:val="002060"/>
          <w:spacing w:val="2"/>
        </w:rPr>
        <w:t>changes,</w:t>
      </w:r>
      <w:r w:rsidRPr="00D55416">
        <w:rPr>
          <w:rFonts w:ascii="Garamond" w:hAnsi="Garamond" w:cs="Garamond"/>
          <w:color w:val="002060"/>
          <w:spacing w:val="2"/>
        </w:rPr>
        <w:t xml:space="preserve"> </w:t>
      </w:r>
      <w:r w:rsidR="00EF11E2" w:rsidRPr="00EF11E2">
        <w:rPr>
          <w:rFonts w:ascii="Garamond" w:hAnsi="Garamond" w:cs="Garamond"/>
          <w:color w:val="002060"/>
          <w:spacing w:val="2"/>
        </w:rPr>
        <w:t>or</w:t>
      </w:r>
      <w:r w:rsidRPr="00EF11E2">
        <w:rPr>
          <w:rFonts w:ascii="Garamond" w:hAnsi="Garamond" w:cs="Garamond"/>
          <w:color w:val="002060"/>
          <w:spacing w:val="2"/>
        </w:rPr>
        <w:t xml:space="preserve"> na</w:t>
      </w:r>
      <w:r w:rsidRPr="00D55416">
        <w:rPr>
          <w:rFonts w:ascii="Garamond" w:hAnsi="Garamond" w:cs="Garamond"/>
          <w:color w:val="002060"/>
        </w:rPr>
        <w:t>rrowing or irregularity of joint space, or some</w:t>
      </w:r>
    </w:p>
    <w:p w:rsidR="00D55416" w:rsidRPr="00D55416" w:rsidRDefault="00D55416" w:rsidP="00D55416">
      <w:pPr>
        <w:pStyle w:val="Style1"/>
        <w:ind w:left="1872"/>
        <w:rPr>
          <w:rFonts w:ascii="Garamond" w:hAnsi="Garamond" w:cs="Garamond"/>
          <w:color w:val="002060"/>
          <w:spacing w:val="2"/>
        </w:rPr>
      </w:pPr>
      <w:proofErr w:type="gramStart"/>
      <w:r w:rsidRPr="00D55416">
        <w:rPr>
          <w:rFonts w:ascii="Garamond" w:hAnsi="Garamond" w:cs="Garamond"/>
          <w:color w:val="002060"/>
          <w:spacing w:val="2"/>
        </w:rPr>
        <w:t>of</w:t>
      </w:r>
      <w:proofErr w:type="gramEnd"/>
      <w:r w:rsidRPr="00D55416">
        <w:rPr>
          <w:rFonts w:ascii="Garamond" w:hAnsi="Garamond" w:cs="Garamond"/>
          <w:color w:val="002060"/>
          <w:spacing w:val="2"/>
        </w:rPr>
        <w:t xml:space="preserve"> the above with abnormal mobility on forced motion </w:t>
      </w:r>
      <w:r w:rsidRPr="00D55416">
        <w:rPr>
          <w:rFonts w:ascii="Garamond" w:hAnsi="Garamond" w:cs="Garamond"/>
          <w:color w:val="002060"/>
        </w:rPr>
        <w:tab/>
      </w:r>
      <w:r w:rsidRPr="00D55416">
        <w:rPr>
          <w:rFonts w:ascii="Garamond" w:hAnsi="Garamond" w:cs="Garamond"/>
          <w:color w:val="002060"/>
          <w:spacing w:val="2"/>
        </w:rPr>
        <w:t>40</w:t>
      </w:r>
    </w:p>
    <w:p w:rsidR="00D55416" w:rsidRPr="00D55416" w:rsidRDefault="00D55416" w:rsidP="00D55416">
      <w:pPr>
        <w:ind w:left="1584"/>
        <w:rPr>
          <w:rFonts w:ascii="Garamond" w:hAnsi="Garamond" w:cs="Garamond"/>
          <w:color w:val="002060"/>
          <w:spacing w:val="2"/>
        </w:rPr>
      </w:pPr>
      <w:r w:rsidRPr="00D55416">
        <w:rPr>
          <w:rFonts w:ascii="Garamond" w:hAnsi="Garamond" w:cs="Garamond"/>
          <w:color w:val="002060"/>
          <w:spacing w:val="2"/>
        </w:rPr>
        <w:t>With muscle spasm on extreme forward bending, loss of lateral</w:t>
      </w:r>
    </w:p>
    <w:p w:rsidR="00D55416" w:rsidRPr="00D55416" w:rsidRDefault="00D55416" w:rsidP="00D55416">
      <w:pPr>
        <w:pStyle w:val="Style1"/>
        <w:ind w:left="1872"/>
        <w:rPr>
          <w:rFonts w:ascii="Garamond" w:hAnsi="Garamond" w:cs="Garamond"/>
          <w:color w:val="002060"/>
          <w:spacing w:val="2"/>
        </w:rPr>
      </w:pPr>
      <w:proofErr w:type="gramStart"/>
      <w:r w:rsidRPr="00D55416">
        <w:rPr>
          <w:rFonts w:ascii="Garamond" w:hAnsi="Garamond" w:cs="Garamond"/>
          <w:color w:val="002060"/>
          <w:spacing w:val="2"/>
        </w:rPr>
        <w:t>spine</w:t>
      </w:r>
      <w:proofErr w:type="gramEnd"/>
      <w:r w:rsidRPr="00D55416">
        <w:rPr>
          <w:rFonts w:ascii="Garamond" w:hAnsi="Garamond" w:cs="Garamond"/>
          <w:color w:val="002060"/>
          <w:spacing w:val="2"/>
        </w:rPr>
        <w:t xml:space="preserve"> motion, unilateral, in standing position </w:t>
      </w:r>
      <w:r w:rsidRPr="00D55416">
        <w:rPr>
          <w:rFonts w:ascii="Garamond" w:hAnsi="Garamond" w:cs="Garamond"/>
          <w:color w:val="002060"/>
        </w:rPr>
        <w:tab/>
      </w:r>
      <w:r w:rsidRPr="00D55416">
        <w:rPr>
          <w:rFonts w:ascii="Garamond" w:hAnsi="Garamond" w:cs="Garamond"/>
          <w:color w:val="002060"/>
          <w:spacing w:val="2"/>
        </w:rPr>
        <w:t>20</w:t>
      </w:r>
    </w:p>
    <w:p w:rsidR="00D55416" w:rsidRPr="00D55416" w:rsidRDefault="00D55416" w:rsidP="00D55416">
      <w:pPr>
        <w:tabs>
          <w:tab w:val="right" w:leader="dot" w:pos="6948"/>
          <w:tab w:val="right" w:leader="dot" w:pos="9000"/>
        </w:tabs>
        <w:ind w:left="1584"/>
        <w:rPr>
          <w:rFonts w:ascii="Garamond" w:hAnsi="Garamond" w:cs="Garamond"/>
          <w:color w:val="002060"/>
          <w:spacing w:val="2"/>
        </w:rPr>
      </w:pPr>
      <w:r w:rsidRPr="00D55416">
        <w:rPr>
          <w:rFonts w:ascii="Garamond" w:hAnsi="Garamond" w:cs="Garamond"/>
          <w:color w:val="002060"/>
          <w:spacing w:val="2"/>
        </w:rPr>
        <w:t xml:space="preserve">With characteristic pain on motion </w:t>
      </w:r>
      <w:r w:rsidRPr="00D55416">
        <w:rPr>
          <w:rFonts w:ascii="Garamond" w:hAnsi="Garamond" w:cs="Garamond"/>
          <w:color w:val="002060"/>
        </w:rPr>
        <w:tab/>
      </w:r>
      <w:r w:rsidRPr="00D55416">
        <w:rPr>
          <w:rFonts w:ascii="Garamond" w:hAnsi="Garamond" w:cs="Garamond"/>
          <w:color w:val="002060"/>
        </w:rPr>
        <w:tab/>
      </w:r>
      <w:r w:rsidRPr="00D55416">
        <w:rPr>
          <w:rFonts w:ascii="Garamond" w:hAnsi="Garamond" w:cs="Garamond"/>
          <w:color w:val="002060"/>
          <w:spacing w:val="2"/>
        </w:rPr>
        <w:t>10</w:t>
      </w:r>
    </w:p>
    <w:p w:rsidR="00D55416" w:rsidRPr="00D55416" w:rsidRDefault="00D55416" w:rsidP="00D55416">
      <w:pPr>
        <w:tabs>
          <w:tab w:val="left" w:leader="dot" w:pos="6012"/>
          <w:tab w:val="right" w:leader="dot" w:pos="9000"/>
        </w:tabs>
        <w:ind w:left="1584"/>
        <w:rPr>
          <w:rFonts w:ascii="Garamond" w:hAnsi="Garamond" w:cs="Garamond"/>
          <w:color w:val="002060"/>
          <w:spacing w:val="2"/>
        </w:rPr>
      </w:pPr>
      <w:r w:rsidRPr="00D55416">
        <w:rPr>
          <w:rFonts w:ascii="Garamond" w:hAnsi="Garamond" w:cs="Garamond"/>
          <w:color w:val="002060"/>
          <w:spacing w:val="2"/>
        </w:rPr>
        <w:t xml:space="preserve">With slight subjective symptoms only </w:t>
      </w:r>
      <w:r w:rsidRPr="00D55416">
        <w:rPr>
          <w:rFonts w:ascii="Garamond" w:hAnsi="Garamond" w:cs="Garamond"/>
          <w:color w:val="002060"/>
        </w:rPr>
        <w:tab/>
      </w:r>
      <w:r w:rsidRPr="00D55416">
        <w:rPr>
          <w:rFonts w:ascii="Garamond" w:hAnsi="Garamond" w:cs="Garamond"/>
          <w:color w:val="002060"/>
        </w:rPr>
        <w:tab/>
      </w:r>
      <w:r w:rsidRPr="00D55416">
        <w:rPr>
          <w:rFonts w:ascii="Garamond" w:hAnsi="Garamond" w:cs="Garamond"/>
          <w:color w:val="002060"/>
          <w:spacing w:val="2"/>
        </w:rPr>
        <w:t>0</w:t>
      </w:r>
    </w:p>
    <w:p w:rsidR="00E15B0A" w:rsidRDefault="00E15B0A" w:rsidP="00E15B0A">
      <w:pPr>
        <w:tabs>
          <w:tab w:val="left" w:pos="288"/>
          <w:tab w:val="left" w:pos="4752"/>
        </w:tabs>
        <w:spacing w:line="240" w:lineRule="exact"/>
        <w:rPr>
          <w:rFonts w:asciiTheme="minorHAnsi" w:eastAsiaTheme="minorHAnsi" w:hAnsiTheme="minorHAnsi"/>
          <w:color w:val="auto"/>
          <w:szCs w:val="24"/>
        </w:rPr>
      </w:pPr>
    </w:p>
    <w:p w:rsidR="00D55416" w:rsidRPr="00E86F73" w:rsidRDefault="008B388C" w:rsidP="00E86F73">
      <w:pPr>
        <w:tabs>
          <w:tab w:val="left" w:pos="288"/>
          <w:tab w:val="left" w:pos="4752"/>
        </w:tabs>
        <w:spacing w:line="240" w:lineRule="exact"/>
        <w:jc w:val="both"/>
        <w:rPr>
          <w:color w:val="000080"/>
        </w:rPr>
      </w:pPr>
      <w:r w:rsidRPr="00E86F73">
        <w:rPr>
          <w:color w:val="000080"/>
        </w:rPr>
        <w:lastRenderedPageBreak/>
        <w:t xml:space="preserve">The CI’s examination would not support higher than a 10% rating under 5295 criteria, although the more subjective description under 5293 could allow for a 20% rating.  It is </w:t>
      </w:r>
      <w:r w:rsidR="00BA4580" w:rsidRPr="00E86F73">
        <w:rPr>
          <w:color w:val="000080"/>
        </w:rPr>
        <w:t>significant</w:t>
      </w:r>
      <w:r w:rsidRPr="00E86F73">
        <w:rPr>
          <w:color w:val="000080"/>
        </w:rPr>
        <w:t xml:space="preserve"> that the VA and the PEB deci</w:t>
      </w:r>
      <w:r w:rsidR="00BA4580" w:rsidRPr="00E86F73">
        <w:rPr>
          <w:color w:val="000080"/>
        </w:rPr>
        <w:t>sions</w:t>
      </w:r>
      <w:r w:rsidRPr="00E86F73">
        <w:rPr>
          <w:color w:val="000080"/>
        </w:rPr>
        <w:t xml:space="preserve"> </w:t>
      </w:r>
      <w:r w:rsidR="00BA4580" w:rsidRPr="00E86F73">
        <w:rPr>
          <w:color w:val="000080"/>
        </w:rPr>
        <w:t>were in agreement with a 10% rating</w:t>
      </w:r>
      <w:r w:rsidR="00B64642" w:rsidRPr="00E86F73">
        <w:rPr>
          <w:color w:val="000080"/>
        </w:rPr>
        <w:t xml:space="preserve"> for the spine</w:t>
      </w:r>
      <w:r w:rsidR="00BA4580" w:rsidRPr="00E86F73">
        <w:rPr>
          <w:color w:val="000080"/>
        </w:rPr>
        <w:t>, and th</w:t>
      </w:r>
      <w:r w:rsidR="00772545">
        <w:rPr>
          <w:color w:val="000080"/>
        </w:rPr>
        <w:t>e</w:t>
      </w:r>
      <w:r w:rsidR="00BA4580" w:rsidRPr="00E86F73">
        <w:rPr>
          <w:color w:val="000080"/>
        </w:rPr>
        <w:t xml:space="preserve"> </w:t>
      </w:r>
      <w:r w:rsidR="00772545" w:rsidRPr="00E86F73">
        <w:rPr>
          <w:color w:val="000080"/>
        </w:rPr>
        <w:t xml:space="preserve">clinical picture </w:t>
      </w:r>
      <w:r w:rsidR="00BA4580" w:rsidRPr="00E86F73">
        <w:rPr>
          <w:color w:val="000080"/>
        </w:rPr>
        <w:t>is a reasonable match with the</w:t>
      </w:r>
      <w:r w:rsidR="00772545">
        <w:rPr>
          <w:color w:val="000080"/>
        </w:rPr>
        <w:t xml:space="preserve"> wording</w:t>
      </w:r>
      <w:r w:rsidRPr="00E86F73">
        <w:rPr>
          <w:color w:val="000080"/>
        </w:rPr>
        <w:t xml:space="preserve">.  It </w:t>
      </w:r>
      <w:r w:rsidR="00BA4580" w:rsidRPr="00E86F73">
        <w:rPr>
          <w:color w:val="000080"/>
        </w:rPr>
        <w:t xml:space="preserve">is </w:t>
      </w:r>
      <w:r w:rsidR="00772545">
        <w:rPr>
          <w:color w:val="000080"/>
        </w:rPr>
        <w:t>acknowledged</w:t>
      </w:r>
      <w:r w:rsidRPr="00E86F73">
        <w:rPr>
          <w:color w:val="000080"/>
        </w:rPr>
        <w:t xml:space="preserve"> that the DES and VA personnel of that period had much more experience with rating </w:t>
      </w:r>
      <w:r w:rsidR="00BA4580" w:rsidRPr="00E86F73">
        <w:rPr>
          <w:color w:val="000080"/>
        </w:rPr>
        <w:t xml:space="preserve">under these criteria than </w:t>
      </w:r>
      <w:r w:rsidR="00772545">
        <w:rPr>
          <w:color w:val="000080"/>
        </w:rPr>
        <w:t>contemporary</w:t>
      </w:r>
      <w:r w:rsidR="00BA4580" w:rsidRPr="00E86F73">
        <w:rPr>
          <w:color w:val="000080"/>
        </w:rPr>
        <w:t xml:space="preserve"> reviewers.  </w:t>
      </w:r>
      <w:r w:rsidR="00B64642" w:rsidRPr="00E86F73">
        <w:rPr>
          <w:color w:val="000080"/>
        </w:rPr>
        <w:t xml:space="preserve">Significantly, the VA applied separate ratings for the </w:t>
      </w:r>
      <w:proofErr w:type="spellStart"/>
      <w:r w:rsidR="00B64642" w:rsidRPr="00E86F73">
        <w:rPr>
          <w:color w:val="000080"/>
        </w:rPr>
        <w:t>spondylolisthesis</w:t>
      </w:r>
      <w:proofErr w:type="spellEnd"/>
      <w:r w:rsidR="00B64642" w:rsidRPr="00E86F73">
        <w:rPr>
          <w:color w:val="000080"/>
        </w:rPr>
        <w:t xml:space="preserve"> (vertebral </w:t>
      </w:r>
      <w:proofErr w:type="spellStart"/>
      <w:r w:rsidR="00B64642" w:rsidRPr="00E86F73">
        <w:rPr>
          <w:color w:val="000080"/>
        </w:rPr>
        <w:t>malalignment</w:t>
      </w:r>
      <w:proofErr w:type="spellEnd"/>
      <w:r w:rsidR="00B64642" w:rsidRPr="00E86F73">
        <w:rPr>
          <w:color w:val="000080"/>
        </w:rPr>
        <w:t xml:space="preserve">) </w:t>
      </w:r>
      <w:r w:rsidR="00560834" w:rsidRPr="00E86F73">
        <w:rPr>
          <w:color w:val="000080"/>
        </w:rPr>
        <w:t>and the degenerative disc component</w:t>
      </w:r>
      <w:r w:rsidR="003F181C" w:rsidRPr="00E86F73">
        <w:rPr>
          <w:color w:val="000080"/>
        </w:rPr>
        <w:t>s</w:t>
      </w:r>
      <w:r w:rsidR="00560834" w:rsidRPr="00E86F73">
        <w:rPr>
          <w:color w:val="000080"/>
        </w:rPr>
        <w:t xml:space="preserve"> of the condition.  </w:t>
      </w:r>
      <w:r w:rsidR="00772545">
        <w:rPr>
          <w:color w:val="000080"/>
        </w:rPr>
        <w:t xml:space="preserve">It is </w:t>
      </w:r>
      <w:r w:rsidR="00C32F3B">
        <w:rPr>
          <w:color w:val="000080"/>
        </w:rPr>
        <w:t>reiterated</w:t>
      </w:r>
      <w:r w:rsidR="00772545">
        <w:rPr>
          <w:color w:val="000080"/>
        </w:rPr>
        <w:t xml:space="preserve"> that the MEB </w:t>
      </w:r>
      <w:r w:rsidR="00C32F3B">
        <w:rPr>
          <w:color w:val="000080"/>
        </w:rPr>
        <w:t>appl</w:t>
      </w:r>
      <w:r w:rsidR="00772545">
        <w:rPr>
          <w:color w:val="000080"/>
        </w:rPr>
        <w:t>ied</w:t>
      </w:r>
      <w:r w:rsidR="00560834" w:rsidRPr="00E86F73">
        <w:rPr>
          <w:color w:val="000080"/>
        </w:rPr>
        <w:t xml:space="preserve"> similar logic</w:t>
      </w:r>
      <w:r w:rsidR="00C32F3B">
        <w:rPr>
          <w:color w:val="000080"/>
        </w:rPr>
        <w:t xml:space="preserve"> in making the same distinction </w:t>
      </w:r>
      <w:r w:rsidR="00560834" w:rsidRPr="00E86F73">
        <w:rPr>
          <w:color w:val="000080"/>
        </w:rPr>
        <w:t xml:space="preserve">on the DA </w:t>
      </w:r>
      <w:r w:rsidR="009264CE">
        <w:rPr>
          <w:color w:val="000080"/>
        </w:rPr>
        <w:t xml:space="preserve">Form </w:t>
      </w:r>
      <w:r w:rsidR="00560834" w:rsidRPr="00E86F73">
        <w:rPr>
          <w:color w:val="000080"/>
        </w:rPr>
        <w:t xml:space="preserve">3947.  The PEB’s decision to combine them under a single spine rating was defensible in that the functional disability associated with each component merges into spine limitations and cannot be </w:t>
      </w:r>
      <w:r w:rsidR="00165973" w:rsidRPr="00E86F73">
        <w:rPr>
          <w:color w:val="000080"/>
        </w:rPr>
        <w:t>clinically separated.  The VA’s resort to an analogous rating for the degenerative disc disease as arthritis</w:t>
      </w:r>
      <w:r w:rsidR="003F181C" w:rsidRPr="00E86F73">
        <w:rPr>
          <w:color w:val="000080"/>
        </w:rPr>
        <w:t>,</w:t>
      </w:r>
      <w:r w:rsidR="00165973" w:rsidRPr="00E86F73">
        <w:rPr>
          <w:color w:val="000080"/>
        </w:rPr>
        <w:t xml:space="preserve"> rather than the better fitting 5293 spine code</w:t>
      </w:r>
      <w:r w:rsidR="003F181C" w:rsidRPr="00E86F73">
        <w:rPr>
          <w:color w:val="000080"/>
        </w:rPr>
        <w:t>,</w:t>
      </w:r>
      <w:r w:rsidR="00165973" w:rsidRPr="00E86F73">
        <w:rPr>
          <w:color w:val="000080"/>
        </w:rPr>
        <w:t xml:space="preserve"> was necessary to avoid duplication.  It does, however, raise </w:t>
      </w:r>
      <w:r w:rsidR="00C32F3B">
        <w:rPr>
          <w:color w:val="000080"/>
        </w:rPr>
        <w:t>the possibility</w:t>
      </w:r>
      <w:r w:rsidR="00165973" w:rsidRPr="00E86F73">
        <w:rPr>
          <w:color w:val="000080"/>
        </w:rPr>
        <w:t xml:space="preserve"> of pyramiding</w:t>
      </w:r>
      <w:r w:rsidR="00C32F3B">
        <w:rPr>
          <w:color w:val="000080"/>
        </w:rPr>
        <w:t xml:space="preserve"> and begs the question that the pathologies are clinically merged</w:t>
      </w:r>
      <w:r w:rsidR="00165973" w:rsidRPr="00E86F73">
        <w:rPr>
          <w:color w:val="000080"/>
        </w:rPr>
        <w:t>.</w:t>
      </w:r>
      <w:r w:rsidR="00023EF1" w:rsidRPr="00E86F73">
        <w:rPr>
          <w:color w:val="000080"/>
        </w:rPr>
        <w:t xml:space="preserve">  There is no question that both conditions together are worse than either alone, which was probably the VA rater’s motivation to apply separate codes.  In essence the VA was assigning 20% disability for the back, whereas the PEB assigned 10%.  For the Board this presents a </w:t>
      </w:r>
      <w:r w:rsidR="00C32F3B">
        <w:rPr>
          <w:color w:val="000080"/>
        </w:rPr>
        <w:t>picture</w:t>
      </w:r>
      <w:r w:rsidR="00023EF1" w:rsidRPr="00E86F73">
        <w:rPr>
          <w:color w:val="000080"/>
        </w:rPr>
        <w:t xml:space="preserve"> of reasonable doubt, which should be resolved in favor of the CI.  The Board, however, does not agree with the double coding resolution applied by the VA.  The clinical picture is a good fit with the 5293 code, especially considering that there was a </w:t>
      </w:r>
      <w:r w:rsidR="00060F36" w:rsidRPr="00E86F73">
        <w:rPr>
          <w:color w:val="000080"/>
        </w:rPr>
        <w:t xml:space="preserve">disc-specific neuropathy as discussed below.  A 20% rating </w:t>
      </w:r>
      <w:proofErr w:type="gramStart"/>
      <w:r w:rsidR="00060F36" w:rsidRPr="00E86F73">
        <w:rPr>
          <w:color w:val="000080"/>
        </w:rPr>
        <w:t>under</w:t>
      </w:r>
      <w:proofErr w:type="gramEnd"/>
      <w:r w:rsidR="00060F36" w:rsidRPr="00E86F73">
        <w:rPr>
          <w:color w:val="000080"/>
        </w:rPr>
        <w:t xml:space="preserve"> 5293 is consistent with the language of the rating criteria and justified by the increased severity from the co-morbid </w:t>
      </w:r>
      <w:proofErr w:type="spellStart"/>
      <w:r w:rsidR="00060F36" w:rsidRPr="00E86F73">
        <w:rPr>
          <w:color w:val="000080"/>
        </w:rPr>
        <w:t>spondylolisthesis</w:t>
      </w:r>
      <w:proofErr w:type="spellEnd"/>
      <w:r w:rsidR="00060F36" w:rsidRPr="00E86F73">
        <w:rPr>
          <w:color w:val="000080"/>
        </w:rPr>
        <w:t>.  The Board therefore recommends that the back condition be rated 20% under the 5293 code.</w:t>
      </w:r>
    </w:p>
    <w:p w:rsidR="00060F36" w:rsidRPr="00E86F73" w:rsidRDefault="00060F36" w:rsidP="00E86F73">
      <w:pPr>
        <w:tabs>
          <w:tab w:val="left" w:pos="288"/>
          <w:tab w:val="left" w:pos="4752"/>
        </w:tabs>
        <w:spacing w:line="240" w:lineRule="exact"/>
        <w:jc w:val="both"/>
        <w:rPr>
          <w:color w:val="000080"/>
        </w:rPr>
      </w:pPr>
    </w:p>
    <w:p w:rsidR="00060F36" w:rsidRPr="00E86F73" w:rsidRDefault="00060F36" w:rsidP="00E86F73">
      <w:pPr>
        <w:tabs>
          <w:tab w:val="left" w:pos="288"/>
          <w:tab w:val="left" w:pos="4752"/>
        </w:tabs>
        <w:spacing w:line="240" w:lineRule="exact"/>
        <w:jc w:val="both"/>
        <w:rPr>
          <w:color w:val="000080"/>
        </w:rPr>
      </w:pPr>
      <w:r w:rsidRPr="00E86F73">
        <w:rPr>
          <w:color w:val="000080"/>
        </w:rPr>
        <w:t xml:space="preserve">The Board acknowledges the sentiment expressed in the CI’s application, i.e., that there should be additional disability assigned for conditions which will predictably worsen over time.  This is commonly expressed by our applicants.  It </w:t>
      </w:r>
      <w:r w:rsidR="00750A20" w:rsidRPr="00E86F73">
        <w:rPr>
          <w:color w:val="000080"/>
        </w:rPr>
        <w:t xml:space="preserve">is a fact, however, that the DES has neither the role nor the authority to compensate service members for anticipated future severity or </w:t>
      </w:r>
      <w:r w:rsidR="003F181C" w:rsidRPr="00E86F73">
        <w:rPr>
          <w:color w:val="000080"/>
        </w:rPr>
        <w:t>potential</w:t>
      </w:r>
      <w:r w:rsidR="00750A20" w:rsidRPr="00E86F73">
        <w:rPr>
          <w:color w:val="000080"/>
        </w:rPr>
        <w:t xml:space="preserve"> complications of conditions resulting in medical separation.  This role and authority is granted by Congress to the Veterans Administration.</w:t>
      </w:r>
    </w:p>
    <w:p w:rsidR="004E0248" w:rsidRPr="00E86F73" w:rsidRDefault="004E0248" w:rsidP="00E86F73">
      <w:pPr>
        <w:tabs>
          <w:tab w:val="left" w:pos="288"/>
          <w:tab w:val="left" w:pos="4752"/>
        </w:tabs>
        <w:spacing w:line="240" w:lineRule="exact"/>
        <w:jc w:val="both"/>
        <w:rPr>
          <w:color w:val="000080"/>
        </w:rPr>
      </w:pPr>
    </w:p>
    <w:p w:rsidR="00E15B0A" w:rsidRPr="00E86F73" w:rsidRDefault="00E15B0A" w:rsidP="00E86F73">
      <w:pPr>
        <w:tabs>
          <w:tab w:val="left" w:pos="288"/>
          <w:tab w:val="left" w:pos="4752"/>
        </w:tabs>
        <w:spacing w:line="240" w:lineRule="exact"/>
        <w:jc w:val="both"/>
        <w:rPr>
          <w:color w:val="000080"/>
        </w:rPr>
      </w:pPr>
      <w:proofErr w:type="gramStart"/>
      <w:r w:rsidRPr="00E86F73">
        <w:rPr>
          <w:color w:val="000080"/>
          <w:u w:val="single"/>
        </w:rPr>
        <w:t>Peripheral Neuropathy</w:t>
      </w:r>
      <w:r w:rsidRPr="00E86F73">
        <w:rPr>
          <w:color w:val="000080"/>
        </w:rPr>
        <w:t>.</w:t>
      </w:r>
      <w:proofErr w:type="gramEnd"/>
      <w:r w:rsidRPr="00E86F73">
        <w:rPr>
          <w:color w:val="000080"/>
        </w:rPr>
        <w:t xml:space="preserve">  The</w:t>
      </w:r>
      <w:r w:rsidR="00862A25" w:rsidRPr="00E86F73">
        <w:rPr>
          <w:color w:val="000080"/>
        </w:rPr>
        <w:t xml:space="preserve">re is no question that the CI had a clinically apparent right L5/S1 disc neuropathy.  It was confined, however, to a </w:t>
      </w:r>
      <w:proofErr w:type="spellStart"/>
      <w:r w:rsidR="00F5716F" w:rsidRPr="00E86F73">
        <w:rPr>
          <w:color w:val="000080"/>
        </w:rPr>
        <w:t>dermatomal</w:t>
      </w:r>
      <w:proofErr w:type="spellEnd"/>
      <w:r w:rsidR="00862A25" w:rsidRPr="00E86F73">
        <w:rPr>
          <w:color w:val="000080"/>
        </w:rPr>
        <w:t xml:space="preserve"> sensory deficit</w:t>
      </w:r>
      <w:r w:rsidR="00E86F73">
        <w:rPr>
          <w:color w:val="000080"/>
        </w:rPr>
        <w:t xml:space="preserve"> (right great toe)</w:t>
      </w:r>
      <w:r w:rsidR="00862A25" w:rsidRPr="00E86F73">
        <w:rPr>
          <w:color w:val="000080"/>
        </w:rPr>
        <w:t xml:space="preserve">.  Normal motor and reflex examinations are to be found throughout the record and in both the MEB and VA rating examinations.  The VA was justified in its assignment of a rating for the peripheral </w:t>
      </w:r>
      <w:r w:rsidR="009D4D9B" w:rsidRPr="00E86F73">
        <w:rPr>
          <w:color w:val="000080"/>
        </w:rPr>
        <w:t xml:space="preserve">neuropathy based solely on sensory impairment.  The PEB’s DA </w:t>
      </w:r>
      <w:r w:rsidR="009264CE">
        <w:rPr>
          <w:color w:val="000080"/>
        </w:rPr>
        <w:t xml:space="preserve">Form </w:t>
      </w:r>
      <w:r w:rsidR="009D4D9B" w:rsidRPr="00E86F73">
        <w:rPr>
          <w:color w:val="000080"/>
        </w:rPr>
        <w:t xml:space="preserve">199 acknowledged intermittent </w:t>
      </w:r>
      <w:proofErr w:type="spellStart"/>
      <w:r w:rsidR="009D4D9B" w:rsidRPr="00E86F73">
        <w:rPr>
          <w:color w:val="000080"/>
        </w:rPr>
        <w:t>radicular</w:t>
      </w:r>
      <w:proofErr w:type="spellEnd"/>
      <w:r w:rsidR="009D4D9B" w:rsidRPr="00E86F73">
        <w:rPr>
          <w:color w:val="000080"/>
        </w:rPr>
        <w:t xml:space="preserve"> symptoms, but in the absence of a focal neurologic </w:t>
      </w:r>
      <w:r w:rsidR="009D4D9B" w:rsidRPr="00E86F73">
        <w:rPr>
          <w:color w:val="000080"/>
        </w:rPr>
        <w:lastRenderedPageBreak/>
        <w:t xml:space="preserve">deficit did not assign an additionally rated condition </w:t>
      </w:r>
      <w:r w:rsidR="00DC3322" w:rsidRPr="00E86F73">
        <w:rPr>
          <w:color w:val="000080"/>
        </w:rPr>
        <w:t>for</w:t>
      </w:r>
      <w:r w:rsidR="009D4D9B" w:rsidRPr="00E86F73">
        <w:rPr>
          <w:color w:val="000080"/>
        </w:rPr>
        <w:t xml:space="preserve"> the </w:t>
      </w:r>
      <w:proofErr w:type="spellStart"/>
      <w:r w:rsidR="009D4D9B" w:rsidRPr="00E86F73">
        <w:rPr>
          <w:color w:val="000080"/>
        </w:rPr>
        <w:t>radicular</w:t>
      </w:r>
      <w:proofErr w:type="spellEnd"/>
      <w:r w:rsidR="009D4D9B" w:rsidRPr="00E86F73">
        <w:rPr>
          <w:color w:val="000080"/>
        </w:rPr>
        <w:t xml:space="preserve"> </w:t>
      </w:r>
      <w:r w:rsidR="00DC3322" w:rsidRPr="00E86F73">
        <w:rPr>
          <w:color w:val="000080"/>
        </w:rPr>
        <w:t>features</w:t>
      </w:r>
      <w:r w:rsidR="009D4D9B" w:rsidRPr="00E86F73">
        <w:rPr>
          <w:color w:val="000080"/>
        </w:rPr>
        <w:t>.  There</w:t>
      </w:r>
      <w:r w:rsidR="00DC3322" w:rsidRPr="00E86F73">
        <w:rPr>
          <w:color w:val="000080"/>
        </w:rPr>
        <w:t xml:space="preserve"> actually</w:t>
      </w:r>
      <w:r w:rsidR="009D4D9B" w:rsidRPr="00E86F73">
        <w:rPr>
          <w:color w:val="000080"/>
        </w:rPr>
        <w:t xml:space="preserve"> was not a distinctly diagnosed </w:t>
      </w:r>
      <w:r w:rsidR="00F5716F" w:rsidRPr="00E86F73">
        <w:rPr>
          <w:color w:val="000080"/>
        </w:rPr>
        <w:t>sciatic neuropathy or EMG (nerve conduction study) pursuit of one in the service record</w:t>
      </w:r>
      <w:r w:rsidR="000A7CE6">
        <w:rPr>
          <w:color w:val="000080"/>
        </w:rPr>
        <w:t xml:space="preserve">.  An EMG was not specifically </w:t>
      </w:r>
      <w:r w:rsidR="00F5716F" w:rsidRPr="00E86F73">
        <w:rPr>
          <w:color w:val="000080"/>
        </w:rPr>
        <w:t>indicated given the absence of any sign</w:t>
      </w:r>
      <w:r w:rsidR="000A7CE6">
        <w:rPr>
          <w:color w:val="000080"/>
        </w:rPr>
        <w:t>s</w:t>
      </w:r>
      <w:r w:rsidR="00F5716F" w:rsidRPr="00E86F73">
        <w:rPr>
          <w:color w:val="000080"/>
        </w:rPr>
        <w:t xml:space="preserve"> of </w:t>
      </w:r>
      <w:r w:rsidR="00AF1DAA" w:rsidRPr="00E86F73">
        <w:rPr>
          <w:color w:val="000080"/>
        </w:rPr>
        <w:t xml:space="preserve">motor </w:t>
      </w:r>
      <w:r w:rsidR="00F5716F" w:rsidRPr="00E86F73">
        <w:rPr>
          <w:color w:val="000080"/>
        </w:rPr>
        <w:t xml:space="preserve">weakness.  The presence of functional impairment with a direct impact on fitness </w:t>
      </w:r>
      <w:r w:rsidR="00AF1DAA" w:rsidRPr="00E86F73">
        <w:rPr>
          <w:color w:val="000080"/>
        </w:rPr>
        <w:t>is a</w:t>
      </w:r>
      <w:r w:rsidR="00F5716F" w:rsidRPr="00E86F73">
        <w:rPr>
          <w:color w:val="000080"/>
        </w:rPr>
        <w:t xml:space="preserve"> </w:t>
      </w:r>
      <w:r w:rsidR="00AF1DAA" w:rsidRPr="00E86F73">
        <w:rPr>
          <w:color w:val="000080"/>
        </w:rPr>
        <w:t>crucial factor</w:t>
      </w:r>
      <w:r w:rsidR="00F5716F" w:rsidRPr="00E86F73">
        <w:rPr>
          <w:color w:val="000080"/>
        </w:rPr>
        <w:t xml:space="preserve"> in the Board’s decision to recommend any condition for rating as additionally unfitting.  Diminished sensation in a small area of the foot </w:t>
      </w:r>
      <w:r w:rsidR="00AF1DAA" w:rsidRPr="00E86F73">
        <w:rPr>
          <w:color w:val="000080"/>
        </w:rPr>
        <w:t xml:space="preserve">with no loss of strength </w:t>
      </w:r>
      <w:r w:rsidR="00F5716F" w:rsidRPr="00E86F73">
        <w:rPr>
          <w:color w:val="000080"/>
        </w:rPr>
        <w:t>does not reach that threshold.</w:t>
      </w:r>
      <w:r w:rsidR="00AF1DAA" w:rsidRPr="00E86F73">
        <w:rPr>
          <w:color w:val="000080"/>
        </w:rPr>
        <w:t xml:space="preserve">  There is not reasonable doubt in the CI’s favor to support a Board recommendation to add sciatic neuropathy as an additionally unfitting condition for separation rating.</w:t>
      </w:r>
    </w:p>
    <w:p w:rsidR="00E15B0A" w:rsidRPr="00E86F73" w:rsidRDefault="00E15B0A" w:rsidP="00E86F73">
      <w:pPr>
        <w:tabs>
          <w:tab w:val="left" w:pos="288"/>
          <w:tab w:val="left" w:pos="4752"/>
        </w:tabs>
        <w:spacing w:line="240" w:lineRule="exact"/>
        <w:jc w:val="both"/>
        <w:rPr>
          <w:color w:val="000080"/>
        </w:rPr>
      </w:pPr>
    </w:p>
    <w:p w:rsidR="006C3A68" w:rsidRPr="00E86F73" w:rsidRDefault="002C6E5B" w:rsidP="00E86F73">
      <w:pPr>
        <w:tabs>
          <w:tab w:val="left" w:pos="288"/>
          <w:tab w:val="left" w:pos="4752"/>
        </w:tabs>
        <w:spacing w:line="240" w:lineRule="exact"/>
        <w:jc w:val="both"/>
        <w:rPr>
          <w:color w:val="000080"/>
        </w:rPr>
      </w:pPr>
      <w:proofErr w:type="gramStart"/>
      <w:r w:rsidRPr="00E86F73">
        <w:rPr>
          <w:color w:val="000080"/>
          <w:u w:val="single"/>
        </w:rPr>
        <w:t>Other Conditions</w:t>
      </w:r>
      <w:r w:rsidRPr="00E86F73">
        <w:rPr>
          <w:color w:val="000080"/>
        </w:rPr>
        <w:t>.</w:t>
      </w:r>
      <w:proofErr w:type="gramEnd"/>
      <w:r w:rsidRPr="00E86F73">
        <w:rPr>
          <w:color w:val="000080"/>
        </w:rPr>
        <w:t xml:space="preserve">  </w:t>
      </w:r>
      <w:r w:rsidR="00694EEA" w:rsidRPr="00E86F73">
        <w:rPr>
          <w:color w:val="000080"/>
        </w:rPr>
        <w:t xml:space="preserve">The only </w:t>
      </w:r>
      <w:r w:rsidR="00AF1DAA" w:rsidRPr="00E86F73">
        <w:rPr>
          <w:color w:val="000080"/>
        </w:rPr>
        <w:t xml:space="preserve">relevant </w:t>
      </w:r>
      <w:r w:rsidR="00694EEA" w:rsidRPr="00E86F73">
        <w:rPr>
          <w:color w:val="000080"/>
        </w:rPr>
        <w:t xml:space="preserve">additional conditions documented in the DES packet were </w:t>
      </w:r>
      <w:r w:rsidR="00AF1DAA" w:rsidRPr="00E86F73">
        <w:rPr>
          <w:color w:val="000080"/>
        </w:rPr>
        <w:t xml:space="preserve">an umbilical hernia, a right shoulder condition, and hearing loss.  The hernia was </w:t>
      </w:r>
      <w:r w:rsidR="00F75F7C" w:rsidRPr="00E86F73">
        <w:rPr>
          <w:color w:val="000080"/>
        </w:rPr>
        <w:t xml:space="preserve">previously repaired although there was evidence that it was again symptomatic at the time of separation.  It was not tied to any of the physical limitations elaborated in the NARSUM.  It was not noted in the physical profile.  It </w:t>
      </w:r>
      <w:r w:rsidR="00DC3322" w:rsidRPr="00E86F73">
        <w:rPr>
          <w:color w:val="000080"/>
        </w:rPr>
        <w:t xml:space="preserve">therefore </w:t>
      </w:r>
      <w:r w:rsidR="00F75F7C" w:rsidRPr="00E86F73">
        <w:rPr>
          <w:color w:val="000080"/>
        </w:rPr>
        <w:t xml:space="preserve">does not have a link to fitness which would merit a Board recommendation as additionally unfitting.  </w:t>
      </w:r>
      <w:r w:rsidR="00DC3322" w:rsidRPr="00E86F73">
        <w:rPr>
          <w:color w:val="000080"/>
        </w:rPr>
        <w:t>Intermittent right</w:t>
      </w:r>
      <w:r w:rsidR="00F75F7C" w:rsidRPr="00E86F73">
        <w:rPr>
          <w:color w:val="000080"/>
        </w:rPr>
        <w:t xml:space="preserve"> shoulder </w:t>
      </w:r>
      <w:r w:rsidR="00DC3322" w:rsidRPr="00E86F73">
        <w:rPr>
          <w:color w:val="000080"/>
        </w:rPr>
        <w:t xml:space="preserve">symptoms </w:t>
      </w:r>
      <w:r w:rsidR="00F75F7C" w:rsidRPr="00E86F73">
        <w:rPr>
          <w:color w:val="000080"/>
        </w:rPr>
        <w:t>w</w:t>
      </w:r>
      <w:r w:rsidR="00DC3322" w:rsidRPr="00E86F73">
        <w:rPr>
          <w:color w:val="000080"/>
        </w:rPr>
        <w:t>ere</w:t>
      </w:r>
      <w:r w:rsidR="00F75F7C" w:rsidRPr="00E86F73">
        <w:rPr>
          <w:color w:val="000080"/>
        </w:rPr>
        <w:t xml:space="preserve"> mentioned in the MEB physical, but </w:t>
      </w:r>
      <w:r w:rsidR="00DC3322" w:rsidRPr="00E86F73">
        <w:rPr>
          <w:color w:val="000080"/>
        </w:rPr>
        <w:t xml:space="preserve">the condition </w:t>
      </w:r>
      <w:r w:rsidR="00F75F7C" w:rsidRPr="00E86F73">
        <w:rPr>
          <w:color w:val="000080"/>
        </w:rPr>
        <w:t xml:space="preserve">was chronic and stable.  It was not under active </w:t>
      </w:r>
      <w:r w:rsidR="00DC3322" w:rsidRPr="00E86F73">
        <w:rPr>
          <w:color w:val="000080"/>
        </w:rPr>
        <w:t xml:space="preserve">treatment during the MEB period, </w:t>
      </w:r>
      <w:r w:rsidR="00F75F7C" w:rsidRPr="00E86F73">
        <w:rPr>
          <w:color w:val="000080"/>
        </w:rPr>
        <w:t xml:space="preserve">was not noted in the Commander’s statement </w:t>
      </w:r>
      <w:r w:rsidR="00DC3322" w:rsidRPr="00E86F73">
        <w:rPr>
          <w:color w:val="000080"/>
        </w:rPr>
        <w:t xml:space="preserve">and the </w:t>
      </w:r>
      <w:r w:rsidR="00F75F7C" w:rsidRPr="00E86F73">
        <w:rPr>
          <w:color w:val="000080"/>
        </w:rPr>
        <w:t>physical profile</w:t>
      </w:r>
      <w:r w:rsidR="00DC3322" w:rsidRPr="00E86F73">
        <w:rPr>
          <w:color w:val="000080"/>
        </w:rPr>
        <w:t xml:space="preserve"> was U1</w:t>
      </w:r>
      <w:r w:rsidR="00F75F7C" w:rsidRPr="00E86F73">
        <w:rPr>
          <w:color w:val="000080"/>
        </w:rPr>
        <w:t xml:space="preserve">.  The hearing loss was rated 0% by the VA and the physical profile was H1.  </w:t>
      </w:r>
    </w:p>
    <w:p w:rsidR="00F75F7C" w:rsidRPr="00E86F73" w:rsidRDefault="00F75F7C" w:rsidP="00E86F73">
      <w:pPr>
        <w:tabs>
          <w:tab w:val="left" w:pos="288"/>
          <w:tab w:val="left" w:pos="4752"/>
        </w:tabs>
        <w:spacing w:line="240" w:lineRule="exact"/>
        <w:jc w:val="both"/>
        <w:rPr>
          <w:color w:val="000080"/>
        </w:rPr>
      </w:pPr>
    </w:p>
    <w:p w:rsidR="00F75F7C" w:rsidRPr="00E86F73" w:rsidRDefault="00F75F7C" w:rsidP="00E86F73">
      <w:pPr>
        <w:tabs>
          <w:tab w:val="left" w:pos="288"/>
          <w:tab w:val="left" w:pos="4752"/>
        </w:tabs>
        <w:spacing w:line="240" w:lineRule="exact"/>
        <w:jc w:val="both"/>
        <w:rPr>
          <w:color w:val="000080"/>
        </w:rPr>
      </w:pPr>
      <w:r w:rsidRPr="00E86F73">
        <w:rPr>
          <w:color w:val="000080"/>
        </w:rPr>
        <w:t xml:space="preserve">The Board, therefore, has no reasonable basis for recommending any additional unfitting conditions for separation rating.  The Board does not have the authority under </w:t>
      </w:r>
      <w:proofErr w:type="spellStart"/>
      <w:r w:rsidRPr="00E86F73">
        <w:rPr>
          <w:color w:val="000080"/>
        </w:rPr>
        <w:t>DoDI</w:t>
      </w:r>
      <w:proofErr w:type="spellEnd"/>
      <w:r w:rsidRPr="00E86F73">
        <w:rPr>
          <w:color w:val="000080"/>
        </w:rPr>
        <w:t xml:space="preserve"> 6040.44 to render fitness or rating recommendations for any conditions not considered by the DES.  Any other contended conditions remain eligible for ABMCR consideration.  </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D32F6E" w:rsidRPr="00E86F73" w:rsidRDefault="00C56FC8" w:rsidP="00E86F73">
      <w:pPr>
        <w:tabs>
          <w:tab w:val="left" w:pos="288"/>
          <w:tab w:val="left" w:pos="4752"/>
        </w:tabs>
        <w:spacing w:line="240" w:lineRule="exact"/>
        <w:jc w:val="both"/>
        <w:rPr>
          <w:color w:val="000080"/>
        </w:rPr>
      </w:pPr>
      <w:r w:rsidRPr="00E86F73">
        <w:rPr>
          <w:color w:val="000080"/>
          <w:u w:val="single"/>
        </w:rPr>
        <w:t>BOARD FINDINGS</w:t>
      </w:r>
      <w:r w:rsidRPr="00E86F73">
        <w:rPr>
          <w:color w:val="000080"/>
        </w:rPr>
        <w:t xml:space="preserve">:  IAW </w:t>
      </w:r>
      <w:proofErr w:type="spellStart"/>
      <w:r w:rsidRPr="00E86F73">
        <w:rPr>
          <w:color w:val="000080"/>
        </w:rPr>
        <w:t>DoDI</w:t>
      </w:r>
      <w:proofErr w:type="spellEnd"/>
      <w:r w:rsidRPr="00E86F73">
        <w:rPr>
          <w:color w:val="000080"/>
        </w:rPr>
        <w:t xml:space="preserve"> 6040.44, provisions of </w:t>
      </w:r>
      <w:proofErr w:type="spellStart"/>
      <w:r w:rsidRPr="00E86F73">
        <w:rPr>
          <w:color w:val="000080"/>
        </w:rPr>
        <w:t>DoD</w:t>
      </w:r>
      <w:proofErr w:type="spellEnd"/>
      <w:r w:rsidRPr="00E86F73">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E86F73">
        <w:rPr>
          <w:color w:val="000080"/>
        </w:rPr>
        <w:t xml:space="preserve"> </w:t>
      </w:r>
      <w:r w:rsidRPr="00E86F73">
        <w:rPr>
          <w:color w:val="000080"/>
        </w:rPr>
        <w:t>The Board did not surmise from the record or PEB ruling in this case that any prerogatives outside the VASRD were exercised.</w:t>
      </w:r>
      <w:r w:rsidR="00D32F6E" w:rsidRPr="00E86F73">
        <w:rPr>
          <w:color w:val="000080"/>
        </w:rPr>
        <w:t xml:space="preserve">  In the matter of the lumbar spine condition, the Board unanimously recommends a rating of 20% coded 5293 IAW VASRD §4.71a.  In the matter of the peripheral neuropathy of the right lower extremity, umbilical hernia, right shoulder condition, hearing loss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D32F6E" w:rsidRPr="000A7CE6" w:rsidRDefault="00C56FC8" w:rsidP="009264CE">
      <w:pPr>
        <w:jc w:val="both"/>
        <w:rPr>
          <w:color w:val="000080"/>
          <w:u w:val="single"/>
        </w:rPr>
      </w:pPr>
      <w:r w:rsidRPr="00E86F73">
        <w:rPr>
          <w:color w:val="000080"/>
          <w:u w:val="single"/>
        </w:rPr>
        <w:lastRenderedPageBreak/>
        <w:t>RECOMMENDATION</w:t>
      </w:r>
      <w:r w:rsidRPr="00E86F73">
        <w:rPr>
          <w:color w:val="000080"/>
        </w:rPr>
        <w:t xml:space="preserve">: </w:t>
      </w:r>
      <w:r w:rsidR="00D32F6E" w:rsidRPr="00E86F73">
        <w:rPr>
          <w:color w:val="000080"/>
        </w:rPr>
        <w:t>The Board recommends that the CI’s prior determination be modified as follows, effective as of the date of his prior medical separation.</w:t>
      </w:r>
    </w:p>
    <w:p w:rsidR="00FB593A" w:rsidRDefault="00FB593A" w:rsidP="00875F2D">
      <w:pPr>
        <w:tabs>
          <w:tab w:val="left" w:pos="288"/>
          <w:tab w:val="left" w:pos="4752"/>
        </w:tabs>
        <w:spacing w:line="240" w:lineRule="exact"/>
        <w:jc w:val="both"/>
        <w:rPr>
          <w:color w:val="000080"/>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06"/>
        <w:gridCol w:w="1084"/>
      </w:tblGrid>
      <w:tr w:rsidR="00D32F6E" w:rsidRPr="00533FB5" w:rsidTr="00D233C3">
        <w:trPr>
          <w:trHeight w:val="287"/>
        </w:trPr>
        <w:tc>
          <w:tcPr>
            <w:tcW w:w="5220" w:type="dxa"/>
            <w:shd w:val="clear" w:color="auto" w:fill="D9D9D9"/>
          </w:tcPr>
          <w:p w:rsidR="00D32F6E" w:rsidRPr="00A867F0" w:rsidRDefault="00D32F6E" w:rsidP="00D233C3">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D32F6E" w:rsidRPr="00A867F0" w:rsidRDefault="00D32F6E" w:rsidP="00D233C3">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D32F6E" w:rsidRPr="00A867F0" w:rsidRDefault="00D32F6E" w:rsidP="00D233C3">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D32F6E" w:rsidRPr="00533FB5" w:rsidTr="00D233C3">
        <w:tc>
          <w:tcPr>
            <w:tcW w:w="5220" w:type="dxa"/>
          </w:tcPr>
          <w:p w:rsidR="00D32F6E" w:rsidRPr="00A867F0" w:rsidRDefault="00D32F6E" w:rsidP="00D233C3">
            <w:pPr>
              <w:tabs>
                <w:tab w:val="left" w:pos="288"/>
                <w:tab w:val="left" w:pos="4752"/>
              </w:tabs>
              <w:spacing w:before="20" w:after="20" w:line="240" w:lineRule="exact"/>
              <w:rPr>
                <w:color w:val="000080"/>
                <w:szCs w:val="24"/>
              </w:rPr>
            </w:pPr>
            <w:r>
              <w:rPr>
                <w:color w:val="000080"/>
                <w:szCs w:val="24"/>
              </w:rPr>
              <w:t xml:space="preserve">Low Back Pain with Degenerative Disc Disease and </w:t>
            </w:r>
            <w:proofErr w:type="spellStart"/>
            <w:r>
              <w:rPr>
                <w:color w:val="000080"/>
                <w:szCs w:val="24"/>
              </w:rPr>
              <w:t>Spondylolisthesis</w:t>
            </w:r>
            <w:proofErr w:type="spellEnd"/>
          </w:p>
        </w:tc>
        <w:tc>
          <w:tcPr>
            <w:tcW w:w="1706" w:type="dxa"/>
          </w:tcPr>
          <w:p w:rsidR="00D32F6E" w:rsidRPr="00A867F0" w:rsidRDefault="00D32F6E" w:rsidP="00D32F6E">
            <w:pPr>
              <w:tabs>
                <w:tab w:val="left" w:pos="288"/>
                <w:tab w:val="left" w:pos="4752"/>
              </w:tabs>
              <w:spacing w:line="240" w:lineRule="exact"/>
              <w:jc w:val="center"/>
              <w:rPr>
                <w:color w:val="000080"/>
                <w:szCs w:val="24"/>
              </w:rPr>
            </w:pPr>
            <w:r>
              <w:rPr>
                <w:color w:val="000080"/>
                <w:szCs w:val="24"/>
              </w:rPr>
              <w:t>5293</w:t>
            </w:r>
          </w:p>
        </w:tc>
        <w:tc>
          <w:tcPr>
            <w:tcW w:w="1084" w:type="dxa"/>
          </w:tcPr>
          <w:p w:rsidR="00D32F6E" w:rsidRPr="00A867F0" w:rsidRDefault="00D32F6E" w:rsidP="00D32F6E">
            <w:pPr>
              <w:tabs>
                <w:tab w:val="left" w:pos="288"/>
                <w:tab w:val="left" w:pos="4752"/>
              </w:tabs>
              <w:spacing w:line="240" w:lineRule="exact"/>
              <w:jc w:val="center"/>
              <w:rPr>
                <w:color w:val="000080"/>
                <w:szCs w:val="24"/>
              </w:rPr>
            </w:pPr>
            <w:r>
              <w:rPr>
                <w:color w:val="000080"/>
                <w:szCs w:val="24"/>
              </w:rPr>
              <w:t>20%</w:t>
            </w:r>
          </w:p>
        </w:tc>
      </w:tr>
      <w:tr w:rsidR="00D32F6E" w:rsidRPr="00533FB5" w:rsidTr="00D233C3">
        <w:tblPrEx>
          <w:tblLook w:val="0000"/>
        </w:tblPrEx>
        <w:trPr>
          <w:gridBefore w:val="1"/>
          <w:wBefore w:w="5220" w:type="dxa"/>
          <w:trHeight w:val="287"/>
        </w:trPr>
        <w:tc>
          <w:tcPr>
            <w:tcW w:w="1706" w:type="dxa"/>
            <w:tcBorders>
              <w:left w:val="single" w:sz="4" w:space="0" w:color="auto"/>
              <w:bottom w:val="single" w:sz="4" w:space="0" w:color="000000"/>
            </w:tcBorders>
            <w:shd w:val="clear" w:color="auto" w:fill="D9D9D9" w:themeFill="background1" w:themeFillShade="D9"/>
          </w:tcPr>
          <w:p w:rsidR="00D32F6E" w:rsidRPr="00A867F0" w:rsidRDefault="00D32F6E" w:rsidP="00D233C3">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D32F6E" w:rsidRPr="005A258C" w:rsidRDefault="00D32F6E" w:rsidP="00D233C3">
            <w:pPr>
              <w:tabs>
                <w:tab w:val="left" w:pos="288"/>
                <w:tab w:val="left" w:pos="4752"/>
              </w:tabs>
              <w:spacing w:before="40" w:line="240" w:lineRule="exact"/>
              <w:jc w:val="center"/>
              <w:rPr>
                <w:b/>
                <w:color w:val="000080"/>
                <w:szCs w:val="24"/>
              </w:rPr>
            </w:pPr>
            <w:r>
              <w:rPr>
                <w:b/>
                <w:color w:val="000080"/>
                <w:szCs w:val="24"/>
              </w:rPr>
              <w:t>20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695931">
        <w:rPr>
          <w:color w:val="000080"/>
        </w:rPr>
        <w:t>0129</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88243E" w:rsidRDefault="0088243E">
      <w:pPr>
        <w:rPr>
          <w:color w:val="000080"/>
        </w:rPr>
      </w:pPr>
      <w:r>
        <w:rPr>
          <w:color w:val="000080"/>
        </w:rPr>
        <w:br w:type="page"/>
      </w:r>
    </w:p>
    <w:p w:rsidR="0088243E" w:rsidRDefault="0088243E" w:rsidP="0088243E">
      <w:pPr>
        <w:pStyle w:val="Default"/>
        <w:framePr w:w="16849" w:wrap="auto" w:vAnchor="page" w:hAnchor="page" w:x="1" w:y="1"/>
      </w:pPr>
      <w:r>
        <w:rPr>
          <w:noProof/>
        </w:rPr>
        <w:lastRenderedPageBreak/>
        <w:drawing>
          <wp:inline distT="0" distB="0" distL="0" distR="0">
            <wp:extent cx="780034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114F20" w:rsidRPr="00D91DA6" w:rsidRDefault="00114F20" w:rsidP="00875F2D">
      <w:pPr>
        <w:tabs>
          <w:tab w:val="left" w:pos="288"/>
          <w:tab w:val="left" w:pos="4752"/>
        </w:tabs>
        <w:spacing w:line="240" w:lineRule="exact"/>
        <w:jc w:val="both"/>
        <w:rPr>
          <w:color w:val="000080"/>
        </w:rPr>
      </w:pPr>
    </w:p>
    <w:sectPr w:rsidR="00114F20" w:rsidRPr="00D91DA6" w:rsidSect="00CB4F0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EEE" w:rsidRDefault="00140EEE">
      <w:r>
        <w:separator/>
      </w:r>
    </w:p>
  </w:endnote>
  <w:endnote w:type="continuationSeparator" w:id="0">
    <w:p w:rsidR="00140EEE" w:rsidRDefault="00140EEE">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B556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FB556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88243E">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695931">
      <w:rPr>
        <w:caps/>
        <w:color w:val="000080"/>
      </w:rPr>
      <w:t>127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EEE" w:rsidRDefault="00140EEE">
      <w:r>
        <w:separator/>
      </w:r>
    </w:p>
  </w:footnote>
  <w:footnote w:type="continuationSeparator" w:id="0">
    <w:p w:rsidR="00140EEE" w:rsidRDefault="00140E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58721"/>
  </w:hdrShapeDefaults>
  <w:footnotePr>
    <w:numRestart w:val="eachSect"/>
    <w:footnote w:id="-1"/>
    <w:footnote w:id="0"/>
  </w:footnotePr>
  <w:endnotePr>
    <w:endnote w:id="-1"/>
    <w:endnote w:id="0"/>
  </w:endnotePr>
  <w:compat/>
  <w:rsids>
    <w:rsidRoot w:val="001C28D1"/>
    <w:rsid w:val="000059FA"/>
    <w:rsid w:val="00010ABA"/>
    <w:rsid w:val="00013417"/>
    <w:rsid w:val="000145C2"/>
    <w:rsid w:val="0002060E"/>
    <w:rsid w:val="000230B6"/>
    <w:rsid w:val="00023D43"/>
    <w:rsid w:val="00023EF1"/>
    <w:rsid w:val="00035C3A"/>
    <w:rsid w:val="000379D0"/>
    <w:rsid w:val="00040FC4"/>
    <w:rsid w:val="000416F8"/>
    <w:rsid w:val="00051622"/>
    <w:rsid w:val="00053D7C"/>
    <w:rsid w:val="00060F36"/>
    <w:rsid w:val="00072433"/>
    <w:rsid w:val="0008708B"/>
    <w:rsid w:val="00094E4F"/>
    <w:rsid w:val="000A2BCE"/>
    <w:rsid w:val="000A41E3"/>
    <w:rsid w:val="000A4BBA"/>
    <w:rsid w:val="000A7CE6"/>
    <w:rsid w:val="000C3C13"/>
    <w:rsid w:val="000C7DE4"/>
    <w:rsid w:val="000D15E7"/>
    <w:rsid w:val="000D248A"/>
    <w:rsid w:val="000D43F9"/>
    <w:rsid w:val="000D4717"/>
    <w:rsid w:val="000D7D55"/>
    <w:rsid w:val="000E0993"/>
    <w:rsid w:val="000F02BE"/>
    <w:rsid w:val="000F427B"/>
    <w:rsid w:val="00103CCF"/>
    <w:rsid w:val="0010417F"/>
    <w:rsid w:val="0010530E"/>
    <w:rsid w:val="001103CD"/>
    <w:rsid w:val="00114F20"/>
    <w:rsid w:val="001219DF"/>
    <w:rsid w:val="001231DC"/>
    <w:rsid w:val="001315DD"/>
    <w:rsid w:val="00135385"/>
    <w:rsid w:val="001364D1"/>
    <w:rsid w:val="00140EEE"/>
    <w:rsid w:val="001541C5"/>
    <w:rsid w:val="00165973"/>
    <w:rsid w:val="00177659"/>
    <w:rsid w:val="001779E5"/>
    <w:rsid w:val="00182A4C"/>
    <w:rsid w:val="00183F77"/>
    <w:rsid w:val="00184BB5"/>
    <w:rsid w:val="00185ECB"/>
    <w:rsid w:val="0019273F"/>
    <w:rsid w:val="00194930"/>
    <w:rsid w:val="001A7538"/>
    <w:rsid w:val="001B5B59"/>
    <w:rsid w:val="001C181A"/>
    <w:rsid w:val="001C2053"/>
    <w:rsid w:val="001C28D1"/>
    <w:rsid w:val="001C7418"/>
    <w:rsid w:val="001D0051"/>
    <w:rsid w:val="001D2224"/>
    <w:rsid w:val="001D68CF"/>
    <w:rsid w:val="001D6A8C"/>
    <w:rsid w:val="001D7A56"/>
    <w:rsid w:val="001E18E2"/>
    <w:rsid w:val="002060B6"/>
    <w:rsid w:val="00216049"/>
    <w:rsid w:val="00217C09"/>
    <w:rsid w:val="00225196"/>
    <w:rsid w:val="00225CB4"/>
    <w:rsid w:val="00232C9B"/>
    <w:rsid w:val="002338CA"/>
    <w:rsid w:val="0024227D"/>
    <w:rsid w:val="00246860"/>
    <w:rsid w:val="0025183C"/>
    <w:rsid w:val="00255049"/>
    <w:rsid w:val="0026318D"/>
    <w:rsid w:val="0027159C"/>
    <w:rsid w:val="00274549"/>
    <w:rsid w:val="00274E46"/>
    <w:rsid w:val="00276C86"/>
    <w:rsid w:val="002A3237"/>
    <w:rsid w:val="002B03B2"/>
    <w:rsid w:val="002B0749"/>
    <w:rsid w:val="002B1BB7"/>
    <w:rsid w:val="002C6E5B"/>
    <w:rsid w:val="002D18B4"/>
    <w:rsid w:val="002E1877"/>
    <w:rsid w:val="002E1C31"/>
    <w:rsid w:val="002E333A"/>
    <w:rsid w:val="002E3474"/>
    <w:rsid w:val="002E764B"/>
    <w:rsid w:val="002F287E"/>
    <w:rsid w:val="002F7F81"/>
    <w:rsid w:val="0030342E"/>
    <w:rsid w:val="0030678B"/>
    <w:rsid w:val="00310CD7"/>
    <w:rsid w:val="00323E70"/>
    <w:rsid w:val="003320E8"/>
    <w:rsid w:val="0033555E"/>
    <w:rsid w:val="00337351"/>
    <w:rsid w:val="00341A54"/>
    <w:rsid w:val="00351498"/>
    <w:rsid w:val="0036319E"/>
    <w:rsid w:val="00363362"/>
    <w:rsid w:val="0037520D"/>
    <w:rsid w:val="0037628C"/>
    <w:rsid w:val="00377BD2"/>
    <w:rsid w:val="003857D4"/>
    <w:rsid w:val="00385D6F"/>
    <w:rsid w:val="00387095"/>
    <w:rsid w:val="00390092"/>
    <w:rsid w:val="00393651"/>
    <w:rsid w:val="003A41BA"/>
    <w:rsid w:val="003A6A99"/>
    <w:rsid w:val="003B227A"/>
    <w:rsid w:val="003D2BA3"/>
    <w:rsid w:val="003D7089"/>
    <w:rsid w:val="003D7DDB"/>
    <w:rsid w:val="003E02C7"/>
    <w:rsid w:val="003E0543"/>
    <w:rsid w:val="003E31E3"/>
    <w:rsid w:val="003F181C"/>
    <w:rsid w:val="003F58B0"/>
    <w:rsid w:val="004007E9"/>
    <w:rsid w:val="00401BBC"/>
    <w:rsid w:val="00404B45"/>
    <w:rsid w:val="00406CC5"/>
    <w:rsid w:val="004074A4"/>
    <w:rsid w:val="004101B2"/>
    <w:rsid w:val="004123D7"/>
    <w:rsid w:val="004172DB"/>
    <w:rsid w:val="00422B75"/>
    <w:rsid w:val="00427474"/>
    <w:rsid w:val="00430AEC"/>
    <w:rsid w:val="0043503A"/>
    <w:rsid w:val="0044384F"/>
    <w:rsid w:val="004543BC"/>
    <w:rsid w:val="004574C6"/>
    <w:rsid w:val="00457BCF"/>
    <w:rsid w:val="004718E7"/>
    <w:rsid w:val="004761CC"/>
    <w:rsid w:val="00481DA1"/>
    <w:rsid w:val="00495350"/>
    <w:rsid w:val="004A24D2"/>
    <w:rsid w:val="004A4136"/>
    <w:rsid w:val="004B03F3"/>
    <w:rsid w:val="004B55F6"/>
    <w:rsid w:val="004B7169"/>
    <w:rsid w:val="004C5E33"/>
    <w:rsid w:val="004C6CDA"/>
    <w:rsid w:val="004D6F2B"/>
    <w:rsid w:val="004E0248"/>
    <w:rsid w:val="004E32EA"/>
    <w:rsid w:val="004E3B8C"/>
    <w:rsid w:val="004F3BFA"/>
    <w:rsid w:val="00510588"/>
    <w:rsid w:val="0051146C"/>
    <w:rsid w:val="005222E7"/>
    <w:rsid w:val="00523E04"/>
    <w:rsid w:val="0052590B"/>
    <w:rsid w:val="00526591"/>
    <w:rsid w:val="005350A5"/>
    <w:rsid w:val="00536379"/>
    <w:rsid w:val="00540BEF"/>
    <w:rsid w:val="005436C2"/>
    <w:rsid w:val="00550A41"/>
    <w:rsid w:val="0055288D"/>
    <w:rsid w:val="00560834"/>
    <w:rsid w:val="00560D57"/>
    <w:rsid w:val="00562A94"/>
    <w:rsid w:val="00593043"/>
    <w:rsid w:val="005A258C"/>
    <w:rsid w:val="005A2974"/>
    <w:rsid w:val="005A3560"/>
    <w:rsid w:val="005A37FC"/>
    <w:rsid w:val="005A6C99"/>
    <w:rsid w:val="005B011A"/>
    <w:rsid w:val="005B1D8F"/>
    <w:rsid w:val="005B7EBC"/>
    <w:rsid w:val="005F1115"/>
    <w:rsid w:val="005F1E97"/>
    <w:rsid w:val="005F27F2"/>
    <w:rsid w:val="005F424D"/>
    <w:rsid w:val="00613E26"/>
    <w:rsid w:val="00615641"/>
    <w:rsid w:val="006307BA"/>
    <w:rsid w:val="00634C4A"/>
    <w:rsid w:val="006418C9"/>
    <w:rsid w:val="00645046"/>
    <w:rsid w:val="00662F08"/>
    <w:rsid w:val="00663589"/>
    <w:rsid w:val="00670DDC"/>
    <w:rsid w:val="0067443B"/>
    <w:rsid w:val="00682F50"/>
    <w:rsid w:val="00684E2B"/>
    <w:rsid w:val="00690FDA"/>
    <w:rsid w:val="00694EEA"/>
    <w:rsid w:val="00695931"/>
    <w:rsid w:val="00696476"/>
    <w:rsid w:val="006A10FA"/>
    <w:rsid w:val="006A40E6"/>
    <w:rsid w:val="006A4AE3"/>
    <w:rsid w:val="006A5C07"/>
    <w:rsid w:val="006A75FA"/>
    <w:rsid w:val="006B07D5"/>
    <w:rsid w:val="006B5923"/>
    <w:rsid w:val="006B6C14"/>
    <w:rsid w:val="006C3A68"/>
    <w:rsid w:val="006C6AB1"/>
    <w:rsid w:val="006D2D39"/>
    <w:rsid w:val="006E06D1"/>
    <w:rsid w:val="006E7356"/>
    <w:rsid w:val="006E77C8"/>
    <w:rsid w:val="006F1A46"/>
    <w:rsid w:val="00706BEF"/>
    <w:rsid w:val="007116BC"/>
    <w:rsid w:val="007165CE"/>
    <w:rsid w:val="00720968"/>
    <w:rsid w:val="00721D12"/>
    <w:rsid w:val="00721F8B"/>
    <w:rsid w:val="00736A49"/>
    <w:rsid w:val="00743C2D"/>
    <w:rsid w:val="00744EBB"/>
    <w:rsid w:val="00746AE2"/>
    <w:rsid w:val="00750A20"/>
    <w:rsid w:val="00750C82"/>
    <w:rsid w:val="0076100C"/>
    <w:rsid w:val="007651ED"/>
    <w:rsid w:val="00766C87"/>
    <w:rsid w:val="0076785E"/>
    <w:rsid w:val="00772545"/>
    <w:rsid w:val="00774016"/>
    <w:rsid w:val="00781BD4"/>
    <w:rsid w:val="00784832"/>
    <w:rsid w:val="00785D77"/>
    <w:rsid w:val="00791F1E"/>
    <w:rsid w:val="00794F3D"/>
    <w:rsid w:val="007A0B39"/>
    <w:rsid w:val="007A14A4"/>
    <w:rsid w:val="007A168F"/>
    <w:rsid w:val="007A28E4"/>
    <w:rsid w:val="007A3BB3"/>
    <w:rsid w:val="007A5AD1"/>
    <w:rsid w:val="007B0A06"/>
    <w:rsid w:val="007B5C5C"/>
    <w:rsid w:val="007B7C41"/>
    <w:rsid w:val="007C433E"/>
    <w:rsid w:val="007D0292"/>
    <w:rsid w:val="007D21AC"/>
    <w:rsid w:val="007D574E"/>
    <w:rsid w:val="007E2046"/>
    <w:rsid w:val="007E4FBB"/>
    <w:rsid w:val="007F0CE2"/>
    <w:rsid w:val="007F1375"/>
    <w:rsid w:val="00800AD8"/>
    <w:rsid w:val="00805AFD"/>
    <w:rsid w:val="00811D5B"/>
    <w:rsid w:val="00817713"/>
    <w:rsid w:val="008301C2"/>
    <w:rsid w:val="00830999"/>
    <w:rsid w:val="00830D5E"/>
    <w:rsid w:val="00830F69"/>
    <w:rsid w:val="00834458"/>
    <w:rsid w:val="00837465"/>
    <w:rsid w:val="00841457"/>
    <w:rsid w:val="0084374E"/>
    <w:rsid w:val="00844842"/>
    <w:rsid w:val="0085206E"/>
    <w:rsid w:val="00852BA8"/>
    <w:rsid w:val="00853718"/>
    <w:rsid w:val="008541EF"/>
    <w:rsid w:val="0086162B"/>
    <w:rsid w:val="00862A25"/>
    <w:rsid w:val="00865207"/>
    <w:rsid w:val="00871262"/>
    <w:rsid w:val="00875B51"/>
    <w:rsid w:val="00875F2D"/>
    <w:rsid w:val="008764DC"/>
    <w:rsid w:val="0088243E"/>
    <w:rsid w:val="008A63A9"/>
    <w:rsid w:val="008B04DB"/>
    <w:rsid w:val="008B388C"/>
    <w:rsid w:val="008B5D31"/>
    <w:rsid w:val="008D7B07"/>
    <w:rsid w:val="008E2D99"/>
    <w:rsid w:val="008E4A60"/>
    <w:rsid w:val="009026E8"/>
    <w:rsid w:val="009055A4"/>
    <w:rsid w:val="00914ADB"/>
    <w:rsid w:val="00923B25"/>
    <w:rsid w:val="009264CE"/>
    <w:rsid w:val="00942645"/>
    <w:rsid w:val="00950A3A"/>
    <w:rsid w:val="0095340A"/>
    <w:rsid w:val="00954581"/>
    <w:rsid w:val="0095466C"/>
    <w:rsid w:val="0096168C"/>
    <w:rsid w:val="00962F2D"/>
    <w:rsid w:val="009732B8"/>
    <w:rsid w:val="00976869"/>
    <w:rsid w:val="00977740"/>
    <w:rsid w:val="00977CB4"/>
    <w:rsid w:val="00985099"/>
    <w:rsid w:val="00985595"/>
    <w:rsid w:val="009A0DE3"/>
    <w:rsid w:val="009B1534"/>
    <w:rsid w:val="009B69D3"/>
    <w:rsid w:val="009B7BA7"/>
    <w:rsid w:val="009C0938"/>
    <w:rsid w:val="009C3F82"/>
    <w:rsid w:val="009C7DF5"/>
    <w:rsid w:val="009D1ADE"/>
    <w:rsid w:val="009D4D9B"/>
    <w:rsid w:val="009E1283"/>
    <w:rsid w:val="00A00D14"/>
    <w:rsid w:val="00A02457"/>
    <w:rsid w:val="00A1105B"/>
    <w:rsid w:val="00A15B6B"/>
    <w:rsid w:val="00A16876"/>
    <w:rsid w:val="00A200AA"/>
    <w:rsid w:val="00A2186F"/>
    <w:rsid w:val="00A2270B"/>
    <w:rsid w:val="00A2496E"/>
    <w:rsid w:val="00A258B7"/>
    <w:rsid w:val="00A414A9"/>
    <w:rsid w:val="00A47CF1"/>
    <w:rsid w:val="00A50418"/>
    <w:rsid w:val="00A608FB"/>
    <w:rsid w:val="00A70E7B"/>
    <w:rsid w:val="00A73B84"/>
    <w:rsid w:val="00A76094"/>
    <w:rsid w:val="00A86CB6"/>
    <w:rsid w:val="00A90D55"/>
    <w:rsid w:val="00AA04B3"/>
    <w:rsid w:val="00AB1754"/>
    <w:rsid w:val="00AC2F15"/>
    <w:rsid w:val="00AC439D"/>
    <w:rsid w:val="00AE2D29"/>
    <w:rsid w:val="00AE5E14"/>
    <w:rsid w:val="00AF0EA8"/>
    <w:rsid w:val="00AF1DAA"/>
    <w:rsid w:val="00AF4FA5"/>
    <w:rsid w:val="00B15D30"/>
    <w:rsid w:val="00B23436"/>
    <w:rsid w:val="00B32179"/>
    <w:rsid w:val="00B40A3E"/>
    <w:rsid w:val="00B522CD"/>
    <w:rsid w:val="00B55917"/>
    <w:rsid w:val="00B64642"/>
    <w:rsid w:val="00B72303"/>
    <w:rsid w:val="00B82277"/>
    <w:rsid w:val="00B95833"/>
    <w:rsid w:val="00BA2D98"/>
    <w:rsid w:val="00BA30D1"/>
    <w:rsid w:val="00BA4580"/>
    <w:rsid w:val="00BA4609"/>
    <w:rsid w:val="00BA5BE2"/>
    <w:rsid w:val="00BA7F46"/>
    <w:rsid w:val="00BB0A0A"/>
    <w:rsid w:val="00BB6064"/>
    <w:rsid w:val="00BC09D1"/>
    <w:rsid w:val="00BD6806"/>
    <w:rsid w:val="00BD7831"/>
    <w:rsid w:val="00BD7C10"/>
    <w:rsid w:val="00BE0DEB"/>
    <w:rsid w:val="00BE2FC1"/>
    <w:rsid w:val="00BE6365"/>
    <w:rsid w:val="00BF4720"/>
    <w:rsid w:val="00C038EC"/>
    <w:rsid w:val="00C13B34"/>
    <w:rsid w:val="00C177F1"/>
    <w:rsid w:val="00C25978"/>
    <w:rsid w:val="00C261C6"/>
    <w:rsid w:val="00C30A97"/>
    <w:rsid w:val="00C31DDC"/>
    <w:rsid w:val="00C32F3B"/>
    <w:rsid w:val="00C33011"/>
    <w:rsid w:val="00C34326"/>
    <w:rsid w:val="00C368E8"/>
    <w:rsid w:val="00C42CBA"/>
    <w:rsid w:val="00C5019E"/>
    <w:rsid w:val="00C53E8A"/>
    <w:rsid w:val="00C54DF3"/>
    <w:rsid w:val="00C560A7"/>
    <w:rsid w:val="00C56FC8"/>
    <w:rsid w:val="00C71BEC"/>
    <w:rsid w:val="00C80511"/>
    <w:rsid w:val="00C83740"/>
    <w:rsid w:val="00C84AD1"/>
    <w:rsid w:val="00C85579"/>
    <w:rsid w:val="00C931FC"/>
    <w:rsid w:val="00C9650E"/>
    <w:rsid w:val="00CA068D"/>
    <w:rsid w:val="00CA282D"/>
    <w:rsid w:val="00CA4670"/>
    <w:rsid w:val="00CB23DC"/>
    <w:rsid w:val="00CB28E2"/>
    <w:rsid w:val="00CB4F09"/>
    <w:rsid w:val="00CB7FF7"/>
    <w:rsid w:val="00CC2044"/>
    <w:rsid w:val="00CC69EC"/>
    <w:rsid w:val="00CD34C7"/>
    <w:rsid w:val="00CD63C8"/>
    <w:rsid w:val="00CF158D"/>
    <w:rsid w:val="00CF4394"/>
    <w:rsid w:val="00D14BAE"/>
    <w:rsid w:val="00D1648B"/>
    <w:rsid w:val="00D16819"/>
    <w:rsid w:val="00D20AC0"/>
    <w:rsid w:val="00D32F6E"/>
    <w:rsid w:val="00D336C8"/>
    <w:rsid w:val="00D339E8"/>
    <w:rsid w:val="00D36824"/>
    <w:rsid w:val="00D40B1F"/>
    <w:rsid w:val="00D50C8C"/>
    <w:rsid w:val="00D51902"/>
    <w:rsid w:val="00D52393"/>
    <w:rsid w:val="00D53F14"/>
    <w:rsid w:val="00D55416"/>
    <w:rsid w:val="00D63577"/>
    <w:rsid w:val="00D76AB2"/>
    <w:rsid w:val="00D829AD"/>
    <w:rsid w:val="00D87788"/>
    <w:rsid w:val="00D910C2"/>
    <w:rsid w:val="00D9189B"/>
    <w:rsid w:val="00D91DA6"/>
    <w:rsid w:val="00D972D4"/>
    <w:rsid w:val="00DA195B"/>
    <w:rsid w:val="00DB0015"/>
    <w:rsid w:val="00DB2AAD"/>
    <w:rsid w:val="00DB6365"/>
    <w:rsid w:val="00DC0BF1"/>
    <w:rsid w:val="00DC3322"/>
    <w:rsid w:val="00DC41C3"/>
    <w:rsid w:val="00DD3593"/>
    <w:rsid w:val="00DE7E74"/>
    <w:rsid w:val="00E00A69"/>
    <w:rsid w:val="00E00C70"/>
    <w:rsid w:val="00E017F0"/>
    <w:rsid w:val="00E041E4"/>
    <w:rsid w:val="00E1085B"/>
    <w:rsid w:val="00E14581"/>
    <w:rsid w:val="00E15539"/>
    <w:rsid w:val="00E15B0A"/>
    <w:rsid w:val="00E16541"/>
    <w:rsid w:val="00E2632B"/>
    <w:rsid w:val="00E405EA"/>
    <w:rsid w:val="00E408B7"/>
    <w:rsid w:val="00E42789"/>
    <w:rsid w:val="00E464F0"/>
    <w:rsid w:val="00E50BEB"/>
    <w:rsid w:val="00E57EDF"/>
    <w:rsid w:val="00E6092F"/>
    <w:rsid w:val="00E620D0"/>
    <w:rsid w:val="00E629DA"/>
    <w:rsid w:val="00E719DC"/>
    <w:rsid w:val="00E738CB"/>
    <w:rsid w:val="00E81C3E"/>
    <w:rsid w:val="00E82B6D"/>
    <w:rsid w:val="00E86F73"/>
    <w:rsid w:val="00E97B5E"/>
    <w:rsid w:val="00EA11B6"/>
    <w:rsid w:val="00EA2DD8"/>
    <w:rsid w:val="00EA681F"/>
    <w:rsid w:val="00EB76E4"/>
    <w:rsid w:val="00EC0E65"/>
    <w:rsid w:val="00EC50C9"/>
    <w:rsid w:val="00EC5BB2"/>
    <w:rsid w:val="00EE0B44"/>
    <w:rsid w:val="00EF11E2"/>
    <w:rsid w:val="00EF5268"/>
    <w:rsid w:val="00EF608E"/>
    <w:rsid w:val="00F05807"/>
    <w:rsid w:val="00F0706C"/>
    <w:rsid w:val="00F11EBE"/>
    <w:rsid w:val="00F1516A"/>
    <w:rsid w:val="00F22A26"/>
    <w:rsid w:val="00F24072"/>
    <w:rsid w:val="00F32139"/>
    <w:rsid w:val="00F34E08"/>
    <w:rsid w:val="00F41D91"/>
    <w:rsid w:val="00F42363"/>
    <w:rsid w:val="00F46964"/>
    <w:rsid w:val="00F5126A"/>
    <w:rsid w:val="00F5716F"/>
    <w:rsid w:val="00F718A8"/>
    <w:rsid w:val="00F72183"/>
    <w:rsid w:val="00F73B77"/>
    <w:rsid w:val="00F75F7C"/>
    <w:rsid w:val="00F82981"/>
    <w:rsid w:val="00F8311F"/>
    <w:rsid w:val="00F83248"/>
    <w:rsid w:val="00F853AE"/>
    <w:rsid w:val="00F93DCC"/>
    <w:rsid w:val="00F9435D"/>
    <w:rsid w:val="00FB556C"/>
    <w:rsid w:val="00FB593A"/>
    <w:rsid w:val="00FB6E82"/>
    <w:rsid w:val="00FC4576"/>
    <w:rsid w:val="00FC7DBC"/>
    <w:rsid w:val="00FD1D5A"/>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Style1">
    <w:name w:val="Style 1"/>
    <w:basedOn w:val="Normal"/>
    <w:uiPriority w:val="99"/>
    <w:rsid w:val="00D36824"/>
    <w:pPr>
      <w:widowControl w:val="0"/>
      <w:tabs>
        <w:tab w:val="right" w:leader="dot" w:pos="9000"/>
      </w:tabs>
      <w:autoSpaceDE w:val="0"/>
      <w:autoSpaceDN w:val="0"/>
      <w:ind w:left="1656"/>
    </w:pPr>
    <w:rPr>
      <w:rFonts w:ascii="Times New Roman" w:eastAsiaTheme="minorEastAsia" w:hAnsi="Times New Roman"/>
      <w:color w:val="auto"/>
      <w:szCs w:val="24"/>
    </w:rPr>
  </w:style>
  <w:style w:type="paragraph" w:customStyle="1" w:styleId="Default">
    <w:name w:val="Default"/>
    <w:rsid w:val="0088243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13856">
      <w:bodyDiv w:val="1"/>
      <w:marLeft w:val="0"/>
      <w:marRight w:val="0"/>
      <w:marTop w:val="0"/>
      <w:marBottom w:val="0"/>
      <w:divBdr>
        <w:top w:val="none" w:sz="0" w:space="0" w:color="auto"/>
        <w:left w:val="none" w:sz="0" w:space="0" w:color="auto"/>
        <w:bottom w:val="none" w:sz="0" w:space="0" w:color="auto"/>
        <w:right w:val="none" w:sz="0" w:space="0" w:color="auto"/>
      </w:divBdr>
    </w:div>
    <w:div w:id="748696997">
      <w:bodyDiv w:val="1"/>
      <w:marLeft w:val="0"/>
      <w:marRight w:val="0"/>
      <w:marTop w:val="0"/>
      <w:marBottom w:val="0"/>
      <w:divBdr>
        <w:top w:val="none" w:sz="0" w:space="0" w:color="auto"/>
        <w:left w:val="none" w:sz="0" w:space="0" w:color="auto"/>
        <w:bottom w:val="none" w:sz="0" w:space="0" w:color="auto"/>
        <w:right w:val="none" w:sz="0" w:space="0" w:color="auto"/>
      </w:divBdr>
    </w:div>
    <w:div w:id="78951420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A3B5-0CFA-46BB-8011-AF40B553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1682</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7</cp:revision>
  <cp:lastPrinted>2010-02-12T13:07:00Z</cp:lastPrinted>
  <dcterms:created xsi:type="dcterms:W3CDTF">2010-02-04T18:11:00Z</dcterms:created>
  <dcterms:modified xsi:type="dcterms:W3CDTF">2012-01-24T17:04:00Z</dcterms:modified>
</cp:coreProperties>
</file>