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Default="00540BEF" w:rsidP="00540BEF">
      <w:pPr>
        <w:tabs>
          <w:tab w:val="left" w:pos="288"/>
          <w:tab w:val="left" w:pos="4752"/>
        </w:tabs>
        <w:spacing w:line="240" w:lineRule="exact"/>
        <w:jc w:val="center"/>
        <w:rPr>
          <w:color w:val="000080"/>
        </w:rPr>
      </w:pPr>
      <w:r w:rsidRPr="00D91DA6">
        <w:rPr>
          <w:color w:val="000080"/>
        </w:rPr>
        <w:t>RECORD OF PROCEEDINGS</w:t>
      </w:r>
      <w:r>
        <w:rPr>
          <w:color w:val="000080"/>
        </w:rPr>
        <w:t xml:space="preserve"> </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DA03F9" w:rsidRPr="00DA03F9" w:rsidRDefault="00DA03F9" w:rsidP="00DA03F9">
      <w:pPr>
        <w:tabs>
          <w:tab w:val="left" w:pos="288"/>
          <w:tab w:val="left" w:pos="4752"/>
        </w:tabs>
        <w:spacing w:line="240" w:lineRule="exact"/>
        <w:rPr>
          <w:color w:val="000080"/>
        </w:rPr>
      </w:pPr>
      <w:r w:rsidRPr="00DA03F9">
        <w:rPr>
          <w:color w:val="000080"/>
        </w:rPr>
        <w:t>NAME:</w:t>
      </w:r>
      <w:r w:rsidRPr="00DA03F9">
        <w:rPr>
          <w:color w:val="000080"/>
        </w:rPr>
        <w:tab/>
      </w:r>
      <w:r w:rsidRPr="00DA03F9">
        <w:rPr>
          <w:color w:val="000080"/>
        </w:rPr>
        <w:tab/>
        <w:t>BRANCH OF SERVICE: ARMY</w:t>
      </w:r>
    </w:p>
    <w:p w:rsidR="00072210" w:rsidRDefault="00DA03F9" w:rsidP="00DA03F9">
      <w:pPr>
        <w:tabs>
          <w:tab w:val="left" w:pos="288"/>
          <w:tab w:val="left" w:pos="4752"/>
        </w:tabs>
        <w:spacing w:line="240" w:lineRule="exact"/>
        <w:rPr>
          <w:color w:val="000080"/>
        </w:rPr>
      </w:pPr>
      <w:r w:rsidRPr="00DA03F9">
        <w:rPr>
          <w:color w:val="000080"/>
        </w:rPr>
        <w:t>CASE NUMBER:  PD0900126</w:t>
      </w:r>
      <w:r w:rsidRPr="00DA03F9">
        <w:rPr>
          <w:color w:val="000080"/>
        </w:rPr>
        <w:tab/>
      </w:r>
      <w:r w:rsidRPr="00DA03F9">
        <w:rPr>
          <w:color w:val="000080"/>
        </w:rPr>
        <w:tab/>
        <w:t>BOARD DATE: 2010</w:t>
      </w:r>
      <w:r>
        <w:rPr>
          <w:color w:val="000080"/>
        </w:rPr>
        <w:t>0401</w:t>
      </w:r>
    </w:p>
    <w:p w:rsidR="00540BEF" w:rsidRDefault="00DA03F9" w:rsidP="00DA03F9">
      <w:pPr>
        <w:tabs>
          <w:tab w:val="left" w:pos="288"/>
          <w:tab w:val="left" w:pos="4752"/>
        </w:tabs>
        <w:spacing w:line="240" w:lineRule="exact"/>
        <w:rPr>
          <w:color w:val="000080"/>
        </w:rPr>
      </w:pPr>
      <w:r w:rsidRPr="00DA03F9">
        <w:rPr>
          <w:color w:val="000080"/>
        </w:rPr>
        <w:t>SEPARATION DATE: 20070430</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C822CF" w:rsidRPr="0001597C" w:rsidRDefault="002C6E5B" w:rsidP="0001597C">
      <w:pPr>
        <w:tabs>
          <w:tab w:val="left" w:pos="288"/>
          <w:tab w:val="left" w:pos="4752"/>
        </w:tabs>
        <w:spacing w:line="240" w:lineRule="exact"/>
        <w:jc w:val="both"/>
        <w:rPr>
          <w:color w:val="000080"/>
        </w:rPr>
      </w:pPr>
      <w:r w:rsidRPr="0001597C">
        <w:rPr>
          <w:color w:val="000080"/>
          <w:u w:val="single"/>
        </w:rPr>
        <w:t>SUMMARY OF CASE</w:t>
      </w:r>
      <w:r w:rsidRPr="0001597C">
        <w:rPr>
          <w:color w:val="000080"/>
        </w:rPr>
        <w:t xml:space="preserve">:  This covered individual (CI) was </w:t>
      </w:r>
      <w:r w:rsidR="00102E16" w:rsidRPr="0001597C">
        <w:rPr>
          <w:color w:val="000080"/>
        </w:rPr>
        <w:t>a Guard SFC</w:t>
      </w:r>
      <w:r w:rsidRPr="0001597C">
        <w:rPr>
          <w:color w:val="000080"/>
        </w:rPr>
        <w:t xml:space="preserve"> </w:t>
      </w:r>
      <w:r w:rsidR="00A2792D" w:rsidRPr="0001597C">
        <w:rPr>
          <w:color w:val="000080"/>
        </w:rPr>
        <w:t>(Infantry) medically</w:t>
      </w:r>
      <w:r w:rsidRPr="0001597C">
        <w:rPr>
          <w:color w:val="000080"/>
        </w:rPr>
        <w:t xml:space="preserve"> separated from the Army in 200</w:t>
      </w:r>
      <w:r w:rsidR="00102E16" w:rsidRPr="0001597C">
        <w:rPr>
          <w:color w:val="000080"/>
        </w:rPr>
        <w:t>7</w:t>
      </w:r>
      <w:r w:rsidRPr="0001597C">
        <w:rPr>
          <w:color w:val="000080"/>
        </w:rPr>
        <w:t xml:space="preserve"> after </w:t>
      </w:r>
      <w:r w:rsidR="00102E16" w:rsidRPr="0001597C">
        <w:rPr>
          <w:color w:val="000080"/>
        </w:rPr>
        <w:t>26+</w:t>
      </w:r>
      <w:r w:rsidRPr="0001597C">
        <w:rPr>
          <w:color w:val="000080"/>
        </w:rPr>
        <w:t xml:space="preserve"> years of </w:t>
      </w:r>
      <w:r w:rsidR="00102E16" w:rsidRPr="0001597C">
        <w:rPr>
          <w:color w:val="000080"/>
        </w:rPr>
        <w:t xml:space="preserve">combined </w:t>
      </w:r>
      <w:r w:rsidRPr="0001597C">
        <w:rPr>
          <w:color w:val="000080"/>
        </w:rPr>
        <w:t>service</w:t>
      </w:r>
      <w:r w:rsidR="00102E16" w:rsidRPr="0001597C">
        <w:rPr>
          <w:color w:val="000080"/>
        </w:rPr>
        <w:t xml:space="preserve"> (7+ active duty)</w:t>
      </w:r>
      <w:r w:rsidRPr="0001597C">
        <w:rPr>
          <w:color w:val="000080"/>
        </w:rPr>
        <w:t xml:space="preserve">.  The medical </w:t>
      </w:r>
      <w:proofErr w:type="gramStart"/>
      <w:r w:rsidRPr="0001597C">
        <w:rPr>
          <w:color w:val="000080"/>
        </w:rPr>
        <w:t>bas</w:t>
      </w:r>
      <w:r w:rsidR="00FA5FEC">
        <w:rPr>
          <w:color w:val="000080"/>
        </w:rPr>
        <w:t>e</w:t>
      </w:r>
      <w:r w:rsidRPr="0001597C">
        <w:rPr>
          <w:color w:val="000080"/>
        </w:rPr>
        <w:t>s for the separation was</w:t>
      </w:r>
      <w:proofErr w:type="gramEnd"/>
      <w:r w:rsidRPr="0001597C">
        <w:rPr>
          <w:color w:val="000080"/>
        </w:rPr>
        <w:t xml:space="preserve"> </w:t>
      </w:r>
      <w:r w:rsidR="00102E16" w:rsidRPr="0001597C">
        <w:rPr>
          <w:color w:val="000080"/>
        </w:rPr>
        <w:t xml:space="preserve">a back condition and a bilateral knee condition.  </w:t>
      </w:r>
      <w:r w:rsidR="00C04D88" w:rsidRPr="0001597C">
        <w:rPr>
          <w:color w:val="000080"/>
        </w:rPr>
        <w:t xml:space="preserve">He had a long-standing history of back pain dating to 1976.  This </w:t>
      </w:r>
      <w:r w:rsidR="005B3F69" w:rsidRPr="0001597C">
        <w:rPr>
          <w:color w:val="000080"/>
        </w:rPr>
        <w:t xml:space="preserve">was exacerbated </w:t>
      </w:r>
      <w:r w:rsidR="00C04D88" w:rsidRPr="0001597C">
        <w:rPr>
          <w:color w:val="000080"/>
        </w:rPr>
        <w:t xml:space="preserve">in 2006 </w:t>
      </w:r>
      <w:r w:rsidR="00EB7430" w:rsidRPr="0001597C">
        <w:rPr>
          <w:color w:val="000080"/>
        </w:rPr>
        <w:t>from the physical requirements of a mobilization</w:t>
      </w:r>
      <w:r w:rsidR="00C04D88" w:rsidRPr="0001597C">
        <w:rPr>
          <w:color w:val="000080"/>
        </w:rPr>
        <w:t xml:space="preserve">.  Likewise he had suffered bilateral knee pain since 1996 which </w:t>
      </w:r>
      <w:r w:rsidR="00EB7430" w:rsidRPr="0001597C">
        <w:rPr>
          <w:color w:val="000080"/>
        </w:rPr>
        <w:t>worsened</w:t>
      </w:r>
      <w:r w:rsidR="00C04D88" w:rsidRPr="0001597C">
        <w:rPr>
          <w:color w:val="000080"/>
        </w:rPr>
        <w:t xml:space="preserve"> after mobilization.  </w:t>
      </w:r>
      <w:r w:rsidR="00A2792D" w:rsidRPr="0001597C">
        <w:rPr>
          <w:color w:val="000080"/>
        </w:rPr>
        <w:t xml:space="preserve">Lumbar x-rays showed some mild vertebral wedging and </w:t>
      </w:r>
      <w:proofErr w:type="spellStart"/>
      <w:r w:rsidR="00A2792D" w:rsidRPr="0001597C">
        <w:rPr>
          <w:color w:val="000080"/>
        </w:rPr>
        <w:t>lordotic</w:t>
      </w:r>
      <w:proofErr w:type="spellEnd"/>
      <w:r w:rsidR="00A2792D" w:rsidRPr="0001597C">
        <w:rPr>
          <w:color w:val="000080"/>
        </w:rPr>
        <w:t xml:space="preserve"> straightening, but normal disc spaces and no acute changes otherwise.  There was no clinical </w:t>
      </w:r>
      <w:proofErr w:type="spellStart"/>
      <w:r w:rsidR="00A2792D" w:rsidRPr="0001597C">
        <w:rPr>
          <w:color w:val="000080"/>
        </w:rPr>
        <w:t>radiculopathy</w:t>
      </w:r>
      <w:proofErr w:type="spellEnd"/>
      <w:r w:rsidR="00A2792D" w:rsidRPr="0001597C">
        <w:rPr>
          <w:color w:val="000080"/>
        </w:rPr>
        <w:t>.  Knee x-rays showed some mild degenerative changes bilaterally.  Exams did not suggest any significant ca</w:t>
      </w:r>
      <w:r w:rsidR="00C822CF" w:rsidRPr="0001597C">
        <w:rPr>
          <w:color w:val="000080"/>
        </w:rPr>
        <w:t xml:space="preserve">rtilage or </w:t>
      </w:r>
      <w:proofErr w:type="spellStart"/>
      <w:r w:rsidR="00C822CF" w:rsidRPr="0001597C">
        <w:rPr>
          <w:color w:val="000080"/>
        </w:rPr>
        <w:t>ligament</w:t>
      </w:r>
      <w:r w:rsidR="00BF1DFD">
        <w:rPr>
          <w:color w:val="000080"/>
        </w:rPr>
        <w:t>al</w:t>
      </w:r>
      <w:proofErr w:type="spellEnd"/>
      <w:r w:rsidR="00C822CF" w:rsidRPr="0001597C">
        <w:rPr>
          <w:color w:val="000080"/>
        </w:rPr>
        <w:t xml:space="preserve"> involvement</w:t>
      </w:r>
      <w:r w:rsidR="004F04CD" w:rsidRPr="0001597C">
        <w:rPr>
          <w:color w:val="000080"/>
        </w:rPr>
        <w:t xml:space="preserve">. </w:t>
      </w:r>
      <w:r w:rsidR="00C822CF" w:rsidRPr="0001597C">
        <w:rPr>
          <w:color w:val="000080"/>
        </w:rPr>
        <w:t xml:space="preserve"> </w:t>
      </w:r>
      <w:r w:rsidR="004F04CD" w:rsidRPr="0001597C">
        <w:rPr>
          <w:color w:val="000080"/>
        </w:rPr>
        <w:t>H</w:t>
      </w:r>
      <w:r w:rsidR="00A2792D" w:rsidRPr="0001597C">
        <w:rPr>
          <w:color w:val="000080"/>
        </w:rPr>
        <w:t xml:space="preserve">e </w:t>
      </w:r>
      <w:r w:rsidR="00C822CF" w:rsidRPr="0001597C">
        <w:rPr>
          <w:color w:val="000080"/>
        </w:rPr>
        <w:t>was diagnosed with osteoarthritis</w:t>
      </w:r>
      <w:r w:rsidR="004F04CD" w:rsidRPr="0001597C">
        <w:rPr>
          <w:color w:val="000080"/>
        </w:rPr>
        <w:t xml:space="preserve"> and</w:t>
      </w:r>
      <w:r w:rsidR="00C822CF" w:rsidRPr="0001597C">
        <w:rPr>
          <w:color w:val="000080"/>
        </w:rPr>
        <w:t xml:space="preserve"> </w:t>
      </w:r>
      <w:r w:rsidR="00A2792D" w:rsidRPr="0001597C">
        <w:rPr>
          <w:color w:val="000080"/>
        </w:rPr>
        <w:t>was issued bilateral knee braces.  He underwent an extensive trial of physical therapy (PT) and conservative measures</w:t>
      </w:r>
      <w:r w:rsidR="00C822CF" w:rsidRPr="0001597C">
        <w:rPr>
          <w:color w:val="000080"/>
        </w:rPr>
        <w:t xml:space="preserve"> for </w:t>
      </w:r>
      <w:r w:rsidR="004F04CD" w:rsidRPr="0001597C">
        <w:rPr>
          <w:color w:val="000080"/>
        </w:rPr>
        <w:t>his knees and his back</w:t>
      </w:r>
      <w:r w:rsidR="00A2792D" w:rsidRPr="0001597C">
        <w:rPr>
          <w:color w:val="000080"/>
        </w:rPr>
        <w:t xml:space="preserve">.  He improved somewhat but still could not sustain the physical requirements of his </w:t>
      </w:r>
      <w:r w:rsidR="00072210">
        <w:rPr>
          <w:color w:val="000080"/>
        </w:rPr>
        <w:t>military occupation specialty (</w:t>
      </w:r>
      <w:r w:rsidR="00A2792D" w:rsidRPr="0001597C">
        <w:rPr>
          <w:color w:val="000080"/>
        </w:rPr>
        <w:t>MOS</w:t>
      </w:r>
      <w:r w:rsidR="00072210">
        <w:rPr>
          <w:color w:val="000080"/>
        </w:rPr>
        <w:t>)</w:t>
      </w:r>
      <w:r w:rsidR="00A2792D" w:rsidRPr="0001597C">
        <w:rPr>
          <w:color w:val="000080"/>
        </w:rPr>
        <w:t>.</w:t>
      </w:r>
      <w:r w:rsidR="00C04D88" w:rsidRPr="0001597C">
        <w:rPr>
          <w:color w:val="000080"/>
        </w:rPr>
        <w:t xml:space="preserve"> </w:t>
      </w:r>
      <w:r w:rsidR="00A2792D" w:rsidRPr="0001597C">
        <w:rPr>
          <w:color w:val="000080"/>
        </w:rPr>
        <w:t xml:space="preserve"> He was assigned a permanent L3 profile for his </w:t>
      </w:r>
      <w:r w:rsidR="004F04CD" w:rsidRPr="0001597C">
        <w:rPr>
          <w:color w:val="000080"/>
        </w:rPr>
        <w:t xml:space="preserve">knees and back </w:t>
      </w:r>
      <w:r w:rsidR="00A2792D" w:rsidRPr="0001597C">
        <w:rPr>
          <w:color w:val="000080"/>
        </w:rPr>
        <w:t xml:space="preserve">and underwent a </w:t>
      </w:r>
      <w:r w:rsidR="00072210">
        <w:rPr>
          <w:color w:val="000080"/>
        </w:rPr>
        <w:t>Medical Evaluation Board (</w:t>
      </w:r>
      <w:r w:rsidR="00A2792D" w:rsidRPr="0001597C">
        <w:rPr>
          <w:color w:val="000080"/>
        </w:rPr>
        <w:t>MEB</w:t>
      </w:r>
      <w:r w:rsidR="00072210">
        <w:rPr>
          <w:color w:val="000080"/>
        </w:rPr>
        <w:t>)</w:t>
      </w:r>
      <w:r w:rsidR="00A2792D" w:rsidRPr="0001597C">
        <w:rPr>
          <w:color w:val="000080"/>
        </w:rPr>
        <w:t xml:space="preserve">.  The MEB </w:t>
      </w:r>
      <w:proofErr w:type="gramStart"/>
      <w:r w:rsidR="00A2792D" w:rsidRPr="0001597C">
        <w:rPr>
          <w:color w:val="000080"/>
        </w:rPr>
        <w:t>forwarded</w:t>
      </w:r>
      <w:proofErr w:type="gramEnd"/>
      <w:r w:rsidR="00A2792D" w:rsidRPr="0001597C">
        <w:rPr>
          <w:color w:val="000080"/>
        </w:rPr>
        <w:t xml:space="preserve"> the bilateral knee condition and </w:t>
      </w:r>
      <w:r w:rsidR="00C822CF" w:rsidRPr="0001597C">
        <w:rPr>
          <w:color w:val="000080"/>
        </w:rPr>
        <w:t xml:space="preserve">the back condition to the </w:t>
      </w:r>
      <w:r w:rsidR="00072210">
        <w:rPr>
          <w:color w:val="000080"/>
        </w:rPr>
        <w:t>Physical Evaluation Board (</w:t>
      </w:r>
      <w:r w:rsidR="00C822CF" w:rsidRPr="0001597C">
        <w:rPr>
          <w:color w:val="000080"/>
        </w:rPr>
        <w:t>PEB</w:t>
      </w:r>
      <w:r w:rsidR="00072210">
        <w:rPr>
          <w:color w:val="000080"/>
        </w:rPr>
        <w:t>)</w:t>
      </w:r>
      <w:r w:rsidR="00C822CF" w:rsidRPr="0001597C">
        <w:rPr>
          <w:color w:val="000080"/>
        </w:rPr>
        <w:t xml:space="preserve"> as medically unacceptable IAW AR 40-501.  Hypertension was the only additional medical condition identified in the </w:t>
      </w:r>
      <w:r w:rsidR="00072210">
        <w:rPr>
          <w:color w:val="000080"/>
        </w:rPr>
        <w:t>Disability Evaluation System (</w:t>
      </w:r>
      <w:r w:rsidR="00C822CF" w:rsidRPr="0001597C">
        <w:rPr>
          <w:color w:val="000080"/>
        </w:rPr>
        <w:t>DES</w:t>
      </w:r>
      <w:r w:rsidR="00072210">
        <w:rPr>
          <w:color w:val="000080"/>
        </w:rPr>
        <w:t>)</w:t>
      </w:r>
      <w:r w:rsidR="00C822CF" w:rsidRPr="0001597C">
        <w:rPr>
          <w:color w:val="000080"/>
        </w:rPr>
        <w:t xml:space="preserve"> packet and was not forwarded on the DA </w:t>
      </w:r>
      <w:r w:rsidR="00072210">
        <w:rPr>
          <w:color w:val="000080"/>
        </w:rPr>
        <w:t xml:space="preserve">Form </w:t>
      </w:r>
      <w:r w:rsidR="00C822CF" w:rsidRPr="0001597C">
        <w:rPr>
          <w:color w:val="000080"/>
        </w:rPr>
        <w:t xml:space="preserve">3947.  </w:t>
      </w:r>
      <w:r w:rsidR="00C20EB8" w:rsidRPr="0001597C">
        <w:rPr>
          <w:color w:val="000080"/>
        </w:rPr>
        <w:t>An informal</w:t>
      </w:r>
      <w:r w:rsidR="00C822CF" w:rsidRPr="0001597C">
        <w:rPr>
          <w:color w:val="000080"/>
        </w:rPr>
        <w:t xml:space="preserve"> </w:t>
      </w:r>
      <w:r w:rsidR="00C20EB8" w:rsidRPr="0001597C">
        <w:rPr>
          <w:color w:val="000080"/>
        </w:rPr>
        <w:t>PEB</w:t>
      </w:r>
      <w:r w:rsidR="00C822CF" w:rsidRPr="0001597C">
        <w:rPr>
          <w:color w:val="000080"/>
        </w:rPr>
        <w:t xml:space="preserve"> found </w:t>
      </w:r>
      <w:r w:rsidR="00C20EB8" w:rsidRPr="0001597C">
        <w:rPr>
          <w:color w:val="000080"/>
        </w:rPr>
        <w:t xml:space="preserve">the CI </w:t>
      </w:r>
      <w:r w:rsidR="00C822CF" w:rsidRPr="0001597C">
        <w:rPr>
          <w:color w:val="000080"/>
        </w:rPr>
        <w:t xml:space="preserve">unfit for the </w:t>
      </w:r>
      <w:r w:rsidR="00C20EB8" w:rsidRPr="0001597C">
        <w:rPr>
          <w:color w:val="000080"/>
        </w:rPr>
        <w:t xml:space="preserve">bilateral </w:t>
      </w:r>
      <w:r w:rsidR="00C822CF" w:rsidRPr="0001597C">
        <w:rPr>
          <w:color w:val="000080"/>
        </w:rPr>
        <w:t xml:space="preserve">knee condition </w:t>
      </w:r>
      <w:r w:rsidR="00C20EB8" w:rsidRPr="0001597C">
        <w:rPr>
          <w:color w:val="000080"/>
        </w:rPr>
        <w:t>(combined</w:t>
      </w:r>
      <w:r w:rsidR="00C822CF" w:rsidRPr="0001597C">
        <w:rPr>
          <w:color w:val="000080"/>
        </w:rPr>
        <w:t xml:space="preserve"> </w:t>
      </w:r>
      <w:r w:rsidR="00C20EB8" w:rsidRPr="0001597C">
        <w:rPr>
          <w:color w:val="000080"/>
        </w:rPr>
        <w:t>under 5003) and the back condition rated 10% each.  These findings were upheld by a formal PEB and the CI was medically separated with a combined rating of 20%.</w:t>
      </w:r>
    </w:p>
    <w:p w:rsidR="00923B25" w:rsidRPr="00C20EB8" w:rsidRDefault="00A2792D" w:rsidP="00C20EB8">
      <w:pPr>
        <w:tabs>
          <w:tab w:val="left" w:pos="288"/>
          <w:tab w:val="left" w:pos="4752"/>
        </w:tabs>
        <w:spacing w:line="240" w:lineRule="exact"/>
        <w:rPr>
          <w:rFonts w:ascii="Calibri" w:hAnsi="Calibri"/>
          <w:color w:val="auto"/>
          <w:szCs w:val="24"/>
        </w:rPr>
      </w:pPr>
      <w:r>
        <w:rPr>
          <w:rFonts w:ascii="Calibri" w:hAnsi="Calibri"/>
          <w:color w:val="auto"/>
          <w:szCs w:val="24"/>
        </w:rPr>
        <w:t xml:space="preserve"> </w:t>
      </w:r>
      <w:r w:rsidR="008B5D31" w:rsidRPr="00572481">
        <w:rPr>
          <w:color w:val="000080"/>
          <w:u w:val="single"/>
        </w:rPr>
        <w:t>_______________________________________________________________</w:t>
      </w:r>
      <w:r w:rsidR="008B5D31">
        <w:rPr>
          <w:color w:val="000080"/>
        </w:rPr>
        <w:t>_</w:t>
      </w:r>
    </w:p>
    <w:p w:rsidR="00923B25" w:rsidRPr="00D91DA6" w:rsidRDefault="00923B25" w:rsidP="00875F2D">
      <w:pPr>
        <w:tabs>
          <w:tab w:val="left" w:pos="288"/>
          <w:tab w:val="left" w:pos="4752"/>
        </w:tabs>
        <w:spacing w:line="240" w:lineRule="exact"/>
        <w:jc w:val="both"/>
        <w:rPr>
          <w:color w:val="000080"/>
        </w:rPr>
      </w:pPr>
    </w:p>
    <w:p w:rsidR="003E0B5A" w:rsidRPr="0001597C" w:rsidRDefault="002C6E5B" w:rsidP="0001597C">
      <w:pPr>
        <w:tabs>
          <w:tab w:val="left" w:pos="288"/>
          <w:tab w:val="left" w:pos="4752"/>
        </w:tabs>
        <w:spacing w:line="240" w:lineRule="exact"/>
        <w:jc w:val="both"/>
        <w:rPr>
          <w:color w:val="000080"/>
        </w:rPr>
      </w:pPr>
      <w:r w:rsidRPr="0001597C">
        <w:rPr>
          <w:color w:val="000080"/>
          <w:u w:val="single"/>
        </w:rPr>
        <w:t>CI CONTENTION</w:t>
      </w:r>
      <w:r w:rsidRPr="0001597C">
        <w:rPr>
          <w:color w:val="000080"/>
        </w:rPr>
        <w:t>:  The CI states:</w:t>
      </w:r>
      <w:r w:rsidR="00C932C5" w:rsidRPr="0001597C">
        <w:rPr>
          <w:color w:val="000080"/>
        </w:rPr>
        <w:t xml:space="preserve"> ‘</w:t>
      </w:r>
      <w:r w:rsidR="00C20EB8" w:rsidRPr="0001597C">
        <w:rPr>
          <w:color w:val="000080"/>
        </w:rPr>
        <w:t>I was no</w:t>
      </w:r>
      <w:r w:rsidR="00B307A0" w:rsidRPr="0001597C">
        <w:rPr>
          <w:color w:val="000080"/>
        </w:rPr>
        <w:t>t rated fairly for my condition</w:t>
      </w:r>
      <w:r w:rsidR="00C20EB8" w:rsidRPr="0001597C">
        <w:rPr>
          <w:color w:val="000080"/>
        </w:rPr>
        <w:t xml:space="preserve"> by the Department of th</w:t>
      </w:r>
      <w:r w:rsidR="00B307A0" w:rsidRPr="0001597C">
        <w:rPr>
          <w:color w:val="000080"/>
        </w:rPr>
        <w:t>e Army.  (1) Back (2) Both Knee</w:t>
      </w:r>
      <w:r w:rsidR="00C20EB8" w:rsidRPr="0001597C">
        <w:rPr>
          <w:color w:val="000080"/>
        </w:rPr>
        <w:t>s.</w:t>
      </w:r>
      <w:r w:rsidR="00C932C5" w:rsidRPr="0001597C">
        <w:rPr>
          <w:color w:val="000080"/>
        </w:rPr>
        <w:t>’</w:t>
      </w:r>
      <w:r w:rsidR="00896535" w:rsidRPr="0001597C">
        <w:rPr>
          <w:color w:val="000080"/>
        </w:rPr>
        <w:t xml:space="preserve">  </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072210" w:rsidRDefault="00072210">
      <w:pPr>
        <w:rPr>
          <w:color w:val="000080"/>
          <w:u w:val="single"/>
        </w:rPr>
      </w:pPr>
      <w:r>
        <w:rPr>
          <w:color w:val="000080"/>
          <w:u w:val="single"/>
        </w:rPr>
        <w:br w:type="page"/>
      </w:r>
    </w:p>
    <w:p w:rsidR="002338CA" w:rsidRPr="00BF1DFD" w:rsidRDefault="002C6E5B" w:rsidP="00BF1DFD">
      <w:pPr>
        <w:rPr>
          <w:rFonts w:ascii="Calibri" w:hAnsi="Calibri"/>
          <w:color w:val="000080"/>
          <w:u w:val="single"/>
        </w:rPr>
      </w:pPr>
      <w:r w:rsidRPr="0001597C">
        <w:rPr>
          <w:color w:val="000080"/>
          <w:u w:val="single"/>
        </w:rPr>
        <w:lastRenderedPageBreak/>
        <w:t>RATING COMPARISON</w:t>
      </w:r>
      <w:r w:rsidRPr="0001597C">
        <w:rPr>
          <w:color w:val="000080"/>
        </w:rPr>
        <w:t>:</w:t>
      </w:r>
    </w:p>
    <w:p w:rsidR="00F82981" w:rsidRDefault="00F82981" w:rsidP="00875F2D">
      <w:pPr>
        <w:tabs>
          <w:tab w:val="left" w:pos="288"/>
          <w:tab w:val="left" w:pos="4752"/>
        </w:tabs>
        <w:spacing w:line="240" w:lineRule="exact"/>
        <w:jc w:val="both"/>
        <w:rPr>
          <w:color w:val="000080"/>
        </w:rPr>
      </w:pPr>
    </w:p>
    <w:tbl>
      <w:tblPr>
        <w:tblStyle w:val="TableGrid"/>
        <w:tblW w:w="9270" w:type="dxa"/>
        <w:tblInd w:w="108" w:type="dxa"/>
        <w:tblLayout w:type="fixed"/>
        <w:tblLook w:val="04A0"/>
      </w:tblPr>
      <w:tblGrid>
        <w:gridCol w:w="2250"/>
        <w:gridCol w:w="360"/>
        <w:gridCol w:w="720"/>
        <w:gridCol w:w="810"/>
        <w:gridCol w:w="2250"/>
        <w:gridCol w:w="1080"/>
        <w:gridCol w:w="810"/>
        <w:gridCol w:w="990"/>
      </w:tblGrid>
      <w:tr w:rsidR="00684E2B" w:rsidRPr="002A685E" w:rsidTr="00C67B84">
        <w:trPr>
          <w:trHeight w:val="233"/>
        </w:trPr>
        <w:tc>
          <w:tcPr>
            <w:tcW w:w="4140" w:type="dxa"/>
            <w:gridSpan w:val="4"/>
            <w:tcBorders>
              <w:right w:val="thinThickThinSmallGap" w:sz="24" w:space="0" w:color="auto"/>
            </w:tcBorders>
            <w:shd w:val="clear" w:color="auto" w:fill="C6D9F1" w:themeFill="text2" w:themeFillTint="33"/>
          </w:tcPr>
          <w:p w:rsidR="00684E2B" w:rsidRPr="002A685E" w:rsidRDefault="00684E2B" w:rsidP="00C20EB8">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Service PEB</w:t>
            </w:r>
            <w:r w:rsidR="002B2645" w:rsidRPr="002A685E">
              <w:rPr>
                <w:rFonts w:cs="Times New Roman"/>
                <w:b/>
                <w:color w:val="002060"/>
                <w:sz w:val="20"/>
                <w:szCs w:val="20"/>
              </w:rPr>
              <w:t xml:space="preserve"> – Dated </w:t>
            </w:r>
            <w:r w:rsidR="00C20EB8">
              <w:rPr>
                <w:rFonts w:cs="Times New Roman"/>
                <w:b/>
                <w:color w:val="002060"/>
                <w:sz w:val="20"/>
                <w:szCs w:val="20"/>
              </w:rPr>
              <w:t>20070221</w:t>
            </w:r>
          </w:p>
        </w:tc>
        <w:tc>
          <w:tcPr>
            <w:tcW w:w="5130" w:type="dxa"/>
            <w:gridSpan w:val="4"/>
            <w:tcBorders>
              <w:left w:val="thinThickThinSmallGap" w:sz="24" w:space="0" w:color="auto"/>
            </w:tcBorders>
            <w:shd w:val="clear" w:color="auto" w:fill="C6D9F1" w:themeFill="text2" w:themeFillTint="33"/>
          </w:tcPr>
          <w:p w:rsidR="00684E2B" w:rsidRPr="002A685E" w:rsidRDefault="00684E2B" w:rsidP="00262F5E">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VA (</w:t>
            </w:r>
            <w:r w:rsidR="00262F5E">
              <w:rPr>
                <w:rFonts w:cs="Times New Roman"/>
                <w:b/>
                <w:color w:val="002060"/>
                <w:sz w:val="20"/>
                <w:szCs w:val="20"/>
              </w:rPr>
              <w:t>~3</w:t>
            </w:r>
            <w:r w:rsidRPr="002A685E">
              <w:rPr>
                <w:rFonts w:cs="Times New Roman"/>
                <w:b/>
                <w:color w:val="002060"/>
                <w:sz w:val="20"/>
                <w:szCs w:val="20"/>
              </w:rPr>
              <w:t xml:space="preserve"> Mo. after Separation)</w:t>
            </w:r>
            <w:r w:rsidR="000C3C13" w:rsidRPr="002A685E">
              <w:rPr>
                <w:rFonts w:cs="Times New Roman"/>
                <w:b/>
                <w:color w:val="002060"/>
                <w:sz w:val="20"/>
                <w:szCs w:val="20"/>
              </w:rPr>
              <w:t xml:space="preserve"> – All Effective </w:t>
            </w:r>
            <w:r w:rsidR="00BA17A2">
              <w:rPr>
                <w:rFonts w:cs="Times New Roman"/>
                <w:b/>
                <w:color w:val="002060"/>
                <w:sz w:val="20"/>
                <w:szCs w:val="20"/>
              </w:rPr>
              <w:t>20070501</w:t>
            </w:r>
          </w:p>
        </w:tc>
      </w:tr>
      <w:tr w:rsidR="00C67B84" w:rsidRPr="002A685E" w:rsidTr="00C67B84">
        <w:trPr>
          <w:trHeight w:val="233"/>
        </w:trPr>
        <w:tc>
          <w:tcPr>
            <w:tcW w:w="2610" w:type="dxa"/>
            <w:gridSpan w:val="2"/>
            <w:tcBorders>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Condition</w:t>
            </w:r>
          </w:p>
        </w:tc>
        <w:tc>
          <w:tcPr>
            <w:tcW w:w="720" w:type="dxa"/>
            <w:tcBorders>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810" w:type="dxa"/>
            <w:tcBorders>
              <w:bottom w:val="single" w:sz="4" w:space="0" w:color="000000" w:themeColor="text1"/>
              <w:right w:val="thinThickThinSmallGap" w:sz="24" w:space="0" w:color="auto"/>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2250" w:type="dxa"/>
            <w:tcBorders>
              <w:left w:val="thinThickThinSmallGap" w:sz="24" w:space="0" w:color="auto"/>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Condition</w:t>
            </w:r>
          </w:p>
        </w:tc>
        <w:tc>
          <w:tcPr>
            <w:tcW w:w="1080" w:type="dxa"/>
            <w:tcBorders>
              <w:bottom w:val="single" w:sz="4" w:space="0" w:color="auto"/>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810" w:type="dxa"/>
            <w:tcBorders>
              <w:bottom w:val="single" w:sz="4" w:space="0" w:color="auto"/>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990" w:type="dxa"/>
            <w:tcBorders>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Exam</w:t>
            </w:r>
          </w:p>
        </w:tc>
      </w:tr>
      <w:tr w:rsidR="00C67B84" w:rsidRPr="002A685E" w:rsidTr="00C67B84">
        <w:trPr>
          <w:trHeight w:val="225"/>
        </w:trPr>
        <w:tc>
          <w:tcPr>
            <w:tcW w:w="2610" w:type="dxa"/>
            <w:gridSpan w:val="2"/>
            <w:vMerge w:val="restart"/>
            <w:shd w:val="clear" w:color="auto" w:fill="FFFFFF" w:themeFill="background1"/>
          </w:tcPr>
          <w:p w:rsidR="00883EEF" w:rsidRPr="00F91468" w:rsidRDefault="00883EEF" w:rsidP="00F37554">
            <w:pPr>
              <w:pStyle w:val="ListParagraph"/>
              <w:spacing w:after="0" w:line="240" w:lineRule="auto"/>
              <w:ind w:left="0"/>
              <w:rPr>
                <w:rFonts w:cs="Times New Roman"/>
                <w:color w:val="002060"/>
                <w:sz w:val="18"/>
                <w:szCs w:val="18"/>
              </w:rPr>
            </w:pPr>
            <w:r w:rsidRPr="00F91468">
              <w:rPr>
                <w:color w:val="002060"/>
                <w:sz w:val="19"/>
                <w:szCs w:val="19"/>
              </w:rPr>
              <w:t>Chronic Bilateral Knee Pain</w:t>
            </w:r>
          </w:p>
        </w:tc>
        <w:tc>
          <w:tcPr>
            <w:tcW w:w="720" w:type="dxa"/>
            <w:vMerge w:val="restart"/>
            <w:shd w:val="clear" w:color="auto" w:fill="FFFFFF" w:themeFill="background1"/>
          </w:tcPr>
          <w:p w:rsidR="00883EEF" w:rsidRPr="00F91468" w:rsidRDefault="00883EEF" w:rsidP="00F37554">
            <w:pPr>
              <w:pStyle w:val="ListParagraph"/>
              <w:spacing w:after="0" w:line="240" w:lineRule="auto"/>
              <w:ind w:left="0"/>
              <w:jc w:val="center"/>
              <w:rPr>
                <w:rFonts w:cs="Times New Roman"/>
                <w:color w:val="002060"/>
                <w:sz w:val="18"/>
                <w:szCs w:val="18"/>
              </w:rPr>
            </w:pPr>
            <w:r w:rsidRPr="00F91468">
              <w:rPr>
                <w:rFonts w:cs="Times New Roman"/>
                <w:color w:val="002060"/>
                <w:sz w:val="18"/>
                <w:szCs w:val="18"/>
              </w:rPr>
              <w:t>5003</w:t>
            </w:r>
          </w:p>
        </w:tc>
        <w:tc>
          <w:tcPr>
            <w:tcW w:w="810" w:type="dxa"/>
            <w:vMerge w:val="restart"/>
            <w:tcBorders>
              <w:right w:val="thinThickThinSmallGap" w:sz="24" w:space="0" w:color="auto"/>
            </w:tcBorders>
            <w:shd w:val="clear" w:color="auto" w:fill="FFFFFF" w:themeFill="background1"/>
          </w:tcPr>
          <w:p w:rsidR="00883EEF" w:rsidRPr="00F91468" w:rsidRDefault="00883EEF" w:rsidP="00F37554">
            <w:pPr>
              <w:pStyle w:val="ListParagraph"/>
              <w:spacing w:after="0" w:line="240" w:lineRule="auto"/>
              <w:ind w:left="0"/>
              <w:jc w:val="center"/>
              <w:rPr>
                <w:rFonts w:cs="Times New Roman"/>
                <w:color w:val="002060"/>
                <w:sz w:val="18"/>
                <w:szCs w:val="18"/>
              </w:rPr>
            </w:pPr>
            <w:r w:rsidRPr="00F91468">
              <w:rPr>
                <w:rFonts w:cs="Times New Roman"/>
                <w:color w:val="002060"/>
                <w:sz w:val="18"/>
                <w:szCs w:val="18"/>
              </w:rPr>
              <w:t>10%</w:t>
            </w:r>
          </w:p>
        </w:tc>
        <w:tc>
          <w:tcPr>
            <w:tcW w:w="2250" w:type="dxa"/>
            <w:tcBorders>
              <w:left w:val="thinThickThinSmallGap" w:sz="24" w:space="0" w:color="auto"/>
              <w:bottom w:val="single" w:sz="4" w:space="0" w:color="auto"/>
              <w:right w:val="single" w:sz="4" w:space="0" w:color="auto"/>
            </w:tcBorders>
            <w:shd w:val="clear" w:color="auto" w:fill="FFFFFF" w:themeFill="background1"/>
          </w:tcPr>
          <w:p w:rsidR="00883EEF" w:rsidRPr="00F91468" w:rsidRDefault="00883EEF" w:rsidP="00BA17A2">
            <w:pPr>
              <w:pStyle w:val="ListParagraph"/>
              <w:spacing w:after="0" w:line="240" w:lineRule="auto"/>
              <w:ind w:left="0"/>
              <w:rPr>
                <w:color w:val="002060"/>
                <w:sz w:val="19"/>
                <w:szCs w:val="19"/>
              </w:rPr>
            </w:pPr>
            <w:proofErr w:type="spellStart"/>
            <w:r w:rsidRPr="00F91468">
              <w:rPr>
                <w:color w:val="002060"/>
                <w:sz w:val="19"/>
                <w:szCs w:val="19"/>
              </w:rPr>
              <w:t>Degen</w:t>
            </w:r>
            <w:proofErr w:type="spellEnd"/>
            <w:r w:rsidRPr="00F91468">
              <w:rPr>
                <w:color w:val="002060"/>
                <w:sz w:val="19"/>
                <w:szCs w:val="19"/>
              </w:rPr>
              <w:t>. Arthritis, L Knee</w:t>
            </w:r>
          </w:p>
        </w:tc>
        <w:tc>
          <w:tcPr>
            <w:tcW w:w="1080" w:type="dxa"/>
            <w:tcBorders>
              <w:left w:val="single" w:sz="4" w:space="0" w:color="auto"/>
              <w:bottom w:val="single" w:sz="4" w:space="0" w:color="auto"/>
            </w:tcBorders>
            <w:shd w:val="clear" w:color="auto" w:fill="FFFFFF" w:themeFill="background1"/>
          </w:tcPr>
          <w:p w:rsidR="00883EEF" w:rsidRPr="00FD0AA0" w:rsidRDefault="00883EEF" w:rsidP="00BA17A2">
            <w:pPr>
              <w:pStyle w:val="ListParagraph"/>
              <w:spacing w:after="0" w:line="240" w:lineRule="auto"/>
              <w:ind w:left="0"/>
              <w:jc w:val="center"/>
              <w:rPr>
                <w:rFonts w:cs="Times New Roman"/>
                <w:color w:val="002060"/>
                <w:sz w:val="18"/>
                <w:szCs w:val="18"/>
              </w:rPr>
            </w:pPr>
            <w:r>
              <w:rPr>
                <w:rFonts w:cs="Times New Roman"/>
                <w:color w:val="002060"/>
                <w:sz w:val="18"/>
                <w:szCs w:val="18"/>
              </w:rPr>
              <w:t>5099-5010</w:t>
            </w:r>
          </w:p>
        </w:tc>
        <w:tc>
          <w:tcPr>
            <w:tcW w:w="810" w:type="dxa"/>
            <w:tcBorders>
              <w:bottom w:val="single" w:sz="4" w:space="0" w:color="auto"/>
            </w:tcBorders>
            <w:shd w:val="clear" w:color="auto" w:fill="FFFFFF" w:themeFill="background1"/>
          </w:tcPr>
          <w:p w:rsidR="00883EEF" w:rsidRPr="00FD0AA0" w:rsidRDefault="00883EEF" w:rsidP="00BA17A2">
            <w:pPr>
              <w:pStyle w:val="ListParagraph"/>
              <w:spacing w:after="0" w:line="240" w:lineRule="auto"/>
              <w:ind w:left="0"/>
              <w:jc w:val="center"/>
              <w:rPr>
                <w:rFonts w:cs="Times New Roman"/>
                <w:color w:val="002060"/>
                <w:sz w:val="18"/>
                <w:szCs w:val="18"/>
              </w:rPr>
            </w:pPr>
            <w:r>
              <w:rPr>
                <w:rFonts w:cs="Times New Roman"/>
                <w:color w:val="002060"/>
                <w:sz w:val="18"/>
                <w:szCs w:val="18"/>
              </w:rPr>
              <w:t>10%</w:t>
            </w:r>
          </w:p>
        </w:tc>
        <w:tc>
          <w:tcPr>
            <w:tcW w:w="990" w:type="dxa"/>
            <w:tcBorders>
              <w:bottom w:val="single" w:sz="4" w:space="0" w:color="auto"/>
            </w:tcBorders>
            <w:shd w:val="clear" w:color="auto" w:fill="FFFFFF" w:themeFill="background1"/>
          </w:tcPr>
          <w:p w:rsidR="00883EEF" w:rsidRPr="00FD0AA0" w:rsidRDefault="00883EEF" w:rsidP="00BA17A2">
            <w:pPr>
              <w:pStyle w:val="ListParagraph"/>
              <w:spacing w:after="0" w:line="240" w:lineRule="auto"/>
              <w:ind w:left="0"/>
              <w:jc w:val="center"/>
              <w:rPr>
                <w:rFonts w:cs="Times New Roman"/>
                <w:color w:val="002060"/>
                <w:sz w:val="18"/>
                <w:szCs w:val="18"/>
              </w:rPr>
            </w:pPr>
            <w:r>
              <w:rPr>
                <w:rFonts w:cs="Times New Roman"/>
                <w:color w:val="002060"/>
                <w:sz w:val="18"/>
                <w:szCs w:val="18"/>
              </w:rPr>
              <w:t>20070717</w:t>
            </w:r>
          </w:p>
        </w:tc>
      </w:tr>
      <w:tr w:rsidR="00C67B84" w:rsidRPr="002A685E" w:rsidTr="00C67B84">
        <w:trPr>
          <w:trHeight w:val="70"/>
        </w:trPr>
        <w:tc>
          <w:tcPr>
            <w:tcW w:w="2610" w:type="dxa"/>
            <w:gridSpan w:val="2"/>
            <w:vMerge/>
            <w:shd w:val="clear" w:color="auto" w:fill="FFFFFF" w:themeFill="background1"/>
          </w:tcPr>
          <w:p w:rsidR="00883EEF" w:rsidRPr="00F91468" w:rsidRDefault="00883EEF" w:rsidP="00F37554">
            <w:pPr>
              <w:pStyle w:val="ListParagraph"/>
              <w:spacing w:after="0" w:line="240" w:lineRule="auto"/>
              <w:ind w:left="0"/>
              <w:rPr>
                <w:color w:val="002060"/>
                <w:sz w:val="19"/>
                <w:szCs w:val="19"/>
              </w:rPr>
            </w:pPr>
          </w:p>
        </w:tc>
        <w:tc>
          <w:tcPr>
            <w:tcW w:w="720" w:type="dxa"/>
            <w:vMerge/>
            <w:shd w:val="clear" w:color="auto" w:fill="FFFFFF" w:themeFill="background1"/>
          </w:tcPr>
          <w:p w:rsidR="00883EEF" w:rsidRPr="00F91468" w:rsidRDefault="00883EEF" w:rsidP="00F37554">
            <w:pPr>
              <w:pStyle w:val="ListParagraph"/>
              <w:spacing w:after="0" w:line="240" w:lineRule="auto"/>
              <w:ind w:left="0"/>
              <w:jc w:val="center"/>
              <w:rPr>
                <w:rFonts w:cs="Times New Roman"/>
                <w:color w:val="002060"/>
                <w:sz w:val="18"/>
                <w:szCs w:val="18"/>
              </w:rPr>
            </w:pPr>
          </w:p>
        </w:tc>
        <w:tc>
          <w:tcPr>
            <w:tcW w:w="810" w:type="dxa"/>
            <w:vMerge/>
            <w:tcBorders>
              <w:right w:val="thinThickThinSmallGap" w:sz="24" w:space="0" w:color="auto"/>
            </w:tcBorders>
            <w:shd w:val="clear" w:color="auto" w:fill="FFFFFF" w:themeFill="background1"/>
          </w:tcPr>
          <w:p w:rsidR="00883EEF" w:rsidRPr="00F91468" w:rsidRDefault="00883EEF" w:rsidP="00F37554">
            <w:pPr>
              <w:pStyle w:val="ListParagraph"/>
              <w:spacing w:after="0" w:line="240" w:lineRule="auto"/>
              <w:ind w:left="0"/>
              <w:jc w:val="center"/>
              <w:rPr>
                <w:rFonts w:cs="Times New Roman"/>
                <w:color w:val="002060"/>
                <w:sz w:val="18"/>
                <w:szCs w:val="18"/>
              </w:rPr>
            </w:pPr>
          </w:p>
        </w:tc>
        <w:tc>
          <w:tcPr>
            <w:tcW w:w="2250" w:type="dxa"/>
            <w:tcBorders>
              <w:top w:val="single" w:sz="4" w:space="0" w:color="auto"/>
              <w:left w:val="thinThickThinSmallGap" w:sz="24" w:space="0" w:color="auto"/>
              <w:bottom w:val="single" w:sz="4" w:space="0" w:color="auto"/>
              <w:right w:val="single" w:sz="4" w:space="0" w:color="auto"/>
            </w:tcBorders>
            <w:shd w:val="clear" w:color="auto" w:fill="FFFFFF" w:themeFill="background1"/>
          </w:tcPr>
          <w:p w:rsidR="00883EEF" w:rsidRPr="00F91468" w:rsidRDefault="00883EEF" w:rsidP="00292E18">
            <w:pPr>
              <w:pStyle w:val="ListParagraph"/>
              <w:spacing w:after="0" w:line="240" w:lineRule="auto"/>
              <w:ind w:left="0"/>
              <w:rPr>
                <w:color w:val="002060"/>
                <w:sz w:val="19"/>
                <w:szCs w:val="19"/>
              </w:rPr>
            </w:pPr>
            <w:proofErr w:type="spellStart"/>
            <w:r w:rsidRPr="00F91468">
              <w:rPr>
                <w:color w:val="002060"/>
                <w:sz w:val="19"/>
                <w:szCs w:val="19"/>
              </w:rPr>
              <w:t>Degen</w:t>
            </w:r>
            <w:proofErr w:type="spellEnd"/>
            <w:r w:rsidRPr="00F91468">
              <w:rPr>
                <w:color w:val="002060"/>
                <w:sz w:val="19"/>
                <w:szCs w:val="19"/>
              </w:rPr>
              <w:t>. Arthritis, R Knee</w:t>
            </w:r>
          </w:p>
        </w:tc>
        <w:tc>
          <w:tcPr>
            <w:tcW w:w="1080" w:type="dxa"/>
            <w:tcBorders>
              <w:top w:val="single" w:sz="4" w:space="0" w:color="auto"/>
              <w:left w:val="single" w:sz="4" w:space="0" w:color="auto"/>
            </w:tcBorders>
            <w:shd w:val="clear" w:color="auto" w:fill="FFFFFF" w:themeFill="background1"/>
          </w:tcPr>
          <w:p w:rsidR="00883EEF" w:rsidRPr="00FD0AA0" w:rsidRDefault="00883EEF" w:rsidP="00292E18">
            <w:pPr>
              <w:pStyle w:val="ListParagraph"/>
              <w:spacing w:after="0" w:line="240" w:lineRule="auto"/>
              <w:ind w:left="0"/>
              <w:jc w:val="center"/>
              <w:rPr>
                <w:rFonts w:cs="Times New Roman"/>
                <w:color w:val="002060"/>
                <w:sz w:val="18"/>
                <w:szCs w:val="18"/>
              </w:rPr>
            </w:pPr>
            <w:r>
              <w:rPr>
                <w:rFonts w:cs="Times New Roman"/>
                <w:color w:val="002060"/>
                <w:sz w:val="18"/>
                <w:szCs w:val="18"/>
              </w:rPr>
              <w:t>5099-5010</w:t>
            </w:r>
          </w:p>
        </w:tc>
        <w:tc>
          <w:tcPr>
            <w:tcW w:w="810" w:type="dxa"/>
            <w:tcBorders>
              <w:top w:val="single" w:sz="4" w:space="0" w:color="auto"/>
            </w:tcBorders>
            <w:shd w:val="clear" w:color="auto" w:fill="FFFFFF" w:themeFill="background1"/>
          </w:tcPr>
          <w:p w:rsidR="00883EEF" w:rsidRPr="00FD0AA0" w:rsidRDefault="00883EEF" w:rsidP="00292E18">
            <w:pPr>
              <w:pStyle w:val="ListParagraph"/>
              <w:spacing w:after="0" w:line="240" w:lineRule="auto"/>
              <w:ind w:left="0"/>
              <w:jc w:val="center"/>
              <w:rPr>
                <w:rFonts w:cs="Times New Roman"/>
                <w:color w:val="002060"/>
                <w:sz w:val="18"/>
                <w:szCs w:val="18"/>
              </w:rPr>
            </w:pPr>
            <w:r>
              <w:rPr>
                <w:rFonts w:cs="Times New Roman"/>
                <w:color w:val="002060"/>
                <w:sz w:val="18"/>
                <w:szCs w:val="18"/>
              </w:rPr>
              <w:t>10%</w:t>
            </w:r>
          </w:p>
        </w:tc>
        <w:tc>
          <w:tcPr>
            <w:tcW w:w="990" w:type="dxa"/>
            <w:tcBorders>
              <w:top w:val="single" w:sz="4" w:space="0" w:color="auto"/>
            </w:tcBorders>
            <w:shd w:val="clear" w:color="auto" w:fill="FFFFFF" w:themeFill="background1"/>
          </w:tcPr>
          <w:p w:rsidR="00883EEF" w:rsidRPr="00FD0AA0" w:rsidRDefault="00883EEF" w:rsidP="00292E18">
            <w:pPr>
              <w:pStyle w:val="ListParagraph"/>
              <w:spacing w:after="0" w:line="240" w:lineRule="auto"/>
              <w:ind w:left="0"/>
              <w:jc w:val="center"/>
              <w:rPr>
                <w:rFonts w:cs="Times New Roman"/>
                <w:color w:val="002060"/>
                <w:sz w:val="18"/>
                <w:szCs w:val="18"/>
              </w:rPr>
            </w:pPr>
            <w:r>
              <w:rPr>
                <w:rFonts w:cs="Times New Roman"/>
                <w:color w:val="002060"/>
                <w:sz w:val="18"/>
                <w:szCs w:val="18"/>
              </w:rPr>
              <w:t>20070717</w:t>
            </w:r>
          </w:p>
        </w:tc>
      </w:tr>
      <w:tr w:rsidR="00C67B84" w:rsidRPr="002A685E" w:rsidTr="00C67B84">
        <w:trPr>
          <w:trHeight w:val="125"/>
        </w:trPr>
        <w:tc>
          <w:tcPr>
            <w:tcW w:w="2250" w:type="dxa"/>
            <w:tcBorders>
              <w:right w:val="single" w:sz="4" w:space="0" w:color="auto"/>
            </w:tcBorders>
            <w:shd w:val="clear" w:color="auto" w:fill="FFFFFF" w:themeFill="background1"/>
          </w:tcPr>
          <w:p w:rsidR="00883EEF" w:rsidRPr="00F91468" w:rsidRDefault="00883EEF" w:rsidP="00F37554">
            <w:pPr>
              <w:pStyle w:val="ListParagraph"/>
              <w:spacing w:after="0" w:line="240" w:lineRule="auto"/>
              <w:ind w:left="0"/>
              <w:rPr>
                <w:rFonts w:cs="Times New Roman"/>
                <w:color w:val="002060"/>
                <w:sz w:val="18"/>
                <w:szCs w:val="18"/>
              </w:rPr>
            </w:pPr>
            <w:r w:rsidRPr="00F91468">
              <w:rPr>
                <w:rFonts w:cs="Times New Roman"/>
                <w:color w:val="002060"/>
                <w:sz w:val="18"/>
                <w:szCs w:val="18"/>
              </w:rPr>
              <w:t>Chronic Low Back Pain</w:t>
            </w:r>
          </w:p>
        </w:tc>
        <w:tc>
          <w:tcPr>
            <w:tcW w:w="1080" w:type="dxa"/>
            <w:gridSpan w:val="2"/>
            <w:tcBorders>
              <w:left w:val="single" w:sz="4" w:space="0" w:color="auto"/>
            </w:tcBorders>
            <w:shd w:val="clear" w:color="auto" w:fill="FFFFFF" w:themeFill="background1"/>
          </w:tcPr>
          <w:p w:rsidR="00883EEF" w:rsidRPr="00F91468" w:rsidRDefault="00883EEF" w:rsidP="00F37554">
            <w:pPr>
              <w:pStyle w:val="ListParagraph"/>
              <w:spacing w:after="0" w:line="240" w:lineRule="auto"/>
              <w:ind w:left="0"/>
              <w:jc w:val="center"/>
              <w:rPr>
                <w:rFonts w:cs="Times New Roman"/>
                <w:color w:val="002060"/>
                <w:sz w:val="18"/>
                <w:szCs w:val="18"/>
              </w:rPr>
            </w:pPr>
            <w:r w:rsidRPr="00F91468">
              <w:rPr>
                <w:rFonts w:cs="Times New Roman"/>
                <w:color w:val="002060"/>
                <w:sz w:val="18"/>
                <w:szCs w:val="18"/>
              </w:rPr>
              <w:t>5299-5237</w:t>
            </w:r>
          </w:p>
        </w:tc>
        <w:tc>
          <w:tcPr>
            <w:tcW w:w="810" w:type="dxa"/>
            <w:tcBorders>
              <w:right w:val="thinThickThinSmallGap" w:sz="24" w:space="0" w:color="auto"/>
            </w:tcBorders>
            <w:shd w:val="clear" w:color="auto" w:fill="FFFFFF" w:themeFill="background1"/>
          </w:tcPr>
          <w:p w:rsidR="00883EEF" w:rsidRPr="00F91468" w:rsidRDefault="00883EEF" w:rsidP="00F37554">
            <w:pPr>
              <w:pStyle w:val="ListParagraph"/>
              <w:spacing w:after="0" w:line="240" w:lineRule="auto"/>
              <w:ind w:left="0"/>
              <w:jc w:val="center"/>
              <w:rPr>
                <w:rFonts w:cs="Times New Roman"/>
                <w:color w:val="002060"/>
                <w:sz w:val="18"/>
                <w:szCs w:val="18"/>
              </w:rPr>
            </w:pPr>
            <w:r w:rsidRPr="00F91468">
              <w:rPr>
                <w:rFonts w:cs="Times New Roman"/>
                <w:color w:val="002060"/>
                <w:sz w:val="18"/>
                <w:szCs w:val="18"/>
              </w:rPr>
              <w:t>10%</w:t>
            </w:r>
          </w:p>
        </w:tc>
        <w:tc>
          <w:tcPr>
            <w:tcW w:w="2250" w:type="dxa"/>
            <w:tcBorders>
              <w:top w:val="single" w:sz="4" w:space="0" w:color="auto"/>
              <w:left w:val="thinThickThinSmallGap" w:sz="24" w:space="0" w:color="auto"/>
            </w:tcBorders>
            <w:shd w:val="clear" w:color="auto" w:fill="FFFFFF" w:themeFill="background1"/>
          </w:tcPr>
          <w:p w:rsidR="00883EEF" w:rsidRPr="00F91468" w:rsidRDefault="00883EEF" w:rsidP="00883EEF">
            <w:pPr>
              <w:pStyle w:val="ListParagraph"/>
              <w:spacing w:after="0" w:line="240" w:lineRule="auto"/>
              <w:ind w:left="0"/>
              <w:rPr>
                <w:rFonts w:cs="Times New Roman"/>
                <w:color w:val="002060"/>
                <w:sz w:val="18"/>
                <w:szCs w:val="18"/>
              </w:rPr>
            </w:pPr>
            <w:r w:rsidRPr="00F91468">
              <w:rPr>
                <w:color w:val="002060"/>
                <w:sz w:val="19"/>
                <w:szCs w:val="19"/>
              </w:rPr>
              <w:t>Residuals, Lumbar Strain</w:t>
            </w:r>
          </w:p>
        </w:tc>
        <w:tc>
          <w:tcPr>
            <w:tcW w:w="1080" w:type="dxa"/>
            <w:shd w:val="clear" w:color="auto" w:fill="FFFFFF" w:themeFill="background1"/>
          </w:tcPr>
          <w:p w:rsidR="00883EEF" w:rsidRPr="00FD0AA0" w:rsidRDefault="00883EEF" w:rsidP="00883EEF">
            <w:pPr>
              <w:pStyle w:val="ListParagraph"/>
              <w:spacing w:after="0" w:line="240" w:lineRule="auto"/>
              <w:ind w:left="0"/>
              <w:jc w:val="center"/>
              <w:rPr>
                <w:rFonts w:cs="Times New Roman"/>
                <w:color w:val="002060"/>
                <w:sz w:val="18"/>
                <w:szCs w:val="18"/>
              </w:rPr>
            </w:pPr>
            <w:r>
              <w:rPr>
                <w:rFonts w:cs="Times New Roman"/>
                <w:color w:val="002060"/>
                <w:sz w:val="18"/>
                <w:szCs w:val="18"/>
              </w:rPr>
              <w:t>5237-5242</w:t>
            </w:r>
          </w:p>
        </w:tc>
        <w:tc>
          <w:tcPr>
            <w:tcW w:w="810" w:type="dxa"/>
            <w:shd w:val="clear" w:color="auto" w:fill="FFFFFF" w:themeFill="background1"/>
          </w:tcPr>
          <w:p w:rsidR="00883EEF" w:rsidRPr="00FD0AA0" w:rsidRDefault="00883EEF" w:rsidP="00883EEF">
            <w:pPr>
              <w:pStyle w:val="ListParagraph"/>
              <w:spacing w:after="0" w:line="240" w:lineRule="auto"/>
              <w:ind w:left="0"/>
              <w:jc w:val="center"/>
              <w:rPr>
                <w:rFonts w:cs="Times New Roman"/>
                <w:color w:val="002060"/>
                <w:sz w:val="18"/>
                <w:szCs w:val="18"/>
              </w:rPr>
            </w:pPr>
            <w:r>
              <w:rPr>
                <w:rFonts w:cs="Times New Roman"/>
                <w:color w:val="002060"/>
                <w:sz w:val="18"/>
                <w:szCs w:val="18"/>
              </w:rPr>
              <w:t>10%</w:t>
            </w:r>
          </w:p>
        </w:tc>
        <w:tc>
          <w:tcPr>
            <w:tcW w:w="990" w:type="dxa"/>
            <w:shd w:val="clear" w:color="auto" w:fill="FFFFFF" w:themeFill="background1"/>
          </w:tcPr>
          <w:p w:rsidR="00883EEF" w:rsidRPr="00FD0AA0" w:rsidRDefault="00883EEF" w:rsidP="00883EEF">
            <w:pPr>
              <w:pStyle w:val="ListParagraph"/>
              <w:spacing w:after="0" w:line="240" w:lineRule="auto"/>
              <w:ind w:left="0"/>
              <w:jc w:val="center"/>
              <w:rPr>
                <w:rFonts w:cs="Times New Roman"/>
                <w:color w:val="002060"/>
                <w:sz w:val="18"/>
                <w:szCs w:val="18"/>
              </w:rPr>
            </w:pPr>
            <w:r>
              <w:rPr>
                <w:rFonts w:cs="Times New Roman"/>
                <w:color w:val="002060"/>
                <w:sz w:val="18"/>
                <w:szCs w:val="18"/>
              </w:rPr>
              <w:t>20070717</w:t>
            </w:r>
          </w:p>
        </w:tc>
      </w:tr>
      <w:tr w:rsidR="002C5D67" w:rsidRPr="002A685E" w:rsidTr="00C67B84">
        <w:trPr>
          <w:trHeight w:val="143"/>
        </w:trPr>
        <w:tc>
          <w:tcPr>
            <w:tcW w:w="4140" w:type="dxa"/>
            <w:gridSpan w:val="4"/>
            <w:vMerge w:val="restart"/>
            <w:tcBorders>
              <w:right w:val="thinThickThinSmallGap" w:sz="24" w:space="0" w:color="auto"/>
            </w:tcBorders>
            <w:shd w:val="clear" w:color="auto" w:fill="FFFFFF" w:themeFill="background1"/>
          </w:tcPr>
          <w:p w:rsidR="002C5D67" w:rsidRPr="00FD0AA0" w:rsidRDefault="002C5D67" w:rsidP="00F37554">
            <w:pPr>
              <w:pStyle w:val="ListParagraph"/>
              <w:spacing w:after="0" w:line="240" w:lineRule="auto"/>
              <w:ind w:left="0"/>
              <w:jc w:val="center"/>
              <w:rPr>
                <w:rFonts w:cs="Times New Roman"/>
                <w:b/>
                <w:color w:val="002060"/>
                <w:sz w:val="18"/>
                <w:szCs w:val="18"/>
              </w:rPr>
            </w:pPr>
            <w:r w:rsidRPr="00FD0AA0">
              <w:rPr>
                <w:rFonts w:eastAsiaTheme="minorEastAsia"/>
                <w:color w:val="002060"/>
                <w:sz w:val="18"/>
                <w:szCs w:val="18"/>
              </w:rPr>
              <w:t>↓No Additional DA 3947 Entries.↓</w:t>
            </w:r>
          </w:p>
        </w:tc>
        <w:tc>
          <w:tcPr>
            <w:tcW w:w="2250" w:type="dxa"/>
            <w:tcBorders>
              <w:left w:val="thinThickThinSmallGap" w:sz="24" w:space="0" w:color="auto"/>
            </w:tcBorders>
            <w:shd w:val="clear" w:color="auto" w:fill="FFFFFF" w:themeFill="background1"/>
          </w:tcPr>
          <w:p w:rsidR="002C5D67" w:rsidRPr="00FD0AA0" w:rsidRDefault="002C5D67" w:rsidP="00F37554">
            <w:pPr>
              <w:pStyle w:val="ListParagraph"/>
              <w:spacing w:after="0" w:line="240" w:lineRule="auto"/>
              <w:ind w:left="0"/>
              <w:rPr>
                <w:rFonts w:cs="Times New Roman"/>
                <w:color w:val="002060"/>
                <w:sz w:val="18"/>
                <w:szCs w:val="18"/>
              </w:rPr>
            </w:pPr>
            <w:proofErr w:type="spellStart"/>
            <w:r>
              <w:rPr>
                <w:rFonts w:cs="Times New Roman"/>
                <w:color w:val="002060"/>
                <w:sz w:val="18"/>
                <w:szCs w:val="18"/>
              </w:rPr>
              <w:t>Degen</w:t>
            </w:r>
            <w:proofErr w:type="spellEnd"/>
            <w:r>
              <w:rPr>
                <w:rFonts w:cs="Times New Roman"/>
                <w:color w:val="002060"/>
                <w:sz w:val="18"/>
                <w:szCs w:val="18"/>
              </w:rPr>
              <w:t>. Disc, Cervical</w:t>
            </w:r>
          </w:p>
        </w:tc>
        <w:tc>
          <w:tcPr>
            <w:tcW w:w="1080" w:type="dxa"/>
            <w:shd w:val="clear" w:color="auto" w:fill="FFFFFF" w:themeFill="background1"/>
          </w:tcPr>
          <w:p w:rsidR="002C5D67" w:rsidRPr="00FD0AA0" w:rsidRDefault="002C5D67" w:rsidP="00F37554">
            <w:pPr>
              <w:pStyle w:val="ListParagraph"/>
              <w:spacing w:after="0" w:line="240" w:lineRule="auto"/>
              <w:ind w:left="0"/>
              <w:jc w:val="center"/>
              <w:rPr>
                <w:rFonts w:cs="Times New Roman"/>
                <w:color w:val="002060"/>
                <w:sz w:val="18"/>
                <w:szCs w:val="18"/>
              </w:rPr>
            </w:pPr>
            <w:r>
              <w:rPr>
                <w:rFonts w:cs="Times New Roman"/>
                <w:color w:val="002060"/>
                <w:sz w:val="18"/>
                <w:szCs w:val="18"/>
              </w:rPr>
              <w:t>5010-5242</w:t>
            </w:r>
          </w:p>
        </w:tc>
        <w:tc>
          <w:tcPr>
            <w:tcW w:w="810" w:type="dxa"/>
            <w:shd w:val="clear" w:color="auto" w:fill="FFFFFF" w:themeFill="background1"/>
          </w:tcPr>
          <w:p w:rsidR="002C5D67" w:rsidRPr="00FD0AA0" w:rsidRDefault="002C5D67" w:rsidP="00F37554">
            <w:pPr>
              <w:pStyle w:val="ListParagraph"/>
              <w:spacing w:after="0" w:line="240" w:lineRule="auto"/>
              <w:ind w:left="0"/>
              <w:jc w:val="center"/>
              <w:rPr>
                <w:rFonts w:cs="Times New Roman"/>
                <w:color w:val="002060"/>
                <w:sz w:val="18"/>
                <w:szCs w:val="18"/>
              </w:rPr>
            </w:pPr>
            <w:r>
              <w:rPr>
                <w:rFonts w:cs="Times New Roman"/>
                <w:color w:val="002060"/>
                <w:sz w:val="18"/>
                <w:szCs w:val="18"/>
              </w:rPr>
              <w:t>10%</w:t>
            </w:r>
          </w:p>
        </w:tc>
        <w:tc>
          <w:tcPr>
            <w:tcW w:w="990" w:type="dxa"/>
            <w:shd w:val="clear" w:color="auto" w:fill="FFFFFF" w:themeFill="background1"/>
          </w:tcPr>
          <w:p w:rsidR="002C5D67" w:rsidRPr="00FD0AA0" w:rsidRDefault="002C5D67" w:rsidP="00F37554">
            <w:pPr>
              <w:pStyle w:val="ListParagraph"/>
              <w:spacing w:after="0" w:line="240" w:lineRule="auto"/>
              <w:ind w:left="0"/>
              <w:jc w:val="center"/>
              <w:rPr>
                <w:rFonts w:cs="Times New Roman"/>
                <w:color w:val="002060"/>
                <w:sz w:val="18"/>
                <w:szCs w:val="18"/>
              </w:rPr>
            </w:pPr>
            <w:r>
              <w:rPr>
                <w:rFonts w:cs="Times New Roman"/>
                <w:color w:val="002060"/>
                <w:sz w:val="18"/>
                <w:szCs w:val="18"/>
              </w:rPr>
              <w:t>20070717</w:t>
            </w:r>
          </w:p>
        </w:tc>
      </w:tr>
      <w:tr w:rsidR="00F91468" w:rsidRPr="002A685E" w:rsidTr="00C67B84">
        <w:trPr>
          <w:trHeight w:val="143"/>
        </w:trPr>
        <w:tc>
          <w:tcPr>
            <w:tcW w:w="4140" w:type="dxa"/>
            <w:gridSpan w:val="4"/>
            <w:vMerge/>
            <w:tcBorders>
              <w:right w:val="thinThickThinSmallGap" w:sz="24" w:space="0" w:color="auto"/>
            </w:tcBorders>
            <w:shd w:val="clear" w:color="auto" w:fill="FFFFFF" w:themeFill="background1"/>
          </w:tcPr>
          <w:p w:rsidR="00F91468" w:rsidRPr="00FD0AA0" w:rsidRDefault="00F91468" w:rsidP="00F37554">
            <w:pPr>
              <w:pStyle w:val="ListParagraph"/>
              <w:spacing w:after="0" w:line="240" w:lineRule="auto"/>
              <w:ind w:left="0"/>
              <w:jc w:val="center"/>
              <w:rPr>
                <w:rFonts w:eastAsiaTheme="minorEastAsia"/>
                <w:color w:val="002060"/>
                <w:sz w:val="18"/>
                <w:szCs w:val="18"/>
              </w:rPr>
            </w:pPr>
          </w:p>
        </w:tc>
        <w:tc>
          <w:tcPr>
            <w:tcW w:w="2250" w:type="dxa"/>
            <w:tcBorders>
              <w:left w:val="thinThickThinSmallGap" w:sz="24" w:space="0" w:color="auto"/>
            </w:tcBorders>
            <w:shd w:val="clear" w:color="auto" w:fill="FFFFFF" w:themeFill="background1"/>
          </w:tcPr>
          <w:p w:rsidR="00F91468" w:rsidRDefault="00F91468" w:rsidP="00F37554">
            <w:pPr>
              <w:pStyle w:val="ListParagraph"/>
              <w:spacing w:after="0" w:line="240" w:lineRule="auto"/>
              <w:ind w:left="0"/>
              <w:rPr>
                <w:rFonts w:cs="Times New Roman"/>
                <w:color w:val="002060"/>
                <w:sz w:val="18"/>
                <w:szCs w:val="18"/>
              </w:rPr>
            </w:pPr>
            <w:r>
              <w:rPr>
                <w:rFonts w:cs="Times New Roman"/>
                <w:color w:val="002060"/>
                <w:sz w:val="18"/>
                <w:szCs w:val="18"/>
              </w:rPr>
              <w:t>Hypertension</w:t>
            </w:r>
          </w:p>
        </w:tc>
        <w:tc>
          <w:tcPr>
            <w:tcW w:w="1080" w:type="dxa"/>
            <w:shd w:val="clear" w:color="auto" w:fill="FFFFFF" w:themeFill="background1"/>
          </w:tcPr>
          <w:p w:rsidR="00F91468" w:rsidRDefault="00F91468" w:rsidP="00F37554">
            <w:pPr>
              <w:pStyle w:val="ListParagraph"/>
              <w:spacing w:after="0" w:line="240" w:lineRule="auto"/>
              <w:ind w:left="0"/>
              <w:jc w:val="center"/>
              <w:rPr>
                <w:rFonts w:cs="Times New Roman"/>
                <w:color w:val="002060"/>
                <w:sz w:val="18"/>
                <w:szCs w:val="18"/>
              </w:rPr>
            </w:pPr>
            <w:r>
              <w:rPr>
                <w:rFonts w:cs="Times New Roman"/>
                <w:color w:val="002060"/>
                <w:sz w:val="18"/>
                <w:szCs w:val="18"/>
              </w:rPr>
              <w:t>7101</w:t>
            </w:r>
          </w:p>
        </w:tc>
        <w:tc>
          <w:tcPr>
            <w:tcW w:w="810" w:type="dxa"/>
            <w:shd w:val="clear" w:color="auto" w:fill="FFFFFF" w:themeFill="background1"/>
          </w:tcPr>
          <w:p w:rsidR="00F91468" w:rsidRPr="00FD0AA0" w:rsidRDefault="00F91468" w:rsidP="0009567F">
            <w:pPr>
              <w:pStyle w:val="ListParagraph"/>
              <w:spacing w:after="0" w:line="240" w:lineRule="auto"/>
              <w:ind w:left="0"/>
              <w:jc w:val="center"/>
              <w:rPr>
                <w:rFonts w:cs="Times New Roman"/>
                <w:color w:val="002060"/>
                <w:sz w:val="18"/>
                <w:szCs w:val="18"/>
              </w:rPr>
            </w:pPr>
            <w:r>
              <w:rPr>
                <w:rFonts w:cs="Times New Roman"/>
                <w:color w:val="002060"/>
                <w:sz w:val="18"/>
                <w:szCs w:val="18"/>
              </w:rPr>
              <w:t>0%</w:t>
            </w:r>
          </w:p>
        </w:tc>
        <w:tc>
          <w:tcPr>
            <w:tcW w:w="990" w:type="dxa"/>
            <w:shd w:val="clear" w:color="auto" w:fill="FFFFFF" w:themeFill="background1"/>
          </w:tcPr>
          <w:p w:rsidR="00F91468" w:rsidRPr="00FD0AA0" w:rsidRDefault="00F91468" w:rsidP="0009567F">
            <w:pPr>
              <w:pStyle w:val="ListParagraph"/>
              <w:spacing w:after="0" w:line="240" w:lineRule="auto"/>
              <w:ind w:left="0"/>
              <w:jc w:val="center"/>
              <w:rPr>
                <w:rFonts w:cs="Times New Roman"/>
                <w:color w:val="002060"/>
                <w:sz w:val="18"/>
                <w:szCs w:val="18"/>
              </w:rPr>
            </w:pPr>
            <w:r>
              <w:rPr>
                <w:rFonts w:cs="Times New Roman"/>
                <w:color w:val="002060"/>
                <w:sz w:val="18"/>
                <w:szCs w:val="18"/>
              </w:rPr>
              <w:t>20070717</w:t>
            </w:r>
          </w:p>
        </w:tc>
      </w:tr>
      <w:tr w:rsidR="00F91468" w:rsidRPr="002A685E" w:rsidTr="00C67B84">
        <w:trPr>
          <w:trHeight w:val="197"/>
        </w:trPr>
        <w:tc>
          <w:tcPr>
            <w:tcW w:w="4140" w:type="dxa"/>
            <w:gridSpan w:val="4"/>
            <w:vMerge/>
            <w:tcBorders>
              <w:right w:val="thinThickThinSmallGap" w:sz="24" w:space="0" w:color="auto"/>
            </w:tcBorders>
            <w:shd w:val="clear" w:color="auto" w:fill="FFFFFF" w:themeFill="background1"/>
          </w:tcPr>
          <w:p w:rsidR="00F91468" w:rsidRPr="00FD0AA0" w:rsidRDefault="00F91468" w:rsidP="00F37554">
            <w:pPr>
              <w:pStyle w:val="ListParagraph"/>
              <w:spacing w:after="0" w:line="240" w:lineRule="auto"/>
              <w:ind w:left="0"/>
              <w:jc w:val="center"/>
              <w:rPr>
                <w:rFonts w:cs="Times New Roman"/>
                <w:b/>
                <w:color w:val="002060"/>
                <w:sz w:val="18"/>
                <w:szCs w:val="18"/>
              </w:rPr>
            </w:pPr>
          </w:p>
        </w:tc>
        <w:tc>
          <w:tcPr>
            <w:tcW w:w="4140" w:type="dxa"/>
            <w:gridSpan w:val="3"/>
            <w:tcBorders>
              <w:left w:val="thinThickThinSmallGap" w:sz="24" w:space="0" w:color="auto"/>
            </w:tcBorders>
            <w:shd w:val="clear" w:color="auto" w:fill="FFFFFF" w:themeFill="background1"/>
          </w:tcPr>
          <w:p w:rsidR="00F91468" w:rsidRPr="00FD0AA0" w:rsidRDefault="00F91468" w:rsidP="00690FDA">
            <w:pPr>
              <w:pStyle w:val="ListParagraph"/>
              <w:spacing w:after="0" w:line="240" w:lineRule="auto"/>
              <w:ind w:left="0"/>
              <w:jc w:val="center"/>
              <w:rPr>
                <w:rFonts w:cs="Times New Roman"/>
                <w:color w:val="002060"/>
                <w:sz w:val="18"/>
                <w:szCs w:val="18"/>
              </w:rPr>
            </w:pPr>
            <w:r w:rsidRPr="00FD0AA0">
              <w:rPr>
                <w:rFonts w:cs="Times New Roman"/>
                <w:color w:val="002060"/>
                <w:sz w:val="18"/>
                <w:szCs w:val="18"/>
              </w:rPr>
              <w:t xml:space="preserve">Non-PEB X  </w:t>
            </w:r>
            <w:r>
              <w:rPr>
                <w:rFonts w:cs="Times New Roman"/>
                <w:color w:val="002060"/>
                <w:sz w:val="18"/>
                <w:szCs w:val="18"/>
              </w:rPr>
              <w:t>2</w:t>
            </w:r>
            <w:r w:rsidRPr="00FD0AA0">
              <w:rPr>
                <w:rFonts w:cs="Times New Roman"/>
                <w:color w:val="002060"/>
                <w:sz w:val="18"/>
                <w:szCs w:val="18"/>
              </w:rPr>
              <w:t xml:space="preserve"> / NSC X </w:t>
            </w:r>
            <w:r>
              <w:rPr>
                <w:rFonts w:cs="Times New Roman"/>
                <w:color w:val="002060"/>
                <w:sz w:val="18"/>
                <w:szCs w:val="18"/>
              </w:rPr>
              <w:t>11</w:t>
            </w:r>
          </w:p>
        </w:tc>
        <w:tc>
          <w:tcPr>
            <w:tcW w:w="990" w:type="dxa"/>
            <w:shd w:val="clear" w:color="auto" w:fill="FFFFFF" w:themeFill="background1"/>
          </w:tcPr>
          <w:p w:rsidR="00F91468" w:rsidRPr="00FD0AA0" w:rsidRDefault="00F91468" w:rsidP="00F37554">
            <w:pPr>
              <w:pStyle w:val="ListParagraph"/>
              <w:spacing w:after="0" w:line="240" w:lineRule="auto"/>
              <w:ind w:left="0"/>
              <w:jc w:val="center"/>
              <w:rPr>
                <w:rFonts w:cs="Times New Roman"/>
                <w:color w:val="002060"/>
                <w:sz w:val="18"/>
                <w:szCs w:val="18"/>
              </w:rPr>
            </w:pPr>
            <w:r>
              <w:rPr>
                <w:rFonts w:cs="Times New Roman"/>
                <w:color w:val="002060"/>
                <w:sz w:val="18"/>
                <w:szCs w:val="18"/>
              </w:rPr>
              <w:t>20070717</w:t>
            </w:r>
          </w:p>
        </w:tc>
      </w:tr>
      <w:tr w:rsidR="00F91468" w:rsidRPr="002A685E" w:rsidTr="00C67B84">
        <w:trPr>
          <w:trHeight w:val="242"/>
        </w:trPr>
        <w:tc>
          <w:tcPr>
            <w:tcW w:w="4140" w:type="dxa"/>
            <w:gridSpan w:val="4"/>
            <w:tcBorders>
              <w:right w:val="thinThickThinSmallGap" w:sz="24" w:space="0" w:color="auto"/>
            </w:tcBorders>
            <w:shd w:val="clear" w:color="auto" w:fill="C6D9F1" w:themeFill="text2" w:themeFillTint="33"/>
          </w:tcPr>
          <w:p w:rsidR="00F91468" w:rsidRPr="002A685E" w:rsidRDefault="00F91468"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 xml:space="preserve">TOTAL Combined:  </w:t>
            </w:r>
            <w:r>
              <w:rPr>
                <w:rFonts w:cs="Times New Roman"/>
                <w:b/>
                <w:color w:val="002060"/>
                <w:sz w:val="20"/>
                <w:szCs w:val="20"/>
              </w:rPr>
              <w:t>2</w:t>
            </w:r>
            <w:r w:rsidRPr="002A685E">
              <w:rPr>
                <w:rFonts w:cs="Times New Roman"/>
                <w:b/>
                <w:color w:val="002060"/>
                <w:sz w:val="20"/>
                <w:szCs w:val="20"/>
              </w:rPr>
              <w:t>0%</w:t>
            </w:r>
          </w:p>
        </w:tc>
        <w:tc>
          <w:tcPr>
            <w:tcW w:w="5130" w:type="dxa"/>
            <w:gridSpan w:val="4"/>
            <w:tcBorders>
              <w:left w:val="thinThickThinSmallGap" w:sz="24" w:space="0" w:color="auto"/>
            </w:tcBorders>
            <w:shd w:val="clear" w:color="auto" w:fill="C6D9F1" w:themeFill="text2" w:themeFillTint="33"/>
          </w:tcPr>
          <w:p w:rsidR="00F91468" w:rsidRPr="002A685E" w:rsidRDefault="00F91468"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TOTAL Combined (</w:t>
            </w:r>
            <w:r w:rsidRPr="002A685E">
              <w:rPr>
                <w:rFonts w:cs="Times New Roman"/>
                <w:b/>
                <w:i/>
                <w:color w:val="002060"/>
                <w:sz w:val="20"/>
                <w:szCs w:val="20"/>
              </w:rPr>
              <w:t>Includes Non-PEB Conditions</w:t>
            </w:r>
            <w:r w:rsidRPr="002A685E">
              <w:rPr>
                <w:rFonts w:cs="Times New Roman"/>
                <w:b/>
                <w:color w:val="002060"/>
                <w:sz w:val="20"/>
                <w:szCs w:val="20"/>
              </w:rPr>
              <w:t xml:space="preserve">): </w:t>
            </w:r>
            <w:r>
              <w:rPr>
                <w:rFonts w:cs="Times New Roman"/>
                <w:b/>
                <w:color w:val="002060"/>
                <w:sz w:val="20"/>
                <w:szCs w:val="20"/>
              </w:rPr>
              <w:t>4</w:t>
            </w:r>
            <w:r w:rsidRPr="002A685E">
              <w:rPr>
                <w:rFonts w:cs="Times New Roman"/>
                <w:b/>
                <w:color w:val="002060"/>
                <w:sz w:val="20"/>
                <w:szCs w:val="20"/>
              </w:rPr>
              <w:t xml:space="preserve">0%                                                                         </w:t>
            </w:r>
            <w:r w:rsidRPr="002A685E">
              <w:rPr>
                <w:rFonts w:cs="Times New Roman"/>
                <w:color w:val="002060"/>
                <w:sz w:val="20"/>
                <w:szCs w:val="20"/>
              </w:rPr>
              <w:t xml:space="preserve"> </w:t>
            </w:r>
          </w:p>
        </w:tc>
      </w:tr>
    </w:tbl>
    <w:p w:rsidR="00072210" w:rsidRPr="00D91DA6" w:rsidRDefault="00072210" w:rsidP="00072210">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072210" w:rsidRDefault="00072210" w:rsidP="002C6E5B">
      <w:pPr>
        <w:tabs>
          <w:tab w:val="left" w:pos="288"/>
          <w:tab w:val="left" w:pos="4752"/>
        </w:tabs>
        <w:spacing w:line="240" w:lineRule="exact"/>
        <w:jc w:val="both"/>
        <w:rPr>
          <w:color w:val="000080"/>
          <w:u w:val="single"/>
        </w:rPr>
      </w:pPr>
    </w:p>
    <w:p w:rsidR="002C6E5B" w:rsidRPr="0001597C" w:rsidRDefault="002C6E5B" w:rsidP="002C6E5B">
      <w:pPr>
        <w:tabs>
          <w:tab w:val="left" w:pos="288"/>
          <w:tab w:val="left" w:pos="4752"/>
        </w:tabs>
        <w:spacing w:line="240" w:lineRule="exact"/>
        <w:jc w:val="both"/>
        <w:rPr>
          <w:color w:val="000080"/>
        </w:rPr>
      </w:pPr>
      <w:r w:rsidRPr="00D47D90">
        <w:rPr>
          <w:color w:val="000080"/>
          <w:u w:val="single"/>
        </w:rPr>
        <w:t>ANALYSIS SUMMARY</w:t>
      </w:r>
      <w:r w:rsidRPr="0001597C">
        <w:rPr>
          <w:color w:val="000080"/>
        </w:rPr>
        <w:t>:</w:t>
      </w:r>
    </w:p>
    <w:p w:rsidR="002C6E5B" w:rsidRPr="0001597C" w:rsidRDefault="002C6E5B" w:rsidP="002C6E5B">
      <w:pPr>
        <w:tabs>
          <w:tab w:val="left" w:pos="288"/>
          <w:tab w:val="left" w:pos="4752"/>
        </w:tabs>
        <w:spacing w:line="240" w:lineRule="exact"/>
        <w:jc w:val="both"/>
        <w:rPr>
          <w:color w:val="000080"/>
        </w:rPr>
      </w:pPr>
    </w:p>
    <w:p w:rsidR="003F6ACE" w:rsidRPr="0001597C" w:rsidRDefault="00B307A0" w:rsidP="0001597C">
      <w:pPr>
        <w:tabs>
          <w:tab w:val="left" w:pos="288"/>
          <w:tab w:val="left" w:pos="4752"/>
        </w:tabs>
        <w:spacing w:line="240" w:lineRule="exact"/>
        <w:jc w:val="both"/>
        <w:rPr>
          <w:color w:val="000080"/>
        </w:rPr>
      </w:pPr>
      <w:proofErr w:type="gramStart"/>
      <w:r w:rsidRPr="00D47D90">
        <w:rPr>
          <w:color w:val="000080"/>
          <w:u w:val="single"/>
        </w:rPr>
        <w:t>Knee Condition</w:t>
      </w:r>
      <w:r w:rsidRPr="0001597C">
        <w:rPr>
          <w:color w:val="000080"/>
        </w:rPr>
        <w:t>.</w:t>
      </w:r>
      <w:proofErr w:type="gramEnd"/>
      <w:r w:rsidRPr="0001597C">
        <w:rPr>
          <w:color w:val="000080"/>
        </w:rPr>
        <w:t xml:space="preserve">  </w:t>
      </w:r>
      <w:r w:rsidR="003F6ACE" w:rsidRPr="0001597C">
        <w:rPr>
          <w:color w:val="000080"/>
        </w:rPr>
        <w:t xml:space="preserve">The Board deliberated if the knee condition, which was clearly </w:t>
      </w:r>
      <w:r w:rsidR="00072210" w:rsidRPr="00072210">
        <w:rPr>
          <w:color w:val="000080"/>
        </w:rPr>
        <w:t xml:space="preserve">Existing Prior </w:t>
      </w:r>
      <w:proofErr w:type="gramStart"/>
      <w:r w:rsidR="00072210" w:rsidRPr="00072210">
        <w:rPr>
          <w:color w:val="000080"/>
        </w:rPr>
        <w:t>To</w:t>
      </w:r>
      <w:proofErr w:type="gramEnd"/>
      <w:r w:rsidR="00072210" w:rsidRPr="00072210">
        <w:rPr>
          <w:color w:val="000080"/>
        </w:rPr>
        <w:t xml:space="preserve"> Service</w:t>
      </w:r>
      <w:r w:rsidR="00072210">
        <w:rPr>
          <w:color w:val="000080"/>
        </w:rPr>
        <w:t xml:space="preserve"> (</w:t>
      </w:r>
      <w:r w:rsidR="003F6ACE" w:rsidRPr="0001597C">
        <w:rPr>
          <w:color w:val="000080"/>
        </w:rPr>
        <w:t>EPTS</w:t>
      </w:r>
      <w:r w:rsidR="00072210">
        <w:rPr>
          <w:color w:val="000080"/>
        </w:rPr>
        <w:t>)</w:t>
      </w:r>
      <w:r w:rsidR="003F6ACE" w:rsidRPr="0001597C">
        <w:rPr>
          <w:color w:val="000080"/>
        </w:rPr>
        <w:t xml:space="preserve">, met a reasonable threshold for permanent service aggravation.  The PEB’s DA </w:t>
      </w:r>
      <w:r w:rsidR="00072210">
        <w:rPr>
          <w:color w:val="000080"/>
        </w:rPr>
        <w:t>Form</w:t>
      </w:r>
      <w:r w:rsidR="00FA5FEC">
        <w:rPr>
          <w:color w:val="000080"/>
        </w:rPr>
        <w:t xml:space="preserve"> </w:t>
      </w:r>
      <w:r w:rsidR="003F6ACE" w:rsidRPr="0001597C">
        <w:rPr>
          <w:color w:val="000080"/>
        </w:rPr>
        <w:t xml:space="preserve">199 stated, ‘The presumption of permanent service aggravation is not overcome.’  The facts are, however, that the knee condition was a long standing (onset 1996) chronic </w:t>
      </w:r>
      <w:r w:rsidR="005B3F69" w:rsidRPr="0001597C">
        <w:rPr>
          <w:color w:val="000080"/>
        </w:rPr>
        <w:t>osteoarthritis</w:t>
      </w:r>
      <w:r w:rsidR="003F6ACE" w:rsidRPr="0001597C">
        <w:rPr>
          <w:color w:val="000080"/>
        </w:rPr>
        <w:t xml:space="preserve"> which had </w:t>
      </w:r>
      <w:r w:rsidR="005B3F69" w:rsidRPr="0001597C">
        <w:rPr>
          <w:color w:val="000080"/>
        </w:rPr>
        <w:t>been tolerated throughout a</w:t>
      </w:r>
      <w:r w:rsidR="00103432" w:rsidRPr="0001597C">
        <w:rPr>
          <w:color w:val="000080"/>
        </w:rPr>
        <w:t>n extended</w:t>
      </w:r>
      <w:r w:rsidR="005B3F69" w:rsidRPr="0001597C">
        <w:rPr>
          <w:color w:val="000080"/>
        </w:rPr>
        <w:t xml:space="preserve"> </w:t>
      </w:r>
      <w:r w:rsidR="00103432" w:rsidRPr="0001597C">
        <w:rPr>
          <w:color w:val="000080"/>
        </w:rPr>
        <w:t>period of service.</w:t>
      </w:r>
      <w:r w:rsidR="005B3F69" w:rsidRPr="0001597C">
        <w:rPr>
          <w:color w:val="000080"/>
        </w:rPr>
        <w:t xml:space="preserve">  The CI had, in fact, successfully completed an </w:t>
      </w:r>
      <w:r w:rsidR="00072210" w:rsidRPr="00072210">
        <w:rPr>
          <w:color w:val="000080"/>
        </w:rPr>
        <w:t xml:space="preserve">Army Physical Fitness Test </w:t>
      </w:r>
      <w:r w:rsidR="00072210">
        <w:rPr>
          <w:color w:val="000080"/>
        </w:rPr>
        <w:t>(</w:t>
      </w:r>
      <w:r w:rsidR="005B3F69" w:rsidRPr="0001597C">
        <w:rPr>
          <w:color w:val="000080"/>
        </w:rPr>
        <w:t>APFT</w:t>
      </w:r>
      <w:r w:rsidR="00072210">
        <w:rPr>
          <w:color w:val="000080"/>
        </w:rPr>
        <w:t>)</w:t>
      </w:r>
      <w:r w:rsidR="005B3F69" w:rsidRPr="0001597C">
        <w:rPr>
          <w:color w:val="000080"/>
        </w:rPr>
        <w:t xml:space="preserve"> </w:t>
      </w:r>
      <w:r w:rsidR="00B00470" w:rsidRPr="0001597C">
        <w:rPr>
          <w:color w:val="000080"/>
        </w:rPr>
        <w:t>concurrent with</w:t>
      </w:r>
      <w:r w:rsidR="005B3F69" w:rsidRPr="0001597C">
        <w:rPr>
          <w:color w:val="000080"/>
        </w:rPr>
        <w:t xml:space="preserve"> mobilization.  </w:t>
      </w:r>
      <w:r w:rsidR="00B00470" w:rsidRPr="0001597C">
        <w:rPr>
          <w:color w:val="000080"/>
        </w:rPr>
        <w:t>He was seen for knee pain two days</w:t>
      </w:r>
      <w:r w:rsidR="00EB7430" w:rsidRPr="0001597C">
        <w:rPr>
          <w:color w:val="000080"/>
        </w:rPr>
        <w:t xml:space="preserve"> after reporting to the mobilization site.  There is no report of specific trauma or indications that aggravation from training or other physical activities had intervened</w:t>
      </w:r>
      <w:r w:rsidR="00B01945">
        <w:rPr>
          <w:color w:val="000080"/>
        </w:rPr>
        <w:t xml:space="preserve">, much less evidence </w:t>
      </w:r>
      <w:r w:rsidR="00FA5FEC">
        <w:rPr>
          <w:color w:val="000080"/>
        </w:rPr>
        <w:t>of</w:t>
      </w:r>
      <w:r w:rsidR="000D514E">
        <w:rPr>
          <w:color w:val="000080"/>
        </w:rPr>
        <w:t xml:space="preserve"> </w:t>
      </w:r>
      <w:r w:rsidR="00B01945">
        <w:rPr>
          <w:color w:val="000080"/>
        </w:rPr>
        <w:t>permanent service aggravation</w:t>
      </w:r>
      <w:r w:rsidR="00EB7430" w:rsidRPr="0001597C">
        <w:rPr>
          <w:color w:val="000080"/>
        </w:rPr>
        <w:t>.</w:t>
      </w:r>
      <w:r w:rsidR="00423350" w:rsidRPr="0001597C">
        <w:rPr>
          <w:color w:val="000080"/>
        </w:rPr>
        <w:t xml:space="preserve">  </w:t>
      </w:r>
      <w:r w:rsidR="00B01945">
        <w:rPr>
          <w:color w:val="000080"/>
        </w:rPr>
        <w:t xml:space="preserve">There is no specific evidence, however, that the knees were not aggravated by the APFT itself or other mobilization requirements.  </w:t>
      </w:r>
      <w:r w:rsidR="00423350" w:rsidRPr="0001597C">
        <w:rPr>
          <w:color w:val="000080"/>
        </w:rPr>
        <w:t xml:space="preserve">It </w:t>
      </w:r>
      <w:r w:rsidR="00B01945">
        <w:rPr>
          <w:color w:val="000080"/>
        </w:rPr>
        <w:t>is</w:t>
      </w:r>
      <w:r w:rsidR="00423350" w:rsidRPr="0001597C">
        <w:rPr>
          <w:color w:val="000080"/>
        </w:rPr>
        <w:t xml:space="preserve"> noted</w:t>
      </w:r>
      <w:r w:rsidR="00B01945">
        <w:rPr>
          <w:color w:val="000080"/>
        </w:rPr>
        <w:t>, furthermore,</w:t>
      </w:r>
      <w:r w:rsidR="00423350" w:rsidRPr="0001597C">
        <w:rPr>
          <w:color w:val="000080"/>
        </w:rPr>
        <w:t xml:space="preserve"> that </w:t>
      </w:r>
      <w:proofErr w:type="spellStart"/>
      <w:r w:rsidR="00423350" w:rsidRPr="0001597C">
        <w:rPr>
          <w:color w:val="000080"/>
        </w:rPr>
        <w:t>DoDI</w:t>
      </w:r>
      <w:proofErr w:type="spellEnd"/>
      <w:r w:rsidR="00423350" w:rsidRPr="0001597C">
        <w:rPr>
          <w:color w:val="000080"/>
        </w:rPr>
        <w:t xml:space="preserve"> 6040.44 would not countenance eliminat</w:t>
      </w:r>
      <w:r w:rsidR="00B00470" w:rsidRPr="0001597C">
        <w:rPr>
          <w:color w:val="000080"/>
        </w:rPr>
        <w:t>ion of a knee rating since that</w:t>
      </w:r>
      <w:r w:rsidR="00423350" w:rsidRPr="0001597C">
        <w:rPr>
          <w:color w:val="000080"/>
        </w:rPr>
        <w:t xml:space="preserve"> would result in a lower combined rating than that granted by the PEB.</w:t>
      </w:r>
      <w:r w:rsidR="00B01945">
        <w:rPr>
          <w:color w:val="000080"/>
        </w:rPr>
        <w:t xml:space="preserve">  The Board, therefore, concedes the EPTS issue.</w:t>
      </w:r>
    </w:p>
    <w:p w:rsidR="003F6ACE" w:rsidRPr="0001597C" w:rsidRDefault="003F6ACE" w:rsidP="0001597C">
      <w:pPr>
        <w:tabs>
          <w:tab w:val="left" w:pos="288"/>
          <w:tab w:val="left" w:pos="4752"/>
        </w:tabs>
        <w:spacing w:line="240" w:lineRule="exact"/>
        <w:jc w:val="both"/>
        <w:rPr>
          <w:color w:val="000080"/>
        </w:rPr>
      </w:pPr>
    </w:p>
    <w:p w:rsidR="0067058D" w:rsidRPr="00D47D90" w:rsidRDefault="00B307A0" w:rsidP="0001597C">
      <w:pPr>
        <w:tabs>
          <w:tab w:val="left" w:pos="288"/>
          <w:tab w:val="left" w:pos="4752"/>
        </w:tabs>
        <w:spacing w:line="240" w:lineRule="exact"/>
        <w:jc w:val="both"/>
        <w:rPr>
          <w:color w:val="000080"/>
        </w:rPr>
      </w:pPr>
      <w:r w:rsidRPr="0001597C">
        <w:rPr>
          <w:color w:val="000080"/>
        </w:rPr>
        <w:t xml:space="preserve">The PEB rated both knees under the </w:t>
      </w:r>
      <w:r w:rsidR="00072210" w:rsidRPr="00072210">
        <w:rPr>
          <w:color w:val="000080"/>
        </w:rPr>
        <w:t xml:space="preserve">Veterans Administration Schedule for Rating Disabilities </w:t>
      </w:r>
      <w:r w:rsidR="00072210">
        <w:rPr>
          <w:color w:val="000080"/>
        </w:rPr>
        <w:t>(</w:t>
      </w:r>
      <w:r w:rsidRPr="0001597C">
        <w:rPr>
          <w:color w:val="000080"/>
        </w:rPr>
        <w:t>VASRD</w:t>
      </w:r>
      <w:r w:rsidR="00072210">
        <w:rPr>
          <w:color w:val="000080"/>
        </w:rPr>
        <w:t>)</w:t>
      </w:r>
      <w:r w:rsidRPr="0001597C">
        <w:rPr>
          <w:color w:val="000080"/>
        </w:rPr>
        <w:t xml:space="preserve"> </w:t>
      </w:r>
      <w:r w:rsidR="00174209" w:rsidRPr="0001597C">
        <w:rPr>
          <w:color w:val="000080"/>
        </w:rPr>
        <w:t>coded 5003 for</w:t>
      </w:r>
      <w:r w:rsidRPr="0001597C">
        <w:rPr>
          <w:color w:val="000080"/>
        </w:rPr>
        <w:t xml:space="preserve"> two major joints.  Radiographic evidence would support that approach.  There was no compensable range-of-motion (ROM) impairment or evidence of instability.  The VA separately rated </w:t>
      </w:r>
      <w:r w:rsidR="00080EBD" w:rsidRPr="0001597C">
        <w:rPr>
          <w:color w:val="000080"/>
        </w:rPr>
        <w:t>each knee analogously to 5003 as traumatic arthritis,</w:t>
      </w:r>
      <w:r w:rsidRPr="0001597C">
        <w:rPr>
          <w:color w:val="000080"/>
        </w:rPr>
        <w:t xml:space="preserve"> based on painful motion for each joint.  </w:t>
      </w:r>
      <w:r w:rsidR="00080EBD" w:rsidRPr="0001597C">
        <w:rPr>
          <w:color w:val="000080"/>
        </w:rPr>
        <w:t>VASRD §</w:t>
      </w:r>
      <w:r w:rsidR="00925AB9" w:rsidRPr="0001597C">
        <w:rPr>
          <w:color w:val="000080"/>
        </w:rPr>
        <w:t>4</w:t>
      </w:r>
      <w:r w:rsidR="00080EBD" w:rsidRPr="0001597C">
        <w:rPr>
          <w:color w:val="000080"/>
        </w:rPr>
        <w:t xml:space="preserve">.71a specifies for 5003 that ‘satisfactory evidence of painful motion’ constitutes limitation of motion </w:t>
      </w:r>
      <w:r w:rsidR="004B3E1F" w:rsidRPr="0001597C">
        <w:rPr>
          <w:color w:val="000080"/>
        </w:rPr>
        <w:t xml:space="preserve">and specifies application of a 10% rating ‘for each such major joint or group of minor joints affected by limitation of motion’.  </w:t>
      </w:r>
      <w:r w:rsidR="00BB7206" w:rsidRPr="0001597C">
        <w:rPr>
          <w:color w:val="000080"/>
        </w:rPr>
        <w:t xml:space="preserve">Since both decisions were IAW §4.71a otherwise, the only distinction between the Army and VA ratings was based on the rater’s threshold for ‘satisfactory’ evidence regarding painful motion.  </w:t>
      </w:r>
      <w:r w:rsidR="003F61E7" w:rsidRPr="0001597C">
        <w:rPr>
          <w:color w:val="000080"/>
        </w:rPr>
        <w:t xml:space="preserve">In the case of the VA rating examination the presence of painful motion was specifically </w:t>
      </w:r>
      <w:r w:rsidR="009A513F" w:rsidRPr="0001597C">
        <w:rPr>
          <w:color w:val="000080"/>
        </w:rPr>
        <w:t>stated, ‘</w:t>
      </w:r>
      <w:proofErr w:type="gramStart"/>
      <w:r w:rsidR="009A513F" w:rsidRPr="0001597C">
        <w:rPr>
          <w:color w:val="000080"/>
        </w:rPr>
        <w:t>From</w:t>
      </w:r>
      <w:proofErr w:type="gramEnd"/>
      <w:r w:rsidR="009A513F" w:rsidRPr="0001597C">
        <w:rPr>
          <w:color w:val="000080"/>
        </w:rPr>
        <w:t xml:space="preserve"> this exam, the veteran has [right/left (identical wording both exams)] </w:t>
      </w:r>
      <w:r w:rsidR="00BF1DFD">
        <w:rPr>
          <w:color w:val="000080"/>
        </w:rPr>
        <w:t xml:space="preserve">knee </w:t>
      </w:r>
      <w:r w:rsidR="009A513F" w:rsidRPr="0001597C">
        <w:rPr>
          <w:color w:val="000080"/>
        </w:rPr>
        <w:t>pain on motion</w:t>
      </w:r>
      <w:r w:rsidR="003F61E7" w:rsidRPr="0001597C">
        <w:rPr>
          <w:color w:val="000080"/>
        </w:rPr>
        <w:t>.</w:t>
      </w:r>
      <w:r w:rsidR="009A513F" w:rsidRPr="0001597C">
        <w:rPr>
          <w:color w:val="000080"/>
        </w:rPr>
        <w:t>’</w:t>
      </w:r>
      <w:r w:rsidR="003F61E7" w:rsidRPr="0001597C">
        <w:rPr>
          <w:color w:val="000080"/>
        </w:rPr>
        <w:t xml:space="preserve">  </w:t>
      </w:r>
      <w:r w:rsidR="00103432" w:rsidRPr="0001597C">
        <w:rPr>
          <w:color w:val="000080"/>
        </w:rPr>
        <w:t xml:space="preserve">In addition the VA </w:t>
      </w:r>
      <w:r w:rsidR="00103432" w:rsidRPr="0001597C">
        <w:rPr>
          <w:color w:val="000080"/>
        </w:rPr>
        <w:lastRenderedPageBreak/>
        <w:t xml:space="preserve">goniometric ROM exams stipulated onset of pain in degrees.  </w:t>
      </w:r>
      <w:r w:rsidR="00F470CA" w:rsidRPr="0001597C">
        <w:rPr>
          <w:color w:val="000080"/>
        </w:rPr>
        <w:t xml:space="preserve">The </w:t>
      </w:r>
      <w:r w:rsidR="00103432" w:rsidRPr="0001597C">
        <w:rPr>
          <w:color w:val="000080"/>
        </w:rPr>
        <w:t>final</w:t>
      </w:r>
      <w:r w:rsidR="00F470CA" w:rsidRPr="0001597C">
        <w:rPr>
          <w:color w:val="000080"/>
        </w:rPr>
        <w:t xml:space="preserve"> </w:t>
      </w:r>
      <w:r w:rsidR="00103432" w:rsidRPr="0001597C">
        <w:rPr>
          <w:color w:val="000080"/>
        </w:rPr>
        <w:t>entry in each</w:t>
      </w:r>
      <w:r w:rsidR="00BF1DFD">
        <w:rPr>
          <w:color w:val="000080"/>
        </w:rPr>
        <w:t xml:space="preserve"> knee exam</w:t>
      </w:r>
      <w:r w:rsidR="00F470CA" w:rsidRPr="0001597C">
        <w:rPr>
          <w:color w:val="000080"/>
        </w:rPr>
        <w:t xml:space="preserve">, however, was </w:t>
      </w:r>
      <w:r w:rsidR="00B00470" w:rsidRPr="0001597C">
        <w:rPr>
          <w:color w:val="000080"/>
        </w:rPr>
        <w:t>‘</w:t>
      </w:r>
      <w:r w:rsidR="00103432" w:rsidRPr="0001597C">
        <w:rPr>
          <w:color w:val="000080"/>
        </w:rPr>
        <w:t xml:space="preserve">The [right/left] knee motion is </w:t>
      </w:r>
      <w:r w:rsidR="00103432" w:rsidRPr="0001597C">
        <w:rPr>
          <w:i/>
          <w:color w:val="000080"/>
        </w:rPr>
        <w:t>not</w:t>
      </w:r>
      <w:r w:rsidR="00103432" w:rsidRPr="0001597C">
        <w:rPr>
          <w:color w:val="000080"/>
        </w:rPr>
        <w:t xml:space="preserve"> limited by pain.  Repetitive use with 3 repetitions showed </w:t>
      </w:r>
      <w:r w:rsidR="00103432" w:rsidRPr="0001597C">
        <w:rPr>
          <w:i/>
          <w:color w:val="000080"/>
        </w:rPr>
        <w:t>no</w:t>
      </w:r>
      <w:r w:rsidR="00103432" w:rsidRPr="0001597C">
        <w:rPr>
          <w:color w:val="000080"/>
        </w:rPr>
        <w:t xml:space="preserve"> additional loss of motion by pain, fatigue, weakness, or lack of endurance.’  </w:t>
      </w:r>
      <w:r w:rsidR="0007718F" w:rsidRPr="0001597C">
        <w:rPr>
          <w:color w:val="000080"/>
        </w:rPr>
        <w:t xml:space="preserve">The VA rating decision referenced the goniometric exam statements and not the contradicting statements in concluding ‘the evidence shows painful motion’.  The PEB had no such distinctions to make.  </w:t>
      </w:r>
      <w:r w:rsidR="003F61E7" w:rsidRPr="0001597C">
        <w:rPr>
          <w:color w:val="000080"/>
        </w:rPr>
        <w:t xml:space="preserve">The MEB examiner did not make a specific statement that there was or was not painful motion regarding the knee exam, although in the preceding hip exam he specified that there </w:t>
      </w:r>
      <w:r w:rsidR="00E62722">
        <w:rPr>
          <w:color w:val="000080"/>
        </w:rPr>
        <w:t xml:space="preserve">was </w:t>
      </w:r>
      <w:r w:rsidR="003F61E7" w:rsidRPr="0001597C">
        <w:rPr>
          <w:color w:val="000080"/>
        </w:rPr>
        <w:t xml:space="preserve">no pain with ROM.  Joint line tenderness and </w:t>
      </w:r>
      <w:r w:rsidR="00A24B37" w:rsidRPr="0001597C">
        <w:rPr>
          <w:color w:val="000080"/>
        </w:rPr>
        <w:t>positive McMurray’s tests (evidencing loose cartilage) were the only positive findings documented on the knee exam.  There were numerous non-goniometric knee ROM exams to be found in the PT notes</w:t>
      </w:r>
      <w:r w:rsidR="00330A21" w:rsidRPr="0001597C">
        <w:rPr>
          <w:color w:val="000080"/>
        </w:rPr>
        <w:t>, none of which documented any indicators of painful motion</w:t>
      </w:r>
      <w:r w:rsidR="00A24B37" w:rsidRPr="0001597C">
        <w:rPr>
          <w:color w:val="000080"/>
        </w:rPr>
        <w:t xml:space="preserve">.  Some of them identified mild limitations of flexion, </w:t>
      </w:r>
      <w:r w:rsidR="0007718F" w:rsidRPr="0001597C">
        <w:rPr>
          <w:color w:val="000080"/>
        </w:rPr>
        <w:t>but</w:t>
      </w:r>
      <w:r w:rsidR="00A24B37" w:rsidRPr="0001597C">
        <w:rPr>
          <w:color w:val="000080"/>
        </w:rPr>
        <w:t xml:space="preserve"> did not specify that this was on the basis of pain.  Daily chronic knee pain with activity, qualifying as ‘painful on use’ </w:t>
      </w:r>
      <w:r w:rsidR="00174209" w:rsidRPr="0001597C">
        <w:rPr>
          <w:color w:val="000080"/>
        </w:rPr>
        <w:t>IAW</w:t>
      </w:r>
      <w:r w:rsidR="00A24B37" w:rsidRPr="0001597C">
        <w:rPr>
          <w:color w:val="000080"/>
        </w:rPr>
        <w:t xml:space="preserve"> VASRD §4.40 (functional loss), was documented in the service record</w:t>
      </w:r>
      <w:r w:rsidR="00330A21" w:rsidRPr="0001597C">
        <w:rPr>
          <w:color w:val="000080"/>
        </w:rPr>
        <w:t xml:space="preserve">, although the additional §4.40 </w:t>
      </w:r>
      <w:r w:rsidR="00330A21" w:rsidRPr="00D47D90">
        <w:rPr>
          <w:color w:val="000080"/>
        </w:rPr>
        <w:t>stipulation ‘evidenced by the visible behavior of the claimant undertaking the motion’ was not.  I</w:t>
      </w:r>
      <w:r w:rsidR="00925AB9" w:rsidRPr="00D47D90">
        <w:rPr>
          <w:color w:val="000080"/>
        </w:rPr>
        <w:t xml:space="preserve">t should be recalled that the CI </w:t>
      </w:r>
      <w:r w:rsidR="00636EAA" w:rsidRPr="00D47D90">
        <w:rPr>
          <w:color w:val="000080"/>
        </w:rPr>
        <w:t>was prescribed</w:t>
      </w:r>
      <w:r w:rsidR="00925AB9" w:rsidRPr="00D47D90">
        <w:rPr>
          <w:color w:val="000080"/>
        </w:rPr>
        <w:t xml:space="preserve"> knee braces</w:t>
      </w:r>
      <w:r w:rsidR="00636EAA" w:rsidRPr="00D47D90">
        <w:rPr>
          <w:color w:val="000080"/>
        </w:rPr>
        <w:t>, although the indication for them was unclear given the abse</w:t>
      </w:r>
      <w:r w:rsidR="0067058D" w:rsidRPr="00D47D90">
        <w:rPr>
          <w:color w:val="000080"/>
        </w:rPr>
        <w:t>nce of instability</w:t>
      </w:r>
      <w:r w:rsidR="00925AB9" w:rsidRPr="00D47D90">
        <w:rPr>
          <w:color w:val="000080"/>
        </w:rPr>
        <w:t xml:space="preserve">.  </w:t>
      </w:r>
      <w:r w:rsidR="003F6ACE" w:rsidRPr="00D47D90">
        <w:rPr>
          <w:color w:val="000080"/>
        </w:rPr>
        <w:t>The Board deliberated at length regarding the issue of whether</w:t>
      </w:r>
      <w:r w:rsidR="00636EAA" w:rsidRPr="00D47D90">
        <w:rPr>
          <w:color w:val="000080"/>
        </w:rPr>
        <w:t xml:space="preserve"> the VASRD requirement for ‘satisfactory evidence of painful motion’</w:t>
      </w:r>
      <w:r w:rsidR="0067058D" w:rsidRPr="00D47D90">
        <w:rPr>
          <w:color w:val="000080"/>
        </w:rPr>
        <w:t xml:space="preserve"> was met to the advantage of the CI in this case.  The majority of members remained unconvinced that this was the case.  All evidence considered</w:t>
      </w:r>
      <w:proofErr w:type="gramStart"/>
      <w:r w:rsidR="0067058D" w:rsidRPr="00D47D90">
        <w:rPr>
          <w:color w:val="000080"/>
        </w:rPr>
        <w:t>,</w:t>
      </w:r>
      <w:proofErr w:type="gramEnd"/>
      <w:r w:rsidR="0067058D" w:rsidRPr="00D47D90">
        <w:rPr>
          <w:color w:val="000080"/>
        </w:rPr>
        <w:t xml:space="preserve"> there is not reasonable doubt in the CI’s favor supporting </w:t>
      </w:r>
      <w:proofErr w:type="spellStart"/>
      <w:r w:rsidR="0067058D" w:rsidRPr="00D47D90">
        <w:rPr>
          <w:color w:val="000080"/>
        </w:rPr>
        <w:t>recharacterization</w:t>
      </w:r>
      <w:proofErr w:type="spellEnd"/>
      <w:r w:rsidR="0067058D" w:rsidRPr="00D47D90">
        <w:rPr>
          <w:color w:val="000080"/>
        </w:rPr>
        <w:t xml:space="preserve"> of the PEB adjudication for the bilateral knee condition.</w:t>
      </w:r>
    </w:p>
    <w:p w:rsidR="00B307A0" w:rsidRPr="00D47D90" w:rsidRDefault="00B307A0" w:rsidP="00D47D90">
      <w:pPr>
        <w:tabs>
          <w:tab w:val="left" w:pos="288"/>
          <w:tab w:val="left" w:pos="4752"/>
        </w:tabs>
        <w:spacing w:line="240" w:lineRule="exact"/>
        <w:jc w:val="both"/>
        <w:rPr>
          <w:color w:val="000080"/>
        </w:rPr>
      </w:pPr>
    </w:p>
    <w:p w:rsidR="005A7BF4" w:rsidRPr="00D47D90" w:rsidRDefault="00925AB9" w:rsidP="00D47D90">
      <w:pPr>
        <w:tabs>
          <w:tab w:val="left" w:pos="288"/>
          <w:tab w:val="left" w:pos="4752"/>
        </w:tabs>
        <w:spacing w:line="240" w:lineRule="exact"/>
        <w:jc w:val="both"/>
        <w:rPr>
          <w:color w:val="000080"/>
        </w:rPr>
      </w:pPr>
      <w:r w:rsidRPr="00D47D90">
        <w:rPr>
          <w:color w:val="000080"/>
          <w:u w:val="single"/>
        </w:rPr>
        <w:t>Back</w:t>
      </w:r>
      <w:r w:rsidR="002C6E5B" w:rsidRPr="00D47D90">
        <w:rPr>
          <w:color w:val="000080"/>
          <w:u w:val="single"/>
        </w:rPr>
        <w:t xml:space="preserve"> Condition</w:t>
      </w:r>
      <w:r w:rsidR="002C6E5B" w:rsidRPr="00D47D90">
        <w:rPr>
          <w:color w:val="000080"/>
        </w:rPr>
        <w:t>.  The</w:t>
      </w:r>
      <w:r w:rsidR="00911A47" w:rsidRPr="00D47D90">
        <w:rPr>
          <w:color w:val="000080"/>
        </w:rPr>
        <w:t xml:space="preserve"> PEB’s DA </w:t>
      </w:r>
      <w:r w:rsidR="00072210">
        <w:rPr>
          <w:color w:val="000080"/>
        </w:rPr>
        <w:t xml:space="preserve">Form </w:t>
      </w:r>
      <w:r w:rsidR="00911A47" w:rsidRPr="00D47D90">
        <w:rPr>
          <w:color w:val="000080"/>
        </w:rPr>
        <w:t xml:space="preserve">199 did not invoke application of the </w:t>
      </w:r>
      <w:r w:rsidR="00072210">
        <w:rPr>
          <w:color w:val="000080"/>
        </w:rPr>
        <w:t>US Army Physical Disability Agency (</w:t>
      </w:r>
      <w:r w:rsidR="00911A47" w:rsidRPr="00D47D90">
        <w:rPr>
          <w:color w:val="000080"/>
        </w:rPr>
        <w:t>USAPDA</w:t>
      </w:r>
      <w:r w:rsidR="00072210">
        <w:rPr>
          <w:color w:val="000080"/>
        </w:rPr>
        <w:t>)</w:t>
      </w:r>
      <w:r w:rsidR="00911A47" w:rsidRPr="00D47D90">
        <w:rPr>
          <w:color w:val="000080"/>
        </w:rPr>
        <w:t xml:space="preserve"> pain policy in support of its spine rating decision.  The MEB examiner stipulated a goniometric ROM exam, although noted the results as ‘full</w:t>
      </w:r>
      <w:r w:rsidR="00E41114" w:rsidRPr="00D47D90">
        <w:rPr>
          <w:color w:val="000080"/>
        </w:rPr>
        <w:t xml:space="preserve"> range of motion</w:t>
      </w:r>
      <w:r w:rsidR="00911A47" w:rsidRPr="00D47D90">
        <w:rPr>
          <w:color w:val="000080"/>
        </w:rPr>
        <w:t xml:space="preserve">’ without specifying numeric values.  Although an argument could be made that this undermines the probative value of the exam to some extent, it is conceded that </w:t>
      </w:r>
      <w:r w:rsidR="00E41114" w:rsidRPr="00D47D90">
        <w:rPr>
          <w:color w:val="000080"/>
        </w:rPr>
        <w:t>normal values (</w:t>
      </w:r>
      <w:r w:rsidR="00E62722">
        <w:rPr>
          <w:rFonts w:ascii="Courier New" w:hAnsi="Courier New" w:cs="Courier New"/>
          <w:color w:val="000080"/>
        </w:rPr>
        <w:t>≥</w:t>
      </w:r>
      <w:r w:rsidR="00E41114" w:rsidRPr="00D47D90">
        <w:rPr>
          <w:color w:val="000080"/>
        </w:rPr>
        <w:t xml:space="preserve">90° flexion and </w:t>
      </w:r>
      <w:r w:rsidR="00E62722">
        <w:rPr>
          <w:rFonts w:ascii="Courier New" w:hAnsi="Courier New" w:cs="Courier New"/>
          <w:color w:val="000080"/>
        </w:rPr>
        <w:t>≥</w:t>
      </w:r>
      <w:r w:rsidR="00E41114" w:rsidRPr="00D47D90">
        <w:rPr>
          <w:color w:val="000080"/>
        </w:rPr>
        <w:t xml:space="preserve">240° combined) can be applied to the §4.71a spine formula for purposes of the Board’s recommendation.  As specified in the DA </w:t>
      </w:r>
      <w:r w:rsidR="00072210">
        <w:rPr>
          <w:color w:val="000080"/>
        </w:rPr>
        <w:t xml:space="preserve">Form </w:t>
      </w:r>
      <w:r w:rsidR="00E41114" w:rsidRPr="00D47D90">
        <w:rPr>
          <w:color w:val="000080"/>
        </w:rPr>
        <w:t xml:space="preserve">199, localized tenderness was appropriately attributed as the basis for a 10% rating determination.  The </w:t>
      </w:r>
      <w:r w:rsidR="00072210">
        <w:rPr>
          <w:color w:val="000080"/>
        </w:rPr>
        <w:t>narrative summary (</w:t>
      </w:r>
      <w:r w:rsidR="00E41114" w:rsidRPr="00D47D90">
        <w:rPr>
          <w:color w:val="000080"/>
        </w:rPr>
        <w:t>NARSUM</w:t>
      </w:r>
      <w:r w:rsidR="00072210">
        <w:rPr>
          <w:color w:val="000080"/>
        </w:rPr>
        <w:t>)</w:t>
      </w:r>
      <w:r w:rsidR="00E41114" w:rsidRPr="00D47D90">
        <w:rPr>
          <w:color w:val="000080"/>
        </w:rPr>
        <w:t xml:space="preserve">, PT notes and VA rating examination did not evidence abnormal gait or contour which would justify a 20% spine rating.  </w:t>
      </w:r>
      <w:r w:rsidR="0098379D" w:rsidRPr="00D47D90">
        <w:rPr>
          <w:color w:val="000080"/>
        </w:rPr>
        <w:t xml:space="preserve">The VA goniometric ROM examination specified the normal values cited above, noting pain as the end point.  The VA rating decision </w:t>
      </w:r>
      <w:r w:rsidR="00306022" w:rsidRPr="00D47D90">
        <w:rPr>
          <w:color w:val="000080"/>
        </w:rPr>
        <w:t>ident</w:t>
      </w:r>
      <w:r w:rsidR="0098379D" w:rsidRPr="00D47D90">
        <w:rPr>
          <w:color w:val="000080"/>
        </w:rPr>
        <w:t>ified tenderness and painful motion as the basis for its 10% determination.  Although the CI achieved higher spine ratings in subsequent VA evaluations, it is quite clear that 10% was a fair rating under §4.71a at the time of separation.</w:t>
      </w:r>
      <w:r w:rsidR="005A7BF4" w:rsidRPr="00D47D90">
        <w:rPr>
          <w:color w:val="000080"/>
        </w:rPr>
        <w:t xml:space="preserve">  The PEB’s coding includes an unnecessary prefix, but is accurate and </w:t>
      </w:r>
      <w:r w:rsidR="00306022" w:rsidRPr="00D47D90">
        <w:rPr>
          <w:color w:val="000080"/>
        </w:rPr>
        <w:t xml:space="preserve">extraneous </w:t>
      </w:r>
      <w:r w:rsidR="005A7BF4" w:rsidRPr="00D47D90">
        <w:rPr>
          <w:color w:val="000080"/>
        </w:rPr>
        <w:t>to rating.  All evidence considered</w:t>
      </w:r>
      <w:proofErr w:type="gramStart"/>
      <w:r w:rsidR="005A7BF4" w:rsidRPr="00D47D90">
        <w:rPr>
          <w:color w:val="000080"/>
        </w:rPr>
        <w:t>,</w:t>
      </w:r>
      <w:proofErr w:type="gramEnd"/>
      <w:r w:rsidR="005A7BF4" w:rsidRPr="00D47D90">
        <w:rPr>
          <w:color w:val="000080"/>
        </w:rPr>
        <w:t xml:space="preserve"> there is not </w:t>
      </w:r>
      <w:r w:rsidR="005A7BF4" w:rsidRPr="00D47D90">
        <w:rPr>
          <w:color w:val="000080"/>
        </w:rPr>
        <w:lastRenderedPageBreak/>
        <w:t xml:space="preserve">reasonable doubt in the CI’s favor supporting </w:t>
      </w:r>
      <w:proofErr w:type="spellStart"/>
      <w:r w:rsidR="005A7BF4" w:rsidRPr="00D47D90">
        <w:rPr>
          <w:color w:val="000080"/>
        </w:rPr>
        <w:t>recharacterization</w:t>
      </w:r>
      <w:proofErr w:type="spellEnd"/>
      <w:r w:rsidR="005A7BF4" w:rsidRPr="00D47D90">
        <w:rPr>
          <w:color w:val="000080"/>
        </w:rPr>
        <w:t xml:space="preserve"> of the PEB adjudication for the back condition.  </w:t>
      </w:r>
    </w:p>
    <w:p w:rsidR="00F07052" w:rsidRPr="00D47D90" w:rsidRDefault="00F07052" w:rsidP="00D47D90">
      <w:pPr>
        <w:tabs>
          <w:tab w:val="left" w:pos="288"/>
          <w:tab w:val="left" w:pos="4752"/>
        </w:tabs>
        <w:spacing w:line="240" w:lineRule="exact"/>
        <w:jc w:val="both"/>
        <w:rPr>
          <w:color w:val="000080"/>
        </w:rPr>
      </w:pPr>
    </w:p>
    <w:p w:rsidR="00C27DF3" w:rsidRDefault="002C6E5B" w:rsidP="00D47D90">
      <w:pPr>
        <w:tabs>
          <w:tab w:val="left" w:pos="288"/>
          <w:tab w:val="left" w:pos="4752"/>
        </w:tabs>
        <w:spacing w:line="240" w:lineRule="exact"/>
        <w:jc w:val="both"/>
        <w:rPr>
          <w:rFonts w:asciiTheme="minorHAnsi" w:hAnsiTheme="minorHAnsi"/>
          <w:color w:val="auto"/>
          <w:szCs w:val="24"/>
        </w:rPr>
      </w:pPr>
      <w:proofErr w:type="gramStart"/>
      <w:r w:rsidRPr="00D47D90">
        <w:rPr>
          <w:color w:val="000080"/>
          <w:u w:val="single"/>
        </w:rPr>
        <w:t>Other Conditions</w:t>
      </w:r>
      <w:r w:rsidRPr="00D47D90">
        <w:rPr>
          <w:color w:val="000080"/>
        </w:rPr>
        <w:t>.</w:t>
      </w:r>
      <w:proofErr w:type="gramEnd"/>
      <w:r w:rsidRPr="00D47D90">
        <w:rPr>
          <w:color w:val="000080"/>
        </w:rPr>
        <w:t xml:space="preserve">  </w:t>
      </w:r>
      <w:r w:rsidR="00F91468" w:rsidRPr="00D47D90">
        <w:rPr>
          <w:color w:val="000080"/>
        </w:rPr>
        <w:t xml:space="preserve">The only other condition noted in the NARSUM was hypertension.  </w:t>
      </w:r>
      <w:r w:rsidR="00D70F2E" w:rsidRPr="00D47D90">
        <w:rPr>
          <w:color w:val="000080"/>
        </w:rPr>
        <w:t xml:space="preserve">This was chronic, stable and received a non-compensable rating for the VA.  It is not relevant for Board consideration as additionally unfitting.  </w:t>
      </w:r>
      <w:r w:rsidR="00F91468" w:rsidRPr="00D47D90">
        <w:rPr>
          <w:color w:val="000080"/>
        </w:rPr>
        <w:t xml:space="preserve">The MEB physical identified ‘bilateral hamstring tenderness’ as one diagnostic impression, but this was not noted elsewhere in the service or VA records.  It must therefore be considered as an incidental finding, not a ratable condition for Board purposes.  </w:t>
      </w:r>
      <w:r w:rsidR="00D70F2E" w:rsidRPr="00D47D90">
        <w:rPr>
          <w:color w:val="000080"/>
        </w:rPr>
        <w:t>T</w:t>
      </w:r>
      <w:r w:rsidR="00F91468" w:rsidRPr="00D47D90">
        <w:rPr>
          <w:color w:val="000080"/>
        </w:rPr>
        <w:t xml:space="preserve">he CI received a </w:t>
      </w:r>
      <w:r w:rsidR="00D70F2E" w:rsidRPr="00D47D90">
        <w:rPr>
          <w:color w:val="000080"/>
        </w:rPr>
        <w:t xml:space="preserve">VA </w:t>
      </w:r>
      <w:r w:rsidR="00F91468" w:rsidRPr="00D47D90">
        <w:rPr>
          <w:color w:val="000080"/>
        </w:rPr>
        <w:t>rating for a cervical spine condition</w:t>
      </w:r>
      <w:r w:rsidR="00D70F2E" w:rsidRPr="00D47D90">
        <w:rPr>
          <w:color w:val="000080"/>
        </w:rPr>
        <w:t xml:space="preserve"> and identified numerous other conditions which were not service connected by the VA.  None of them were cited by the CI on the MEB physical or contended to the PEB at separation.  </w:t>
      </w:r>
      <w:r w:rsidR="00C74E9B" w:rsidRPr="00D47D90">
        <w:rPr>
          <w:color w:val="000080"/>
        </w:rPr>
        <w:t xml:space="preserve">Neither the physical profile nor the Commander’s statement identified any conditions other than the back and knees.  The only documented physical limitations were those attributed to the adjudicated conditions.  </w:t>
      </w:r>
      <w:r w:rsidR="00E67DA6" w:rsidRPr="00D47D90">
        <w:rPr>
          <w:color w:val="000080"/>
        </w:rPr>
        <w:t>T</w:t>
      </w:r>
      <w:r w:rsidR="00C74E9B" w:rsidRPr="00D47D90">
        <w:rPr>
          <w:color w:val="000080"/>
        </w:rPr>
        <w:t xml:space="preserve">he Board does not have the authority under </w:t>
      </w:r>
      <w:proofErr w:type="spellStart"/>
      <w:r w:rsidR="00C74E9B" w:rsidRPr="00D47D90">
        <w:rPr>
          <w:color w:val="000080"/>
        </w:rPr>
        <w:t>DoDI</w:t>
      </w:r>
      <w:proofErr w:type="spellEnd"/>
      <w:r w:rsidR="00C74E9B" w:rsidRPr="00D47D90">
        <w:rPr>
          <w:color w:val="000080"/>
        </w:rPr>
        <w:t xml:space="preserve"> 6040.44 to render fitness or rating recommendations for any conditions not considered by the DES.  The </w:t>
      </w:r>
      <w:r w:rsidR="00E67DA6" w:rsidRPr="00D47D90">
        <w:rPr>
          <w:color w:val="000080"/>
        </w:rPr>
        <w:t>cervical spine condition</w:t>
      </w:r>
      <w:r w:rsidR="00C74E9B" w:rsidRPr="00D47D90">
        <w:rPr>
          <w:color w:val="000080"/>
        </w:rPr>
        <w:t xml:space="preserve"> and any contended conditions not covered above remain eligible for </w:t>
      </w:r>
      <w:r w:rsidR="00072210">
        <w:rPr>
          <w:color w:val="000080"/>
        </w:rPr>
        <w:t xml:space="preserve">Army Board of Correction for Military Record </w:t>
      </w:r>
      <w:r w:rsidR="00C74E9B" w:rsidRPr="00D47D90">
        <w:rPr>
          <w:color w:val="000080"/>
        </w:rPr>
        <w:t xml:space="preserve">consideration.  </w:t>
      </w:r>
      <w:r w:rsidR="00C27DF3" w:rsidRPr="00D47D90">
        <w:rPr>
          <w:color w:val="000080"/>
        </w:rPr>
        <w:t>The Board has no reasonable basis for recommending any additional unfitting conditions for separation rating.</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E67DA6" w:rsidRPr="00D47D90" w:rsidRDefault="00C56FC8" w:rsidP="00D47D90">
      <w:pPr>
        <w:tabs>
          <w:tab w:val="left" w:pos="288"/>
          <w:tab w:val="left" w:pos="4752"/>
        </w:tabs>
        <w:spacing w:line="240" w:lineRule="exact"/>
        <w:jc w:val="both"/>
        <w:rPr>
          <w:color w:val="000080"/>
        </w:rPr>
      </w:pPr>
      <w:r w:rsidRPr="00D47D90">
        <w:rPr>
          <w:color w:val="000080"/>
          <w:u w:val="single"/>
        </w:rPr>
        <w:t>BOARD FINDINGS</w:t>
      </w:r>
      <w:r w:rsidRPr="00D47D90">
        <w:rPr>
          <w:color w:val="000080"/>
        </w:rPr>
        <w:t xml:space="preserve">:  IAW </w:t>
      </w:r>
      <w:proofErr w:type="spellStart"/>
      <w:r w:rsidRPr="00D47D90">
        <w:rPr>
          <w:color w:val="000080"/>
        </w:rPr>
        <w:t>DoDI</w:t>
      </w:r>
      <w:proofErr w:type="spellEnd"/>
      <w:r w:rsidRPr="00D47D90">
        <w:rPr>
          <w:color w:val="000080"/>
        </w:rPr>
        <w:t xml:space="preserve"> 6040.44, provisions of </w:t>
      </w:r>
      <w:proofErr w:type="spellStart"/>
      <w:r w:rsidRPr="00D47D90">
        <w:rPr>
          <w:color w:val="000080"/>
        </w:rPr>
        <w:t>DoD</w:t>
      </w:r>
      <w:proofErr w:type="spellEnd"/>
      <w:r w:rsidRPr="00D47D90">
        <w:rPr>
          <w:color w:val="000080"/>
        </w:rPr>
        <w:t xml:space="preserve"> or Military Department regulations or guidelines relied upon by the PEB will not be considered by the Board to the extent they were inconsistent with the VASRD in effect at the time of the adjudication. </w:t>
      </w:r>
      <w:r w:rsidR="001D68CF" w:rsidRPr="00D47D90">
        <w:rPr>
          <w:color w:val="000080"/>
        </w:rPr>
        <w:t xml:space="preserve"> </w:t>
      </w:r>
      <w:r w:rsidR="00E67DA6" w:rsidRPr="00D47D90">
        <w:rPr>
          <w:color w:val="000080"/>
        </w:rPr>
        <w:t>The Board did not surmise from the record or PEB ruling in this case that any prerogatives outside the VASRD were exercised.  In the matter of the bilateral knee</w:t>
      </w:r>
      <w:r w:rsidR="00D50BDA" w:rsidRPr="00D47D90">
        <w:rPr>
          <w:color w:val="000080"/>
        </w:rPr>
        <w:t xml:space="preserve"> condition and IAW VASRD §4.71a, the Board recommends by a vote of 2:1 no change in the PEB adjudication.  The single voter for dissent (who recommended separate ratings equivalent to the VA decision) submitted the </w:t>
      </w:r>
      <w:proofErr w:type="spellStart"/>
      <w:r w:rsidR="00D50BDA" w:rsidRPr="00D47D90">
        <w:rPr>
          <w:color w:val="000080"/>
        </w:rPr>
        <w:t>addended</w:t>
      </w:r>
      <w:proofErr w:type="spellEnd"/>
      <w:r w:rsidR="00D50BDA" w:rsidRPr="00D47D90">
        <w:rPr>
          <w:color w:val="000080"/>
        </w:rPr>
        <w:t xml:space="preserve"> minority opinion.  </w:t>
      </w:r>
      <w:r w:rsidR="00E67DA6" w:rsidRPr="00D47D90">
        <w:rPr>
          <w:color w:val="000080"/>
        </w:rPr>
        <w:t xml:space="preserve">In the matter of the </w:t>
      </w:r>
      <w:proofErr w:type="spellStart"/>
      <w:r w:rsidR="00E67DA6" w:rsidRPr="00D47D90">
        <w:rPr>
          <w:color w:val="000080"/>
        </w:rPr>
        <w:t>lumbosacral</w:t>
      </w:r>
      <w:proofErr w:type="spellEnd"/>
      <w:r w:rsidR="00E67DA6" w:rsidRPr="00D47D90">
        <w:rPr>
          <w:color w:val="000080"/>
        </w:rPr>
        <w:t xml:space="preserve"> condition and IAW VASRD §4.71a, the Board unanimously recommends no change in the PEB adjudication.  In the matter of the </w:t>
      </w:r>
      <w:r w:rsidR="000C4A07" w:rsidRPr="00D47D90">
        <w:rPr>
          <w:color w:val="000080"/>
        </w:rPr>
        <w:t>hypertension</w:t>
      </w:r>
      <w:r w:rsidR="00E67DA6" w:rsidRPr="00D47D90">
        <w:rPr>
          <w:color w:val="000080"/>
        </w:rPr>
        <w:t xml:space="preserve"> or any other medical conditions eligible for Board consideration; the Board unanimously agrees that it cannot recommend any findings of unfit for additional rating at separation.</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D50BDA" w:rsidRPr="00D47D90" w:rsidRDefault="00C56FC8" w:rsidP="00D47D90">
      <w:pPr>
        <w:tabs>
          <w:tab w:val="left" w:pos="288"/>
          <w:tab w:val="left" w:pos="4752"/>
        </w:tabs>
        <w:spacing w:line="240" w:lineRule="exact"/>
        <w:jc w:val="both"/>
        <w:rPr>
          <w:color w:val="000080"/>
        </w:rPr>
      </w:pPr>
      <w:r w:rsidRPr="00D47D90">
        <w:rPr>
          <w:color w:val="000080"/>
          <w:u w:val="single"/>
        </w:rPr>
        <w:t>RECOMMENDATION</w:t>
      </w:r>
      <w:r w:rsidRPr="00D47D90">
        <w:rPr>
          <w:color w:val="000080"/>
        </w:rPr>
        <w:t xml:space="preserve">: </w:t>
      </w:r>
      <w:r w:rsidR="00D50BDA" w:rsidRPr="00D47D90">
        <w:rPr>
          <w:color w:val="000080"/>
        </w:rPr>
        <w:t xml:space="preserve">The Board therefore recommends that there be no </w:t>
      </w:r>
      <w:proofErr w:type="spellStart"/>
      <w:r w:rsidR="00D50BDA" w:rsidRPr="00D47D90">
        <w:rPr>
          <w:color w:val="000080"/>
        </w:rPr>
        <w:t>recharacterization</w:t>
      </w:r>
      <w:proofErr w:type="spellEnd"/>
      <w:r w:rsidR="00D50BDA" w:rsidRPr="00D47D90">
        <w:rPr>
          <w:color w:val="000080"/>
        </w:rPr>
        <w:t xml:space="preserve"> of the CI’s disability and separation determination.</w:t>
      </w:r>
    </w:p>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072210" w:rsidRDefault="00072210" w:rsidP="00875F2D">
      <w:pPr>
        <w:tabs>
          <w:tab w:val="left" w:pos="288"/>
          <w:tab w:val="left" w:pos="4752"/>
        </w:tabs>
        <w:spacing w:line="240" w:lineRule="exact"/>
        <w:jc w:val="both"/>
        <w:rPr>
          <w:color w:val="000080"/>
        </w:rPr>
      </w:pPr>
    </w:p>
    <w:p w:rsidR="00D91DA6" w:rsidRDefault="00114F20" w:rsidP="00BF1DFD">
      <w:pPr>
        <w:rPr>
          <w:color w:val="000080"/>
        </w:rPr>
      </w:pPr>
      <w:r>
        <w:rPr>
          <w:color w:val="000080"/>
        </w:rPr>
        <w:lastRenderedPageBreak/>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DA03F9">
        <w:rPr>
          <w:color w:val="000080"/>
        </w:rPr>
        <w:t>0215</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Pr="00D91DA6" w:rsidRDefault="00114F20" w:rsidP="00875F2D">
      <w:pPr>
        <w:tabs>
          <w:tab w:val="left" w:pos="288"/>
          <w:tab w:val="left" w:pos="4752"/>
        </w:tabs>
        <w:spacing w:line="240" w:lineRule="exact"/>
        <w:jc w:val="both"/>
        <w:rPr>
          <w:color w:val="000080"/>
        </w:rPr>
      </w:pPr>
    </w:p>
    <w:p w:rsidR="00D91DA6" w:rsidRDefault="00C30A97" w:rsidP="00875F2D">
      <w:pPr>
        <w:tabs>
          <w:tab w:val="left" w:pos="0"/>
          <w:tab w:val="left" w:pos="4320"/>
        </w:tabs>
        <w:spacing w:line="240" w:lineRule="exact"/>
        <w:jc w:val="both"/>
        <w:rPr>
          <w:color w:val="000080"/>
        </w:rPr>
      </w:pPr>
      <w:r>
        <w:rPr>
          <w:color w:val="000080"/>
        </w:rPr>
        <w:t xml:space="preserve">                             </w:t>
      </w:r>
      <w:r w:rsidR="00D91DA6" w:rsidRPr="00D91DA6">
        <w:rPr>
          <w:color w:val="000080"/>
        </w:rPr>
        <w:t xml:space="preserve">MICHAEL F. </w:t>
      </w:r>
      <w:proofErr w:type="spellStart"/>
      <w:r w:rsidR="00D91DA6" w:rsidRPr="00D91DA6">
        <w:rPr>
          <w:color w:val="000080"/>
        </w:rPr>
        <w:t>LoGRANDE</w:t>
      </w:r>
      <w:proofErr w:type="spellEnd"/>
    </w:p>
    <w:p w:rsidR="00D91DA6" w:rsidRPr="00D91DA6" w:rsidRDefault="00C30A97" w:rsidP="00875F2D">
      <w:pPr>
        <w:tabs>
          <w:tab w:val="left" w:pos="0"/>
          <w:tab w:val="left" w:pos="4320"/>
        </w:tabs>
        <w:spacing w:line="240" w:lineRule="exact"/>
        <w:jc w:val="both"/>
        <w:rPr>
          <w:color w:val="000080"/>
        </w:rPr>
      </w:pPr>
      <w:r>
        <w:rPr>
          <w:color w:val="000080"/>
        </w:rPr>
        <w:t xml:space="preserve">                             </w:t>
      </w:r>
      <w:r w:rsidR="00D91DA6" w:rsidRPr="00D91DA6">
        <w:rPr>
          <w:color w:val="000080"/>
        </w:rPr>
        <w:t>President</w:t>
      </w:r>
    </w:p>
    <w:p w:rsidR="00B522CD" w:rsidRDefault="00C30A97" w:rsidP="00875F2D">
      <w:pPr>
        <w:tabs>
          <w:tab w:val="left" w:pos="288"/>
          <w:tab w:val="left" w:pos="4320"/>
          <w:tab w:val="left" w:pos="4410"/>
          <w:tab w:val="left" w:pos="4770"/>
          <w:tab w:val="left" w:pos="4860"/>
          <w:tab w:val="left" w:pos="5040"/>
        </w:tabs>
        <w:spacing w:line="240" w:lineRule="exact"/>
        <w:jc w:val="both"/>
        <w:rPr>
          <w:color w:val="000080"/>
        </w:rPr>
      </w:pPr>
      <w:r>
        <w:rPr>
          <w:color w:val="000080"/>
        </w:rPr>
        <w:tab/>
        <w:t xml:space="preserve">                           </w:t>
      </w:r>
      <w:r w:rsidR="00D91DA6" w:rsidRPr="00D91DA6">
        <w:rPr>
          <w:color w:val="000080"/>
        </w:rPr>
        <w:t>Physical Disability</w:t>
      </w:r>
      <w:r w:rsidR="00D91DA6">
        <w:rPr>
          <w:color w:val="000080"/>
        </w:rPr>
        <w:t xml:space="preserve"> </w:t>
      </w:r>
      <w:r w:rsidR="00D91DA6" w:rsidRPr="00D91DA6">
        <w:rPr>
          <w:color w:val="000080"/>
        </w:rPr>
        <w:t>Board of Review</w:t>
      </w:r>
    </w:p>
    <w:p w:rsidR="00AA04B3" w:rsidRDefault="00AA04B3" w:rsidP="00875F2D">
      <w:pPr>
        <w:tabs>
          <w:tab w:val="left" w:pos="288"/>
          <w:tab w:val="left" w:pos="4320"/>
          <w:tab w:val="left" w:pos="4410"/>
          <w:tab w:val="left" w:pos="4770"/>
          <w:tab w:val="left" w:pos="4860"/>
          <w:tab w:val="left" w:pos="5040"/>
        </w:tabs>
        <w:spacing w:line="240" w:lineRule="exact"/>
        <w:jc w:val="both"/>
        <w:rPr>
          <w:color w:val="000080"/>
        </w:rPr>
      </w:pPr>
    </w:p>
    <w:p w:rsidR="00D50BDA" w:rsidRDefault="00D50BDA">
      <w:pPr>
        <w:rPr>
          <w:rFonts w:asciiTheme="minorHAnsi" w:hAnsiTheme="minorHAnsi"/>
          <w:color w:val="auto"/>
          <w:highlight w:val="yellow"/>
        </w:rPr>
      </w:pPr>
      <w:r>
        <w:rPr>
          <w:rFonts w:asciiTheme="minorHAnsi" w:hAnsiTheme="minorHAnsi"/>
          <w:color w:val="auto"/>
          <w:highlight w:val="yellow"/>
        </w:rPr>
        <w:br w:type="page"/>
      </w:r>
    </w:p>
    <w:p w:rsidR="00D50BDA" w:rsidRDefault="00D50BDA" w:rsidP="00D50BDA">
      <w:pPr>
        <w:tabs>
          <w:tab w:val="left" w:pos="288"/>
          <w:tab w:val="left" w:pos="4752"/>
        </w:tabs>
        <w:spacing w:line="240" w:lineRule="exact"/>
        <w:jc w:val="both"/>
        <w:rPr>
          <w:color w:val="000080"/>
        </w:rPr>
      </w:pPr>
      <w:r w:rsidRPr="00D50BDA">
        <w:rPr>
          <w:color w:val="000080"/>
          <w:u w:val="single"/>
        </w:rPr>
        <w:lastRenderedPageBreak/>
        <w:t>MINORITY OPINION</w:t>
      </w:r>
      <w:r w:rsidRPr="00D50BDA">
        <w:rPr>
          <w:color w:val="000080"/>
        </w:rPr>
        <w:t>:</w:t>
      </w:r>
    </w:p>
    <w:p w:rsidR="00D50BDA" w:rsidRDefault="00D50BDA" w:rsidP="00D50BDA">
      <w:pPr>
        <w:tabs>
          <w:tab w:val="left" w:pos="288"/>
          <w:tab w:val="left" w:pos="4752"/>
        </w:tabs>
        <w:spacing w:line="240" w:lineRule="exact"/>
        <w:jc w:val="both"/>
        <w:rPr>
          <w:color w:val="000080"/>
        </w:rPr>
      </w:pPr>
    </w:p>
    <w:p w:rsidR="00D50BDA" w:rsidRPr="00D50BDA" w:rsidRDefault="00D50BDA" w:rsidP="00D50BDA">
      <w:pPr>
        <w:tabs>
          <w:tab w:val="left" w:pos="288"/>
          <w:tab w:val="left" w:pos="4752"/>
        </w:tabs>
        <w:spacing w:line="240" w:lineRule="exact"/>
        <w:jc w:val="both"/>
        <w:rPr>
          <w:color w:val="000080"/>
        </w:rPr>
      </w:pPr>
      <w:r>
        <w:rPr>
          <w:color w:val="000080"/>
        </w:rPr>
        <w:t xml:space="preserve">The Action Officer </w:t>
      </w:r>
      <w:r w:rsidR="0007036D">
        <w:rPr>
          <w:color w:val="000080"/>
        </w:rPr>
        <w:t xml:space="preserve">(AO) recommended separate knee coding and rating in this case, based on reasonable doubt regarding the ‘satisfactory evidence of painful motion’ </w:t>
      </w:r>
      <w:r w:rsidR="00CD57B9">
        <w:rPr>
          <w:color w:val="000080"/>
        </w:rPr>
        <w:t xml:space="preserve">issue as </w:t>
      </w:r>
      <w:r w:rsidR="0007036D">
        <w:rPr>
          <w:color w:val="000080"/>
        </w:rPr>
        <w:t xml:space="preserve">elaborated in the Record of Proceedings.  The AO’s </w:t>
      </w:r>
      <w:r w:rsidR="00D322A0">
        <w:rPr>
          <w:color w:val="000080"/>
        </w:rPr>
        <w:t>draft opinion</w:t>
      </w:r>
      <w:r w:rsidR="0007036D">
        <w:rPr>
          <w:color w:val="000080"/>
        </w:rPr>
        <w:t xml:space="preserve"> in that regard is excerpted below to provide balance.</w:t>
      </w:r>
      <w:r>
        <w:rPr>
          <w:color w:val="000080"/>
        </w:rPr>
        <w:t xml:space="preserve"> </w:t>
      </w:r>
    </w:p>
    <w:p w:rsidR="00D50BDA" w:rsidRDefault="00D50BDA" w:rsidP="003F6ACE">
      <w:pPr>
        <w:tabs>
          <w:tab w:val="left" w:pos="288"/>
          <w:tab w:val="left" w:pos="4752"/>
        </w:tabs>
        <w:spacing w:line="240" w:lineRule="exact"/>
        <w:rPr>
          <w:rFonts w:asciiTheme="minorHAnsi" w:hAnsiTheme="minorHAnsi"/>
          <w:color w:val="auto"/>
          <w:szCs w:val="24"/>
        </w:rPr>
      </w:pPr>
    </w:p>
    <w:p w:rsidR="003F6ACE" w:rsidRDefault="003F6ACE" w:rsidP="0007036D">
      <w:pPr>
        <w:tabs>
          <w:tab w:val="left" w:pos="288"/>
          <w:tab w:val="left" w:pos="4752"/>
        </w:tabs>
        <w:spacing w:line="240" w:lineRule="exact"/>
        <w:ind w:left="720" w:right="720"/>
        <w:jc w:val="both"/>
        <w:rPr>
          <w:color w:val="000080"/>
          <w:sz w:val="20"/>
        </w:rPr>
      </w:pPr>
      <w:r w:rsidRPr="0007036D">
        <w:rPr>
          <w:color w:val="000080"/>
          <w:sz w:val="20"/>
        </w:rPr>
        <w:t xml:space="preserve">The PEB rated both knees under the VASRD coded 5003 for two major joints.  Radiographic evidence would support that approach.  There was no compensable range-of-motion (ROM) impairment or evidence of instability.  The VA separately rated each knee analogously to 5003 as traumatic arthritis, based on painful motion for each joint.  VASRD §4.71a specifies for 5003 that ‘satisfactory evidence of painful motion’ constitutes limitation of motion and specifies application of a 10% rating ‘for each such major joint or group of minor joints affected by limitation of motion’.  In the case of the VA rating examination the presence of painful motion was specifically documented.  </w:t>
      </w:r>
      <w:r w:rsidR="00794EEB" w:rsidRPr="0007036D">
        <w:rPr>
          <w:color w:val="000080"/>
          <w:sz w:val="20"/>
        </w:rPr>
        <w:t xml:space="preserve">In addition the VA goniometric ROM exams stipulated onset of pain in degrees.  </w:t>
      </w:r>
      <w:r w:rsidRPr="0007036D">
        <w:rPr>
          <w:color w:val="000080"/>
          <w:sz w:val="20"/>
        </w:rPr>
        <w:t xml:space="preserve">The MEB examiner did not make a specific statement that there was or was not painful motion regarding the knee exam, although in the preceding hip exam he specified that there no pain with ROM.  Joint line tenderness and positive McMurray’s tests (evidencing loose cartilage) were the only positive findings documented on the knee exam.  There were numerous non-goniometric knee ROM exams to be found in the PT notes.  Some of them identified mild limitations of flexion, although did not specify that this was on the basis of pain.  Daily chronic knee pain with activity, qualifying as ‘painful on use’ IAW VASRD §4.40 (functional loss), was well documented in the service record; and, it should be recalled that the CI required knee braces.  There is reasonable doubt in the CI’s favor, therefore, to assume that the §4.71a threshold for painful motion was met for each knee at the time of separation.  </w:t>
      </w:r>
    </w:p>
    <w:p w:rsidR="0007036D" w:rsidRDefault="0007036D" w:rsidP="0007036D">
      <w:pPr>
        <w:tabs>
          <w:tab w:val="left" w:pos="288"/>
          <w:tab w:val="left" w:pos="4752"/>
        </w:tabs>
        <w:spacing w:line="240" w:lineRule="exact"/>
        <w:ind w:left="720" w:right="720"/>
        <w:jc w:val="both"/>
        <w:rPr>
          <w:color w:val="000080"/>
        </w:rPr>
      </w:pPr>
    </w:p>
    <w:p w:rsidR="0007036D" w:rsidRPr="0007036D" w:rsidRDefault="00CD57B9" w:rsidP="0007036D">
      <w:pPr>
        <w:tabs>
          <w:tab w:val="left" w:pos="288"/>
          <w:tab w:val="left" w:pos="4752"/>
        </w:tabs>
        <w:spacing w:line="240" w:lineRule="exact"/>
        <w:jc w:val="both"/>
        <w:rPr>
          <w:color w:val="000080"/>
        </w:rPr>
      </w:pPr>
      <w:r>
        <w:rPr>
          <w:color w:val="000080"/>
        </w:rPr>
        <w:t xml:space="preserve">Especially in light of the ambivalence in the </w:t>
      </w:r>
      <w:r w:rsidR="0007036D">
        <w:rPr>
          <w:color w:val="000080"/>
        </w:rPr>
        <w:t xml:space="preserve">VA </w:t>
      </w:r>
      <w:r>
        <w:rPr>
          <w:color w:val="000080"/>
        </w:rPr>
        <w:t xml:space="preserve">rating examiner’s documentation, the AO can endorse the majority opinion.  The PEB’s decision was faithful to the VASRD and consistent with the evidence before it.  </w:t>
      </w:r>
      <w:r w:rsidR="0001597C">
        <w:rPr>
          <w:color w:val="000080"/>
        </w:rPr>
        <w:t>Nevertheless t</w:t>
      </w:r>
      <w:r>
        <w:rPr>
          <w:color w:val="000080"/>
        </w:rPr>
        <w:t xml:space="preserve">he AO contends that the reasonable doubt standard was not </w:t>
      </w:r>
      <w:r w:rsidR="0001597C">
        <w:rPr>
          <w:color w:val="000080"/>
        </w:rPr>
        <w:t xml:space="preserve">sufficiently </w:t>
      </w:r>
      <w:r>
        <w:rPr>
          <w:color w:val="000080"/>
        </w:rPr>
        <w:t xml:space="preserve">overcome to </w:t>
      </w:r>
      <w:r w:rsidR="0001597C">
        <w:rPr>
          <w:color w:val="000080"/>
        </w:rPr>
        <w:t>support a vote unfavorable to the applicant.  The draft recommendation to the Board remains defended, to wit:</w:t>
      </w:r>
    </w:p>
    <w:p w:rsidR="000379D0" w:rsidRPr="0007036D" w:rsidRDefault="000379D0" w:rsidP="0007036D">
      <w:pPr>
        <w:tabs>
          <w:tab w:val="left" w:pos="288"/>
          <w:tab w:val="left" w:pos="4752"/>
        </w:tabs>
        <w:spacing w:line="240" w:lineRule="exact"/>
        <w:jc w:val="both"/>
        <w:rPr>
          <w:color w:val="000080"/>
        </w:rPr>
      </w:pP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0"/>
        <w:gridCol w:w="2610"/>
        <w:gridCol w:w="1724"/>
        <w:gridCol w:w="1084"/>
      </w:tblGrid>
      <w:tr w:rsidR="00D50BDA" w:rsidRPr="00533FB5" w:rsidTr="003A0A58">
        <w:trPr>
          <w:trHeight w:val="287"/>
        </w:trPr>
        <w:tc>
          <w:tcPr>
            <w:tcW w:w="5220" w:type="dxa"/>
            <w:gridSpan w:val="2"/>
            <w:tcBorders>
              <w:right w:val="single" w:sz="4" w:space="0" w:color="auto"/>
            </w:tcBorders>
            <w:shd w:val="clear" w:color="auto" w:fill="D9D9D9"/>
          </w:tcPr>
          <w:p w:rsidR="00D50BDA" w:rsidRPr="00A867F0" w:rsidRDefault="00D50BDA" w:rsidP="003A0A58">
            <w:pPr>
              <w:tabs>
                <w:tab w:val="left" w:pos="288"/>
                <w:tab w:val="left" w:pos="4752"/>
              </w:tabs>
              <w:spacing w:before="40" w:line="240" w:lineRule="exact"/>
              <w:jc w:val="center"/>
              <w:rPr>
                <w:b/>
                <w:color w:val="000080"/>
                <w:szCs w:val="24"/>
              </w:rPr>
            </w:pPr>
            <w:r>
              <w:rPr>
                <w:b/>
                <w:color w:val="000080"/>
                <w:szCs w:val="24"/>
              </w:rPr>
              <w:t>UNFITTING CONDITION</w:t>
            </w:r>
          </w:p>
        </w:tc>
        <w:tc>
          <w:tcPr>
            <w:tcW w:w="1724" w:type="dxa"/>
            <w:tcBorders>
              <w:left w:val="single" w:sz="4" w:space="0" w:color="auto"/>
            </w:tcBorders>
            <w:shd w:val="clear" w:color="auto" w:fill="D9D9D9"/>
          </w:tcPr>
          <w:p w:rsidR="00D50BDA" w:rsidRPr="00A867F0" w:rsidRDefault="00D50BDA" w:rsidP="003A0A58">
            <w:pPr>
              <w:tabs>
                <w:tab w:val="left" w:pos="288"/>
                <w:tab w:val="left" w:pos="4752"/>
              </w:tabs>
              <w:spacing w:before="40" w:line="240" w:lineRule="exact"/>
              <w:jc w:val="center"/>
              <w:rPr>
                <w:b/>
                <w:color w:val="000080"/>
                <w:szCs w:val="24"/>
              </w:rPr>
            </w:pPr>
            <w:r w:rsidRPr="00A867F0">
              <w:rPr>
                <w:b/>
                <w:color w:val="000080"/>
                <w:szCs w:val="24"/>
              </w:rPr>
              <w:t>VASRD C</w:t>
            </w:r>
            <w:r>
              <w:rPr>
                <w:b/>
                <w:color w:val="000080"/>
                <w:szCs w:val="24"/>
              </w:rPr>
              <w:t>ODE</w:t>
            </w:r>
          </w:p>
        </w:tc>
        <w:tc>
          <w:tcPr>
            <w:tcW w:w="1084" w:type="dxa"/>
            <w:shd w:val="clear" w:color="auto" w:fill="D9D9D9"/>
          </w:tcPr>
          <w:p w:rsidR="00D50BDA" w:rsidRPr="00A867F0" w:rsidRDefault="00D50BDA" w:rsidP="003A0A58">
            <w:pPr>
              <w:tabs>
                <w:tab w:val="left" w:pos="288"/>
                <w:tab w:val="left" w:pos="4752"/>
              </w:tabs>
              <w:spacing w:before="40" w:line="240" w:lineRule="exact"/>
              <w:jc w:val="center"/>
              <w:rPr>
                <w:b/>
                <w:color w:val="000080"/>
                <w:szCs w:val="24"/>
              </w:rPr>
            </w:pPr>
            <w:r w:rsidRPr="00A867F0">
              <w:rPr>
                <w:b/>
                <w:color w:val="000080"/>
                <w:szCs w:val="24"/>
              </w:rPr>
              <w:t>R</w:t>
            </w:r>
            <w:r>
              <w:rPr>
                <w:b/>
                <w:color w:val="000080"/>
                <w:szCs w:val="24"/>
              </w:rPr>
              <w:t>ATING</w:t>
            </w:r>
          </w:p>
        </w:tc>
      </w:tr>
      <w:tr w:rsidR="00D50BDA" w:rsidRPr="00533FB5" w:rsidTr="003A0A58">
        <w:tc>
          <w:tcPr>
            <w:tcW w:w="5220" w:type="dxa"/>
            <w:gridSpan w:val="2"/>
            <w:tcBorders>
              <w:right w:val="single" w:sz="4" w:space="0" w:color="auto"/>
            </w:tcBorders>
          </w:tcPr>
          <w:p w:rsidR="00D50BDA" w:rsidRPr="000C4A07" w:rsidRDefault="00D50BDA" w:rsidP="003A0A58">
            <w:pPr>
              <w:tabs>
                <w:tab w:val="left" w:pos="288"/>
                <w:tab w:val="left" w:pos="4752"/>
              </w:tabs>
              <w:spacing w:line="240" w:lineRule="exact"/>
              <w:rPr>
                <w:color w:val="000080"/>
                <w:szCs w:val="24"/>
              </w:rPr>
            </w:pPr>
            <w:r>
              <w:rPr>
                <w:color w:val="000080"/>
                <w:szCs w:val="24"/>
              </w:rPr>
              <w:t>Degenerative</w:t>
            </w:r>
            <w:r w:rsidRPr="000C4A07">
              <w:rPr>
                <w:color w:val="000080"/>
                <w:szCs w:val="24"/>
              </w:rPr>
              <w:t xml:space="preserve"> Arthritis, L</w:t>
            </w:r>
            <w:r>
              <w:rPr>
                <w:color w:val="000080"/>
                <w:szCs w:val="24"/>
              </w:rPr>
              <w:t>eft</w:t>
            </w:r>
            <w:r w:rsidRPr="000C4A07">
              <w:rPr>
                <w:color w:val="000080"/>
                <w:szCs w:val="24"/>
              </w:rPr>
              <w:t xml:space="preserve"> Knee</w:t>
            </w:r>
          </w:p>
        </w:tc>
        <w:tc>
          <w:tcPr>
            <w:tcW w:w="1724" w:type="dxa"/>
            <w:tcBorders>
              <w:left w:val="single" w:sz="4" w:space="0" w:color="auto"/>
            </w:tcBorders>
          </w:tcPr>
          <w:p w:rsidR="00D50BDA" w:rsidRPr="000C4A07" w:rsidRDefault="00D50BDA" w:rsidP="003A0A58">
            <w:pPr>
              <w:tabs>
                <w:tab w:val="left" w:pos="288"/>
                <w:tab w:val="left" w:pos="4752"/>
              </w:tabs>
              <w:spacing w:line="240" w:lineRule="exact"/>
              <w:jc w:val="center"/>
              <w:rPr>
                <w:color w:val="000080"/>
                <w:szCs w:val="24"/>
              </w:rPr>
            </w:pPr>
            <w:r w:rsidRPr="000C4A07">
              <w:rPr>
                <w:color w:val="000080"/>
                <w:szCs w:val="24"/>
              </w:rPr>
              <w:t>5099-5010</w:t>
            </w:r>
          </w:p>
        </w:tc>
        <w:tc>
          <w:tcPr>
            <w:tcW w:w="1084" w:type="dxa"/>
          </w:tcPr>
          <w:p w:rsidR="00D50BDA" w:rsidRDefault="00D50BDA" w:rsidP="003A0A58">
            <w:pPr>
              <w:tabs>
                <w:tab w:val="left" w:pos="288"/>
                <w:tab w:val="left" w:pos="4752"/>
              </w:tabs>
              <w:spacing w:line="240" w:lineRule="exact"/>
              <w:jc w:val="center"/>
              <w:rPr>
                <w:color w:val="000080"/>
                <w:szCs w:val="24"/>
              </w:rPr>
            </w:pPr>
            <w:r>
              <w:rPr>
                <w:color w:val="000080"/>
                <w:szCs w:val="24"/>
              </w:rPr>
              <w:t>10%</w:t>
            </w:r>
          </w:p>
        </w:tc>
      </w:tr>
      <w:tr w:rsidR="00D50BDA" w:rsidRPr="00533FB5" w:rsidTr="003A0A58">
        <w:tc>
          <w:tcPr>
            <w:tcW w:w="5220" w:type="dxa"/>
            <w:gridSpan w:val="2"/>
            <w:tcBorders>
              <w:right w:val="single" w:sz="4" w:space="0" w:color="auto"/>
            </w:tcBorders>
          </w:tcPr>
          <w:p w:rsidR="00D50BDA" w:rsidRPr="000C4A07" w:rsidRDefault="00D50BDA" w:rsidP="003A0A58">
            <w:pPr>
              <w:tabs>
                <w:tab w:val="left" w:pos="288"/>
                <w:tab w:val="left" w:pos="4752"/>
              </w:tabs>
              <w:spacing w:line="240" w:lineRule="exact"/>
              <w:rPr>
                <w:color w:val="000080"/>
                <w:szCs w:val="24"/>
              </w:rPr>
            </w:pPr>
            <w:r>
              <w:rPr>
                <w:color w:val="000080"/>
                <w:szCs w:val="24"/>
              </w:rPr>
              <w:t>Degenerative</w:t>
            </w:r>
            <w:r w:rsidRPr="000C4A07">
              <w:rPr>
                <w:color w:val="000080"/>
                <w:szCs w:val="24"/>
              </w:rPr>
              <w:t xml:space="preserve"> Arthritis, </w:t>
            </w:r>
            <w:r>
              <w:rPr>
                <w:color w:val="000080"/>
                <w:szCs w:val="24"/>
              </w:rPr>
              <w:t>Right</w:t>
            </w:r>
            <w:r w:rsidRPr="000C4A07">
              <w:rPr>
                <w:color w:val="000080"/>
                <w:szCs w:val="24"/>
              </w:rPr>
              <w:t xml:space="preserve"> Knee</w:t>
            </w:r>
          </w:p>
        </w:tc>
        <w:tc>
          <w:tcPr>
            <w:tcW w:w="1724" w:type="dxa"/>
            <w:tcBorders>
              <w:left w:val="single" w:sz="4" w:space="0" w:color="auto"/>
            </w:tcBorders>
          </w:tcPr>
          <w:p w:rsidR="00D50BDA" w:rsidRPr="000C4A07" w:rsidRDefault="00D50BDA" w:rsidP="003A0A58">
            <w:pPr>
              <w:tabs>
                <w:tab w:val="left" w:pos="288"/>
                <w:tab w:val="left" w:pos="4752"/>
              </w:tabs>
              <w:spacing w:line="240" w:lineRule="exact"/>
              <w:jc w:val="center"/>
              <w:rPr>
                <w:color w:val="000080"/>
                <w:szCs w:val="24"/>
              </w:rPr>
            </w:pPr>
            <w:r w:rsidRPr="000C4A07">
              <w:rPr>
                <w:color w:val="000080"/>
                <w:szCs w:val="24"/>
              </w:rPr>
              <w:t>5099-5010</w:t>
            </w:r>
          </w:p>
        </w:tc>
        <w:tc>
          <w:tcPr>
            <w:tcW w:w="1084" w:type="dxa"/>
          </w:tcPr>
          <w:p w:rsidR="00D50BDA" w:rsidRDefault="00D50BDA" w:rsidP="003A0A58">
            <w:pPr>
              <w:tabs>
                <w:tab w:val="left" w:pos="288"/>
                <w:tab w:val="left" w:pos="4752"/>
              </w:tabs>
              <w:spacing w:line="240" w:lineRule="exact"/>
              <w:jc w:val="center"/>
              <w:rPr>
                <w:color w:val="000080"/>
                <w:szCs w:val="24"/>
              </w:rPr>
            </w:pPr>
            <w:r>
              <w:rPr>
                <w:color w:val="000080"/>
                <w:szCs w:val="24"/>
              </w:rPr>
              <w:t>10%</w:t>
            </w:r>
          </w:p>
        </w:tc>
      </w:tr>
      <w:tr w:rsidR="00D50BDA" w:rsidRPr="00533FB5" w:rsidTr="003A0A58">
        <w:tc>
          <w:tcPr>
            <w:tcW w:w="5220" w:type="dxa"/>
            <w:gridSpan w:val="2"/>
            <w:tcBorders>
              <w:right w:val="single" w:sz="4" w:space="0" w:color="auto"/>
            </w:tcBorders>
          </w:tcPr>
          <w:p w:rsidR="00D50BDA" w:rsidRPr="000C4A07" w:rsidRDefault="00D50BDA" w:rsidP="003A0A58">
            <w:pPr>
              <w:tabs>
                <w:tab w:val="left" w:pos="288"/>
                <w:tab w:val="left" w:pos="4752"/>
              </w:tabs>
              <w:spacing w:line="240" w:lineRule="exact"/>
              <w:rPr>
                <w:color w:val="000080"/>
                <w:szCs w:val="24"/>
              </w:rPr>
            </w:pPr>
            <w:r w:rsidRPr="000C4A07">
              <w:rPr>
                <w:color w:val="000080"/>
                <w:szCs w:val="24"/>
              </w:rPr>
              <w:t>Chronic Low Back Pain</w:t>
            </w:r>
          </w:p>
        </w:tc>
        <w:tc>
          <w:tcPr>
            <w:tcW w:w="1724" w:type="dxa"/>
            <w:tcBorders>
              <w:left w:val="single" w:sz="4" w:space="0" w:color="auto"/>
            </w:tcBorders>
          </w:tcPr>
          <w:p w:rsidR="00D50BDA" w:rsidRPr="000C4A07" w:rsidRDefault="00D50BDA" w:rsidP="003A0A58">
            <w:pPr>
              <w:tabs>
                <w:tab w:val="left" w:pos="288"/>
                <w:tab w:val="left" w:pos="4752"/>
              </w:tabs>
              <w:spacing w:line="240" w:lineRule="exact"/>
              <w:jc w:val="center"/>
              <w:rPr>
                <w:color w:val="000080"/>
                <w:szCs w:val="24"/>
              </w:rPr>
            </w:pPr>
            <w:r w:rsidRPr="000C4A07">
              <w:rPr>
                <w:color w:val="000080"/>
                <w:szCs w:val="24"/>
              </w:rPr>
              <w:t>5299-5237</w:t>
            </w:r>
          </w:p>
        </w:tc>
        <w:tc>
          <w:tcPr>
            <w:tcW w:w="1084" w:type="dxa"/>
          </w:tcPr>
          <w:p w:rsidR="00D50BDA" w:rsidRPr="00A867F0" w:rsidRDefault="00D50BDA" w:rsidP="003A0A58">
            <w:pPr>
              <w:tabs>
                <w:tab w:val="left" w:pos="288"/>
                <w:tab w:val="left" w:pos="4752"/>
              </w:tabs>
              <w:spacing w:line="240" w:lineRule="exact"/>
              <w:jc w:val="center"/>
              <w:rPr>
                <w:color w:val="000080"/>
                <w:szCs w:val="24"/>
              </w:rPr>
            </w:pPr>
            <w:r>
              <w:rPr>
                <w:color w:val="000080"/>
                <w:szCs w:val="24"/>
              </w:rPr>
              <w:t>10%</w:t>
            </w:r>
          </w:p>
        </w:tc>
      </w:tr>
      <w:tr w:rsidR="00D50BDA" w:rsidRPr="00533FB5" w:rsidTr="003A0A58">
        <w:tblPrEx>
          <w:tblLook w:val="0000"/>
        </w:tblPrEx>
        <w:trPr>
          <w:gridBefore w:val="1"/>
          <w:wBefore w:w="2610" w:type="dxa"/>
          <w:trHeight w:val="287"/>
        </w:trPr>
        <w:tc>
          <w:tcPr>
            <w:tcW w:w="4334" w:type="dxa"/>
            <w:gridSpan w:val="2"/>
            <w:tcBorders>
              <w:left w:val="single" w:sz="4" w:space="0" w:color="auto"/>
              <w:bottom w:val="single" w:sz="4" w:space="0" w:color="auto"/>
            </w:tcBorders>
            <w:shd w:val="clear" w:color="auto" w:fill="D9D9D9" w:themeFill="background1" w:themeFillShade="D9"/>
          </w:tcPr>
          <w:p w:rsidR="00D50BDA" w:rsidRPr="00A867F0" w:rsidRDefault="00D50BDA" w:rsidP="003A0A58">
            <w:pPr>
              <w:tabs>
                <w:tab w:val="left" w:pos="288"/>
                <w:tab w:val="left" w:pos="4752"/>
              </w:tabs>
              <w:spacing w:before="40" w:line="240" w:lineRule="exact"/>
              <w:jc w:val="center"/>
              <w:rPr>
                <w:b/>
                <w:color w:val="000080"/>
                <w:szCs w:val="24"/>
              </w:rPr>
            </w:pPr>
            <w:r w:rsidRPr="00A867F0">
              <w:rPr>
                <w:b/>
                <w:color w:val="000080"/>
                <w:szCs w:val="24"/>
              </w:rPr>
              <w:t>C</w:t>
            </w:r>
            <w:r>
              <w:rPr>
                <w:b/>
                <w:color w:val="000080"/>
                <w:szCs w:val="24"/>
              </w:rPr>
              <w:t>OMBINED (Incorporating BLF)</w:t>
            </w:r>
          </w:p>
        </w:tc>
        <w:tc>
          <w:tcPr>
            <w:tcW w:w="1084" w:type="dxa"/>
            <w:tcBorders>
              <w:bottom w:val="single" w:sz="4" w:space="0" w:color="000000"/>
            </w:tcBorders>
            <w:shd w:val="clear" w:color="auto" w:fill="D9D9D9" w:themeFill="background1" w:themeFillShade="D9"/>
          </w:tcPr>
          <w:p w:rsidR="00D50BDA" w:rsidRPr="005A258C" w:rsidRDefault="00D50BDA" w:rsidP="003A0A58">
            <w:pPr>
              <w:tabs>
                <w:tab w:val="left" w:pos="288"/>
                <w:tab w:val="left" w:pos="4752"/>
              </w:tabs>
              <w:spacing w:before="40" w:line="240" w:lineRule="exact"/>
              <w:jc w:val="center"/>
              <w:rPr>
                <w:b/>
                <w:color w:val="000080"/>
                <w:szCs w:val="24"/>
              </w:rPr>
            </w:pPr>
            <w:r>
              <w:rPr>
                <w:b/>
                <w:color w:val="000080"/>
                <w:szCs w:val="24"/>
              </w:rPr>
              <w:t>30</w:t>
            </w:r>
            <w:r w:rsidRPr="005A258C">
              <w:rPr>
                <w:b/>
                <w:color w:val="000080"/>
                <w:szCs w:val="24"/>
              </w:rPr>
              <w:t>%</w:t>
            </w:r>
          </w:p>
        </w:tc>
      </w:tr>
    </w:tbl>
    <w:p w:rsidR="00D50BDA" w:rsidRDefault="00D50BDA" w:rsidP="003F6ACE">
      <w:pPr>
        <w:tabs>
          <w:tab w:val="left" w:pos="720"/>
          <w:tab w:val="left" w:pos="1080"/>
          <w:tab w:val="left" w:pos="1340"/>
          <w:tab w:val="left" w:pos="1620"/>
          <w:tab w:val="right" w:leader="dot" w:pos="9180"/>
        </w:tabs>
        <w:rPr>
          <w:rFonts w:asciiTheme="minorHAnsi" w:hAnsiTheme="minorHAnsi"/>
          <w:color w:val="000080"/>
          <w:szCs w:val="24"/>
        </w:rPr>
      </w:pPr>
    </w:p>
    <w:p w:rsidR="0001597C" w:rsidRDefault="0001597C" w:rsidP="0001597C">
      <w:pPr>
        <w:tabs>
          <w:tab w:val="left" w:pos="288"/>
          <w:tab w:val="left" w:pos="4752"/>
        </w:tabs>
        <w:spacing w:line="240" w:lineRule="exact"/>
        <w:jc w:val="both"/>
        <w:rPr>
          <w:rFonts w:asciiTheme="minorHAnsi" w:hAnsiTheme="minorHAnsi"/>
          <w:color w:val="000080"/>
          <w:szCs w:val="24"/>
        </w:rPr>
      </w:pPr>
      <w:r>
        <w:rPr>
          <w:color w:val="000080"/>
        </w:rPr>
        <w:t>The applicant should be assured that his service is gratefully acknowledged by the Board and it recognizes that his acquired disabilities were no small price to pay.</w:t>
      </w:r>
      <w:r w:rsidRPr="000E0993">
        <w:rPr>
          <w:rFonts w:asciiTheme="minorHAnsi" w:hAnsiTheme="minorHAnsi"/>
          <w:color w:val="000080"/>
          <w:szCs w:val="24"/>
        </w:rPr>
        <w:t xml:space="preserve"> </w:t>
      </w:r>
    </w:p>
    <w:p w:rsidR="006B2591" w:rsidRDefault="006B2591" w:rsidP="006B2591">
      <w:pPr>
        <w:pStyle w:val="Default"/>
        <w:framePr w:w="16382" w:wrap="auto" w:vAnchor="page" w:hAnchor="page" w:x="1" w:y="1"/>
      </w:pPr>
      <w:r>
        <w:rPr>
          <w:noProof/>
        </w:rPr>
        <w:lastRenderedPageBreak/>
        <w:drawing>
          <wp:inline distT="0" distB="0" distL="0" distR="0">
            <wp:extent cx="7895590" cy="100342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95590" cy="10034270"/>
                    </a:xfrm>
                    <a:prstGeom prst="rect">
                      <a:avLst/>
                    </a:prstGeom>
                    <a:noFill/>
                    <a:ln w="9525">
                      <a:noFill/>
                      <a:miter lim="800000"/>
                      <a:headEnd/>
                      <a:tailEnd/>
                    </a:ln>
                  </pic:spPr>
                </pic:pic>
              </a:graphicData>
            </a:graphic>
          </wp:inline>
        </w:drawing>
      </w:r>
    </w:p>
    <w:p w:rsidR="006B2591" w:rsidRPr="000E0993" w:rsidRDefault="006B2591" w:rsidP="0001597C">
      <w:pPr>
        <w:tabs>
          <w:tab w:val="left" w:pos="288"/>
          <w:tab w:val="left" w:pos="4752"/>
        </w:tabs>
        <w:spacing w:line="240" w:lineRule="exact"/>
        <w:jc w:val="both"/>
        <w:rPr>
          <w:rFonts w:asciiTheme="minorHAnsi" w:hAnsiTheme="minorHAnsi"/>
          <w:color w:val="000080"/>
          <w:szCs w:val="24"/>
        </w:rPr>
      </w:pPr>
    </w:p>
    <w:sectPr w:rsidR="006B2591" w:rsidRPr="000E0993"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46C" w:rsidRDefault="002B146C">
      <w:r>
        <w:separator/>
      </w:r>
    </w:p>
  </w:endnote>
  <w:endnote w:type="continuationSeparator" w:id="0">
    <w:p w:rsidR="002B146C" w:rsidRDefault="002B146C">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994A51">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994A51">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B2591">
      <w:rPr>
        <w:rStyle w:val="PageNumber"/>
        <w:noProof/>
      </w:rPr>
      <w:t>8</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DA03F9">
      <w:rPr>
        <w:caps/>
        <w:color w:val="000080"/>
      </w:rPr>
      <w:t>126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46C" w:rsidRDefault="002B146C">
      <w:r>
        <w:separator/>
      </w:r>
    </w:p>
  </w:footnote>
  <w:footnote w:type="continuationSeparator" w:id="0">
    <w:p w:rsidR="002B146C" w:rsidRDefault="002B14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55329"/>
  </w:hdrShapeDefaults>
  <w:footnotePr>
    <w:numRestart w:val="eachSect"/>
    <w:footnote w:id="-1"/>
    <w:footnote w:id="0"/>
  </w:footnotePr>
  <w:endnotePr>
    <w:endnote w:id="-1"/>
    <w:endnote w:id="0"/>
  </w:endnotePr>
  <w:compat/>
  <w:rsids>
    <w:rsidRoot w:val="001C28D1"/>
    <w:rsid w:val="000059FA"/>
    <w:rsid w:val="00006F87"/>
    <w:rsid w:val="00010ABA"/>
    <w:rsid w:val="00013417"/>
    <w:rsid w:val="000145C2"/>
    <w:rsid w:val="0001473F"/>
    <w:rsid w:val="0001597C"/>
    <w:rsid w:val="00023D43"/>
    <w:rsid w:val="00032A1C"/>
    <w:rsid w:val="0003374E"/>
    <w:rsid w:val="000344E6"/>
    <w:rsid w:val="00035C3A"/>
    <w:rsid w:val="00036E4B"/>
    <w:rsid w:val="000379D0"/>
    <w:rsid w:val="00040FC4"/>
    <w:rsid w:val="000416F8"/>
    <w:rsid w:val="00051622"/>
    <w:rsid w:val="00052234"/>
    <w:rsid w:val="00053235"/>
    <w:rsid w:val="00053D7C"/>
    <w:rsid w:val="000577C9"/>
    <w:rsid w:val="0006431E"/>
    <w:rsid w:val="0007036D"/>
    <w:rsid w:val="00072210"/>
    <w:rsid w:val="00072433"/>
    <w:rsid w:val="0007718F"/>
    <w:rsid w:val="000806AD"/>
    <w:rsid w:val="00080EBD"/>
    <w:rsid w:val="00082482"/>
    <w:rsid w:val="00084810"/>
    <w:rsid w:val="0008708B"/>
    <w:rsid w:val="00094E4F"/>
    <w:rsid w:val="000A2BCE"/>
    <w:rsid w:val="000A41E3"/>
    <w:rsid w:val="000A4BBA"/>
    <w:rsid w:val="000A5071"/>
    <w:rsid w:val="000C3C13"/>
    <w:rsid w:val="000C4A07"/>
    <w:rsid w:val="000C5813"/>
    <w:rsid w:val="000C7DE4"/>
    <w:rsid w:val="000D15E7"/>
    <w:rsid w:val="000D21C7"/>
    <w:rsid w:val="000D248A"/>
    <w:rsid w:val="000D43F9"/>
    <w:rsid w:val="000D4717"/>
    <w:rsid w:val="000D514E"/>
    <w:rsid w:val="000D6457"/>
    <w:rsid w:val="000D7D55"/>
    <w:rsid w:val="000E0993"/>
    <w:rsid w:val="000F02BE"/>
    <w:rsid w:val="000F216F"/>
    <w:rsid w:val="000F427B"/>
    <w:rsid w:val="00102E16"/>
    <w:rsid w:val="00103432"/>
    <w:rsid w:val="00103CCF"/>
    <w:rsid w:val="0010417F"/>
    <w:rsid w:val="001042D2"/>
    <w:rsid w:val="0010530E"/>
    <w:rsid w:val="001103CD"/>
    <w:rsid w:val="00114F20"/>
    <w:rsid w:val="001219DF"/>
    <w:rsid w:val="001231DC"/>
    <w:rsid w:val="001272AE"/>
    <w:rsid w:val="001315DD"/>
    <w:rsid w:val="00135385"/>
    <w:rsid w:val="001364D1"/>
    <w:rsid w:val="00140B46"/>
    <w:rsid w:val="001541C5"/>
    <w:rsid w:val="0015623F"/>
    <w:rsid w:val="00166182"/>
    <w:rsid w:val="00174209"/>
    <w:rsid w:val="00177659"/>
    <w:rsid w:val="001779E5"/>
    <w:rsid w:val="00182A4C"/>
    <w:rsid w:val="00183F77"/>
    <w:rsid w:val="00185ECB"/>
    <w:rsid w:val="001870F0"/>
    <w:rsid w:val="0019273F"/>
    <w:rsid w:val="00193AD5"/>
    <w:rsid w:val="00194930"/>
    <w:rsid w:val="001A7538"/>
    <w:rsid w:val="001B4EC2"/>
    <w:rsid w:val="001B5B59"/>
    <w:rsid w:val="001C181A"/>
    <w:rsid w:val="001C2053"/>
    <w:rsid w:val="001C28D1"/>
    <w:rsid w:val="001C5CFC"/>
    <w:rsid w:val="001C7418"/>
    <w:rsid w:val="001D0051"/>
    <w:rsid w:val="001D2224"/>
    <w:rsid w:val="001D6016"/>
    <w:rsid w:val="001D68CF"/>
    <w:rsid w:val="001D6A8C"/>
    <w:rsid w:val="001D7A56"/>
    <w:rsid w:val="001E18E0"/>
    <w:rsid w:val="001E18E2"/>
    <w:rsid w:val="00200AA0"/>
    <w:rsid w:val="00202736"/>
    <w:rsid w:val="00203652"/>
    <w:rsid w:val="002060B6"/>
    <w:rsid w:val="00216049"/>
    <w:rsid w:val="00217C09"/>
    <w:rsid w:val="00220F5C"/>
    <w:rsid w:val="00225196"/>
    <w:rsid w:val="00225CB4"/>
    <w:rsid w:val="0023049F"/>
    <w:rsid w:val="00232C9B"/>
    <w:rsid w:val="00232F09"/>
    <w:rsid w:val="002335D5"/>
    <w:rsid w:val="002338CA"/>
    <w:rsid w:val="00233FE5"/>
    <w:rsid w:val="0024174E"/>
    <w:rsid w:val="0024227D"/>
    <w:rsid w:val="00246860"/>
    <w:rsid w:val="00246DFF"/>
    <w:rsid w:val="00246E89"/>
    <w:rsid w:val="0025183C"/>
    <w:rsid w:val="002528EC"/>
    <w:rsid w:val="00255049"/>
    <w:rsid w:val="00260531"/>
    <w:rsid w:val="00262F5E"/>
    <w:rsid w:val="0026318D"/>
    <w:rsid w:val="00270864"/>
    <w:rsid w:val="0027159C"/>
    <w:rsid w:val="00274549"/>
    <w:rsid w:val="00274E46"/>
    <w:rsid w:val="00276C86"/>
    <w:rsid w:val="002A3237"/>
    <w:rsid w:val="002A685E"/>
    <w:rsid w:val="002A72C7"/>
    <w:rsid w:val="002B03B2"/>
    <w:rsid w:val="002B0749"/>
    <w:rsid w:val="002B146C"/>
    <w:rsid w:val="002B2645"/>
    <w:rsid w:val="002C5D67"/>
    <w:rsid w:val="002C6E5B"/>
    <w:rsid w:val="002D18B4"/>
    <w:rsid w:val="002D2C65"/>
    <w:rsid w:val="002E1877"/>
    <w:rsid w:val="002E1C31"/>
    <w:rsid w:val="002E333A"/>
    <w:rsid w:val="002E3474"/>
    <w:rsid w:val="002E49C3"/>
    <w:rsid w:val="002E7570"/>
    <w:rsid w:val="002E764B"/>
    <w:rsid w:val="002F0E28"/>
    <w:rsid w:val="002F287E"/>
    <w:rsid w:val="002F2D63"/>
    <w:rsid w:val="002F7F81"/>
    <w:rsid w:val="00306022"/>
    <w:rsid w:val="0030678B"/>
    <w:rsid w:val="00310CD7"/>
    <w:rsid w:val="00313EFB"/>
    <w:rsid w:val="00323E70"/>
    <w:rsid w:val="00330A21"/>
    <w:rsid w:val="003320E8"/>
    <w:rsid w:val="0033555E"/>
    <w:rsid w:val="00337351"/>
    <w:rsid w:val="00341A54"/>
    <w:rsid w:val="0034669F"/>
    <w:rsid w:val="00351498"/>
    <w:rsid w:val="00352B22"/>
    <w:rsid w:val="0036319E"/>
    <w:rsid w:val="003632A4"/>
    <w:rsid w:val="00363362"/>
    <w:rsid w:val="00370EF5"/>
    <w:rsid w:val="00372251"/>
    <w:rsid w:val="0037520D"/>
    <w:rsid w:val="0037628C"/>
    <w:rsid w:val="00377BD2"/>
    <w:rsid w:val="003821E1"/>
    <w:rsid w:val="00384866"/>
    <w:rsid w:val="003857D4"/>
    <w:rsid w:val="00385D6F"/>
    <w:rsid w:val="00387095"/>
    <w:rsid w:val="00390092"/>
    <w:rsid w:val="00393651"/>
    <w:rsid w:val="00396345"/>
    <w:rsid w:val="003A41BA"/>
    <w:rsid w:val="003A6A99"/>
    <w:rsid w:val="003B227A"/>
    <w:rsid w:val="003D2BA3"/>
    <w:rsid w:val="003D3C22"/>
    <w:rsid w:val="003D7089"/>
    <w:rsid w:val="003D7DDB"/>
    <w:rsid w:val="003E02C7"/>
    <w:rsid w:val="003E0543"/>
    <w:rsid w:val="003E0B5A"/>
    <w:rsid w:val="003E31E3"/>
    <w:rsid w:val="003F3CCA"/>
    <w:rsid w:val="003F58B0"/>
    <w:rsid w:val="003F61E7"/>
    <w:rsid w:val="003F6ACE"/>
    <w:rsid w:val="003F7A39"/>
    <w:rsid w:val="004007E9"/>
    <w:rsid w:val="00401825"/>
    <w:rsid w:val="00401BBC"/>
    <w:rsid w:val="00403BFB"/>
    <w:rsid w:val="00404B45"/>
    <w:rsid w:val="00406CC5"/>
    <w:rsid w:val="004074A4"/>
    <w:rsid w:val="004101B2"/>
    <w:rsid w:val="004123D7"/>
    <w:rsid w:val="004172DB"/>
    <w:rsid w:val="00422B75"/>
    <w:rsid w:val="00423350"/>
    <w:rsid w:val="00433F36"/>
    <w:rsid w:val="0043503A"/>
    <w:rsid w:val="0044384F"/>
    <w:rsid w:val="00446018"/>
    <w:rsid w:val="004543BC"/>
    <w:rsid w:val="0045645D"/>
    <w:rsid w:val="004574C6"/>
    <w:rsid w:val="00457BCF"/>
    <w:rsid w:val="00457DCE"/>
    <w:rsid w:val="00460E3F"/>
    <w:rsid w:val="00467592"/>
    <w:rsid w:val="004718E7"/>
    <w:rsid w:val="004761CC"/>
    <w:rsid w:val="00481DA1"/>
    <w:rsid w:val="00495350"/>
    <w:rsid w:val="00497E6B"/>
    <w:rsid w:val="004A24D2"/>
    <w:rsid w:val="004A4136"/>
    <w:rsid w:val="004A417B"/>
    <w:rsid w:val="004B03F3"/>
    <w:rsid w:val="004B3E1F"/>
    <w:rsid w:val="004B6AF3"/>
    <w:rsid w:val="004B715E"/>
    <w:rsid w:val="004B7169"/>
    <w:rsid w:val="004B79C9"/>
    <w:rsid w:val="004C5E33"/>
    <w:rsid w:val="004C6CDA"/>
    <w:rsid w:val="004D10D4"/>
    <w:rsid w:val="004D16BD"/>
    <w:rsid w:val="004D6F2B"/>
    <w:rsid w:val="004E0248"/>
    <w:rsid w:val="004E32EA"/>
    <w:rsid w:val="004F04CD"/>
    <w:rsid w:val="004F3BFA"/>
    <w:rsid w:val="00510588"/>
    <w:rsid w:val="0051146C"/>
    <w:rsid w:val="005222E7"/>
    <w:rsid w:val="00523E04"/>
    <w:rsid w:val="0052590B"/>
    <w:rsid w:val="00526591"/>
    <w:rsid w:val="00527178"/>
    <w:rsid w:val="005350A5"/>
    <w:rsid w:val="00536379"/>
    <w:rsid w:val="005400C5"/>
    <w:rsid w:val="00540BEF"/>
    <w:rsid w:val="005436C2"/>
    <w:rsid w:val="0055288D"/>
    <w:rsid w:val="00555259"/>
    <w:rsid w:val="00560D57"/>
    <w:rsid w:val="00562A94"/>
    <w:rsid w:val="005710A9"/>
    <w:rsid w:val="00593043"/>
    <w:rsid w:val="005A258C"/>
    <w:rsid w:val="005A3560"/>
    <w:rsid w:val="005A6C99"/>
    <w:rsid w:val="005A7BF4"/>
    <w:rsid w:val="005B011A"/>
    <w:rsid w:val="005B1D8F"/>
    <w:rsid w:val="005B3F69"/>
    <w:rsid w:val="005B5B3D"/>
    <w:rsid w:val="005E3064"/>
    <w:rsid w:val="005F1115"/>
    <w:rsid w:val="005F27F2"/>
    <w:rsid w:val="005F424D"/>
    <w:rsid w:val="00606BEB"/>
    <w:rsid w:val="00613E26"/>
    <w:rsid w:val="00615641"/>
    <w:rsid w:val="00617101"/>
    <w:rsid w:val="006211D0"/>
    <w:rsid w:val="00624D0C"/>
    <w:rsid w:val="006307BA"/>
    <w:rsid w:val="00634C4A"/>
    <w:rsid w:val="0063532E"/>
    <w:rsid w:val="00636C73"/>
    <w:rsid w:val="00636EAA"/>
    <w:rsid w:val="00637BDC"/>
    <w:rsid w:val="006418C9"/>
    <w:rsid w:val="00645046"/>
    <w:rsid w:val="00645EA2"/>
    <w:rsid w:val="00662F08"/>
    <w:rsid w:val="00663589"/>
    <w:rsid w:val="0067058D"/>
    <w:rsid w:val="00670DDC"/>
    <w:rsid w:val="0067443B"/>
    <w:rsid w:val="00684E2B"/>
    <w:rsid w:val="00690FDA"/>
    <w:rsid w:val="00694EEA"/>
    <w:rsid w:val="006955B4"/>
    <w:rsid w:val="00696476"/>
    <w:rsid w:val="006A10FA"/>
    <w:rsid w:val="006A40E6"/>
    <w:rsid w:val="006A5C07"/>
    <w:rsid w:val="006A75FA"/>
    <w:rsid w:val="006B07D5"/>
    <w:rsid w:val="006B1309"/>
    <w:rsid w:val="006B2591"/>
    <w:rsid w:val="006B5923"/>
    <w:rsid w:val="006B6C14"/>
    <w:rsid w:val="006C3A68"/>
    <w:rsid w:val="006C6AB1"/>
    <w:rsid w:val="006D2D39"/>
    <w:rsid w:val="006E06D1"/>
    <w:rsid w:val="006E2DC8"/>
    <w:rsid w:val="006E7356"/>
    <w:rsid w:val="006E77C8"/>
    <w:rsid w:val="006F149D"/>
    <w:rsid w:val="006F1A46"/>
    <w:rsid w:val="006F5A4E"/>
    <w:rsid w:val="00703B6C"/>
    <w:rsid w:val="00706482"/>
    <w:rsid w:val="00706BEF"/>
    <w:rsid w:val="007116BC"/>
    <w:rsid w:val="007165CE"/>
    <w:rsid w:val="00720968"/>
    <w:rsid w:val="00721D12"/>
    <w:rsid w:val="00721F8B"/>
    <w:rsid w:val="0073254D"/>
    <w:rsid w:val="00736A49"/>
    <w:rsid w:val="00743C2D"/>
    <w:rsid w:val="00744EBB"/>
    <w:rsid w:val="00746AE2"/>
    <w:rsid w:val="00750C82"/>
    <w:rsid w:val="00752FEC"/>
    <w:rsid w:val="0076100C"/>
    <w:rsid w:val="007651ED"/>
    <w:rsid w:val="00766C87"/>
    <w:rsid w:val="00781BD4"/>
    <w:rsid w:val="00784832"/>
    <w:rsid w:val="00785D77"/>
    <w:rsid w:val="00786111"/>
    <w:rsid w:val="00791F1E"/>
    <w:rsid w:val="00794EEB"/>
    <w:rsid w:val="00794F3D"/>
    <w:rsid w:val="007A0B39"/>
    <w:rsid w:val="007A14A4"/>
    <w:rsid w:val="007A168F"/>
    <w:rsid w:val="007A28E4"/>
    <w:rsid w:val="007A3BB3"/>
    <w:rsid w:val="007A5AD1"/>
    <w:rsid w:val="007A5B7B"/>
    <w:rsid w:val="007B0A06"/>
    <w:rsid w:val="007B5C5C"/>
    <w:rsid w:val="007B7C41"/>
    <w:rsid w:val="007C433E"/>
    <w:rsid w:val="007C4DB1"/>
    <w:rsid w:val="007D0292"/>
    <w:rsid w:val="007D21AC"/>
    <w:rsid w:val="007D568A"/>
    <w:rsid w:val="007D574E"/>
    <w:rsid w:val="007E2046"/>
    <w:rsid w:val="007E4FBB"/>
    <w:rsid w:val="007E55BF"/>
    <w:rsid w:val="007E71B1"/>
    <w:rsid w:val="007E7B4E"/>
    <w:rsid w:val="007F0CE2"/>
    <w:rsid w:val="007F0EFF"/>
    <w:rsid w:val="007F1375"/>
    <w:rsid w:val="00803850"/>
    <w:rsid w:val="00805AFD"/>
    <w:rsid w:val="00807163"/>
    <w:rsid w:val="00811D5B"/>
    <w:rsid w:val="00817713"/>
    <w:rsid w:val="00830999"/>
    <w:rsid w:val="00830D5E"/>
    <w:rsid w:val="00830F69"/>
    <w:rsid w:val="00834458"/>
    <w:rsid w:val="00835841"/>
    <w:rsid w:val="00837465"/>
    <w:rsid w:val="00841457"/>
    <w:rsid w:val="0084374E"/>
    <w:rsid w:val="00844842"/>
    <w:rsid w:val="0085206E"/>
    <w:rsid w:val="00852AD4"/>
    <w:rsid w:val="00852BA8"/>
    <w:rsid w:val="00853718"/>
    <w:rsid w:val="008541EF"/>
    <w:rsid w:val="00856FA4"/>
    <w:rsid w:val="0086162B"/>
    <w:rsid w:val="00865207"/>
    <w:rsid w:val="008656A7"/>
    <w:rsid w:val="00871262"/>
    <w:rsid w:val="00871D4E"/>
    <w:rsid w:val="00875B51"/>
    <w:rsid w:val="00875F2D"/>
    <w:rsid w:val="008764DC"/>
    <w:rsid w:val="00883930"/>
    <w:rsid w:val="00883EEF"/>
    <w:rsid w:val="00896535"/>
    <w:rsid w:val="00896683"/>
    <w:rsid w:val="008A63A9"/>
    <w:rsid w:val="008B04DB"/>
    <w:rsid w:val="008B3AF2"/>
    <w:rsid w:val="008B515D"/>
    <w:rsid w:val="008B5D31"/>
    <w:rsid w:val="008B6705"/>
    <w:rsid w:val="008C5B33"/>
    <w:rsid w:val="008D7B07"/>
    <w:rsid w:val="008E2D99"/>
    <w:rsid w:val="008E4A60"/>
    <w:rsid w:val="009026E8"/>
    <w:rsid w:val="00906EB7"/>
    <w:rsid w:val="009102BF"/>
    <w:rsid w:val="00911A47"/>
    <w:rsid w:val="00914ADB"/>
    <w:rsid w:val="00923B25"/>
    <w:rsid w:val="0092402E"/>
    <w:rsid w:val="00925AB9"/>
    <w:rsid w:val="00942645"/>
    <w:rsid w:val="00950A3A"/>
    <w:rsid w:val="0095340A"/>
    <w:rsid w:val="00954581"/>
    <w:rsid w:val="0095466C"/>
    <w:rsid w:val="0096168C"/>
    <w:rsid w:val="00961840"/>
    <w:rsid w:val="00962F2D"/>
    <w:rsid w:val="009672CD"/>
    <w:rsid w:val="00972996"/>
    <w:rsid w:val="009732B8"/>
    <w:rsid w:val="00976869"/>
    <w:rsid w:val="00977740"/>
    <w:rsid w:val="00977CB4"/>
    <w:rsid w:val="009809B8"/>
    <w:rsid w:val="0098379D"/>
    <w:rsid w:val="00985099"/>
    <w:rsid w:val="0099421F"/>
    <w:rsid w:val="00994A51"/>
    <w:rsid w:val="009A0DE3"/>
    <w:rsid w:val="009A4F1B"/>
    <w:rsid w:val="009A513F"/>
    <w:rsid w:val="009A79BA"/>
    <w:rsid w:val="009B1534"/>
    <w:rsid w:val="009B69D3"/>
    <w:rsid w:val="009B7BA7"/>
    <w:rsid w:val="009C0938"/>
    <w:rsid w:val="009C3F82"/>
    <w:rsid w:val="009C72DD"/>
    <w:rsid w:val="009C7DF5"/>
    <w:rsid w:val="009D056C"/>
    <w:rsid w:val="009D060F"/>
    <w:rsid w:val="009D1ADE"/>
    <w:rsid w:val="009E09D0"/>
    <w:rsid w:val="009E1283"/>
    <w:rsid w:val="009E3A7F"/>
    <w:rsid w:val="009E57B1"/>
    <w:rsid w:val="009F7809"/>
    <w:rsid w:val="009F7AF5"/>
    <w:rsid w:val="00A00D14"/>
    <w:rsid w:val="00A01408"/>
    <w:rsid w:val="00A02457"/>
    <w:rsid w:val="00A0404B"/>
    <w:rsid w:val="00A1105B"/>
    <w:rsid w:val="00A15B6B"/>
    <w:rsid w:val="00A16876"/>
    <w:rsid w:val="00A200AA"/>
    <w:rsid w:val="00A2050A"/>
    <w:rsid w:val="00A2186F"/>
    <w:rsid w:val="00A2270B"/>
    <w:rsid w:val="00A2496E"/>
    <w:rsid w:val="00A24B37"/>
    <w:rsid w:val="00A258B7"/>
    <w:rsid w:val="00A2792D"/>
    <w:rsid w:val="00A32743"/>
    <w:rsid w:val="00A414A9"/>
    <w:rsid w:val="00A44D75"/>
    <w:rsid w:val="00A47CF1"/>
    <w:rsid w:val="00A50418"/>
    <w:rsid w:val="00A54DE7"/>
    <w:rsid w:val="00A56D26"/>
    <w:rsid w:val="00A608FB"/>
    <w:rsid w:val="00A65C78"/>
    <w:rsid w:val="00A70E7B"/>
    <w:rsid w:val="00A73B84"/>
    <w:rsid w:val="00A7411D"/>
    <w:rsid w:val="00A76094"/>
    <w:rsid w:val="00A768E2"/>
    <w:rsid w:val="00A82C52"/>
    <w:rsid w:val="00A86CB6"/>
    <w:rsid w:val="00A90D55"/>
    <w:rsid w:val="00A961EE"/>
    <w:rsid w:val="00AA04B3"/>
    <w:rsid w:val="00AA493E"/>
    <w:rsid w:val="00AA73AF"/>
    <w:rsid w:val="00AB1754"/>
    <w:rsid w:val="00AC439D"/>
    <w:rsid w:val="00AD067E"/>
    <w:rsid w:val="00AD68C5"/>
    <w:rsid w:val="00AE2D29"/>
    <w:rsid w:val="00AE4624"/>
    <w:rsid w:val="00AE5E14"/>
    <w:rsid w:val="00AF4FA5"/>
    <w:rsid w:val="00B00470"/>
    <w:rsid w:val="00B01945"/>
    <w:rsid w:val="00B15D30"/>
    <w:rsid w:val="00B23436"/>
    <w:rsid w:val="00B307A0"/>
    <w:rsid w:val="00B32179"/>
    <w:rsid w:val="00B331A9"/>
    <w:rsid w:val="00B40A3E"/>
    <w:rsid w:val="00B50227"/>
    <w:rsid w:val="00B522CD"/>
    <w:rsid w:val="00B55917"/>
    <w:rsid w:val="00B64DD6"/>
    <w:rsid w:val="00B72303"/>
    <w:rsid w:val="00B82277"/>
    <w:rsid w:val="00B91676"/>
    <w:rsid w:val="00B95833"/>
    <w:rsid w:val="00BA17A2"/>
    <w:rsid w:val="00BA2D98"/>
    <w:rsid w:val="00BA30D1"/>
    <w:rsid w:val="00BA4609"/>
    <w:rsid w:val="00BA5BE2"/>
    <w:rsid w:val="00BA7F46"/>
    <w:rsid w:val="00BB0A0A"/>
    <w:rsid w:val="00BB45B5"/>
    <w:rsid w:val="00BB6064"/>
    <w:rsid w:val="00BB7206"/>
    <w:rsid w:val="00BC09D1"/>
    <w:rsid w:val="00BD40AB"/>
    <w:rsid w:val="00BD6806"/>
    <w:rsid w:val="00BD7831"/>
    <w:rsid w:val="00BD7C10"/>
    <w:rsid w:val="00BE0DEB"/>
    <w:rsid w:val="00BE2FC1"/>
    <w:rsid w:val="00BE6365"/>
    <w:rsid w:val="00BF0B7F"/>
    <w:rsid w:val="00BF1DFD"/>
    <w:rsid w:val="00BF4720"/>
    <w:rsid w:val="00C038EC"/>
    <w:rsid w:val="00C04D88"/>
    <w:rsid w:val="00C13B34"/>
    <w:rsid w:val="00C1713D"/>
    <w:rsid w:val="00C177F1"/>
    <w:rsid w:val="00C20EB8"/>
    <w:rsid w:val="00C25978"/>
    <w:rsid w:val="00C261C6"/>
    <w:rsid w:val="00C27DF3"/>
    <w:rsid w:val="00C30A97"/>
    <w:rsid w:val="00C31DDC"/>
    <w:rsid w:val="00C34326"/>
    <w:rsid w:val="00C36201"/>
    <w:rsid w:val="00C368E8"/>
    <w:rsid w:val="00C42443"/>
    <w:rsid w:val="00C42CBA"/>
    <w:rsid w:val="00C5019E"/>
    <w:rsid w:val="00C53E8A"/>
    <w:rsid w:val="00C54DF3"/>
    <w:rsid w:val="00C5521D"/>
    <w:rsid w:val="00C560A7"/>
    <w:rsid w:val="00C56FC8"/>
    <w:rsid w:val="00C60F23"/>
    <w:rsid w:val="00C62EB2"/>
    <w:rsid w:val="00C64363"/>
    <w:rsid w:val="00C67B84"/>
    <w:rsid w:val="00C71BEC"/>
    <w:rsid w:val="00C74D3A"/>
    <w:rsid w:val="00C74E9B"/>
    <w:rsid w:val="00C80511"/>
    <w:rsid w:val="00C822CF"/>
    <w:rsid w:val="00C826F5"/>
    <w:rsid w:val="00C83740"/>
    <w:rsid w:val="00C84AD1"/>
    <w:rsid w:val="00C85579"/>
    <w:rsid w:val="00C931FC"/>
    <w:rsid w:val="00C932C5"/>
    <w:rsid w:val="00C9650E"/>
    <w:rsid w:val="00CA068D"/>
    <w:rsid w:val="00CA282D"/>
    <w:rsid w:val="00CA4670"/>
    <w:rsid w:val="00CA6B1A"/>
    <w:rsid w:val="00CB20DC"/>
    <w:rsid w:val="00CB23DC"/>
    <w:rsid w:val="00CB28E2"/>
    <w:rsid w:val="00CB7FF7"/>
    <w:rsid w:val="00CC19B3"/>
    <w:rsid w:val="00CC2044"/>
    <w:rsid w:val="00CC69EC"/>
    <w:rsid w:val="00CD15BE"/>
    <w:rsid w:val="00CD34C7"/>
    <w:rsid w:val="00CD57B9"/>
    <w:rsid w:val="00CD63C8"/>
    <w:rsid w:val="00CD6493"/>
    <w:rsid w:val="00CF158D"/>
    <w:rsid w:val="00CF3206"/>
    <w:rsid w:val="00CF4394"/>
    <w:rsid w:val="00D14BAE"/>
    <w:rsid w:val="00D1648B"/>
    <w:rsid w:val="00D16819"/>
    <w:rsid w:val="00D20AC0"/>
    <w:rsid w:val="00D322A0"/>
    <w:rsid w:val="00D336C8"/>
    <w:rsid w:val="00D339E8"/>
    <w:rsid w:val="00D40B1F"/>
    <w:rsid w:val="00D40D75"/>
    <w:rsid w:val="00D47D90"/>
    <w:rsid w:val="00D50BDA"/>
    <w:rsid w:val="00D50C8C"/>
    <w:rsid w:val="00D52393"/>
    <w:rsid w:val="00D53F14"/>
    <w:rsid w:val="00D54BE4"/>
    <w:rsid w:val="00D60483"/>
    <w:rsid w:val="00D63577"/>
    <w:rsid w:val="00D67FD7"/>
    <w:rsid w:val="00D708BF"/>
    <w:rsid w:val="00D70F2E"/>
    <w:rsid w:val="00D74261"/>
    <w:rsid w:val="00D76AB2"/>
    <w:rsid w:val="00D80490"/>
    <w:rsid w:val="00D829AD"/>
    <w:rsid w:val="00D82EE2"/>
    <w:rsid w:val="00D8545C"/>
    <w:rsid w:val="00D87788"/>
    <w:rsid w:val="00D877C8"/>
    <w:rsid w:val="00D910C2"/>
    <w:rsid w:val="00D9168C"/>
    <w:rsid w:val="00D9189B"/>
    <w:rsid w:val="00D91DA6"/>
    <w:rsid w:val="00D972D4"/>
    <w:rsid w:val="00DA03F9"/>
    <w:rsid w:val="00DA195B"/>
    <w:rsid w:val="00DB0015"/>
    <w:rsid w:val="00DB2AAD"/>
    <w:rsid w:val="00DB6365"/>
    <w:rsid w:val="00DC0BF1"/>
    <w:rsid w:val="00DC41C3"/>
    <w:rsid w:val="00DD3593"/>
    <w:rsid w:val="00DE6952"/>
    <w:rsid w:val="00DE7E74"/>
    <w:rsid w:val="00E00A69"/>
    <w:rsid w:val="00E017F0"/>
    <w:rsid w:val="00E041E4"/>
    <w:rsid w:val="00E103C8"/>
    <w:rsid w:val="00E1085B"/>
    <w:rsid w:val="00E14581"/>
    <w:rsid w:val="00E15539"/>
    <w:rsid w:val="00E16541"/>
    <w:rsid w:val="00E2632B"/>
    <w:rsid w:val="00E405EA"/>
    <w:rsid w:val="00E408B7"/>
    <w:rsid w:val="00E41114"/>
    <w:rsid w:val="00E42789"/>
    <w:rsid w:val="00E43F59"/>
    <w:rsid w:val="00E464F0"/>
    <w:rsid w:val="00E50BEB"/>
    <w:rsid w:val="00E6092F"/>
    <w:rsid w:val="00E62722"/>
    <w:rsid w:val="00E629DA"/>
    <w:rsid w:val="00E67DA6"/>
    <w:rsid w:val="00E738CB"/>
    <w:rsid w:val="00E74437"/>
    <w:rsid w:val="00E81C3E"/>
    <w:rsid w:val="00E82B6D"/>
    <w:rsid w:val="00EA1177"/>
    <w:rsid w:val="00EA11B6"/>
    <w:rsid w:val="00EA2181"/>
    <w:rsid w:val="00EA2DD8"/>
    <w:rsid w:val="00EA4475"/>
    <w:rsid w:val="00EA681F"/>
    <w:rsid w:val="00EB3823"/>
    <w:rsid w:val="00EB47D8"/>
    <w:rsid w:val="00EB7430"/>
    <w:rsid w:val="00EB76E4"/>
    <w:rsid w:val="00EC0E65"/>
    <w:rsid w:val="00EC50C9"/>
    <w:rsid w:val="00EC5BB2"/>
    <w:rsid w:val="00ED664B"/>
    <w:rsid w:val="00EE0B44"/>
    <w:rsid w:val="00EF4C74"/>
    <w:rsid w:val="00EF5268"/>
    <w:rsid w:val="00EF608E"/>
    <w:rsid w:val="00F049E5"/>
    <w:rsid w:val="00F05807"/>
    <w:rsid w:val="00F07052"/>
    <w:rsid w:val="00F0706C"/>
    <w:rsid w:val="00F11EBE"/>
    <w:rsid w:val="00F130D0"/>
    <w:rsid w:val="00F1516A"/>
    <w:rsid w:val="00F22A26"/>
    <w:rsid w:val="00F24072"/>
    <w:rsid w:val="00F26432"/>
    <w:rsid w:val="00F3197A"/>
    <w:rsid w:val="00F32139"/>
    <w:rsid w:val="00F34E08"/>
    <w:rsid w:val="00F41D91"/>
    <w:rsid w:val="00F42363"/>
    <w:rsid w:val="00F46964"/>
    <w:rsid w:val="00F470CA"/>
    <w:rsid w:val="00F5126A"/>
    <w:rsid w:val="00F718A8"/>
    <w:rsid w:val="00F72183"/>
    <w:rsid w:val="00F76D01"/>
    <w:rsid w:val="00F81C35"/>
    <w:rsid w:val="00F82981"/>
    <w:rsid w:val="00F8311F"/>
    <w:rsid w:val="00F83248"/>
    <w:rsid w:val="00F853AE"/>
    <w:rsid w:val="00F91468"/>
    <w:rsid w:val="00F93DCC"/>
    <w:rsid w:val="00F9435D"/>
    <w:rsid w:val="00FA5FEC"/>
    <w:rsid w:val="00FB593A"/>
    <w:rsid w:val="00FB6E82"/>
    <w:rsid w:val="00FC203C"/>
    <w:rsid w:val="00FC2A13"/>
    <w:rsid w:val="00FC4576"/>
    <w:rsid w:val="00FC7DBC"/>
    <w:rsid w:val="00FD076A"/>
    <w:rsid w:val="00FD0AA0"/>
    <w:rsid w:val="00FD1D5A"/>
    <w:rsid w:val="00FD5059"/>
    <w:rsid w:val="00FD554D"/>
    <w:rsid w:val="00FF0FF7"/>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5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6B2591"/>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73731556">
      <w:bodyDiv w:val="1"/>
      <w:marLeft w:val="0"/>
      <w:marRight w:val="0"/>
      <w:marTop w:val="0"/>
      <w:marBottom w:val="0"/>
      <w:divBdr>
        <w:top w:val="none" w:sz="0" w:space="0" w:color="auto"/>
        <w:left w:val="none" w:sz="0" w:space="0" w:color="auto"/>
        <w:bottom w:val="none" w:sz="0" w:space="0" w:color="auto"/>
        <w:right w:val="none" w:sz="0" w:space="0" w:color="auto"/>
      </w:divBdr>
    </w:div>
    <w:div w:id="111197185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412502288">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FBDC0-0BB5-4778-AD50-7DE38315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15</cp:revision>
  <cp:lastPrinted>2010-04-15T14:14:00Z</cp:lastPrinted>
  <dcterms:created xsi:type="dcterms:W3CDTF">2010-04-01T19:13:00Z</dcterms:created>
  <dcterms:modified xsi:type="dcterms:W3CDTF">2012-01-24T17:04:00Z</dcterms:modified>
</cp:coreProperties>
</file>