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44384F">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44384F">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9B1534">
      <w:pPr>
        <w:tabs>
          <w:tab w:val="left" w:pos="288"/>
          <w:tab w:val="left" w:pos="4752"/>
        </w:tabs>
        <w:spacing w:line="240" w:lineRule="exact"/>
        <w:jc w:val="both"/>
        <w:rPr>
          <w:color w:val="000080"/>
        </w:rPr>
      </w:pPr>
    </w:p>
    <w:p w:rsidR="00662F08" w:rsidRPr="00D91DA6" w:rsidRDefault="00662F08" w:rsidP="009B1534">
      <w:pPr>
        <w:tabs>
          <w:tab w:val="left" w:pos="288"/>
          <w:tab w:val="left" w:pos="4752"/>
        </w:tabs>
        <w:spacing w:line="240" w:lineRule="exact"/>
        <w:jc w:val="both"/>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051622" w:rsidRPr="00D91DA6">
        <w:rPr>
          <w:color w:val="000080"/>
        </w:rPr>
        <w:t xml:space="preserve">: </w:t>
      </w:r>
      <w:r w:rsidR="00FB4600">
        <w:rPr>
          <w:color w:val="000080"/>
        </w:rPr>
        <w:t>ARMY</w:t>
      </w:r>
    </w:p>
    <w:p w:rsidR="00B522CD" w:rsidRPr="00D91DA6" w:rsidRDefault="00D91DA6" w:rsidP="009B1534">
      <w:pPr>
        <w:tabs>
          <w:tab w:val="left" w:pos="288"/>
          <w:tab w:val="left" w:pos="4752"/>
        </w:tabs>
        <w:spacing w:line="240" w:lineRule="exact"/>
        <w:jc w:val="both"/>
        <w:rPr>
          <w:color w:val="000080"/>
        </w:rPr>
      </w:pPr>
      <w:r>
        <w:rPr>
          <w:color w:val="000080"/>
        </w:rPr>
        <w:t>CASE</w:t>
      </w:r>
      <w:r w:rsidR="001C28D1" w:rsidRPr="00D91DA6">
        <w:rPr>
          <w:color w:val="000080"/>
        </w:rPr>
        <w:t xml:space="preserve"> NUMBER:  </w:t>
      </w:r>
      <w:r w:rsidR="00875B51">
        <w:rPr>
          <w:color w:val="000080"/>
        </w:rPr>
        <w:t>PD0900</w:t>
      </w:r>
      <w:r w:rsidR="00FB4600">
        <w:rPr>
          <w:color w:val="000080"/>
        </w:rPr>
        <w:t>125</w:t>
      </w:r>
      <w:r w:rsidR="00051622" w:rsidRPr="00D91DA6">
        <w:rPr>
          <w:color w:val="000080"/>
        </w:rPr>
        <w:tab/>
      </w:r>
      <w:r w:rsidR="00051622" w:rsidRPr="00D91DA6">
        <w:rPr>
          <w:color w:val="000080"/>
        </w:rPr>
        <w:tab/>
      </w:r>
      <w:r>
        <w:rPr>
          <w:color w:val="000080"/>
        </w:rPr>
        <w:t xml:space="preserve">COMPONENT: </w:t>
      </w:r>
      <w:r w:rsidR="0045147D">
        <w:rPr>
          <w:color w:val="000080"/>
        </w:rPr>
        <w:t>REGULAR</w:t>
      </w:r>
    </w:p>
    <w:p w:rsidR="00662F08" w:rsidRPr="00D91DA6" w:rsidRDefault="00662F08" w:rsidP="009B1534">
      <w:pPr>
        <w:tabs>
          <w:tab w:val="left" w:pos="288"/>
          <w:tab w:val="left" w:pos="4752"/>
        </w:tabs>
        <w:spacing w:line="240" w:lineRule="exact"/>
        <w:jc w:val="both"/>
        <w:rPr>
          <w:color w:val="000080"/>
        </w:rPr>
      </w:pPr>
      <w:r w:rsidRPr="00D91DA6">
        <w:rPr>
          <w:color w:val="000080"/>
        </w:rPr>
        <w:t xml:space="preserve">BOARD DATE: </w:t>
      </w:r>
      <w:r w:rsidR="00FB4600" w:rsidRPr="004A0DF5">
        <w:rPr>
          <w:color w:val="000080"/>
        </w:rPr>
        <w:t>20090</w:t>
      </w:r>
      <w:r w:rsidR="003D0E59">
        <w:rPr>
          <w:color w:val="000080"/>
        </w:rPr>
        <w:t>806</w:t>
      </w:r>
      <w:r w:rsidR="00D91DA6">
        <w:rPr>
          <w:color w:val="000080"/>
        </w:rPr>
        <w:tab/>
      </w:r>
      <w:r w:rsidR="00D91DA6">
        <w:rPr>
          <w:color w:val="000080"/>
        </w:rPr>
        <w:tab/>
      </w:r>
      <w:r w:rsidR="00D91DA6" w:rsidRPr="00D91DA6">
        <w:rPr>
          <w:color w:val="000080"/>
        </w:rPr>
        <w:t xml:space="preserve">SEPARATION DATE: </w:t>
      </w:r>
      <w:r w:rsidR="00FB4600" w:rsidRPr="004A0DF5">
        <w:rPr>
          <w:color w:val="000080"/>
        </w:rPr>
        <w:t>20020803</w:t>
      </w: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rsidP="009B1534">
      <w:pPr>
        <w:tabs>
          <w:tab w:val="left" w:pos="288"/>
          <w:tab w:val="left" w:pos="4752"/>
        </w:tabs>
        <w:spacing w:line="240" w:lineRule="exact"/>
        <w:jc w:val="both"/>
        <w:rPr>
          <w:color w:val="000080"/>
        </w:rPr>
      </w:pPr>
    </w:p>
    <w:p w:rsidR="00FB4600" w:rsidRDefault="00811D5B" w:rsidP="009B1534">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FB4600" w:rsidRPr="004A0DF5">
        <w:rPr>
          <w:color w:val="000080"/>
        </w:rPr>
        <w:t xml:space="preserve">This covered individual (CI) was an active duty NCO medically separated from the Army in 2002 after 17 years of service.  The medical basis was </w:t>
      </w:r>
      <w:r w:rsidR="003D0E59">
        <w:rPr>
          <w:color w:val="000080"/>
        </w:rPr>
        <w:t>a bilateral foot condition</w:t>
      </w:r>
      <w:r w:rsidR="00FB4600" w:rsidRPr="004A0DF5">
        <w:rPr>
          <w:color w:val="000080"/>
        </w:rPr>
        <w:t>.  He developed worsening plantar fasciitis and heel spurs requiring repeated surgical correction for both feet.  Surgical intervention for his left foot included insertion of permanent hardware.  He also incurred a permanent peripheral nerve sensory deficit of his left foot.  The severity of his impairment reached the point where the CI could no longer tolerate regulation footwear, prolonged standing and other essential military duties.  He was referred to the PEB, found unfit and separated at 10% disability.</w:t>
      </w:r>
    </w:p>
    <w:p w:rsidR="00923B25" w:rsidRPr="00D91DA6" w:rsidRDefault="00923B2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923B25" w:rsidRPr="00D91DA6" w:rsidRDefault="00923B25" w:rsidP="009B1534">
      <w:pPr>
        <w:tabs>
          <w:tab w:val="left" w:pos="288"/>
          <w:tab w:val="left" w:pos="4752"/>
        </w:tabs>
        <w:spacing w:line="240" w:lineRule="exact"/>
        <w:jc w:val="both"/>
        <w:rPr>
          <w:color w:val="000080"/>
        </w:rPr>
      </w:pPr>
    </w:p>
    <w:p w:rsidR="00FB4600" w:rsidRPr="004A0DF5" w:rsidRDefault="001C181A" w:rsidP="00FB4600">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FB4600" w:rsidRPr="004A0DF5">
        <w:rPr>
          <w:color w:val="000080"/>
        </w:rPr>
        <w:t>The CI contends that higher ratings were warranted and that additional conditions were not rated, citing depression (for which no entry was in his service record).</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2338CA" w:rsidRDefault="00A90D55" w:rsidP="009B1534">
      <w:pPr>
        <w:tabs>
          <w:tab w:val="left" w:pos="288"/>
          <w:tab w:val="left" w:pos="4752"/>
        </w:tabs>
        <w:spacing w:line="240" w:lineRule="exact"/>
        <w:jc w:val="both"/>
        <w:rPr>
          <w:color w:val="000080"/>
        </w:rPr>
      </w:pPr>
      <w:r>
        <w:rPr>
          <w:color w:val="000080"/>
          <w:u w:val="single"/>
        </w:rPr>
        <w:t>RATING COMPARISON</w:t>
      </w:r>
      <w:r>
        <w:rPr>
          <w:color w:val="000080"/>
        </w:rPr>
        <w:t>:</w:t>
      </w:r>
    </w:p>
    <w:p w:rsidR="00F45192" w:rsidRDefault="00F45192" w:rsidP="009B1534">
      <w:pPr>
        <w:tabs>
          <w:tab w:val="left" w:pos="288"/>
          <w:tab w:val="left" w:pos="4752"/>
        </w:tabs>
        <w:spacing w:line="240" w:lineRule="exact"/>
        <w:jc w:val="both"/>
        <w:rPr>
          <w:color w:val="000080"/>
        </w:rPr>
      </w:pPr>
    </w:p>
    <w:tbl>
      <w:tblPr>
        <w:tblStyle w:val="TableGrid"/>
        <w:tblW w:w="10530" w:type="dxa"/>
        <w:tblInd w:w="-612" w:type="dxa"/>
        <w:tblLayout w:type="fixed"/>
        <w:tblLook w:val="04A0"/>
      </w:tblPr>
      <w:tblGrid>
        <w:gridCol w:w="1890"/>
        <w:gridCol w:w="1260"/>
        <w:gridCol w:w="810"/>
        <w:gridCol w:w="1170"/>
        <w:gridCol w:w="2160"/>
        <w:gridCol w:w="1260"/>
        <w:gridCol w:w="810"/>
        <w:gridCol w:w="1170"/>
      </w:tblGrid>
      <w:tr w:rsidR="00F45192" w:rsidTr="00F45192">
        <w:trPr>
          <w:trHeight w:val="264"/>
        </w:trPr>
        <w:tc>
          <w:tcPr>
            <w:tcW w:w="513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45192" w:rsidRPr="00F45192" w:rsidRDefault="00F45192" w:rsidP="00F45192">
            <w:pPr>
              <w:pStyle w:val="ListParagraph"/>
              <w:spacing w:after="0" w:line="240" w:lineRule="auto"/>
              <w:ind w:left="0"/>
              <w:jc w:val="center"/>
              <w:rPr>
                <w:b/>
              </w:rPr>
            </w:pPr>
            <w:r w:rsidRPr="00F45192">
              <w:rPr>
                <w:b/>
              </w:rPr>
              <w:t>Service PEB</w:t>
            </w:r>
          </w:p>
        </w:tc>
        <w:tc>
          <w:tcPr>
            <w:tcW w:w="540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rsidP="00F45192">
            <w:pPr>
              <w:pStyle w:val="ListParagraph"/>
              <w:spacing w:after="0" w:line="240" w:lineRule="auto"/>
              <w:ind w:left="0"/>
              <w:jc w:val="center"/>
              <w:rPr>
                <w:b/>
              </w:rPr>
            </w:pPr>
            <w:r w:rsidRPr="00F45192">
              <w:rPr>
                <w:b/>
              </w:rPr>
              <w:t xml:space="preserve">VA   </w:t>
            </w:r>
          </w:p>
        </w:tc>
      </w:tr>
      <w:tr w:rsidR="00F45192" w:rsidTr="00F45192">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PEB Condition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Condition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45192" w:rsidRPr="00F45192" w:rsidRDefault="00F45192">
            <w:pPr>
              <w:pStyle w:val="ListParagraph"/>
              <w:spacing w:after="0" w:line="240" w:lineRule="auto"/>
              <w:ind w:left="0"/>
              <w:jc w:val="center"/>
              <w:rPr>
                <w:b/>
              </w:rPr>
            </w:pPr>
            <w:r w:rsidRPr="00F45192">
              <w:rPr>
                <w:b/>
              </w:rPr>
              <w:t>Exam Date</w:t>
            </w:r>
          </w:p>
        </w:tc>
      </w:tr>
      <w:tr w:rsidR="00F45192" w:rsidTr="00F45192">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pPr>
            <w:r>
              <w:t>Bilateral Foot Pain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45192" w:rsidRDefault="00F45192">
            <w:pPr>
              <w:pStyle w:val="ListParagraph"/>
              <w:spacing w:after="0" w:line="240" w:lineRule="auto"/>
              <w:ind w:left="0"/>
              <w:jc w:val="center"/>
            </w:pPr>
            <w:r>
              <w:t>20020415</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pPr>
            <w:r>
              <w:t>Fasciitis L Foot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20020924</w:t>
            </w:r>
          </w:p>
        </w:tc>
      </w:tr>
      <w:tr w:rsidR="00F45192" w:rsidTr="00F45192">
        <w:trPr>
          <w:trHeight w:val="26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pPr>
            <w:r>
              <w:t>Fasciitis R Foot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20020924</w:t>
            </w:r>
          </w:p>
        </w:tc>
      </w:tr>
      <w:tr w:rsidR="00F45192" w:rsidTr="00F45192">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pPr>
            <w:r>
              <w:t>Mechanical Back Pain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5295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20020924</w:t>
            </w:r>
          </w:p>
        </w:tc>
      </w:tr>
      <w:tr w:rsidR="00F45192" w:rsidTr="00F45192">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pPr>
            <w:r>
              <w:t>Surg. Scars L Foot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20020924</w:t>
            </w:r>
          </w:p>
        </w:tc>
      </w:tr>
      <w:tr w:rsidR="00F45192" w:rsidTr="00F45192">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45192" w:rsidRDefault="00F45192">
            <w:pPr>
              <w:pStyle w:val="ListParagraph"/>
              <w:spacing w:after="0" w:line="240" w:lineRule="auto"/>
              <w:ind w:left="0"/>
              <w:jc w:val="cente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pPr>
            <w:r>
              <w:t>Surg. Scars R Foot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45192" w:rsidRDefault="00F45192">
            <w:pPr>
              <w:pStyle w:val="ListParagraph"/>
              <w:spacing w:after="0" w:line="240" w:lineRule="auto"/>
              <w:ind w:left="0"/>
              <w:jc w:val="center"/>
            </w:pPr>
            <w:r>
              <w:t>20020924</w:t>
            </w:r>
          </w:p>
        </w:tc>
      </w:tr>
      <w:tr w:rsidR="00F45192" w:rsidTr="00F45192">
        <w:trPr>
          <w:trHeight w:val="280"/>
        </w:trPr>
        <w:tc>
          <w:tcPr>
            <w:tcW w:w="513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45192" w:rsidRDefault="00F45192">
            <w:pPr>
              <w:pStyle w:val="ListParagraph"/>
              <w:spacing w:after="0" w:line="240" w:lineRule="auto"/>
              <w:ind w:left="0"/>
              <w:jc w:val="center"/>
              <w:rPr>
                <w:b/>
              </w:rPr>
            </w:pPr>
            <w:r>
              <w:rPr>
                <w:b/>
              </w:rPr>
              <w:t>TOTAL Combined:    10%</w:t>
            </w:r>
          </w:p>
        </w:tc>
        <w:tc>
          <w:tcPr>
            <w:tcW w:w="540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45192" w:rsidRDefault="00F45192">
            <w:pPr>
              <w:pStyle w:val="ListParagraph"/>
              <w:spacing w:after="0" w:line="240" w:lineRule="auto"/>
              <w:ind w:left="0"/>
              <w:jc w:val="center"/>
              <w:rPr>
                <w:b/>
              </w:rPr>
            </w:pPr>
            <w:r>
              <w:rPr>
                <w:b/>
              </w:rPr>
              <w:t xml:space="preserve">TOTAL Combined (incl. non-PEB </w:t>
            </w:r>
            <w:proofErr w:type="spellStart"/>
            <w:r>
              <w:rPr>
                <w:b/>
              </w:rPr>
              <w:t>Dxs</w:t>
            </w:r>
            <w:proofErr w:type="spellEnd"/>
            <w:r>
              <w:rPr>
                <w:b/>
              </w:rPr>
              <w:t>):   50 %</w:t>
            </w:r>
          </w:p>
        </w:tc>
      </w:tr>
    </w:tbl>
    <w:p w:rsidR="00FB4600" w:rsidRDefault="00FB4600" w:rsidP="009B1534">
      <w:pPr>
        <w:tabs>
          <w:tab w:val="left" w:pos="288"/>
          <w:tab w:val="left" w:pos="4752"/>
        </w:tabs>
        <w:spacing w:line="240" w:lineRule="exact"/>
        <w:jc w:val="both"/>
        <w:rPr>
          <w:color w:val="000080"/>
        </w:rPr>
      </w:pP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Default="00A90D55"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9B1534">
      <w:pPr>
        <w:tabs>
          <w:tab w:val="left" w:pos="288"/>
          <w:tab w:val="left" w:pos="4752"/>
        </w:tabs>
        <w:spacing w:line="240" w:lineRule="exact"/>
        <w:jc w:val="both"/>
        <w:rPr>
          <w:color w:val="000080"/>
        </w:rPr>
      </w:pPr>
    </w:p>
    <w:p w:rsidR="002E6AAC" w:rsidRDefault="00F45192" w:rsidP="00DB0F5D">
      <w:pPr>
        <w:tabs>
          <w:tab w:val="left" w:pos="288"/>
          <w:tab w:val="left" w:pos="4752"/>
        </w:tabs>
        <w:spacing w:line="240" w:lineRule="exact"/>
        <w:jc w:val="both"/>
        <w:rPr>
          <w:color w:val="000080"/>
        </w:rPr>
      </w:pPr>
      <w:proofErr w:type="gramStart"/>
      <w:r w:rsidRPr="00F45192">
        <w:rPr>
          <w:color w:val="000080"/>
          <w:u w:val="single"/>
        </w:rPr>
        <w:t>Foot Coding and Rating</w:t>
      </w:r>
      <w:r w:rsidRPr="00F45192">
        <w:rPr>
          <w:color w:val="000080"/>
        </w:rPr>
        <w:t>.</w:t>
      </w:r>
      <w:proofErr w:type="gramEnd"/>
      <w:r w:rsidRPr="00F45192">
        <w:rPr>
          <w:color w:val="000080"/>
        </w:rPr>
        <w:t xml:space="preserve">  </w:t>
      </w:r>
      <w:r w:rsidRPr="004A0DF5">
        <w:rPr>
          <w:color w:val="000080"/>
        </w:rPr>
        <w:t xml:space="preserve">The PEB included both feet under a single analogous code (5003).  </w:t>
      </w:r>
      <w:r w:rsidR="003D698C">
        <w:rPr>
          <w:color w:val="000080"/>
        </w:rPr>
        <w:t xml:space="preserve">The component of the VA combined rating applicable to the feet was 40%.  </w:t>
      </w:r>
      <w:r w:rsidRPr="004A0DF5">
        <w:rPr>
          <w:color w:val="000080"/>
        </w:rPr>
        <w:t>This was based on separate ratings for each foot</w:t>
      </w:r>
      <w:r w:rsidR="003D698C">
        <w:rPr>
          <w:color w:val="000080"/>
        </w:rPr>
        <w:t xml:space="preserve"> and</w:t>
      </w:r>
      <w:r w:rsidRPr="004A0DF5">
        <w:rPr>
          <w:color w:val="000080"/>
        </w:rPr>
        <w:t xml:space="preserve"> additional ratings for </w:t>
      </w:r>
      <w:r w:rsidR="003D698C">
        <w:rPr>
          <w:color w:val="000080"/>
        </w:rPr>
        <w:t>the surgical scars</w:t>
      </w:r>
      <w:r w:rsidRPr="004A0DF5">
        <w:rPr>
          <w:color w:val="000080"/>
        </w:rPr>
        <w:t xml:space="preserve">.  </w:t>
      </w:r>
      <w:r w:rsidRPr="00F45192">
        <w:rPr>
          <w:color w:val="000080"/>
        </w:rPr>
        <w:t xml:space="preserve">The 5003 analogous code applied by the PEB and </w:t>
      </w:r>
      <w:r>
        <w:rPr>
          <w:color w:val="000080"/>
        </w:rPr>
        <w:t xml:space="preserve">in </w:t>
      </w:r>
      <w:r w:rsidRPr="00F45192">
        <w:rPr>
          <w:color w:val="000080"/>
        </w:rPr>
        <w:t xml:space="preserve">the VA initial rating is not </w:t>
      </w:r>
      <w:r w:rsidR="00CF7F7D">
        <w:rPr>
          <w:color w:val="000080"/>
        </w:rPr>
        <w:t xml:space="preserve">optimal.  </w:t>
      </w:r>
      <w:r w:rsidRPr="00F45192">
        <w:rPr>
          <w:color w:val="000080"/>
        </w:rPr>
        <w:t xml:space="preserve">The most appropriate </w:t>
      </w:r>
      <w:r w:rsidR="00064A89">
        <w:rPr>
          <w:color w:val="000080"/>
        </w:rPr>
        <w:t xml:space="preserve">code </w:t>
      </w:r>
      <w:r w:rsidRPr="00F45192">
        <w:rPr>
          <w:color w:val="000080"/>
        </w:rPr>
        <w:t xml:space="preserve">is 5284 which was adopted in subsequent VA coding and </w:t>
      </w:r>
      <w:r w:rsidR="00064A89">
        <w:rPr>
          <w:color w:val="000080"/>
        </w:rPr>
        <w:t xml:space="preserve">is </w:t>
      </w:r>
      <w:r w:rsidRPr="00F45192">
        <w:rPr>
          <w:color w:val="000080"/>
        </w:rPr>
        <w:t xml:space="preserve">(at least currently) recommended </w:t>
      </w:r>
      <w:r w:rsidR="003D698C">
        <w:rPr>
          <w:color w:val="000080"/>
        </w:rPr>
        <w:t>in the Army adjudicator manual.</w:t>
      </w:r>
      <w:r w:rsidRPr="00F45192">
        <w:rPr>
          <w:color w:val="000080"/>
        </w:rPr>
        <w:t xml:space="preserve">  Rating is unaffected</w:t>
      </w:r>
      <w:r w:rsidR="003D698C">
        <w:rPr>
          <w:color w:val="000080"/>
        </w:rPr>
        <w:t xml:space="preserve"> as long as VASRD §4.59 (painful motion) </w:t>
      </w:r>
      <w:r w:rsidR="003D698C">
        <w:rPr>
          <w:color w:val="000080"/>
        </w:rPr>
        <w:lastRenderedPageBreak/>
        <w:t>supersedes the USAPDA pain policy</w:t>
      </w:r>
      <w:r w:rsidR="00064A89">
        <w:rPr>
          <w:color w:val="000080"/>
        </w:rPr>
        <w:t>.  That is the case in this instance since both feet are adjudicated unfitting and both were clinically active at separation.</w:t>
      </w:r>
    </w:p>
    <w:p w:rsidR="003D698C" w:rsidRPr="00F45192" w:rsidRDefault="003D698C" w:rsidP="00DB0F5D">
      <w:pPr>
        <w:tabs>
          <w:tab w:val="left" w:pos="288"/>
          <w:tab w:val="left" w:pos="4752"/>
        </w:tabs>
        <w:spacing w:line="240" w:lineRule="exact"/>
        <w:jc w:val="both"/>
        <w:rPr>
          <w:color w:val="000080"/>
        </w:rPr>
      </w:pPr>
    </w:p>
    <w:p w:rsidR="00F45192" w:rsidRDefault="00F45192" w:rsidP="00DB0F5D">
      <w:pPr>
        <w:spacing w:line="240" w:lineRule="exact"/>
        <w:jc w:val="both"/>
        <w:rPr>
          <w:color w:val="000080"/>
        </w:rPr>
      </w:pPr>
      <w:proofErr w:type="gramStart"/>
      <w:r w:rsidRPr="00064A89">
        <w:rPr>
          <w:color w:val="000080"/>
          <w:u w:val="single"/>
        </w:rPr>
        <w:t>Scar</w:t>
      </w:r>
      <w:r w:rsidR="00DB0F5D">
        <w:rPr>
          <w:color w:val="000080"/>
          <w:u w:val="single"/>
        </w:rPr>
        <w:t>s</w:t>
      </w:r>
      <w:r w:rsidRPr="00064A89">
        <w:rPr>
          <w:color w:val="000080"/>
          <w:u w:val="single"/>
        </w:rPr>
        <w:t xml:space="preserve"> </w:t>
      </w:r>
      <w:r w:rsidR="00DB0F5D">
        <w:rPr>
          <w:color w:val="000080"/>
          <w:u w:val="single"/>
        </w:rPr>
        <w:t>and Peripheral Nerve Involvement</w:t>
      </w:r>
      <w:r w:rsidRPr="00F45192">
        <w:rPr>
          <w:color w:val="000080"/>
        </w:rPr>
        <w:t>.</w:t>
      </w:r>
      <w:proofErr w:type="gramEnd"/>
      <w:r w:rsidRPr="00F45192">
        <w:rPr>
          <w:color w:val="000080"/>
        </w:rPr>
        <w:t xml:space="preserve">  Scars were significant, as described </w:t>
      </w:r>
      <w:r w:rsidR="00064A89">
        <w:rPr>
          <w:color w:val="000080"/>
        </w:rPr>
        <w:t>by the VA rating examiner</w:t>
      </w:r>
      <w:r w:rsidRPr="00F45192">
        <w:rPr>
          <w:color w:val="000080"/>
        </w:rPr>
        <w:t>.  Since fitness was specifically linked to the wearing of regulation footwear, the scars had to interplay with the fitness picture.  A counter argument can be made that this element of unfitness is subsumed in the primary code</w:t>
      </w:r>
      <w:r w:rsidR="00064A89">
        <w:rPr>
          <w:color w:val="000080"/>
        </w:rPr>
        <w:t xml:space="preserve">.  However, </w:t>
      </w:r>
      <w:r w:rsidR="00064A89" w:rsidRPr="00064A89">
        <w:rPr>
          <w:color w:val="000080"/>
        </w:rPr>
        <w:t xml:space="preserve">since the scars were not </w:t>
      </w:r>
      <w:r w:rsidR="004E0E74">
        <w:rPr>
          <w:color w:val="000080"/>
        </w:rPr>
        <w:t>specifically</w:t>
      </w:r>
      <w:r w:rsidR="00064A89" w:rsidRPr="00064A89">
        <w:rPr>
          <w:color w:val="000080"/>
        </w:rPr>
        <w:t xml:space="preserve"> forwarded for PEB consideration (not noted in MEB P.E., NARSUM or DES packet), </w:t>
      </w:r>
      <w:r w:rsidR="004E0E74">
        <w:rPr>
          <w:color w:val="000080"/>
        </w:rPr>
        <w:t>the jurisdiction of the PDBR for recommending them as unfitting is questionable</w:t>
      </w:r>
      <w:r w:rsidR="00064A89" w:rsidRPr="00064A89">
        <w:rPr>
          <w:color w:val="000080"/>
        </w:rPr>
        <w:t>.</w:t>
      </w:r>
      <w:r w:rsidR="00DB0F5D">
        <w:rPr>
          <w:color w:val="000080"/>
        </w:rPr>
        <w:t xml:space="preserve">  </w:t>
      </w:r>
      <w:r w:rsidR="00DB0F5D" w:rsidRPr="00F45192">
        <w:rPr>
          <w:color w:val="000080"/>
        </w:rPr>
        <w:t xml:space="preserve">A left sensory superficial </w:t>
      </w:r>
      <w:proofErr w:type="spellStart"/>
      <w:r w:rsidR="00DB0F5D" w:rsidRPr="00F45192">
        <w:rPr>
          <w:color w:val="000080"/>
        </w:rPr>
        <w:t>peroneal</w:t>
      </w:r>
      <w:proofErr w:type="spellEnd"/>
      <w:r w:rsidR="00DB0F5D" w:rsidRPr="00F45192">
        <w:rPr>
          <w:color w:val="000080"/>
        </w:rPr>
        <w:t xml:space="preserve"> nerve neuropathy is well established in the record, and would support </w:t>
      </w:r>
      <w:r w:rsidR="00DB0F5D">
        <w:rPr>
          <w:color w:val="000080"/>
        </w:rPr>
        <w:t xml:space="preserve">consideration for </w:t>
      </w:r>
      <w:r w:rsidR="00DB0F5D" w:rsidRPr="00F45192">
        <w:rPr>
          <w:color w:val="000080"/>
        </w:rPr>
        <w:t xml:space="preserve">a unilateral 8622 code.  </w:t>
      </w:r>
      <w:r w:rsidR="00DB0F5D">
        <w:rPr>
          <w:color w:val="000080"/>
        </w:rPr>
        <w:t xml:space="preserve">However, this condition did not merit coding and rating </w:t>
      </w:r>
      <w:r w:rsidR="004E0E74">
        <w:rPr>
          <w:color w:val="000080"/>
        </w:rPr>
        <w:t xml:space="preserve">by the VA </w:t>
      </w:r>
      <w:r w:rsidR="00DB0F5D">
        <w:rPr>
          <w:color w:val="000080"/>
        </w:rPr>
        <w:t>and does not have a significant link to fitness.</w:t>
      </w:r>
    </w:p>
    <w:p w:rsidR="00064A89" w:rsidRPr="00F45192" w:rsidRDefault="00064A89" w:rsidP="00DB0F5D">
      <w:pPr>
        <w:tabs>
          <w:tab w:val="left" w:pos="288"/>
          <w:tab w:val="left" w:pos="4752"/>
        </w:tabs>
        <w:spacing w:line="240" w:lineRule="exact"/>
        <w:jc w:val="both"/>
        <w:rPr>
          <w:color w:val="000080"/>
        </w:rPr>
      </w:pPr>
    </w:p>
    <w:p w:rsidR="002E6AAC" w:rsidRPr="002E6AAC" w:rsidRDefault="002E6AAC" w:rsidP="004161DF">
      <w:pPr>
        <w:spacing w:line="240" w:lineRule="exact"/>
        <w:jc w:val="both"/>
        <w:rPr>
          <w:color w:val="000080"/>
        </w:rPr>
      </w:pPr>
      <w:r>
        <w:rPr>
          <w:color w:val="000080"/>
          <w:u w:val="single"/>
        </w:rPr>
        <w:t>Additional Conditions</w:t>
      </w:r>
      <w:r>
        <w:rPr>
          <w:color w:val="000080"/>
        </w:rPr>
        <w:t xml:space="preserve">: </w:t>
      </w:r>
      <w:proofErr w:type="gramStart"/>
      <w:r w:rsidRPr="002E6AAC">
        <w:rPr>
          <w:color w:val="000080"/>
        </w:rPr>
        <w:t>An</w:t>
      </w:r>
      <w:proofErr w:type="gramEnd"/>
      <w:r w:rsidRPr="002E6AAC">
        <w:rPr>
          <w:color w:val="000080"/>
        </w:rPr>
        <w:t xml:space="preserve"> back condition is noted in the NARSUM, but no </w:t>
      </w:r>
      <w:r w:rsidR="00DB0F5D">
        <w:rPr>
          <w:color w:val="000080"/>
        </w:rPr>
        <w:t>record</w:t>
      </w:r>
      <w:r w:rsidRPr="002E6AAC">
        <w:rPr>
          <w:color w:val="000080"/>
        </w:rPr>
        <w:t xml:space="preserve"> entries tie it to fitness.  </w:t>
      </w:r>
      <w:r w:rsidR="00DB0F5D">
        <w:rPr>
          <w:color w:val="000080"/>
        </w:rPr>
        <w:t xml:space="preserve">The </w:t>
      </w:r>
      <w:r w:rsidR="004161DF" w:rsidRPr="002E6AAC">
        <w:rPr>
          <w:color w:val="000080"/>
        </w:rPr>
        <w:t xml:space="preserve">CI </w:t>
      </w:r>
      <w:r w:rsidRPr="002E6AAC">
        <w:rPr>
          <w:color w:val="000080"/>
        </w:rPr>
        <w:t xml:space="preserve">contends for depression associated with </w:t>
      </w:r>
      <w:r w:rsidR="00DB0F5D">
        <w:rPr>
          <w:color w:val="000080"/>
        </w:rPr>
        <w:t xml:space="preserve">his </w:t>
      </w:r>
      <w:r w:rsidRPr="002E6AAC">
        <w:rPr>
          <w:color w:val="000080"/>
        </w:rPr>
        <w:t xml:space="preserve">pain and </w:t>
      </w:r>
      <w:r w:rsidR="00DB0F5D">
        <w:rPr>
          <w:color w:val="000080"/>
        </w:rPr>
        <w:t xml:space="preserve">the </w:t>
      </w:r>
      <w:r w:rsidRPr="002E6AAC">
        <w:rPr>
          <w:color w:val="000080"/>
        </w:rPr>
        <w:t>circumstance of military separation.  No indication of diagnosis or treatment for depression</w:t>
      </w:r>
      <w:r w:rsidR="00DB0F5D">
        <w:rPr>
          <w:color w:val="000080"/>
        </w:rPr>
        <w:t>, however, is apparent in the record.</w:t>
      </w:r>
      <w:r w:rsidR="004161DF">
        <w:rPr>
          <w:color w:val="000080"/>
        </w:rPr>
        <w:t xml:space="preserve">  </w:t>
      </w:r>
      <w:r w:rsidRPr="002E6AAC">
        <w:rPr>
          <w:color w:val="000080"/>
        </w:rPr>
        <w:t xml:space="preserve"> </w:t>
      </w:r>
      <w:r w:rsidR="004E0E74">
        <w:rPr>
          <w:color w:val="000080"/>
        </w:rPr>
        <w:t>Furthermore, t</w:t>
      </w:r>
      <w:r w:rsidR="004161DF">
        <w:rPr>
          <w:color w:val="000080"/>
        </w:rPr>
        <w:t>he</w:t>
      </w:r>
      <w:r w:rsidR="004E0E74">
        <w:rPr>
          <w:color w:val="000080"/>
        </w:rPr>
        <w:t xml:space="preserve"> VA did not service </w:t>
      </w:r>
      <w:r w:rsidRPr="002E6AAC">
        <w:rPr>
          <w:color w:val="000080"/>
        </w:rPr>
        <w:t xml:space="preserve">connect </w:t>
      </w:r>
      <w:r w:rsidR="004161DF">
        <w:rPr>
          <w:color w:val="000080"/>
        </w:rPr>
        <w:t xml:space="preserve">the depression.  The CI’s other medical conditions were not contended, and </w:t>
      </w:r>
      <w:r w:rsidR="004E0E74">
        <w:rPr>
          <w:color w:val="000080"/>
        </w:rPr>
        <w:t xml:space="preserve">also </w:t>
      </w:r>
      <w:r w:rsidR="004161DF">
        <w:rPr>
          <w:color w:val="000080"/>
        </w:rPr>
        <w:t>were not service connected by the VA.</w:t>
      </w:r>
      <w:r w:rsidR="004161DF" w:rsidRPr="002E6AAC">
        <w:rPr>
          <w:color w:val="000080"/>
        </w:rPr>
        <w:t xml:space="preserve"> </w:t>
      </w:r>
    </w:p>
    <w:p w:rsidR="00A90D55" w:rsidRPr="00D91DA6" w:rsidRDefault="00A90D55" w:rsidP="00DB0F5D">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DB0F5D">
      <w:pPr>
        <w:tabs>
          <w:tab w:val="left" w:pos="288"/>
          <w:tab w:val="left" w:pos="4752"/>
        </w:tabs>
        <w:spacing w:line="240" w:lineRule="exact"/>
        <w:jc w:val="both"/>
        <w:rPr>
          <w:color w:val="000080"/>
        </w:rPr>
      </w:pPr>
    </w:p>
    <w:p w:rsidR="00064A89" w:rsidRPr="004A0DF5" w:rsidRDefault="00FB593A" w:rsidP="00DB0F5D">
      <w:pPr>
        <w:tabs>
          <w:tab w:val="left" w:pos="288"/>
          <w:tab w:val="left" w:pos="4752"/>
        </w:tabs>
        <w:spacing w:line="240" w:lineRule="exact"/>
        <w:jc w:val="both"/>
        <w:rPr>
          <w:color w:val="000080"/>
        </w:rPr>
      </w:pPr>
      <w:r w:rsidRPr="003402B2">
        <w:rPr>
          <w:caps/>
          <w:color w:val="000080"/>
          <w:szCs w:val="24"/>
          <w:u w:val="single"/>
        </w:rPr>
        <w:t>BOARD FINDINGS</w:t>
      </w:r>
      <w:r w:rsidRPr="00E2331E">
        <w:rPr>
          <w:color w:val="000080"/>
          <w:szCs w:val="24"/>
        </w:rPr>
        <w:t xml:space="preserve">:  </w:t>
      </w:r>
      <w:r w:rsidR="00064A89" w:rsidRPr="004A0DF5">
        <w:rPr>
          <w:color w:val="000080"/>
        </w:rPr>
        <w:t xml:space="preserve">IAW </w:t>
      </w:r>
      <w:proofErr w:type="spellStart"/>
      <w:r w:rsidR="00064A89" w:rsidRPr="004A0DF5">
        <w:rPr>
          <w:color w:val="000080"/>
        </w:rPr>
        <w:t>DoDI</w:t>
      </w:r>
      <w:proofErr w:type="spellEnd"/>
      <w:r w:rsidR="00064A89" w:rsidRPr="004A0DF5">
        <w:rPr>
          <w:color w:val="000080"/>
        </w:rPr>
        <w:t xml:space="preserve"> 6040.44, provisions of </w:t>
      </w:r>
      <w:proofErr w:type="spellStart"/>
      <w:r w:rsidR="00064A89" w:rsidRPr="004A0DF5">
        <w:rPr>
          <w:color w:val="000080"/>
        </w:rPr>
        <w:t>DoD</w:t>
      </w:r>
      <w:proofErr w:type="spellEnd"/>
      <w:r w:rsidR="00064A89" w:rsidRPr="004A0DF5">
        <w:rPr>
          <w:color w:val="000080"/>
        </w:rPr>
        <w:t xml:space="preserve"> or Military Department regulations or guidelines relied upon by the PEB will not be considered by the PDBR to the extent they were inconsistent with the VASRD in effect at the time of the adjudication.  The Army rationale for combining a bilateral symptomatic condition under a single rating for 5003 is predicated on </w:t>
      </w:r>
      <w:r w:rsidR="004161DF">
        <w:rPr>
          <w:color w:val="000080"/>
        </w:rPr>
        <w:t>application of the USAPDA pain policy.</w:t>
      </w:r>
      <w:r w:rsidR="00064A89" w:rsidRPr="004A0DF5">
        <w:rPr>
          <w:color w:val="000080"/>
        </w:rPr>
        <w:t xml:space="preserve">  This </w:t>
      </w:r>
      <w:r w:rsidR="00064A89">
        <w:rPr>
          <w:color w:val="000080"/>
        </w:rPr>
        <w:t>B</w:t>
      </w:r>
      <w:r w:rsidR="008D032C">
        <w:rPr>
          <w:color w:val="000080"/>
        </w:rPr>
        <w:t>oard</w:t>
      </w:r>
      <w:r w:rsidR="00064A89" w:rsidRPr="004A0DF5">
        <w:rPr>
          <w:color w:val="000080"/>
        </w:rPr>
        <w:t>, therefore, is obligated to separate ratings</w:t>
      </w:r>
      <w:r w:rsidR="004161DF">
        <w:rPr>
          <w:color w:val="000080"/>
        </w:rPr>
        <w:t xml:space="preserve"> for each foot.  A 10% rating for each foot under the original PEB code was unanimously recommended.  </w:t>
      </w:r>
      <w:r w:rsidR="00B62E8E">
        <w:rPr>
          <w:color w:val="000080"/>
        </w:rPr>
        <w:t>The scar code issue was deliberated, arguing that they were inherently implied for PEB consideration.  T</w:t>
      </w:r>
      <w:r w:rsidR="00B62E8E" w:rsidRPr="004A0DF5">
        <w:rPr>
          <w:color w:val="000080"/>
        </w:rPr>
        <w:t>hese were prominent tender surgical scars at pressure points on both feet</w:t>
      </w:r>
      <w:r w:rsidR="00B62E8E">
        <w:rPr>
          <w:color w:val="000080"/>
        </w:rPr>
        <w:t>, and a</w:t>
      </w:r>
      <w:r w:rsidR="00B62E8E" w:rsidRPr="004A0DF5">
        <w:rPr>
          <w:color w:val="000080"/>
        </w:rPr>
        <w:t xml:space="preserve"> significant component of the fitness determination was inability to wear regulation footwear. </w:t>
      </w:r>
      <w:r w:rsidR="00B62E8E">
        <w:rPr>
          <w:color w:val="000080"/>
        </w:rPr>
        <w:t xml:space="preserve"> It was agreed, however, that adding the scars as separately unfitting inflated their contribution to the total disability picture, and that the </w:t>
      </w:r>
      <w:r w:rsidR="008D032C">
        <w:rPr>
          <w:color w:val="000080"/>
        </w:rPr>
        <w:t>Board</w:t>
      </w:r>
      <w:r w:rsidR="00B62E8E">
        <w:rPr>
          <w:color w:val="000080"/>
        </w:rPr>
        <w:t xml:space="preserve">’s prerogative for doing so was too much of a stretch to established policy regarding our jurisdiction.  The </w:t>
      </w:r>
      <w:r w:rsidR="008D032C">
        <w:rPr>
          <w:color w:val="000080"/>
        </w:rPr>
        <w:t>Board</w:t>
      </w:r>
      <w:r w:rsidR="00B62E8E">
        <w:rPr>
          <w:color w:val="000080"/>
        </w:rPr>
        <w:t xml:space="preserve"> is unanimous in its decision </w:t>
      </w:r>
      <w:r w:rsidR="004E0E74">
        <w:rPr>
          <w:color w:val="000080"/>
        </w:rPr>
        <w:t>not to</w:t>
      </w:r>
      <w:r w:rsidR="002E0E67">
        <w:rPr>
          <w:color w:val="000080"/>
        </w:rPr>
        <w:t xml:space="preserve"> make this recommendation.  Addition of the peripheral nerve code to the separation rating was unanimously rejected </w:t>
      </w:r>
      <w:r w:rsidR="00064A89" w:rsidRPr="004A0DF5">
        <w:rPr>
          <w:color w:val="000080"/>
        </w:rPr>
        <w:t xml:space="preserve">on the basis of its </w:t>
      </w:r>
      <w:r w:rsidR="002E0E67">
        <w:rPr>
          <w:color w:val="000080"/>
        </w:rPr>
        <w:t>mild nature and lack of fitness implication</w:t>
      </w:r>
      <w:r w:rsidR="004E0E74">
        <w:rPr>
          <w:color w:val="000080"/>
        </w:rPr>
        <w:t>s</w:t>
      </w:r>
      <w:r w:rsidR="002E0E67">
        <w:rPr>
          <w:color w:val="000080"/>
        </w:rPr>
        <w:t xml:space="preserve">. </w:t>
      </w:r>
      <w:r w:rsidR="00064A89" w:rsidRPr="004A0DF5">
        <w:rPr>
          <w:color w:val="000080"/>
        </w:rPr>
        <w:t xml:space="preserve"> There was also unanimous agreement that neither back pain, depression </w:t>
      </w:r>
      <w:r w:rsidR="004E0E74">
        <w:rPr>
          <w:color w:val="000080"/>
        </w:rPr>
        <w:t>n</w:t>
      </w:r>
      <w:r w:rsidR="00064A89" w:rsidRPr="004A0DF5">
        <w:rPr>
          <w:color w:val="000080"/>
        </w:rPr>
        <w:t xml:space="preserve">or any other </w:t>
      </w:r>
      <w:r w:rsidR="004E0E74">
        <w:rPr>
          <w:color w:val="000080"/>
        </w:rPr>
        <w:t xml:space="preserve">of the CI’s </w:t>
      </w:r>
      <w:r w:rsidR="00064A89" w:rsidRPr="004A0DF5">
        <w:rPr>
          <w:color w:val="000080"/>
        </w:rPr>
        <w:t>condition</w:t>
      </w:r>
      <w:r w:rsidR="004E0E74">
        <w:rPr>
          <w:color w:val="000080"/>
        </w:rPr>
        <w:t>s</w:t>
      </w:r>
      <w:r w:rsidR="00064A89" w:rsidRPr="004A0DF5">
        <w:rPr>
          <w:color w:val="000080"/>
        </w:rPr>
        <w:t xml:space="preserve"> merit</w:t>
      </w:r>
      <w:r w:rsidR="004E0E74">
        <w:rPr>
          <w:color w:val="000080"/>
        </w:rPr>
        <w:t>ed</w:t>
      </w:r>
      <w:r w:rsidR="004F0D97">
        <w:rPr>
          <w:color w:val="000080"/>
        </w:rPr>
        <w:t xml:space="preserve"> recommendation as</w:t>
      </w:r>
      <w:r w:rsidR="00064A89" w:rsidRPr="004A0DF5">
        <w:rPr>
          <w:color w:val="000080"/>
        </w:rPr>
        <w:t xml:space="preserve"> additional</w:t>
      </w:r>
      <w:r w:rsidR="004F0D97">
        <w:rPr>
          <w:color w:val="000080"/>
        </w:rPr>
        <w:t>ly</w:t>
      </w:r>
      <w:r w:rsidR="00064A89" w:rsidRPr="004A0DF5">
        <w:rPr>
          <w:color w:val="000080"/>
        </w:rPr>
        <w:t xml:space="preserve"> unfitting.</w:t>
      </w:r>
    </w:p>
    <w:p w:rsidR="00FB593A" w:rsidRDefault="00FB593A" w:rsidP="009B1534">
      <w:pPr>
        <w:tabs>
          <w:tab w:val="left" w:pos="288"/>
          <w:tab w:val="left" w:pos="4752"/>
        </w:tabs>
        <w:spacing w:line="240" w:lineRule="exact"/>
        <w:jc w:val="both"/>
        <w:rPr>
          <w:color w:val="FF0000"/>
        </w:rPr>
      </w:pPr>
      <w:r w:rsidRPr="00D91DA6">
        <w:rPr>
          <w:color w:val="000080"/>
          <w:u w:val="single"/>
        </w:rPr>
        <w:lastRenderedPageBreak/>
        <w:t>RECOMMENDATION:</w:t>
      </w:r>
      <w:r>
        <w:rPr>
          <w:color w:val="000080"/>
        </w:rPr>
        <w:t xml:space="preserve"> </w:t>
      </w:r>
      <w:r w:rsidR="003D0E59" w:rsidRPr="003D0E59">
        <w:rPr>
          <w:color w:val="000080"/>
        </w:rPr>
        <w:t xml:space="preserve">The </w:t>
      </w:r>
      <w:r w:rsidR="008D032C">
        <w:rPr>
          <w:color w:val="000080"/>
        </w:rPr>
        <w:t>Board</w:t>
      </w:r>
      <w:r w:rsidR="003D0E59" w:rsidRPr="003D0E59">
        <w:rPr>
          <w:color w:val="000080"/>
        </w:rPr>
        <w:t xml:space="preserve"> recommends that the CI’s prior determination be modified as follows, effective as of the date of his prior medical separation</w:t>
      </w:r>
      <w:r w:rsidR="003D0E59" w:rsidRPr="00BC5692">
        <w:rPr>
          <w:color w:val="FF0000"/>
        </w:rPr>
        <w:t>.</w:t>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1800"/>
        <w:gridCol w:w="1084"/>
      </w:tblGrid>
      <w:tr w:rsidR="003D0E59" w:rsidRPr="00533FB5" w:rsidTr="003D0E59">
        <w:tc>
          <w:tcPr>
            <w:tcW w:w="3600" w:type="dxa"/>
            <w:shd w:val="clear" w:color="auto" w:fill="D9D9D9"/>
          </w:tcPr>
          <w:p w:rsidR="003D0E59" w:rsidRPr="00A867F0" w:rsidRDefault="003D0E59" w:rsidP="003D0E59">
            <w:pPr>
              <w:tabs>
                <w:tab w:val="left" w:pos="288"/>
                <w:tab w:val="left" w:pos="4752"/>
              </w:tabs>
              <w:spacing w:line="240" w:lineRule="exact"/>
              <w:jc w:val="both"/>
              <w:rPr>
                <w:b/>
                <w:color w:val="000080"/>
                <w:szCs w:val="24"/>
              </w:rPr>
            </w:pPr>
            <w:r>
              <w:rPr>
                <w:b/>
                <w:color w:val="000080"/>
                <w:szCs w:val="24"/>
              </w:rPr>
              <w:t>UNFITTING CONDITION</w:t>
            </w:r>
          </w:p>
        </w:tc>
        <w:tc>
          <w:tcPr>
            <w:tcW w:w="1800" w:type="dxa"/>
            <w:shd w:val="clear" w:color="auto" w:fill="D9D9D9"/>
          </w:tcPr>
          <w:p w:rsidR="003D0E59" w:rsidRPr="00A867F0" w:rsidRDefault="003D0E59" w:rsidP="003D0E59">
            <w:pPr>
              <w:tabs>
                <w:tab w:val="left" w:pos="288"/>
                <w:tab w:val="left" w:pos="4752"/>
              </w:tabs>
              <w:spacing w:line="240" w:lineRule="exact"/>
              <w:jc w:val="both"/>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3D0E59" w:rsidRPr="00A867F0" w:rsidRDefault="003D0E59" w:rsidP="003D0E59">
            <w:pPr>
              <w:tabs>
                <w:tab w:val="left" w:pos="288"/>
                <w:tab w:val="left" w:pos="4752"/>
              </w:tabs>
              <w:spacing w:line="240" w:lineRule="exact"/>
              <w:jc w:val="both"/>
              <w:rPr>
                <w:b/>
                <w:color w:val="000080"/>
                <w:szCs w:val="24"/>
              </w:rPr>
            </w:pPr>
            <w:r w:rsidRPr="00A867F0">
              <w:rPr>
                <w:b/>
                <w:color w:val="000080"/>
                <w:szCs w:val="24"/>
              </w:rPr>
              <w:t>R</w:t>
            </w:r>
            <w:r>
              <w:rPr>
                <w:b/>
                <w:color w:val="000080"/>
                <w:szCs w:val="24"/>
              </w:rPr>
              <w:t>ATING</w:t>
            </w:r>
          </w:p>
        </w:tc>
      </w:tr>
      <w:tr w:rsidR="003D0E59" w:rsidRPr="00533FB5" w:rsidTr="003D0E59">
        <w:tc>
          <w:tcPr>
            <w:tcW w:w="3600" w:type="dxa"/>
          </w:tcPr>
          <w:p w:rsidR="003D0E59" w:rsidRPr="00A867F0" w:rsidRDefault="003D0E59" w:rsidP="003D0E59">
            <w:pPr>
              <w:tabs>
                <w:tab w:val="left" w:pos="288"/>
                <w:tab w:val="left" w:pos="4752"/>
              </w:tabs>
              <w:spacing w:line="240" w:lineRule="exact"/>
              <w:jc w:val="both"/>
              <w:rPr>
                <w:color w:val="000080"/>
                <w:szCs w:val="24"/>
              </w:rPr>
            </w:pPr>
            <w:r>
              <w:rPr>
                <w:color w:val="000080"/>
                <w:szCs w:val="24"/>
              </w:rPr>
              <w:t>CHRONIC PAIN LEFT FOOT</w:t>
            </w:r>
          </w:p>
        </w:tc>
        <w:tc>
          <w:tcPr>
            <w:tcW w:w="1800" w:type="dxa"/>
          </w:tcPr>
          <w:p w:rsidR="003D0E59" w:rsidRPr="00A867F0" w:rsidRDefault="003D0E59" w:rsidP="003D0E59">
            <w:pPr>
              <w:tabs>
                <w:tab w:val="left" w:pos="288"/>
                <w:tab w:val="left" w:pos="4752"/>
              </w:tabs>
              <w:spacing w:line="240" w:lineRule="exact"/>
              <w:jc w:val="center"/>
              <w:rPr>
                <w:color w:val="000080"/>
                <w:szCs w:val="24"/>
              </w:rPr>
            </w:pPr>
            <w:r>
              <w:rPr>
                <w:color w:val="000080"/>
                <w:szCs w:val="24"/>
              </w:rPr>
              <w:t>5099-5003</w:t>
            </w:r>
          </w:p>
        </w:tc>
        <w:tc>
          <w:tcPr>
            <w:tcW w:w="1084" w:type="dxa"/>
          </w:tcPr>
          <w:p w:rsidR="003D0E59" w:rsidRPr="00A867F0" w:rsidRDefault="003D0E59" w:rsidP="003D0E59">
            <w:pPr>
              <w:tabs>
                <w:tab w:val="left" w:pos="288"/>
                <w:tab w:val="left" w:pos="4752"/>
              </w:tabs>
              <w:spacing w:line="240" w:lineRule="exact"/>
              <w:jc w:val="center"/>
              <w:rPr>
                <w:color w:val="000080"/>
                <w:szCs w:val="24"/>
              </w:rPr>
            </w:pPr>
            <w:r>
              <w:rPr>
                <w:color w:val="000080"/>
                <w:szCs w:val="24"/>
              </w:rPr>
              <w:t>10%</w:t>
            </w:r>
          </w:p>
        </w:tc>
      </w:tr>
      <w:tr w:rsidR="003D0E59" w:rsidRPr="00533FB5" w:rsidTr="003D0E59">
        <w:tc>
          <w:tcPr>
            <w:tcW w:w="3600" w:type="dxa"/>
          </w:tcPr>
          <w:p w:rsidR="003D0E59" w:rsidRPr="00A867F0" w:rsidRDefault="003D0E59" w:rsidP="003D0E59">
            <w:pPr>
              <w:tabs>
                <w:tab w:val="left" w:pos="288"/>
                <w:tab w:val="left" w:pos="4752"/>
              </w:tabs>
              <w:spacing w:line="240" w:lineRule="exact"/>
              <w:jc w:val="both"/>
              <w:rPr>
                <w:color w:val="000080"/>
                <w:szCs w:val="24"/>
              </w:rPr>
            </w:pPr>
            <w:r>
              <w:rPr>
                <w:color w:val="000080"/>
                <w:szCs w:val="24"/>
              </w:rPr>
              <w:t>CHRONIC PAIN RIGHT FOOT</w:t>
            </w:r>
          </w:p>
        </w:tc>
        <w:tc>
          <w:tcPr>
            <w:tcW w:w="1800" w:type="dxa"/>
          </w:tcPr>
          <w:p w:rsidR="003D0E59" w:rsidRPr="00A867F0" w:rsidRDefault="003D0E59" w:rsidP="003D0E59">
            <w:pPr>
              <w:tabs>
                <w:tab w:val="left" w:pos="288"/>
                <w:tab w:val="left" w:pos="4752"/>
              </w:tabs>
              <w:spacing w:line="240" w:lineRule="exact"/>
              <w:jc w:val="center"/>
              <w:rPr>
                <w:color w:val="000080"/>
                <w:szCs w:val="24"/>
              </w:rPr>
            </w:pPr>
            <w:r>
              <w:rPr>
                <w:color w:val="000080"/>
                <w:szCs w:val="24"/>
              </w:rPr>
              <w:t>5099-5003</w:t>
            </w:r>
          </w:p>
        </w:tc>
        <w:tc>
          <w:tcPr>
            <w:tcW w:w="1084" w:type="dxa"/>
          </w:tcPr>
          <w:p w:rsidR="003D0E59" w:rsidRPr="00A867F0" w:rsidRDefault="003D0E59" w:rsidP="003D0E59">
            <w:pPr>
              <w:tabs>
                <w:tab w:val="left" w:pos="288"/>
                <w:tab w:val="left" w:pos="4752"/>
              </w:tabs>
              <w:spacing w:line="240" w:lineRule="exact"/>
              <w:jc w:val="center"/>
              <w:rPr>
                <w:color w:val="000080"/>
                <w:szCs w:val="24"/>
              </w:rPr>
            </w:pPr>
            <w:r>
              <w:rPr>
                <w:color w:val="000080"/>
                <w:szCs w:val="24"/>
              </w:rPr>
              <w:t>10%</w:t>
            </w:r>
          </w:p>
        </w:tc>
      </w:tr>
      <w:tr w:rsidR="003D0E59" w:rsidRPr="00533FB5" w:rsidTr="003D0E59">
        <w:tblPrEx>
          <w:tblLook w:val="0000"/>
        </w:tblPrEx>
        <w:trPr>
          <w:gridBefore w:val="1"/>
          <w:wBefore w:w="3600" w:type="dxa"/>
          <w:trHeight w:val="197"/>
        </w:trPr>
        <w:tc>
          <w:tcPr>
            <w:tcW w:w="1800" w:type="dxa"/>
            <w:tcBorders>
              <w:left w:val="single" w:sz="4" w:space="0" w:color="auto"/>
              <w:bottom w:val="single" w:sz="4" w:space="0" w:color="000000"/>
            </w:tcBorders>
          </w:tcPr>
          <w:p w:rsidR="003D0E59" w:rsidRPr="00A867F0" w:rsidRDefault="003D0E59" w:rsidP="003D0E59">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tcPr>
          <w:p w:rsidR="003D0E59" w:rsidRPr="005A258C" w:rsidRDefault="003D0E59" w:rsidP="003D0E59">
            <w:pPr>
              <w:tabs>
                <w:tab w:val="left" w:pos="288"/>
                <w:tab w:val="left" w:pos="4752"/>
              </w:tabs>
              <w:spacing w:line="240" w:lineRule="exact"/>
              <w:jc w:val="center"/>
              <w:rPr>
                <w:b/>
                <w:color w:val="000080"/>
                <w:szCs w:val="24"/>
              </w:rPr>
            </w:pPr>
            <w:r>
              <w:rPr>
                <w:b/>
                <w:color w:val="000080"/>
                <w:szCs w:val="24"/>
              </w:rPr>
              <w:t>20</w:t>
            </w:r>
            <w:r w:rsidRPr="005A258C">
              <w:rPr>
                <w:b/>
                <w:color w:val="000080"/>
                <w:szCs w:val="24"/>
              </w:rPr>
              <w:t>%</w:t>
            </w:r>
          </w:p>
        </w:tc>
      </w:tr>
    </w:tbl>
    <w:p w:rsidR="003D0E59" w:rsidRDefault="003D0E59" w:rsidP="009B1534">
      <w:pPr>
        <w:tabs>
          <w:tab w:val="left" w:pos="288"/>
          <w:tab w:val="left" w:pos="4752"/>
        </w:tabs>
        <w:spacing w:line="240" w:lineRule="exact"/>
        <w:jc w:val="both"/>
        <w:rPr>
          <w:color w:val="000080"/>
        </w:rPr>
      </w:pPr>
    </w:p>
    <w:p w:rsidR="00FB593A" w:rsidRPr="00533FB5" w:rsidRDefault="00FB593A" w:rsidP="009B1534">
      <w:pPr>
        <w:tabs>
          <w:tab w:val="left" w:pos="288"/>
          <w:tab w:val="left" w:pos="4752"/>
        </w:tabs>
        <w:spacing w:line="240" w:lineRule="exact"/>
        <w:jc w:val="both"/>
        <w:rPr>
          <w:color w:val="000080"/>
        </w:rPr>
      </w:pPr>
    </w:p>
    <w:p w:rsidR="00FB593A" w:rsidRPr="00533FB5" w:rsidRDefault="00FB593A" w:rsidP="009B1534">
      <w:pPr>
        <w:tabs>
          <w:tab w:val="left" w:pos="288"/>
          <w:tab w:val="left" w:pos="4752"/>
        </w:tabs>
        <w:spacing w:line="240" w:lineRule="exact"/>
        <w:jc w:val="both"/>
        <w:rPr>
          <w:color w:val="000080"/>
        </w:rPr>
      </w:pP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w:t>
      </w:r>
      <w:r w:rsidR="006F1A46">
        <w:rPr>
          <w:color w:val="000080"/>
        </w:rPr>
        <w:t>_______________________________</w:t>
      </w:r>
    </w:p>
    <w:p w:rsidR="00B522CD" w:rsidRDefault="00B522CD" w:rsidP="009B1534">
      <w:pPr>
        <w:tabs>
          <w:tab w:val="left" w:pos="288"/>
          <w:tab w:val="left" w:pos="4752"/>
        </w:tabs>
        <w:spacing w:line="240" w:lineRule="exact"/>
        <w:jc w:val="both"/>
        <w:rPr>
          <w:color w:val="000080"/>
        </w:rPr>
      </w:pPr>
    </w:p>
    <w:p w:rsidR="003D0E59" w:rsidRDefault="003D0E59" w:rsidP="003D0E59">
      <w:pPr>
        <w:tabs>
          <w:tab w:val="left" w:pos="288"/>
          <w:tab w:val="left" w:pos="4752"/>
        </w:tabs>
        <w:spacing w:line="240" w:lineRule="exact"/>
        <w:jc w:val="both"/>
        <w:rPr>
          <w:color w:val="000080"/>
        </w:rPr>
      </w:pPr>
      <w:r>
        <w:rPr>
          <w:color w:val="000080"/>
        </w:rPr>
        <w:t>The following documentary evidence was considered:</w:t>
      </w:r>
    </w:p>
    <w:p w:rsidR="003D0E59" w:rsidRDefault="003D0E59" w:rsidP="003D0E59">
      <w:pPr>
        <w:tabs>
          <w:tab w:val="left" w:pos="288"/>
          <w:tab w:val="left" w:pos="4752"/>
        </w:tabs>
        <w:spacing w:line="240" w:lineRule="exact"/>
        <w:jc w:val="both"/>
        <w:rPr>
          <w:color w:val="000080"/>
        </w:rPr>
      </w:pPr>
    </w:p>
    <w:p w:rsidR="003D0E59" w:rsidRDefault="003D0E59" w:rsidP="003D0E59">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 </w:t>
      </w:r>
      <w:r w:rsidRPr="004A0DF5">
        <w:rPr>
          <w:color w:val="000080"/>
        </w:rPr>
        <w:t>20090128</w:t>
      </w:r>
      <w:r>
        <w:rPr>
          <w:color w:val="000080"/>
        </w:rPr>
        <w:t>, w/</w:t>
      </w:r>
      <w:proofErr w:type="spellStart"/>
      <w:r>
        <w:rPr>
          <w:color w:val="000080"/>
        </w:rPr>
        <w:t>atchs</w:t>
      </w:r>
      <w:proofErr w:type="spellEnd"/>
      <w:r>
        <w:rPr>
          <w:color w:val="000080"/>
        </w:rPr>
        <w:t>.</w:t>
      </w:r>
    </w:p>
    <w:p w:rsidR="003D0E59" w:rsidRDefault="003D0E59" w:rsidP="003D0E59">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3D0E59" w:rsidRDefault="003D0E59" w:rsidP="003D0E59">
      <w:pPr>
        <w:tabs>
          <w:tab w:val="left" w:pos="288"/>
          <w:tab w:val="left" w:pos="4752"/>
        </w:tabs>
        <w:spacing w:line="240" w:lineRule="exact"/>
        <w:rPr>
          <w:color w:val="000080"/>
        </w:rPr>
      </w:pPr>
      <w:r>
        <w:rPr>
          <w:color w:val="000080"/>
        </w:rPr>
        <w:t xml:space="preserve">Exhibit C.  </w:t>
      </w:r>
      <w:proofErr w:type="gramStart"/>
      <w:r>
        <w:rPr>
          <w:color w:val="000080"/>
        </w:rPr>
        <w:t>Department of Veterans' Affairs Treatment Record.</w:t>
      </w:r>
      <w:proofErr w:type="gramEnd"/>
    </w:p>
    <w:p w:rsidR="003D0E59" w:rsidRDefault="003D0E59" w:rsidP="003D0E59">
      <w:pPr>
        <w:tabs>
          <w:tab w:val="left" w:pos="288"/>
          <w:tab w:val="left" w:pos="4752"/>
        </w:tabs>
        <w:spacing w:line="240" w:lineRule="exact"/>
        <w:jc w:val="both"/>
        <w:rPr>
          <w:color w:val="000080"/>
        </w:rPr>
      </w:pPr>
    </w:p>
    <w:p w:rsidR="003D0E59" w:rsidRDefault="003D0E59" w:rsidP="003D0E59">
      <w:pPr>
        <w:tabs>
          <w:tab w:val="left" w:pos="288"/>
          <w:tab w:val="left" w:pos="4752"/>
        </w:tabs>
        <w:spacing w:line="240" w:lineRule="exact"/>
        <w:jc w:val="both"/>
        <w:rPr>
          <w:color w:val="000080"/>
        </w:rPr>
      </w:pPr>
    </w:p>
    <w:p w:rsidR="003D0E59" w:rsidRDefault="003D0E59" w:rsidP="003D0E59">
      <w:pPr>
        <w:tabs>
          <w:tab w:val="left" w:pos="288"/>
          <w:tab w:val="left" w:pos="4752"/>
        </w:tabs>
        <w:spacing w:line="240" w:lineRule="exact"/>
        <w:jc w:val="both"/>
        <w:rPr>
          <w:color w:val="000080"/>
        </w:rPr>
      </w:pPr>
    </w:p>
    <w:p w:rsidR="003D0E59" w:rsidRPr="00D91DA6" w:rsidRDefault="003D0E59" w:rsidP="003D0E59">
      <w:pPr>
        <w:tabs>
          <w:tab w:val="left" w:pos="288"/>
          <w:tab w:val="left" w:pos="4752"/>
        </w:tabs>
        <w:spacing w:line="240" w:lineRule="exact"/>
        <w:jc w:val="both"/>
        <w:rPr>
          <w:color w:val="000080"/>
        </w:rPr>
      </w:pPr>
    </w:p>
    <w:p w:rsidR="00F14A4F" w:rsidRDefault="00F14A4F">
      <w:pPr>
        <w:rPr>
          <w:color w:val="000080"/>
          <w:sz w:val="32"/>
        </w:rPr>
      </w:pPr>
      <w:r>
        <w:rPr>
          <w:color w:val="000080"/>
          <w:sz w:val="32"/>
        </w:rPr>
        <w:br w:type="page"/>
      </w:r>
    </w:p>
    <w:p w:rsidR="00F14A4F" w:rsidRDefault="00F14A4F" w:rsidP="00F14A4F">
      <w:pPr>
        <w:pStyle w:val="Default"/>
        <w:framePr w:w="13079" w:wrap="auto" w:vAnchor="page" w:hAnchor="page" w:x="101" w:y="21603"/>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0379D0" w:rsidRPr="00D91DA6" w:rsidRDefault="000379D0" w:rsidP="003D0E59">
      <w:pPr>
        <w:tabs>
          <w:tab w:val="left" w:pos="288"/>
          <w:tab w:val="left" w:pos="4752"/>
        </w:tabs>
        <w:spacing w:line="240" w:lineRule="exact"/>
        <w:jc w:val="both"/>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E6" w:rsidRDefault="00163BE6">
      <w:r>
        <w:separator/>
      </w:r>
    </w:p>
  </w:endnote>
  <w:endnote w:type="continuationSeparator" w:id="0">
    <w:p w:rsidR="00163BE6" w:rsidRDefault="00163BE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96B4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14A4F">
      <w:rPr>
        <w:rStyle w:val="PageNumber"/>
        <w:noProof/>
      </w:rPr>
      <w:t>4</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4161DF">
      <w:rPr>
        <w:caps/>
        <w:color w:val="000080"/>
      </w:rPr>
      <w:t>125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96B4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14A4F">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4161DF">
      <w:rPr>
        <w:caps/>
        <w:color w:val="000080"/>
      </w:rPr>
      <w:t>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E6" w:rsidRDefault="00163BE6">
      <w:r>
        <w:separator/>
      </w:r>
    </w:p>
  </w:footnote>
  <w:footnote w:type="continuationSeparator" w:id="0">
    <w:p w:rsidR="00163BE6" w:rsidRDefault="00163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64A89"/>
    <w:rsid w:val="000A2BCE"/>
    <w:rsid w:val="000A4BBA"/>
    <w:rsid w:val="000D15E7"/>
    <w:rsid w:val="000D43F9"/>
    <w:rsid w:val="000D4717"/>
    <w:rsid w:val="000F427B"/>
    <w:rsid w:val="0010417F"/>
    <w:rsid w:val="0010530E"/>
    <w:rsid w:val="00114F20"/>
    <w:rsid w:val="001231DC"/>
    <w:rsid w:val="00163BE6"/>
    <w:rsid w:val="00177659"/>
    <w:rsid w:val="00185ECB"/>
    <w:rsid w:val="001C181A"/>
    <w:rsid w:val="001C2053"/>
    <w:rsid w:val="001C28D1"/>
    <w:rsid w:val="001C7418"/>
    <w:rsid w:val="001D6A8C"/>
    <w:rsid w:val="002338CA"/>
    <w:rsid w:val="00246860"/>
    <w:rsid w:val="00274549"/>
    <w:rsid w:val="00274E46"/>
    <w:rsid w:val="002B03B2"/>
    <w:rsid w:val="002B0749"/>
    <w:rsid w:val="002C051E"/>
    <w:rsid w:val="002E0E67"/>
    <w:rsid w:val="002E6AAC"/>
    <w:rsid w:val="00323E70"/>
    <w:rsid w:val="00385D6F"/>
    <w:rsid w:val="00393651"/>
    <w:rsid w:val="003D0E59"/>
    <w:rsid w:val="003D2BA3"/>
    <w:rsid w:val="003D698C"/>
    <w:rsid w:val="003D7DDB"/>
    <w:rsid w:val="003E0543"/>
    <w:rsid w:val="004007E9"/>
    <w:rsid w:val="004161DF"/>
    <w:rsid w:val="0044384F"/>
    <w:rsid w:val="0045147D"/>
    <w:rsid w:val="004574C6"/>
    <w:rsid w:val="004A24D2"/>
    <w:rsid w:val="004A4136"/>
    <w:rsid w:val="004E0E74"/>
    <w:rsid w:val="004F0D97"/>
    <w:rsid w:val="0052590B"/>
    <w:rsid w:val="00526591"/>
    <w:rsid w:val="005436C2"/>
    <w:rsid w:val="005A258C"/>
    <w:rsid w:val="005A3560"/>
    <w:rsid w:val="005B011A"/>
    <w:rsid w:val="00634C4A"/>
    <w:rsid w:val="00662F08"/>
    <w:rsid w:val="00696476"/>
    <w:rsid w:val="006A40E6"/>
    <w:rsid w:val="006A75FA"/>
    <w:rsid w:val="006E7356"/>
    <w:rsid w:val="006F1A46"/>
    <w:rsid w:val="00744EBB"/>
    <w:rsid w:val="00746AE2"/>
    <w:rsid w:val="00791F1E"/>
    <w:rsid w:val="007A0B39"/>
    <w:rsid w:val="007A168F"/>
    <w:rsid w:val="007B0A06"/>
    <w:rsid w:val="007C433E"/>
    <w:rsid w:val="007D0292"/>
    <w:rsid w:val="007E4FBB"/>
    <w:rsid w:val="00811D5B"/>
    <w:rsid w:val="00817713"/>
    <w:rsid w:val="00830999"/>
    <w:rsid w:val="00830D5E"/>
    <w:rsid w:val="00834458"/>
    <w:rsid w:val="00837465"/>
    <w:rsid w:val="00875B51"/>
    <w:rsid w:val="008D032C"/>
    <w:rsid w:val="008E4A60"/>
    <w:rsid w:val="00914ADB"/>
    <w:rsid w:val="00923B25"/>
    <w:rsid w:val="00942645"/>
    <w:rsid w:val="00985099"/>
    <w:rsid w:val="009B1534"/>
    <w:rsid w:val="009B69D3"/>
    <w:rsid w:val="009B7BA7"/>
    <w:rsid w:val="009C0938"/>
    <w:rsid w:val="00A2270B"/>
    <w:rsid w:val="00A2496E"/>
    <w:rsid w:val="00A76094"/>
    <w:rsid w:val="00A86CB6"/>
    <w:rsid w:val="00A90D55"/>
    <w:rsid w:val="00AC439D"/>
    <w:rsid w:val="00B26171"/>
    <w:rsid w:val="00B32179"/>
    <w:rsid w:val="00B522CD"/>
    <w:rsid w:val="00B62E8E"/>
    <w:rsid w:val="00B82277"/>
    <w:rsid w:val="00BA20B5"/>
    <w:rsid w:val="00BA30D1"/>
    <w:rsid w:val="00BB0A0A"/>
    <w:rsid w:val="00BD6806"/>
    <w:rsid w:val="00BD7C10"/>
    <w:rsid w:val="00BE0DEB"/>
    <w:rsid w:val="00C06404"/>
    <w:rsid w:val="00C13B34"/>
    <w:rsid w:val="00C30A97"/>
    <w:rsid w:val="00C31DDC"/>
    <w:rsid w:val="00C71BEC"/>
    <w:rsid w:val="00C85579"/>
    <w:rsid w:val="00CA068D"/>
    <w:rsid w:val="00CB23DC"/>
    <w:rsid w:val="00CB28E2"/>
    <w:rsid w:val="00CB7FF7"/>
    <w:rsid w:val="00CC2044"/>
    <w:rsid w:val="00CD34C7"/>
    <w:rsid w:val="00CF4394"/>
    <w:rsid w:val="00CF7F7D"/>
    <w:rsid w:val="00D52393"/>
    <w:rsid w:val="00D76AB2"/>
    <w:rsid w:val="00D87788"/>
    <w:rsid w:val="00D910C2"/>
    <w:rsid w:val="00D91DA6"/>
    <w:rsid w:val="00DA195B"/>
    <w:rsid w:val="00DB0F5D"/>
    <w:rsid w:val="00DE7E74"/>
    <w:rsid w:val="00E15539"/>
    <w:rsid w:val="00E96B4C"/>
    <w:rsid w:val="00EA2DD8"/>
    <w:rsid w:val="00ED457A"/>
    <w:rsid w:val="00EF608E"/>
    <w:rsid w:val="00F14A4F"/>
    <w:rsid w:val="00F1516A"/>
    <w:rsid w:val="00F22A26"/>
    <w:rsid w:val="00F45192"/>
    <w:rsid w:val="00F72183"/>
    <w:rsid w:val="00F853AE"/>
    <w:rsid w:val="00FB4600"/>
    <w:rsid w:val="00FB593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14A4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1049884">
      <w:bodyDiv w:val="1"/>
      <w:marLeft w:val="0"/>
      <w:marRight w:val="0"/>
      <w:marTop w:val="0"/>
      <w:marBottom w:val="0"/>
      <w:divBdr>
        <w:top w:val="none" w:sz="0" w:space="0" w:color="auto"/>
        <w:left w:val="none" w:sz="0" w:space="0" w:color="auto"/>
        <w:bottom w:val="none" w:sz="0" w:space="0" w:color="auto"/>
        <w:right w:val="none" w:sz="0" w:space="0" w:color="auto"/>
      </w:divBdr>
    </w:div>
    <w:div w:id="1064835830">
      <w:bodyDiv w:val="1"/>
      <w:marLeft w:val="0"/>
      <w:marRight w:val="0"/>
      <w:marTop w:val="0"/>
      <w:marBottom w:val="0"/>
      <w:divBdr>
        <w:top w:val="none" w:sz="0" w:space="0" w:color="auto"/>
        <w:left w:val="none" w:sz="0" w:space="0" w:color="auto"/>
        <w:bottom w:val="none" w:sz="0" w:space="0" w:color="auto"/>
        <w:right w:val="none" w:sz="0" w:space="0" w:color="auto"/>
      </w:divBdr>
    </w:div>
    <w:div w:id="139954718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21646025">
      <w:bodyDiv w:val="1"/>
      <w:marLeft w:val="0"/>
      <w:marRight w:val="0"/>
      <w:marTop w:val="0"/>
      <w:marBottom w:val="0"/>
      <w:divBdr>
        <w:top w:val="none" w:sz="0" w:space="0" w:color="auto"/>
        <w:left w:val="none" w:sz="0" w:space="0" w:color="auto"/>
        <w:bottom w:val="none" w:sz="0" w:space="0" w:color="auto"/>
        <w:right w:val="none" w:sz="0" w:space="0" w:color="auto"/>
      </w:divBdr>
    </w:div>
    <w:div w:id="19751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852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7</cp:revision>
  <cp:lastPrinted>2009-08-10T13:39:00Z</cp:lastPrinted>
  <dcterms:created xsi:type="dcterms:W3CDTF">2009-08-06T16:00:00Z</dcterms:created>
  <dcterms:modified xsi:type="dcterms:W3CDTF">2012-01-24T17:03:00Z</dcterms:modified>
</cp:coreProperties>
</file>