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D20790">
      <w:pPr>
        <w:tabs>
          <w:tab w:val="left" w:pos="288"/>
          <w:tab w:val="left" w:pos="4752"/>
        </w:tabs>
        <w:spacing w:line="240" w:lineRule="exact"/>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2B2E55" w:rsidRPr="008C1017" w:rsidRDefault="002B2E55" w:rsidP="00D973B8">
      <w:pPr>
        <w:tabs>
          <w:tab w:val="left" w:pos="288"/>
          <w:tab w:val="left" w:pos="5310"/>
        </w:tabs>
        <w:spacing w:line="240" w:lineRule="exact"/>
        <w:jc w:val="both"/>
        <w:rPr>
          <w:color w:val="000080"/>
        </w:rPr>
      </w:pPr>
      <w:r w:rsidRPr="008C1017">
        <w:rPr>
          <w:color w:val="000080"/>
        </w:rPr>
        <w:t>NAME:</w:t>
      </w:r>
      <w:r>
        <w:rPr>
          <w:color w:val="000080"/>
        </w:rPr>
        <w:tab/>
      </w:r>
      <w:r w:rsidRPr="008C1017">
        <w:rPr>
          <w:color w:val="000080"/>
        </w:rPr>
        <w:t>BRANCH OF SERVICE:</w:t>
      </w:r>
      <w:r>
        <w:rPr>
          <w:color w:val="000080"/>
        </w:rPr>
        <w:t xml:space="preserve"> ARMY</w:t>
      </w:r>
      <w:r w:rsidRPr="008C1017">
        <w:rPr>
          <w:color w:val="000080"/>
        </w:rPr>
        <w:t xml:space="preserve">  </w:t>
      </w:r>
    </w:p>
    <w:p w:rsidR="00D973B8" w:rsidRDefault="002B2E55" w:rsidP="00D973B8">
      <w:pPr>
        <w:tabs>
          <w:tab w:val="left" w:pos="288"/>
          <w:tab w:val="left" w:pos="5310"/>
        </w:tabs>
        <w:spacing w:line="240" w:lineRule="exact"/>
        <w:jc w:val="both"/>
        <w:rPr>
          <w:color w:val="000080"/>
        </w:rPr>
      </w:pPr>
      <w:r w:rsidRPr="008C1017">
        <w:rPr>
          <w:color w:val="000080"/>
        </w:rPr>
        <w:t>CASE NUMBER:  PD0900</w:t>
      </w:r>
      <w:r w:rsidR="00D973B8">
        <w:rPr>
          <w:color w:val="000080"/>
        </w:rPr>
        <w:t>124</w:t>
      </w:r>
      <w:r w:rsidR="00D973B8">
        <w:rPr>
          <w:color w:val="000080"/>
        </w:rPr>
        <w:tab/>
      </w:r>
      <w:r w:rsidRPr="008C1017">
        <w:rPr>
          <w:color w:val="000080"/>
        </w:rPr>
        <w:t>BOARD DATE: 2010</w:t>
      </w:r>
      <w:r>
        <w:rPr>
          <w:color w:val="000080"/>
        </w:rPr>
        <w:t>0513</w:t>
      </w:r>
    </w:p>
    <w:p w:rsidR="00540BEF" w:rsidRDefault="002B2E55" w:rsidP="00D973B8">
      <w:pPr>
        <w:tabs>
          <w:tab w:val="left" w:pos="288"/>
          <w:tab w:val="left" w:pos="5310"/>
        </w:tabs>
        <w:spacing w:line="240" w:lineRule="exact"/>
        <w:jc w:val="both"/>
        <w:rPr>
          <w:color w:val="000080"/>
        </w:rPr>
      </w:pPr>
      <w:r w:rsidRPr="008C1017">
        <w:rPr>
          <w:color w:val="000080"/>
        </w:rPr>
        <w:t xml:space="preserve">SEPARATION DATE: </w:t>
      </w:r>
      <w:r>
        <w:rPr>
          <w:color w:val="000080"/>
        </w:rPr>
        <w:t>20070620</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13712" w:rsidRPr="00B979D9" w:rsidRDefault="002C6E5B" w:rsidP="00B979D9">
      <w:pPr>
        <w:tabs>
          <w:tab w:val="left" w:pos="288"/>
          <w:tab w:val="left" w:pos="4752"/>
        </w:tabs>
        <w:spacing w:line="240" w:lineRule="exact"/>
        <w:jc w:val="both"/>
        <w:rPr>
          <w:color w:val="000080"/>
        </w:rPr>
      </w:pPr>
      <w:r w:rsidRPr="00B979D9">
        <w:rPr>
          <w:color w:val="000080"/>
          <w:u w:val="single"/>
        </w:rPr>
        <w:t>SUMMARY OF CASE</w:t>
      </w:r>
      <w:r w:rsidRPr="00B979D9">
        <w:rPr>
          <w:color w:val="000080"/>
        </w:rPr>
        <w:t xml:space="preserve">:  This covered individual (CI) was </w:t>
      </w:r>
      <w:r w:rsidR="00E322F7" w:rsidRPr="00B979D9">
        <w:rPr>
          <w:color w:val="000080"/>
        </w:rPr>
        <w:t xml:space="preserve">an active duty </w:t>
      </w:r>
      <w:r w:rsidR="00350147">
        <w:rPr>
          <w:color w:val="000080"/>
        </w:rPr>
        <w:t>SGT (</w:t>
      </w:r>
      <w:r w:rsidR="00DD1D64" w:rsidRPr="00B979D9">
        <w:rPr>
          <w:color w:val="000080"/>
        </w:rPr>
        <w:t>98G</w:t>
      </w:r>
      <w:r w:rsidR="00E322F7" w:rsidRPr="00B979D9">
        <w:rPr>
          <w:color w:val="000080"/>
        </w:rPr>
        <w:t xml:space="preserve">, </w:t>
      </w:r>
      <w:r w:rsidR="00250BB0" w:rsidRPr="00B979D9">
        <w:rPr>
          <w:color w:val="000080"/>
        </w:rPr>
        <w:t>Linguist</w:t>
      </w:r>
      <w:r w:rsidR="00E322F7" w:rsidRPr="00B979D9">
        <w:rPr>
          <w:color w:val="000080"/>
        </w:rPr>
        <w:t xml:space="preserve">) </w:t>
      </w:r>
      <w:r w:rsidRPr="00B979D9">
        <w:rPr>
          <w:color w:val="000080"/>
        </w:rPr>
        <w:t>medically separated from the Army</w:t>
      </w:r>
      <w:r w:rsidR="00DD1D64" w:rsidRPr="00B979D9">
        <w:rPr>
          <w:color w:val="000080"/>
        </w:rPr>
        <w:t xml:space="preserve"> in 2007</w:t>
      </w:r>
      <w:r w:rsidRPr="00B979D9">
        <w:rPr>
          <w:color w:val="000080"/>
        </w:rPr>
        <w:t xml:space="preserve"> after </w:t>
      </w:r>
      <w:r w:rsidR="00DD1D64" w:rsidRPr="00B979D9">
        <w:rPr>
          <w:color w:val="000080"/>
        </w:rPr>
        <w:t>10</w:t>
      </w:r>
      <w:r w:rsidRPr="00B979D9">
        <w:rPr>
          <w:color w:val="000080"/>
        </w:rPr>
        <w:t xml:space="preserve"> yea</w:t>
      </w:r>
      <w:r w:rsidR="00250BB0" w:rsidRPr="00B979D9">
        <w:rPr>
          <w:color w:val="000080"/>
        </w:rPr>
        <w:t>rs of service.  The medical base</w:t>
      </w:r>
      <w:r w:rsidRPr="00B979D9">
        <w:rPr>
          <w:color w:val="000080"/>
        </w:rPr>
        <w:t>s for the separation w</w:t>
      </w:r>
      <w:r w:rsidR="00250BB0" w:rsidRPr="00B979D9">
        <w:rPr>
          <w:color w:val="000080"/>
        </w:rPr>
        <w:t>ere</w:t>
      </w:r>
      <w:r w:rsidRPr="00B979D9">
        <w:rPr>
          <w:color w:val="000080"/>
        </w:rPr>
        <w:t xml:space="preserve"> </w:t>
      </w:r>
      <w:r w:rsidR="00250BB0" w:rsidRPr="00B979D9">
        <w:rPr>
          <w:color w:val="000080"/>
        </w:rPr>
        <w:t xml:space="preserve">a cervical spine condition, a lumbar spine condition and a right knee condition.  </w:t>
      </w:r>
      <w:r w:rsidR="00873AEA" w:rsidRPr="00B979D9">
        <w:rPr>
          <w:color w:val="000080"/>
        </w:rPr>
        <w:t>The spine conditions began as neck and back pain in 1997 without a specific history of trauma or precipitating event</w:t>
      </w:r>
      <w:r w:rsidR="000D487B" w:rsidRPr="00B979D9">
        <w:rPr>
          <w:color w:val="000080"/>
        </w:rPr>
        <w:t>.  Her neck condition was exacerbated when she was kicked by her husband in 2004</w:t>
      </w:r>
      <w:r w:rsidR="00873AEA" w:rsidRPr="00B979D9">
        <w:rPr>
          <w:color w:val="000080"/>
        </w:rPr>
        <w:t xml:space="preserve">.  </w:t>
      </w:r>
      <w:r w:rsidR="006E3DD8" w:rsidRPr="00B979D9">
        <w:rPr>
          <w:color w:val="000080"/>
        </w:rPr>
        <w:t>The</w:t>
      </w:r>
      <w:r w:rsidR="00873AEA" w:rsidRPr="00B979D9">
        <w:rPr>
          <w:color w:val="000080"/>
        </w:rPr>
        <w:t xml:space="preserve"> right knee condition began </w:t>
      </w:r>
      <w:r w:rsidR="000D487B" w:rsidRPr="00B979D9">
        <w:rPr>
          <w:color w:val="000080"/>
        </w:rPr>
        <w:t>with running and marching</w:t>
      </w:r>
      <w:r w:rsidR="00873AEA" w:rsidRPr="00B979D9">
        <w:rPr>
          <w:color w:val="000080"/>
        </w:rPr>
        <w:t xml:space="preserve"> in 1996.  </w:t>
      </w:r>
      <w:r w:rsidR="00350147" w:rsidRPr="00B979D9">
        <w:rPr>
          <w:color w:val="000080"/>
        </w:rPr>
        <w:t>A</w:t>
      </w:r>
      <w:r w:rsidR="000D487B" w:rsidRPr="00B979D9">
        <w:rPr>
          <w:color w:val="000080"/>
        </w:rPr>
        <w:t xml:space="preserve"> </w:t>
      </w:r>
      <w:r w:rsidR="00350147" w:rsidRPr="00350147">
        <w:rPr>
          <w:color w:val="000080"/>
        </w:rPr>
        <w:t xml:space="preserve">Magnetic </w:t>
      </w:r>
      <w:r w:rsidR="00AF1020">
        <w:rPr>
          <w:color w:val="000080"/>
        </w:rPr>
        <w:t>R</w:t>
      </w:r>
      <w:r w:rsidR="00350147" w:rsidRPr="00350147">
        <w:rPr>
          <w:color w:val="000080"/>
        </w:rPr>
        <w:t xml:space="preserve">esonance </w:t>
      </w:r>
      <w:r w:rsidR="00AF1020">
        <w:rPr>
          <w:color w:val="000080"/>
        </w:rPr>
        <w:t>I</w:t>
      </w:r>
      <w:r w:rsidR="00350147" w:rsidRPr="00350147">
        <w:rPr>
          <w:color w:val="000080"/>
        </w:rPr>
        <w:t>maging</w:t>
      </w:r>
      <w:r w:rsidR="00350147">
        <w:rPr>
          <w:color w:val="000080"/>
        </w:rPr>
        <w:t xml:space="preserve"> (</w:t>
      </w:r>
      <w:r w:rsidR="000D487B" w:rsidRPr="00B979D9">
        <w:rPr>
          <w:color w:val="000080"/>
        </w:rPr>
        <w:t>MRI</w:t>
      </w:r>
      <w:r w:rsidR="00350147">
        <w:rPr>
          <w:color w:val="000080"/>
        </w:rPr>
        <w:t>)</w:t>
      </w:r>
      <w:r w:rsidR="000D487B" w:rsidRPr="00B979D9">
        <w:rPr>
          <w:color w:val="000080"/>
        </w:rPr>
        <w:t xml:space="preserve"> in 2000 demonstrated </w:t>
      </w:r>
      <w:proofErr w:type="spellStart"/>
      <w:r w:rsidR="000D487B" w:rsidRPr="00B979D9">
        <w:rPr>
          <w:color w:val="000080"/>
        </w:rPr>
        <w:t>chondromalacia</w:t>
      </w:r>
      <w:proofErr w:type="spellEnd"/>
      <w:r w:rsidR="000D487B" w:rsidRPr="00B979D9">
        <w:rPr>
          <w:color w:val="000080"/>
        </w:rPr>
        <w:t xml:space="preserve"> (cartilage disease) but no </w:t>
      </w:r>
      <w:proofErr w:type="spellStart"/>
      <w:r w:rsidR="000D487B" w:rsidRPr="00B979D9">
        <w:rPr>
          <w:color w:val="000080"/>
        </w:rPr>
        <w:t>meniscal</w:t>
      </w:r>
      <w:proofErr w:type="spellEnd"/>
      <w:r w:rsidR="000D487B" w:rsidRPr="00B979D9">
        <w:rPr>
          <w:color w:val="000080"/>
        </w:rPr>
        <w:t xml:space="preserve"> or </w:t>
      </w:r>
      <w:proofErr w:type="spellStart"/>
      <w:r w:rsidR="000D487B" w:rsidRPr="00B979D9">
        <w:rPr>
          <w:color w:val="000080"/>
        </w:rPr>
        <w:t>ligamental</w:t>
      </w:r>
      <w:proofErr w:type="spellEnd"/>
      <w:r w:rsidR="000D487B" w:rsidRPr="00B979D9">
        <w:rPr>
          <w:color w:val="000080"/>
        </w:rPr>
        <w:t xml:space="preserve"> pathology.  All of the</w:t>
      </w:r>
      <w:r w:rsidR="00873AEA" w:rsidRPr="00B979D9">
        <w:rPr>
          <w:color w:val="000080"/>
        </w:rPr>
        <w:t xml:space="preserve"> conditions were managed conservatively with physical therapy and temporary profiles.  MRI’s </w:t>
      </w:r>
      <w:r w:rsidR="000D487B" w:rsidRPr="00B979D9">
        <w:rPr>
          <w:color w:val="000080"/>
        </w:rPr>
        <w:t xml:space="preserve">of the spine </w:t>
      </w:r>
      <w:r w:rsidR="00873AEA" w:rsidRPr="00B979D9">
        <w:rPr>
          <w:color w:val="000080"/>
        </w:rPr>
        <w:t xml:space="preserve">were obtained in 2005.  The cervical study demonstrated central disc protrusions at C5/6 and C6/7; the lumbar study demonstrated a small disc protrusion at L5/S1.  </w:t>
      </w:r>
      <w:r w:rsidR="0007538F" w:rsidRPr="00B979D9">
        <w:rPr>
          <w:color w:val="000080"/>
        </w:rPr>
        <w:t xml:space="preserve">Mild degenerative changes were noted on both studies.  </w:t>
      </w:r>
      <w:r w:rsidR="000D487B" w:rsidRPr="00B979D9">
        <w:rPr>
          <w:color w:val="000080"/>
        </w:rPr>
        <w:t>A repeat knee MRI in 2005</w:t>
      </w:r>
      <w:r w:rsidR="00350147">
        <w:rPr>
          <w:color w:val="000080"/>
        </w:rPr>
        <w:t>,</w:t>
      </w:r>
      <w:r w:rsidR="000D487B" w:rsidRPr="00B979D9">
        <w:rPr>
          <w:color w:val="000080"/>
        </w:rPr>
        <w:t xml:space="preserve"> demonstrated </w:t>
      </w:r>
      <w:r w:rsidR="00B6380B" w:rsidRPr="00B979D9">
        <w:rPr>
          <w:color w:val="000080"/>
        </w:rPr>
        <w:t xml:space="preserve">cartilage irregularities and </w:t>
      </w:r>
      <w:r w:rsidR="004D0EFD" w:rsidRPr="00B979D9">
        <w:rPr>
          <w:color w:val="000080"/>
        </w:rPr>
        <w:t>degenerative</w:t>
      </w:r>
      <w:r w:rsidR="00B6380B" w:rsidRPr="00B979D9">
        <w:rPr>
          <w:color w:val="000080"/>
        </w:rPr>
        <w:t xml:space="preserve"> </w:t>
      </w:r>
      <w:r w:rsidR="006E3DD8" w:rsidRPr="00B979D9">
        <w:rPr>
          <w:color w:val="000080"/>
        </w:rPr>
        <w:t xml:space="preserve">joint </w:t>
      </w:r>
      <w:r w:rsidR="00B6380B" w:rsidRPr="00B979D9">
        <w:rPr>
          <w:color w:val="000080"/>
        </w:rPr>
        <w:t xml:space="preserve">changes.  No </w:t>
      </w:r>
      <w:proofErr w:type="spellStart"/>
      <w:r w:rsidR="00B6380B" w:rsidRPr="00B979D9">
        <w:rPr>
          <w:color w:val="000080"/>
        </w:rPr>
        <w:t>ligamental</w:t>
      </w:r>
      <w:proofErr w:type="spellEnd"/>
      <w:r w:rsidR="00B6380B" w:rsidRPr="00B979D9">
        <w:rPr>
          <w:color w:val="000080"/>
        </w:rPr>
        <w:t xml:space="preserve"> or significant </w:t>
      </w:r>
      <w:proofErr w:type="spellStart"/>
      <w:r w:rsidR="00B6380B" w:rsidRPr="00B979D9">
        <w:rPr>
          <w:color w:val="000080"/>
        </w:rPr>
        <w:t>meniscal</w:t>
      </w:r>
      <w:proofErr w:type="spellEnd"/>
      <w:r w:rsidR="00B6380B" w:rsidRPr="00B979D9">
        <w:rPr>
          <w:color w:val="000080"/>
        </w:rPr>
        <w:t xml:space="preserve"> pathology was specifically diagnosed, although a </w:t>
      </w:r>
      <w:proofErr w:type="spellStart"/>
      <w:proofErr w:type="gramStart"/>
      <w:r w:rsidR="00B6380B" w:rsidRPr="00B979D9">
        <w:rPr>
          <w:color w:val="000080"/>
        </w:rPr>
        <w:t>meniscal</w:t>
      </w:r>
      <w:proofErr w:type="spellEnd"/>
      <w:proofErr w:type="gramEnd"/>
      <w:r w:rsidR="00B6380B" w:rsidRPr="00B979D9">
        <w:rPr>
          <w:color w:val="000080"/>
        </w:rPr>
        <w:t xml:space="preserve"> tear could not be entirely excluded.  </w:t>
      </w:r>
      <w:r w:rsidR="00873AEA" w:rsidRPr="00B979D9">
        <w:rPr>
          <w:color w:val="000080"/>
        </w:rPr>
        <w:t>She was not judged to be a surgical candidate</w:t>
      </w:r>
      <w:r w:rsidR="00B6380B" w:rsidRPr="00B979D9">
        <w:rPr>
          <w:color w:val="000080"/>
        </w:rPr>
        <w:t xml:space="preserve"> for the disc conditions or the knee condition</w:t>
      </w:r>
      <w:r w:rsidR="006E3DD8" w:rsidRPr="00B979D9">
        <w:rPr>
          <w:color w:val="000080"/>
        </w:rPr>
        <w:t>, and s</w:t>
      </w:r>
      <w:r w:rsidR="00B6380B" w:rsidRPr="00B979D9">
        <w:rPr>
          <w:color w:val="000080"/>
        </w:rPr>
        <w:t xml:space="preserve">he did not respond adequately to continued conservative measures to fulfill the general requirements of soldiering or to </w:t>
      </w:r>
      <w:r w:rsidR="00671C6B" w:rsidRPr="00B979D9">
        <w:rPr>
          <w:color w:val="000080"/>
        </w:rPr>
        <w:t>participate</w:t>
      </w:r>
      <w:r w:rsidR="00B6380B" w:rsidRPr="00B979D9">
        <w:rPr>
          <w:color w:val="000080"/>
        </w:rPr>
        <w:t xml:space="preserve"> in the </w:t>
      </w:r>
      <w:r w:rsidR="00350147">
        <w:rPr>
          <w:color w:val="000080"/>
        </w:rPr>
        <w:t>Army Physical Fitness Test (APFT)</w:t>
      </w:r>
      <w:r w:rsidR="00671C6B" w:rsidRPr="00B979D9">
        <w:rPr>
          <w:color w:val="000080"/>
        </w:rPr>
        <w:t xml:space="preserve">.  She was issued a permanent U-3/L-3 profile and was evaluated by an </w:t>
      </w:r>
      <w:r w:rsidR="00350147" w:rsidRPr="00350147">
        <w:rPr>
          <w:color w:val="000080"/>
        </w:rPr>
        <w:t>MOS</w:t>
      </w:r>
      <w:r w:rsidR="00350147">
        <w:rPr>
          <w:color w:val="000080"/>
        </w:rPr>
        <w:t xml:space="preserve"> (military occupational specialty)</w:t>
      </w:r>
      <w:r w:rsidR="00350147" w:rsidRPr="00350147">
        <w:rPr>
          <w:color w:val="000080"/>
        </w:rPr>
        <w:t xml:space="preserve">/Medical Retention Board </w:t>
      </w:r>
      <w:r w:rsidR="00350147">
        <w:rPr>
          <w:color w:val="000080"/>
        </w:rPr>
        <w:t>(</w:t>
      </w:r>
      <w:r w:rsidR="00671C6B" w:rsidRPr="00B979D9">
        <w:rPr>
          <w:color w:val="000080"/>
        </w:rPr>
        <w:t>MMRB</w:t>
      </w:r>
      <w:r w:rsidR="00350147">
        <w:rPr>
          <w:color w:val="000080"/>
        </w:rPr>
        <w:t>)</w:t>
      </w:r>
      <w:r w:rsidR="00671C6B" w:rsidRPr="00B979D9">
        <w:rPr>
          <w:color w:val="000080"/>
        </w:rPr>
        <w:t xml:space="preserve">, which in turn referred her for a </w:t>
      </w:r>
      <w:r w:rsidR="00350147">
        <w:rPr>
          <w:color w:val="000080"/>
        </w:rPr>
        <w:t>Medical Evaluation Board (</w:t>
      </w:r>
      <w:r w:rsidR="00671C6B" w:rsidRPr="00B979D9">
        <w:rPr>
          <w:color w:val="000080"/>
        </w:rPr>
        <w:t>MEB</w:t>
      </w:r>
      <w:r w:rsidR="00350147">
        <w:rPr>
          <w:color w:val="000080"/>
        </w:rPr>
        <w:t>)</w:t>
      </w:r>
      <w:r w:rsidR="00671C6B" w:rsidRPr="00B979D9">
        <w:rPr>
          <w:color w:val="000080"/>
        </w:rPr>
        <w:t xml:space="preserve">.  In addition to her orthopedic conditions, she acquired </w:t>
      </w:r>
      <w:r w:rsidR="00350147">
        <w:rPr>
          <w:color w:val="000080"/>
        </w:rPr>
        <w:t xml:space="preserve">an </w:t>
      </w:r>
      <w:r w:rsidR="00671C6B" w:rsidRPr="00B979D9">
        <w:rPr>
          <w:color w:val="000080"/>
        </w:rPr>
        <w:t>HIV infection from her husband in 1997.  This was associated with depression and some cognitive impairment, but her CD4 counts (measurement of viral load) were normal on a</w:t>
      </w:r>
      <w:r w:rsidR="0075169D" w:rsidRPr="00B979D9">
        <w:rPr>
          <w:color w:val="000080"/>
        </w:rPr>
        <w:t>n</w:t>
      </w:r>
      <w:r w:rsidR="00671C6B" w:rsidRPr="00B979D9">
        <w:rPr>
          <w:color w:val="000080"/>
        </w:rPr>
        <w:t xml:space="preserve"> anti-viral regimen.  She did not suffer any opportunistic infection</w:t>
      </w:r>
      <w:r w:rsidR="00D0591B" w:rsidRPr="00B979D9">
        <w:rPr>
          <w:color w:val="000080"/>
        </w:rPr>
        <w:t xml:space="preserve">s and was not diagnosed with AIDS.  A headache condition was also identified by the MEB.  The neck, back and right knee conditions were forwarded to the </w:t>
      </w:r>
      <w:r w:rsidR="00350147">
        <w:rPr>
          <w:color w:val="000080"/>
        </w:rPr>
        <w:t>Physical Evaluation Board (</w:t>
      </w:r>
      <w:r w:rsidR="00D0591B" w:rsidRPr="00B979D9">
        <w:rPr>
          <w:color w:val="000080"/>
        </w:rPr>
        <w:t>PEB</w:t>
      </w:r>
      <w:r w:rsidR="00350147">
        <w:rPr>
          <w:color w:val="000080"/>
        </w:rPr>
        <w:t>)</w:t>
      </w:r>
      <w:r w:rsidR="00D0591B" w:rsidRPr="00B979D9">
        <w:rPr>
          <w:color w:val="000080"/>
        </w:rPr>
        <w:t xml:space="preserve"> as medically unacceptable IAW AR 40-501.  The HIV</w:t>
      </w:r>
      <w:r w:rsidR="0075169D" w:rsidRPr="00B979D9">
        <w:rPr>
          <w:color w:val="000080"/>
        </w:rPr>
        <w:t xml:space="preserve"> infection</w:t>
      </w:r>
      <w:r w:rsidR="00D0591B" w:rsidRPr="00B979D9">
        <w:rPr>
          <w:color w:val="000080"/>
        </w:rPr>
        <w:t>, cognitive disorder, depression and headache conditions were designated as medically acceptable on the DA</w:t>
      </w:r>
      <w:r w:rsidR="00350147">
        <w:rPr>
          <w:color w:val="000080"/>
        </w:rPr>
        <w:t> Form</w:t>
      </w:r>
      <w:r w:rsidR="00D0591B" w:rsidRPr="00B979D9">
        <w:rPr>
          <w:color w:val="000080"/>
        </w:rPr>
        <w:t xml:space="preserve"> 3947.</w:t>
      </w:r>
      <w:r w:rsidR="00213712" w:rsidRPr="00B979D9">
        <w:rPr>
          <w:color w:val="000080"/>
        </w:rPr>
        <w:t xml:space="preserve">  Additional conditions supported in the </w:t>
      </w:r>
      <w:r w:rsidR="00350147">
        <w:rPr>
          <w:color w:val="000080"/>
        </w:rPr>
        <w:t>Disability Evaluation System (</w:t>
      </w:r>
      <w:r w:rsidR="00213712" w:rsidRPr="00B979D9">
        <w:rPr>
          <w:color w:val="000080"/>
        </w:rPr>
        <w:t>DES</w:t>
      </w:r>
      <w:r w:rsidR="00350147">
        <w:rPr>
          <w:color w:val="000080"/>
        </w:rPr>
        <w:t>)</w:t>
      </w:r>
      <w:r w:rsidR="00213712" w:rsidRPr="00B979D9">
        <w:rPr>
          <w:color w:val="000080"/>
        </w:rPr>
        <w:t xml:space="preserve"> packet are discussed below, but were not forwarded for PEB adjudication.  The CI was found unfit for the three orthopedic conditions and </w:t>
      </w:r>
      <w:r w:rsidR="0075169D" w:rsidRPr="00B979D9">
        <w:rPr>
          <w:color w:val="000080"/>
        </w:rPr>
        <w:t>not unfit for the</w:t>
      </w:r>
      <w:r w:rsidR="00FA1870" w:rsidRPr="00B979D9">
        <w:rPr>
          <w:color w:val="000080"/>
        </w:rPr>
        <w:t xml:space="preserve"> four </w:t>
      </w:r>
      <w:r w:rsidR="0075169D" w:rsidRPr="00B979D9">
        <w:rPr>
          <w:color w:val="000080"/>
        </w:rPr>
        <w:t xml:space="preserve">remaining </w:t>
      </w:r>
      <w:r w:rsidR="00FA1870" w:rsidRPr="00B979D9">
        <w:rPr>
          <w:color w:val="000080"/>
        </w:rPr>
        <w:t xml:space="preserve">conditions.  </w:t>
      </w:r>
      <w:r w:rsidR="0075169D" w:rsidRPr="00B979D9">
        <w:rPr>
          <w:color w:val="000080"/>
        </w:rPr>
        <w:t>On April 24, 2006 s</w:t>
      </w:r>
      <w:r w:rsidR="00FA1870" w:rsidRPr="00B979D9">
        <w:rPr>
          <w:color w:val="000080"/>
        </w:rPr>
        <w:t xml:space="preserve">he was </w:t>
      </w:r>
      <w:r w:rsidR="00213712" w:rsidRPr="00B979D9">
        <w:rPr>
          <w:color w:val="000080"/>
        </w:rPr>
        <w:t xml:space="preserve">placed on </w:t>
      </w:r>
      <w:r w:rsidR="00350147">
        <w:rPr>
          <w:color w:val="000080"/>
        </w:rPr>
        <w:t>the Temporary Disability Retired List (</w:t>
      </w:r>
      <w:r w:rsidR="00213712" w:rsidRPr="00B979D9">
        <w:rPr>
          <w:color w:val="000080"/>
        </w:rPr>
        <w:t>TDRL</w:t>
      </w:r>
      <w:r w:rsidR="00350147">
        <w:rPr>
          <w:color w:val="000080"/>
        </w:rPr>
        <w:t>)</w:t>
      </w:r>
      <w:r w:rsidR="00213712" w:rsidRPr="00B979D9">
        <w:rPr>
          <w:color w:val="000080"/>
        </w:rPr>
        <w:t xml:space="preserve"> with ratings </w:t>
      </w:r>
      <w:r w:rsidR="00FA1870" w:rsidRPr="00B979D9">
        <w:rPr>
          <w:color w:val="000080"/>
        </w:rPr>
        <w:t>of 10% each for the three unfitting conditions</w:t>
      </w:r>
      <w:r w:rsidR="00213712" w:rsidRPr="00B979D9">
        <w:rPr>
          <w:color w:val="000080"/>
        </w:rPr>
        <w:t xml:space="preserve">.  </w:t>
      </w:r>
      <w:r w:rsidR="00FA1870" w:rsidRPr="00B979D9">
        <w:rPr>
          <w:color w:val="000080"/>
        </w:rPr>
        <w:t xml:space="preserve">She was re-evaluated in 2007 and </w:t>
      </w:r>
      <w:r w:rsidR="00FA1870" w:rsidRPr="00B979D9">
        <w:rPr>
          <w:color w:val="000080"/>
        </w:rPr>
        <w:lastRenderedPageBreak/>
        <w:t>believed to be sufficiently stable for final adjudication.  Her spine conditions remained rated at 10% each, but her right knee rating was lowered to 0%.  The CI was thus medically separated on June 20, 2007 with a combined disability rating of 20%.</w:t>
      </w:r>
    </w:p>
    <w:p w:rsidR="00350147" w:rsidRDefault="00350147" w:rsidP="00B979D9">
      <w:pPr>
        <w:tabs>
          <w:tab w:val="left" w:pos="288"/>
          <w:tab w:val="left" w:pos="4752"/>
        </w:tabs>
        <w:spacing w:line="240" w:lineRule="exact"/>
        <w:jc w:val="both"/>
        <w:rPr>
          <w:color w:val="000080"/>
          <w:u w:val="single"/>
        </w:rPr>
      </w:pPr>
    </w:p>
    <w:p w:rsidR="003E0B5A" w:rsidRPr="00B979D9" w:rsidRDefault="002C6E5B" w:rsidP="00B979D9">
      <w:pPr>
        <w:tabs>
          <w:tab w:val="left" w:pos="288"/>
          <w:tab w:val="left" w:pos="4752"/>
        </w:tabs>
        <w:spacing w:line="240" w:lineRule="exact"/>
        <w:jc w:val="both"/>
        <w:rPr>
          <w:color w:val="000080"/>
        </w:rPr>
      </w:pPr>
      <w:r w:rsidRPr="00B979D9">
        <w:rPr>
          <w:color w:val="000080"/>
          <w:u w:val="single"/>
        </w:rPr>
        <w:t>CI CONTENTION</w:t>
      </w:r>
      <w:r w:rsidRPr="00B979D9">
        <w:rPr>
          <w:color w:val="000080"/>
        </w:rPr>
        <w:t>:  The CI states:</w:t>
      </w:r>
      <w:r w:rsidR="00C932C5" w:rsidRPr="00B979D9">
        <w:rPr>
          <w:color w:val="000080"/>
        </w:rPr>
        <w:t xml:space="preserve"> ‘</w:t>
      </w:r>
      <w:r w:rsidR="004D0EFD" w:rsidRPr="00B979D9">
        <w:rPr>
          <w:color w:val="000080"/>
        </w:rPr>
        <w:t>I started out with a 30% rating, the board lowered the rating to 20% and I was told that while I could appeal it, it wouldn’t make any difference, they rarely change their minds.  By this time I had to file bankruptcy due to the length of the action, and just wanted a decision.  The VA gave me a combined evaluation of 100%.</w:t>
      </w:r>
      <w:r w:rsidR="00C932C5" w:rsidRPr="00B979D9">
        <w:rPr>
          <w:color w:val="000080"/>
        </w:rPr>
        <w:t>’</w:t>
      </w:r>
      <w:r w:rsidR="00896535" w:rsidRPr="00B979D9">
        <w:rPr>
          <w:color w:val="000080"/>
        </w:rPr>
        <w:t xml:space="preserve">  </w:t>
      </w:r>
      <w:r w:rsidR="004D0EFD" w:rsidRPr="00B979D9">
        <w:rPr>
          <w:color w:val="000080"/>
        </w:rPr>
        <w:t>She notes her</w:t>
      </w:r>
      <w:r w:rsidR="003E0B5A" w:rsidRPr="00B979D9">
        <w:rPr>
          <w:color w:val="000080"/>
        </w:rPr>
        <w:t xml:space="preserve"> other VA-rated conditions on the application, but does not specifically contend for service ratings for them.</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B979D9" w:rsidRDefault="002C6E5B" w:rsidP="00B979D9">
      <w:pPr>
        <w:tabs>
          <w:tab w:val="left" w:pos="288"/>
          <w:tab w:val="left" w:pos="4752"/>
        </w:tabs>
        <w:spacing w:line="240" w:lineRule="exact"/>
        <w:jc w:val="both"/>
        <w:rPr>
          <w:color w:val="000080"/>
        </w:rPr>
      </w:pPr>
      <w:r w:rsidRPr="00B979D9">
        <w:rPr>
          <w:color w:val="000080"/>
          <w:u w:val="single"/>
        </w:rPr>
        <w:t>RATING COMPARISON</w:t>
      </w:r>
      <w:r w:rsidRPr="00B979D9">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1890"/>
        <w:gridCol w:w="1080"/>
        <w:gridCol w:w="630"/>
        <w:gridCol w:w="630"/>
        <w:gridCol w:w="2520"/>
        <w:gridCol w:w="720"/>
        <w:gridCol w:w="810"/>
        <w:gridCol w:w="990"/>
      </w:tblGrid>
      <w:tr w:rsidR="00684E2B" w:rsidRPr="002A685E" w:rsidTr="006E3DD8">
        <w:trPr>
          <w:trHeight w:val="233"/>
        </w:trPr>
        <w:tc>
          <w:tcPr>
            <w:tcW w:w="4230" w:type="dxa"/>
            <w:gridSpan w:val="4"/>
            <w:tcBorders>
              <w:right w:val="thinThickThinSmallGap" w:sz="24" w:space="0" w:color="auto"/>
            </w:tcBorders>
            <w:shd w:val="clear" w:color="auto" w:fill="C6D9F1" w:themeFill="text2" w:themeFillTint="33"/>
          </w:tcPr>
          <w:p w:rsidR="00684E2B" w:rsidRPr="002A685E" w:rsidRDefault="00684E2B" w:rsidP="00EF68B9">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w:t>
            </w:r>
            <w:r w:rsidR="00ED293B">
              <w:rPr>
                <w:rFonts w:cs="Times New Roman"/>
                <w:b/>
                <w:color w:val="002060"/>
                <w:sz w:val="20"/>
                <w:szCs w:val="20"/>
              </w:rPr>
              <w:t xml:space="preserve">- </w:t>
            </w:r>
            <w:r w:rsidR="00F3008C">
              <w:rPr>
                <w:rFonts w:cs="Times New Roman"/>
                <w:b/>
                <w:color w:val="002060"/>
                <w:sz w:val="20"/>
                <w:szCs w:val="20"/>
              </w:rPr>
              <w:t>20070523</w:t>
            </w:r>
          </w:p>
        </w:tc>
        <w:tc>
          <w:tcPr>
            <w:tcW w:w="5040" w:type="dxa"/>
            <w:gridSpan w:val="4"/>
            <w:tcBorders>
              <w:left w:val="thinThickThinSmallGap" w:sz="24" w:space="0" w:color="auto"/>
            </w:tcBorders>
            <w:shd w:val="clear" w:color="auto" w:fill="C6D9F1" w:themeFill="text2" w:themeFillTint="33"/>
          </w:tcPr>
          <w:p w:rsidR="00684E2B" w:rsidRPr="002A685E" w:rsidRDefault="00684E2B" w:rsidP="005F467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5F4676">
              <w:rPr>
                <w:rFonts w:cs="Times New Roman"/>
                <w:b/>
                <w:color w:val="002060"/>
                <w:sz w:val="20"/>
                <w:szCs w:val="20"/>
              </w:rPr>
              <w:t xml:space="preserve">4 </w:t>
            </w:r>
            <w:r w:rsidRPr="002A685E">
              <w:rPr>
                <w:rFonts w:cs="Times New Roman"/>
                <w:b/>
                <w:color w:val="002060"/>
                <w:sz w:val="20"/>
                <w:szCs w:val="20"/>
              </w:rPr>
              <w:t xml:space="preserve">Mo. </w:t>
            </w:r>
            <w:r w:rsidR="005F4676">
              <w:rPr>
                <w:rFonts w:cs="Times New Roman"/>
                <w:b/>
                <w:color w:val="002060"/>
                <w:sz w:val="20"/>
                <w:szCs w:val="20"/>
              </w:rPr>
              <w:t>Prior to</w:t>
            </w:r>
            <w:r w:rsidRPr="002A685E">
              <w:rPr>
                <w:rFonts w:cs="Times New Roman"/>
                <w:b/>
                <w:color w:val="002060"/>
                <w:sz w:val="20"/>
                <w:szCs w:val="20"/>
              </w:rPr>
              <w:t xml:space="preserve"> Separation)</w:t>
            </w:r>
            <w:r w:rsidR="000C3C13" w:rsidRPr="002A685E">
              <w:rPr>
                <w:rFonts w:cs="Times New Roman"/>
                <w:b/>
                <w:color w:val="002060"/>
                <w:sz w:val="20"/>
                <w:szCs w:val="20"/>
              </w:rPr>
              <w:t xml:space="preserve"> – All Effective </w:t>
            </w:r>
            <w:r w:rsidR="00705EB0">
              <w:rPr>
                <w:rFonts w:cs="Times New Roman"/>
                <w:b/>
                <w:color w:val="002060"/>
                <w:sz w:val="20"/>
                <w:szCs w:val="20"/>
              </w:rPr>
              <w:t>20060425</w:t>
            </w:r>
          </w:p>
        </w:tc>
      </w:tr>
      <w:tr w:rsidR="00F3008C" w:rsidRPr="002A685E" w:rsidTr="006E3DD8">
        <w:trPr>
          <w:trHeight w:val="233"/>
        </w:trPr>
        <w:tc>
          <w:tcPr>
            <w:tcW w:w="1890" w:type="dxa"/>
            <w:tcBorders>
              <w:bottom w:val="single" w:sz="4" w:space="0" w:color="000000" w:themeColor="text1"/>
            </w:tcBorders>
            <w:shd w:val="clear" w:color="auto" w:fill="C6D9F1" w:themeFill="text2" w:themeFillTint="33"/>
          </w:tcPr>
          <w:p w:rsidR="00F3008C" w:rsidRPr="002A685E" w:rsidRDefault="00F3008C" w:rsidP="0007538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1080" w:type="dxa"/>
            <w:vMerge w:val="restart"/>
            <w:shd w:val="clear" w:color="auto" w:fill="C6D9F1" w:themeFill="text2" w:themeFillTint="33"/>
          </w:tcPr>
          <w:p w:rsidR="00F3008C" w:rsidRPr="002A685E" w:rsidRDefault="00F3008C" w:rsidP="0007538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1260" w:type="dxa"/>
            <w:gridSpan w:val="2"/>
            <w:tcBorders>
              <w:bottom w:val="single" w:sz="4" w:space="0" w:color="000000" w:themeColor="text1"/>
              <w:right w:val="thinThickThinSmallGap" w:sz="24" w:space="0" w:color="auto"/>
            </w:tcBorders>
            <w:shd w:val="clear" w:color="auto" w:fill="C6D9F1" w:themeFill="text2" w:themeFillTint="33"/>
          </w:tcPr>
          <w:p w:rsidR="00F3008C" w:rsidRPr="002A685E" w:rsidRDefault="00F3008C" w:rsidP="0007538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520" w:type="dxa"/>
            <w:tcBorders>
              <w:left w:val="thinThickThinSmallGap" w:sz="24" w:space="0" w:color="auto"/>
              <w:bottom w:val="single" w:sz="4" w:space="0" w:color="000000" w:themeColor="text1"/>
            </w:tcBorders>
            <w:shd w:val="clear" w:color="auto" w:fill="C6D9F1" w:themeFill="text2" w:themeFillTint="33"/>
          </w:tcPr>
          <w:p w:rsidR="00F3008C" w:rsidRPr="002A685E" w:rsidRDefault="00F3008C" w:rsidP="0007538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vMerge w:val="restart"/>
            <w:shd w:val="clear" w:color="auto" w:fill="C6D9F1" w:themeFill="text2" w:themeFillTint="33"/>
          </w:tcPr>
          <w:p w:rsidR="00F3008C" w:rsidRPr="002A685E" w:rsidRDefault="00F3008C" w:rsidP="0007538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vMerge w:val="restart"/>
            <w:shd w:val="clear" w:color="auto" w:fill="C6D9F1" w:themeFill="text2" w:themeFillTint="33"/>
          </w:tcPr>
          <w:p w:rsidR="00F3008C" w:rsidRPr="002A685E" w:rsidRDefault="00F3008C" w:rsidP="0007538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vMerge w:val="restart"/>
            <w:shd w:val="clear" w:color="auto" w:fill="C6D9F1" w:themeFill="text2" w:themeFillTint="33"/>
          </w:tcPr>
          <w:p w:rsidR="00F3008C" w:rsidRPr="002A685E" w:rsidRDefault="00F3008C" w:rsidP="0007538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F3008C" w:rsidRPr="002A685E" w:rsidTr="006E3DD8">
        <w:trPr>
          <w:trHeight w:val="152"/>
        </w:trPr>
        <w:tc>
          <w:tcPr>
            <w:tcW w:w="1890" w:type="dxa"/>
            <w:shd w:val="clear" w:color="auto" w:fill="C6D9F1" w:themeFill="text2" w:themeFillTint="33"/>
          </w:tcPr>
          <w:p w:rsidR="00F3008C" w:rsidRPr="00705EB0" w:rsidRDefault="00F3008C" w:rsidP="0007538F">
            <w:pPr>
              <w:pStyle w:val="ListParagraph"/>
              <w:spacing w:after="0" w:line="240" w:lineRule="auto"/>
              <w:ind w:left="0"/>
              <w:rPr>
                <w:rFonts w:cs="Times New Roman"/>
                <w:b/>
                <w:color w:val="002060"/>
                <w:sz w:val="18"/>
                <w:szCs w:val="18"/>
              </w:rPr>
            </w:pPr>
            <w:r w:rsidRPr="00705EB0">
              <w:rPr>
                <w:rFonts w:cs="Times New Roman"/>
                <w:b/>
                <w:color w:val="002060"/>
                <w:sz w:val="18"/>
                <w:szCs w:val="18"/>
              </w:rPr>
              <w:t>On TDRL - 20051228</w:t>
            </w:r>
          </w:p>
        </w:tc>
        <w:tc>
          <w:tcPr>
            <w:tcW w:w="1080" w:type="dxa"/>
            <w:vMerge/>
            <w:shd w:val="clear" w:color="auto" w:fill="C6D9F1" w:themeFill="text2" w:themeFillTint="33"/>
          </w:tcPr>
          <w:p w:rsidR="00F3008C" w:rsidRPr="00FD0AA0" w:rsidRDefault="00F3008C" w:rsidP="0007538F">
            <w:pPr>
              <w:pStyle w:val="ListParagraph"/>
              <w:spacing w:after="0" w:line="240" w:lineRule="auto"/>
              <w:ind w:left="0"/>
              <w:jc w:val="center"/>
              <w:rPr>
                <w:rFonts w:cs="Times New Roman"/>
                <w:color w:val="002060"/>
                <w:sz w:val="18"/>
                <w:szCs w:val="18"/>
              </w:rPr>
            </w:pPr>
          </w:p>
        </w:tc>
        <w:tc>
          <w:tcPr>
            <w:tcW w:w="630" w:type="dxa"/>
            <w:tcBorders>
              <w:right w:val="single" w:sz="4" w:space="0" w:color="auto"/>
            </w:tcBorders>
            <w:shd w:val="clear" w:color="auto" w:fill="C6D9F1" w:themeFill="text2" w:themeFillTint="33"/>
          </w:tcPr>
          <w:p w:rsidR="00F3008C" w:rsidRPr="00F3008C" w:rsidRDefault="006E3DD8" w:rsidP="0007538F">
            <w:pPr>
              <w:pStyle w:val="ListParagraph"/>
              <w:spacing w:after="0" w:line="240" w:lineRule="auto"/>
              <w:ind w:left="0"/>
              <w:jc w:val="center"/>
              <w:rPr>
                <w:rFonts w:cs="Times New Roman"/>
                <w:b/>
                <w:color w:val="002060"/>
                <w:sz w:val="18"/>
                <w:szCs w:val="18"/>
              </w:rPr>
            </w:pPr>
            <w:r>
              <w:rPr>
                <w:rFonts w:cs="Times New Roman"/>
                <w:b/>
                <w:color w:val="002060"/>
                <w:sz w:val="18"/>
                <w:szCs w:val="18"/>
              </w:rPr>
              <w:t>TDRL</w:t>
            </w:r>
          </w:p>
        </w:tc>
        <w:tc>
          <w:tcPr>
            <w:tcW w:w="630" w:type="dxa"/>
            <w:tcBorders>
              <w:left w:val="single" w:sz="4" w:space="0" w:color="auto"/>
              <w:right w:val="thinThickThinSmallGap" w:sz="24" w:space="0" w:color="auto"/>
            </w:tcBorders>
            <w:shd w:val="clear" w:color="auto" w:fill="C6D9F1" w:themeFill="text2" w:themeFillTint="33"/>
          </w:tcPr>
          <w:p w:rsidR="00F3008C" w:rsidRPr="00F3008C" w:rsidRDefault="006E3DD8" w:rsidP="0007538F">
            <w:pPr>
              <w:pStyle w:val="ListParagraph"/>
              <w:spacing w:after="0" w:line="240" w:lineRule="auto"/>
              <w:ind w:left="0"/>
              <w:jc w:val="center"/>
              <w:rPr>
                <w:rFonts w:cs="Times New Roman"/>
                <w:b/>
                <w:color w:val="002060"/>
                <w:sz w:val="18"/>
                <w:szCs w:val="18"/>
              </w:rPr>
            </w:pPr>
            <w:r>
              <w:rPr>
                <w:rFonts w:cs="Times New Roman"/>
                <w:b/>
                <w:color w:val="002060"/>
                <w:sz w:val="18"/>
                <w:szCs w:val="18"/>
              </w:rPr>
              <w:t>Sep.</w:t>
            </w:r>
          </w:p>
        </w:tc>
        <w:tc>
          <w:tcPr>
            <w:tcW w:w="2520" w:type="dxa"/>
            <w:tcBorders>
              <w:left w:val="thinThickThinSmallGap" w:sz="24" w:space="0" w:color="auto"/>
            </w:tcBorders>
            <w:shd w:val="clear" w:color="auto" w:fill="C6D9F1" w:themeFill="text2" w:themeFillTint="33"/>
          </w:tcPr>
          <w:p w:rsidR="00F3008C" w:rsidRPr="00705EB0" w:rsidRDefault="00F3008C" w:rsidP="0007538F">
            <w:pPr>
              <w:pStyle w:val="ListParagraph"/>
              <w:spacing w:after="0" w:line="240" w:lineRule="auto"/>
              <w:ind w:left="0"/>
              <w:rPr>
                <w:rFonts w:cs="Times New Roman"/>
                <w:b/>
                <w:color w:val="002060"/>
                <w:sz w:val="18"/>
                <w:szCs w:val="18"/>
              </w:rPr>
            </w:pPr>
            <w:r w:rsidRPr="00705EB0">
              <w:rPr>
                <w:rFonts w:cs="Times New Roman"/>
                <w:b/>
                <w:color w:val="002060"/>
                <w:sz w:val="18"/>
                <w:szCs w:val="18"/>
              </w:rPr>
              <w:t>No VA Rating at time of TDRL.</w:t>
            </w:r>
          </w:p>
        </w:tc>
        <w:tc>
          <w:tcPr>
            <w:tcW w:w="720" w:type="dxa"/>
            <w:vMerge/>
            <w:shd w:val="clear" w:color="auto" w:fill="C6D9F1" w:themeFill="text2" w:themeFillTint="33"/>
          </w:tcPr>
          <w:p w:rsidR="00F3008C" w:rsidRPr="00FD0AA0" w:rsidRDefault="00F3008C" w:rsidP="0007538F">
            <w:pPr>
              <w:pStyle w:val="ListParagraph"/>
              <w:spacing w:after="0" w:line="240" w:lineRule="auto"/>
              <w:ind w:left="0"/>
              <w:jc w:val="center"/>
              <w:rPr>
                <w:rFonts w:cs="Times New Roman"/>
                <w:color w:val="002060"/>
                <w:sz w:val="18"/>
                <w:szCs w:val="18"/>
              </w:rPr>
            </w:pPr>
          </w:p>
        </w:tc>
        <w:tc>
          <w:tcPr>
            <w:tcW w:w="810" w:type="dxa"/>
            <w:vMerge/>
            <w:shd w:val="clear" w:color="auto" w:fill="C6D9F1" w:themeFill="text2" w:themeFillTint="33"/>
          </w:tcPr>
          <w:p w:rsidR="00F3008C" w:rsidRPr="00FD0AA0" w:rsidRDefault="00F3008C" w:rsidP="0007538F">
            <w:pPr>
              <w:pStyle w:val="ListParagraph"/>
              <w:spacing w:after="0" w:line="240" w:lineRule="auto"/>
              <w:ind w:left="0"/>
              <w:jc w:val="center"/>
              <w:rPr>
                <w:rFonts w:cs="Times New Roman"/>
                <w:color w:val="002060"/>
                <w:sz w:val="18"/>
                <w:szCs w:val="18"/>
              </w:rPr>
            </w:pPr>
          </w:p>
        </w:tc>
        <w:tc>
          <w:tcPr>
            <w:tcW w:w="990" w:type="dxa"/>
            <w:vMerge/>
            <w:shd w:val="clear" w:color="auto" w:fill="C6D9F1" w:themeFill="text2" w:themeFillTint="33"/>
          </w:tcPr>
          <w:p w:rsidR="00F3008C" w:rsidRPr="00FD0AA0" w:rsidRDefault="00F3008C" w:rsidP="0007538F">
            <w:pPr>
              <w:pStyle w:val="ListParagraph"/>
              <w:spacing w:after="0" w:line="240" w:lineRule="auto"/>
              <w:ind w:left="0"/>
              <w:jc w:val="center"/>
              <w:rPr>
                <w:rFonts w:cs="Times New Roman"/>
                <w:color w:val="002060"/>
                <w:sz w:val="18"/>
                <w:szCs w:val="18"/>
              </w:rPr>
            </w:pPr>
          </w:p>
        </w:tc>
      </w:tr>
      <w:tr w:rsidR="00D15D54" w:rsidRPr="002A685E" w:rsidTr="006E3DD8">
        <w:trPr>
          <w:trHeight w:val="125"/>
        </w:trPr>
        <w:tc>
          <w:tcPr>
            <w:tcW w:w="1890" w:type="dxa"/>
            <w:tcBorders>
              <w:right w:val="single" w:sz="4" w:space="0" w:color="auto"/>
            </w:tcBorders>
            <w:shd w:val="clear" w:color="auto" w:fill="FFFFFF" w:themeFill="background1"/>
          </w:tcPr>
          <w:p w:rsidR="00D15D54" w:rsidRPr="00FD0AA0" w:rsidRDefault="00D15D54" w:rsidP="0007538F">
            <w:pPr>
              <w:pStyle w:val="ListParagraph"/>
              <w:spacing w:after="0" w:line="240" w:lineRule="auto"/>
              <w:ind w:left="0"/>
              <w:rPr>
                <w:rFonts w:cs="Times New Roman"/>
                <w:color w:val="002060"/>
                <w:sz w:val="18"/>
                <w:szCs w:val="18"/>
              </w:rPr>
            </w:pPr>
            <w:r>
              <w:rPr>
                <w:rFonts w:cs="Times New Roman"/>
                <w:color w:val="002060"/>
                <w:sz w:val="18"/>
                <w:szCs w:val="18"/>
              </w:rPr>
              <w:t>Chronic Pain…Cervical</w:t>
            </w:r>
          </w:p>
        </w:tc>
        <w:tc>
          <w:tcPr>
            <w:tcW w:w="1080" w:type="dxa"/>
            <w:tcBorders>
              <w:left w:val="single" w:sz="4" w:space="0" w:color="auto"/>
            </w:tcBorders>
            <w:shd w:val="clear" w:color="auto" w:fill="FFFFFF" w:themeFill="background1"/>
          </w:tcPr>
          <w:p w:rsidR="00D15D54" w:rsidRPr="00FD0AA0" w:rsidRDefault="00D15D54"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5259-5237</w:t>
            </w:r>
          </w:p>
        </w:tc>
        <w:tc>
          <w:tcPr>
            <w:tcW w:w="630" w:type="dxa"/>
            <w:tcBorders>
              <w:right w:val="single" w:sz="4" w:space="0" w:color="auto"/>
            </w:tcBorders>
            <w:shd w:val="clear" w:color="auto" w:fill="FFFFFF" w:themeFill="background1"/>
          </w:tcPr>
          <w:p w:rsidR="00D15D54" w:rsidRPr="00FD0AA0" w:rsidRDefault="00D15D54"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630" w:type="dxa"/>
            <w:tcBorders>
              <w:left w:val="single" w:sz="4" w:space="0" w:color="auto"/>
              <w:right w:val="thinThickThinSmallGap" w:sz="24" w:space="0" w:color="auto"/>
            </w:tcBorders>
            <w:shd w:val="clear" w:color="auto" w:fill="FFFFFF" w:themeFill="background1"/>
          </w:tcPr>
          <w:p w:rsidR="00D15D54" w:rsidRPr="00FD0AA0" w:rsidRDefault="00D15D54"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2520" w:type="dxa"/>
            <w:tcBorders>
              <w:left w:val="thinThickThinSmallGap" w:sz="24" w:space="0" w:color="auto"/>
            </w:tcBorders>
            <w:shd w:val="clear" w:color="auto" w:fill="FFFFFF" w:themeFill="background1"/>
          </w:tcPr>
          <w:p w:rsidR="00D15D54" w:rsidRPr="00FD0AA0" w:rsidRDefault="00D15D54" w:rsidP="0007538F">
            <w:pPr>
              <w:pStyle w:val="ListParagraph"/>
              <w:spacing w:after="0" w:line="240" w:lineRule="auto"/>
              <w:ind w:left="0"/>
              <w:rPr>
                <w:rFonts w:cs="Times New Roman"/>
                <w:color w:val="002060"/>
                <w:sz w:val="18"/>
                <w:szCs w:val="18"/>
              </w:rPr>
            </w:pPr>
            <w:proofErr w:type="spellStart"/>
            <w:r>
              <w:rPr>
                <w:rFonts w:cs="Times New Roman"/>
                <w:color w:val="002060"/>
                <w:sz w:val="18"/>
                <w:szCs w:val="18"/>
              </w:rPr>
              <w:t>Degen</w:t>
            </w:r>
            <w:proofErr w:type="spellEnd"/>
            <w:r>
              <w:rPr>
                <w:rFonts w:cs="Times New Roman"/>
                <w:color w:val="002060"/>
                <w:sz w:val="18"/>
                <w:szCs w:val="18"/>
              </w:rPr>
              <w:t>. Arthritis…Cervical</w:t>
            </w:r>
          </w:p>
        </w:tc>
        <w:tc>
          <w:tcPr>
            <w:tcW w:w="720" w:type="dxa"/>
            <w:shd w:val="clear" w:color="auto" w:fill="FFFFFF" w:themeFill="background1"/>
          </w:tcPr>
          <w:p w:rsidR="00D15D54" w:rsidRPr="00D15D54" w:rsidRDefault="00D15D54" w:rsidP="0007538F">
            <w:pPr>
              <w:pStyle w:val="ListParagraph"/>
              <w:spacing w:after="0" w:line="240" w:lineRule="auto"/>
              <w:ind w:left="0"/>
              <w:jc w:val="center"/>
              <w:rPr>
                <w:rFonts w:cs="Times New Roman"/>
                <w:color w:val="002060"/>
                <w:sz w:val="18"/>
                <w:szCs w:val="18"/>
              </w:rPr>
            </w:pPr>
            <w:r w:rsidRPr="00D15D54">
              <w:rPr>
                <w:rFonts w:cs="Times New Roman"/>
                <w:color w:val="002060"/>
                <w:sz w:val="18"/>
                <w:szCs w:val="18"/>
              </w:rPr>
              <w:t>5242</w:t>
            </w:r>
          </w:p>
        </w:tc>
        <w:tc>
          <w:tcPr>
            <w:tcW w:w="810" w:type="dxa"/>
            <w:shd w:val="clear" w:color="auto" w:fill="FFFFFF" w:themeFill="background1"/>
          </w:tcPr>
          <w:p w:rsidR="00D15D54" w:rsidRPr="00D15D54" w:rsidRDefault="00D15D54" w:rsidP="0007538F">
            <w:pPr>
              <w:pStyle w:val="ListParagraph"/>
              <w:spacing w:after="0" w:line="240" w:lineRule="auto"/>
              <w:ind w:left="0"/>
              <w:jc w:val="center"/>
              <w:rPr>
                <w:rFonts w:cs="Times New Roman"/>
                <w:color w:val="002060"/>
                <w:sz w:val="18"/>
                <w:szCs w:val="18"/>
              </w:rPr>
            </w:pPr>
            <w:r w:rsidRPr="00D15D54">
              <w:rPr>
                <w:rFonts w:cs="Times New Roman"/>
                <w:color w:val="002060"/>
                <w:sz w:val="18"/>
                <w:szCs w:val="18"/>
              </w:rPr>
              <w:t>30%</w:t>
            </w:r>
          </w:p>
        </w:tc>
        <w:tc>
          <w:tcPr>
            <w:tcW w:w="990" w:type="dxa"/>
            <w:shd w:val="clear" w:color="auto" w:fill="FFFFFF" w:themeFill="background1"/>
          </w:tcPr>
          <w:p w:rsidR="00D15D54" w:rsidRPr="00FD0AA0" w:rsidRDefault="00705EB0" w:rsidP="00705EB0">
            <w:pPr>
              <w:pStyle w:val="ListParagraph"/>
              <w:spacing w:after="0" w:line="240" w:lineRule="auto"/>
              <w:ind w:left="0"/>
              <w:jc w:val="center"/>
              <w:rPr>
                <w:rFonts w:cs="Times New Roman"/>
                <w:color w:val="002060"/>
                <w:sz w:val="18"/>
                <w:szCs w:val="18"/>
              </w:rPr>
            </w:pPr>
            <w:r>
              <w:rPr>
                <w:rFonts w:cs="Times New Roman"/>
                <w:color w:val="002060"/>
                <w:sz w:val="18"/>
                <w:szCs w:val="18"/>
              </w:rPr>
              <w:t>20070221</w:t>
            </w:r>
          </w:p>
        </w:tc>
      </w:tr>
      <w:tr w:rsidR="00705EB0" w:rsidRPr="002A685E" w:rsidTr="006E3DD8">
        <w:trPr>
          <w:trHeight w:val="188"/>
        </w:trPr>
        <w:tc>
          <w:tcPr>
            <w:tcW w:w="1890" w:type="dxa"/>
            <w:tcBorders>
              <w:right w:val="single" w:sz="4" w:space="0" w:color="auto"/>
            </w:tcBorders>
            <w:shd w:val="clear" w:color="auto" w:fill="FFFFFF" w:themeFill="background1"/>
          </w:tcPr>
          <w:p w:rsidR="00705EB0" w:rsidRPr="00FD0AA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Low Back Pain…</w:t>
            </w:r>
          </w:p>
        </w:tc>
        <w:tc>
          <w:tcPr>
            <w:tcW w:w="1080" w:type="dxa"/>
            <w:tcBorders>
              <w:left w:val="single" w:sz="4" w:space="0" w:color="auto"/>
              <w:right w:val="single" w:sz="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5259-5237</w:t>
            </w:r>
          </w:p>
        </w:tc>
        <w:tc>
          <w:tcPr>
            <w:tcW w:w="630" w:type="dxa"/>
            <w:tcBorders>
              <w:left w:val="single" w:sz="4" w:space="0" w:color="auto"/>
              <w:right w:val="single" w:sz="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630" w:type="dxa"/>
            <w:tcBorders>
              <w:left w:val="single" w:sz="4" w:space="0" w:color="auto"/>
              <w:righ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2520" w:type="dxa"/>
            <w:tcBorders>
              <w:left w:val="thinThickThinSmallGap" w:sz="24" w:space="0" w:color="auto"/>
            </w:tcBorders>
            <w:shd w:val="clear" w:color="auto" w:fill="FFFFFF" w:themeFill="background1"/>
          </w:tcPr>
          <w:p w:rsidR="00705EB0" w:rsidRPr="00FD0AA0" w:rsidRDefault="00705EB0" w:rsidP="00D15D54">
            <w:pPr>
              <w:pStyle w:val="ListParagraph"/>
              <w:spacing w:after="0" w:line="240" w:lineRule="auto"/>
              <w:ind w:left="0"/>
              <w:rPr>
                <w:rFonts w:cs="Times New Roman"/>
                <w:color w:val="002060"/>
                <w:sz w:val="18"/>
                <w:szCs w:val="18"/>
              </w:rPr>
            </w:pPr>
            <w:proofErr w:type="spellStart"/>
            <w:r>
              <w:rPr>
                <w:rFonts w:cs="Times New Roman"/>
                <w:color w:val="002060"/>
                <w:sz w:val="18"/>
                <w:szCs w:val="18"/>
              </w:rPr>
              <w:t>Degen</w:t>
            </w:r>
            <w:proofErr w:type="spellEnd"/>
            <w:r>
              <w:rPr>
                <w:rFonts w:cs="Times New Roman"/>
                <w:color w:val="002060"/>
                <w:sz w:val="18"/>
                <w:szCs w:val="18"/>
              </w:rPr>
              <w:t>. Arthritis…Lumbar</w:t>
            </w:r>
          </w:p>
        </w:tc>
        <w:tc>
          <w:tcPr>
            <w:tcW w:w="720" w:type="dxa"/>
            <w:shd w:val="clear" w:color="auto" w:fill="FFFFFF" w:themeFill="background1"/>
          </w:tcPr>
          <w:p w:rsidR="00705EB0" w:rsidRPr="00D15D54" w:rsidRDefault="00705EB0" w:rsidP="0007538F">
            <w:pPr>
              <w:pStyle w:val="ListParagraph"/>
              <w:spacing w:after="0" w:line="240" w:lineRule="auto"/>
              <w:ind w:left="0"/>
              <w:jc w:val="center"/>
              <w:rPr>
                <w:rFonts w:cs="Times New Roman"/>
                <w:color w:val="002060"/>
                <w:sz w:val="18"/>
                <w:szCs w:val="18"/>
              </w:rPr>
            </w:pPr>
            <w:r w:rsidRPr="00D15D54">
              <w:rPr>
                <w:rFonts w:cs="Times New Roman"/>
                <w:color w:val="002060"/>
                <w:sz w:val="18"/>
                <w:szCs w:val="18"/>
              </w:rPr>
              <w:t>5242</w:t>
            </w:r>
          </w:p>
        </w:tc>
        <w:tc>
          <w:tcPr>
            <w:tcW w:w="810" w:type="dxa"/>
            <w:shd w:val="clear" w:color="auto" w:fill="FFFFFF" w:themeFill="background1"/>
          </w:tcPr>
          <w:p w:rsidR="00705EB0" w:rsidRPr="00D15D54" w:rsidRDefault="00705EB0" w:rsidP="0007538F">
            <w:pPr>
              <w:pStyle w:val="ListParagraph"/>
              <w:spacing w:after="0" w:line="240" w:lineRule="auto"/>
              <w:ind w:left="0"/>
              <w:jc w:val="center"/>
              <w:rPr>
                <w:rFonts w:cs="Times New Roman"/>
                <w:color w:val="002060"/>
                <w:sz w:val="18"/>
                <w:szCs w:val="18"/>
              </w:rPr>
            </w:pPr>
            <w:r w:rsidRPr="00D15D54">
              <w:rPr>
                <w:rFonts w:cs="Times New Roman"/>
                <w:color w:val="002060"/>
                <w:sz w:val="18"/>
                <w:szCs w:val="18"/>
              </w:rPr>
              <w:t>40%</w:t>
            </w:r>
          </w:p>
        </w:tc>
        <w:tc>
          <w:tcPr>
            <w:tcW w:w="990" w:type="dxa"/>
            <w:shd w:val="clear" w:color="auto" w:fill="FFFFFF" w:themeFill="background1"/>
          </w:tcPr>
          <w:p w:rsidR="00705EB0" w:rsidRDefault="00705EB0" w:rsidP="00705EB0">
            <w:pPr>
              <w:jc w:val="center"/>
            </w:pPr>
            <w:r w:rsidRPr="002B5F61">
              <w:rPr>
                <w:rFonts w:cs="Times New Roman"/>
                <w:color w:val="002060"/>
                <w:sz w:val="18"/>
                <w:szCs w:val="18"/>
              </w:rPr>
              <w:t>20070221</w:t>
            </w:r>
          </w:p>
        </w:tc>
      </w:tr>
      <w:tr w:rsidR="00705EB0" w:rsidRPr="002A685E" w:rsidTr="006E3DD8">
        <w:trPr>
          <w:trHeight w:val="188"/>
        </w:trPr>
        <w:tc>
          <w:tcPr>
            <w:tcW w:w="1890" w:type="dxa"/>
            <w:tcBorders>
              <w:right w:val="single" w:sz="4" w:space="0" w:color="auto"/>
            </w:tcBorders>
            <w:shd w:val="clear" w:color="auto" w:fill="FFFFFF" w:themeFill="background1"/>
          </w:tcPr>
          <w:p w:rsidR="00705EB0" w:rsidRPr="00FD0AA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Right Knee…</w:t>
            </w:r>
            <w:proofErr w:type="spellStart"/>
            <w:r>
              <w:rPr>
                <w:rFonts w:cs="Times New Roman"/>
                <w:color w:val="002060"/>
                <w:sz w:val="18"/>
                <w:szCs w:val="18"/>
              </w:rPr>
              <w:t>Arthrosis</w:t>
            </w:r>
            <w:proofErr w:type="spellEnd"/>
          </w:p>
        </w:tc>
        <w:tc>
          <w:tcPr>
            <w:tcW w:w="1080" w:type="dxa"/>
            <w:tcBorders>
              <w:left w:val="single" w:sz="4" w:space="0" w:color="auto"/>
              <w:right w:val="single" w:sz="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5099-5003</w:t>
            </w:r>
          </w:p>
        </w:tc>
        <w:tc>
          <w:tcPr>
            <w:tcW w:w="630" w:type="dxa"/>
            <w:tcBorders>
              <w:left w:val="single" w:sz="4" w:space="0" w:color="auto"/>
              <w:right w:val="single" w:sz="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630" w:type="dxa"/>
            <w:tcBorders>
              <w:left w:val="single" w:sz="4" w:space="0" w:color="auto"/>
              <w:righ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0%</w:t>
            </w:r>
          </w:p>
        </w:tc>
        <w:tc>
          <w:tcPr>
            <w:tcW w:w="2520" w:type="dxa"/>
            <w:tcBorders>
              <w:lef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DJD R Knee</w:t>
            </w:r>
          </w:p>
        </w:tc>
        <w:tc>
          <w:tcPr>
            <w:tcW w:w="720" w:type="dxa"/>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5010</w:t>
            </w:r>
          </w:p>
        </w:tc>
        <w:tc>
          <w:tcPr>
            <w:tcW w:w="810" w:type="dxa"/>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shd w:val="clear" w:color="auto" w:fill="FFFFFF" w:themeFill="background1"/>
          </w:tcPr>
          <w:p w:rsidR="00705EB0" w:rsidRDefault="00705EB0" w:rsidP="00705EB0">
            <w:pPr>
              <w:jc w:val="center"/>
            </w:pPr>
            <w:r w:rsidRPr="002B5F61">
              <w:rPr>
                <w:rFonts w:cs="Times New Roman"/>
                <w:color w:val="002060"/>
                <w:sz w:val="18"/>
                <w:szCs w:val="18"/>
              </w:rPr>
              <w:t>20070221</w:t>
            </w:r>
          </w:p>
        </w:tc>
      </w:tr>
      <w:tr w:rsidR="00705EB0" w:rsidRPr="002A685E" w:rsidTr="00B979D9">
        <w:trPr>
          <w:trHeight w:val="188"/>
        </w:trPr>
        <w:tc>
          <w:tcPr>
            <w:tcW w:w="2970" w:type="dxa"/>
            <w:gridSpan w:val="2"/>
            <w:shd w:val="clear" w:color="auto" w:fill="FFFFFF" w:themeFill="background1"/>
          </w:tcPr>
          <w:p w:rsidR="00705EB0" w:rsidRPr="00FD0AA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Immunodeficiency Virus…</w:t>
            </w:r>
          </w:p>
        </w:tc>
        <w:tc>
          <w:tcPr>
            <w:tcW w:w="1260" w:type="dxa"/>
            <w:gridSpan w:val="2"/>
            <w:tcBorders>
              <w:righ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Not Unfitting</w:t>
            </w:r>
          </w:p>
        </w:tc>
        <w:tc>
          <w:tcPr>
            <w:tcW w:w="2520" w:type="dxa"/>
            <w:tcBorders>
              <w:left w:val="thinThickThinSmallGap" w:sz="24" w:space="0" w:color="auto"/>
            </w:tcBorders>
            <w:shd w:val="clear" w:color="auto" w:fill="FFFFFF" w:themeFill="background1"/>
          </w:tcPr>
          <w:p w:rsidR="00705EB0" w:rsidRPr="00705EB0" w:rsidRDefault="00705EB0" w:rsidP="0007538F">
            <w:pPr>
              <w:pStyle w:val="ListParagraph"/>
              <w:spacing w:after="0" w:line="240" w:lineRule="auto"/>
              <w:ind w:left="0"/>
              <w:rPr>
                <w:rFonts w:cs="Times New Roman"/>
                <w:color w:val="002060"/>
                <w:sz w:val="18"/>
                <w:szCs w:val="18"/>
              </w:rPr>
            </w:pPr>
            <w:r w:rsidRPr="00705EB0">
              <w:rPr>
                <w:rFonts w:cs="Times New Roman"/>
                <w:color w:val="002060"/>
                <w:sz w:val="18"/>
                <w:szCs w:val="18"/>
              </w:rPr>
              <w:t>HIV Infection</w:t>
            </w:r>
          </w:p>
        </w:tc>
        <w:tc>
          <w:tcPr>
            <w:tcW w:w="720" w:type="dxa"/>
            <w:shd w:val="clear" w:color="auto" w:fill="FFFFFF" w:themeFill="background1"/>
          </w:tcPr>
          <w:p w:rsidR="00705EB0" w:rsidRPr="00705EB0" w:rsidRDefault="00705EB0" w:rsidP="0007538F">
            <w:pPr>
              <w:pStyle w:val="ListParagraph"/>
              <w:spacing w:after="0" w:line="240" w:lineRule="auto"/>
              <w:ind w:left="0"/>
              <w:jc w:val="center"/>
              <w:rPr>
                <w:rFonts w:cs="Times New Roman"/>
                <w:color w:val="002060"/>
                <w:sz w:val="18"/>
                <w:szCs w:val="18"/>
              </w:rPr>
            </w:pPr>
            <w:r w:rsidRPr="00705EB0">
              <w:rPr>
                <w:rFonts w:cs="Times New Roman"/>
                <w:color w:val="002060"/>
                <w:sz w:val="18"/>
                <w:szCs w:val="18"/>
              </w:rPr>
              <w:t>6351</w:t>
            </w:r>
          </w:p>
        </w:tc>
        <w:tc>
          <w:tcPr>
            <w:tcW w:w="810" w:type="dxa"/>
            <w:shd w:val="clear" w:color="auto" w:fill="FFFFFF" w:themeFill="background1"/>
          </w:tcPr>
          <w:p w:rsidR="00705EB0" w:rsidRPr="00705EB0" w:rsidRDefault="00705EB0" w:rsidP="0007538F">
            <w:pPr>
              <w:pStyle w:val="ListParagraph"/>
              <w:spacing w:after="0" w:line="240" w:lineRule="auto"/>
              <w:ind w:left="0"/>
              <w:jc w:val="center"/>
              <w:rPr>
                <w:rFonts w:cs="Times New Roman"/>
                <w:color w:val="002060"/>
                <w:sz w:val="18"/>
                <w:szCs w:val="18"/>
              </w:rPr>
            </w:pPr>
            <w:r w:rsidRPr="00705EB0">
              <w:rPr>
                <w:rFonts w:cs="Times New Roman"/>
                <w:color w:val="002060"/>
                <w:sz w:val="18"/>
                <w:szCs w:val="18"/>
              </w:rPr>
              <w:t>0%</w:t>
            </w:r>
          </w:p>
        </w:tc>
        <w:tc>
          <w:tcPr>
            <w:tcW w:w="990" w:type="dxa"/>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20070221</w:t>
            </w:r>
          </w:p>
        </w:tc>
      </w:tr>
      <w:tr w:rsidR="00705EB0" w:rsidRPr="002A685E" w:rsidTr="00B979D9">
        <w:trPr>
          <w:trHeight w:val="188"/>
        </w:trPr>
        <w:tc>
          <w:tcPr>
            <w:tcW w:w="2970" w:type="dxa"/>
            <w:gridSpan w:val="2"/>
            <w:shd w:val="clear" w:color="auto" w:fill="FFFFFF" w:themeFill="background1"/>
          </w:tcPr>
          <w:p w:rsidR="00705EB0" w:rsidRPr="00FD0AA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Cognitive Disorder, Mild</w:t>
            </w:r>
          </w:p>
        </w:tc>
        <w:tc>
          <w:tcPr>
            <w:tcW w:w="1260" w:type="dxa"/>
            <w:gridSpan w:val="2"/>
            <w:tcBorders>
              <w:righ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Not Unfitting</w:t>
            </w:r>
          </w:p>
        </w:tc>
        <w:tc>
          <w:tcPr>
            <w:tcW w:w="2520" w:type="dxa"/>
            <w:vMerge w:val="restart"/>
            <w:tcBorders>
              <w:left w:val="thinThickThinSmallGap" w:sz="24" w:space="0" w:color="auto"/>
            </w:tcBorders>
            <w:shd w:val="clear" w:color="auto" w:fill="FFFFFF" w:themeFill="background1"/>
          </w:tcPr>
          <w:p w:rsidR="00705EB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Cognitive Disorder, NOS</w:t>
            </w:r>
          </w:p>
          <w:p w:rsidR="00705EB0" w:rsidRPr="00FD0AA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and Mood Disorder</w:t>
            </w:r>
          </w:p>
        </w:tc>
        <w:tc>
          <w:tcPr>
            <w:tcW w:w="720" w:type="dxa"/>
            <w:vMerge w:val="restart"/>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9301-9435</w:t>
            </w:r>
          </w:p>
        </w:tc>
        <w:tc>
          <w:tcPr>
            <w:tcW w:w="810" w:type="dxa"/>
            <w:vMerge w:val="restart"/>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70%</w:t>
            </w:r>
          </w:p>
        </w:tc>
        <w:tc>
          <w:tcPr>
            <w:tcW w:w="990" w:type="dxa"/>
            <w:vMerge w:val="restart"/>
            <w:shd w:val="clear" w:color="auto" w:fill="FFFFFF" w:themeFill="background1"/>
          </w:tcPr>
          <w:p w:rsidR="00705EB0" w:rsidRDefault="00705EB0" w:rsidP="005F4676">
            <w:pPr>
              <w:jc w:val="center"/>
            </w:pPr>
            <w:r w:rsidRPr="002B5F61">
              <w:rPr>
                <w:rFonts w:cs="Times New Roman"/>
                <w:color w:val="002060"/>
                <w:sz w:val="18"/>
                <w:szCs w:val="18"/>
              </w:rPr>
              <w:t>2007022</w:t>
            </w:r>
            <w:r>
              <w:rPr>
                <w:rFonts w:cs="Times New Roman"/>
                <w:color w:val="002060"/>
                <w:sz w:val="18"/>
                <w:szCs w:val="18"/>
              </w:rPr>
              <w:t>7</w:t>
            </w:r>
          </w:p>
        </w:tc>
      </w:tr>
      <w:tr w:rsidR="00705EB0" w:rsidRPr="002A685E" w:rsidTr="00B979D9">
        <w:trPr>
          <w:trHeight w:val="188"/>
        </w:trPr>
        <w:tc>
          <w:tcPr>
            <w:tcW w:w="2970" w:type="dxa"/>
            <w:gridSpan w:val="2"/>
            <w:shd w:val="clear" w:color="auto" w:fill="FFFFFF" w:themeFill="background1"/>
          </w:tcPr>
          <w:p w:rsidR="00705EB0" w:rsidRPr="00FD0AA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Depression, NOS</w:t>
            </w:r>
          </w:p>
        </w:tc>
        <w:tc>
          <w:tcPr>
            <w:tcW w:w="1260" w:type="dxa"/>
            <w:gridSpan w:val="2"/>
            <w:tcBorders>
              <w:righ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Not Unfitting</w:t>
            </w:r>
          </w:p>
        </w:tc>
        <w:tc>
          <w:tcPr>
            <w:tcW w:w="2520" w:type="dxa"/>
            <w:vMerge/>
            <w:tcBorders>
              <w:lef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rPr>
                <w:rFonts w:cs="Times New Roman"/>
                <w:color w:val="002060"/>
                <w:sz w:val="18"/>
                <w:szCs w:val="18"/>
              </w:rPr>
            </w:pPr>
          </w:p>
        </w:tc>
        <w:tc>
          <w:tcPr>
            <w:tcW w:w="720" w:type="dxa"/>
            <w:vMerge/>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p>
        </w:tc>
        <w:tc>
          <w:tcPr>
            <w:tcW w:w="810" w:type="dxa"/>
            <w:vMerge/>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p>
        </w:tc>
        <w:tc>
          <w:tcPr>
            <w:tcW w:w="990" w:type="dxa"/>
            <w:vMerge/>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p>
        </w:tc>
      </w:tr>
      <w:tr w:rsidR="00705EB0" w:rsidRPr="002A685E" w:rsidTr="00B979D9">
        <w:trPr>
          <w:trHeight w:val="188"/>
        </w:trPr>
        <w:tc>
          <w:tcPr>
            <w:tcW w:w="2970" w:type="dxa"/>
            <w:gridSpan w:val="2"/>
            <w:shd w:val="clear" w:color="auto" w:fill="FFFFFF" w:themeFill="background1"/>
          </w:tcPr>
          <w:p w:rsidR="00705EB0" w:rsidRPr="00FD0AA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Headache</w:t>
            </w:r>
          </w:p>
        </w:tc>
        <w:tc>
          <w:tcPr>
            <w:tcW w:w="1260" w:type="dxa"/>
            <w:gridSpan w:val="2"/>
            <w:tcBorders>
              <w:righ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Not Unfitting</w:t>
            </w:r>
          </w:p>
        </w:tc>
        <w:tc>
          <w:tcPr>
            <w:tcW w:w="2520" w:type="dxa"/>
            <w:tcBorders>
              <w:left w:val="thinThickThinSmallGap" w:sz="24" w:space="0" w:color="auto"/>
            </w:tcBorders>
            <w:shd w:val="clear" w:color="auto" w:fill="FFFFFF" w:themeFill="background1"/>
          </w:tcPr>
          <w:p w:rsidR="00705EB0" w:rsidRPr="00705EB0" w:rsidRDefault="00705EB0" w:rsidP="0007538F">
            <w:pPr>
              <w:pStyle w:val="ListParagraph"/>
              <w:spacing w:after="0" w:line="240" w:lineRule="auto"/>
              <w:ind w:left="0"/>
              <w:rPr>
                <w:rFonts w:cs="Times New Roman"/>
                <w:color w:val="002060"/>
                <w:sz w:val="18"/>
                <w:szCs w:val="18"/>
              </w:rPr>
            </w:pPr>
            <w:r w:rsidRPr="00705EB0">
              <w:rPr>
                <w:rFonts w:cs="Times New Roman"/>
                <w:color w:val="002060"/>
                <w:sz w:val="18"/>
                <w:szCs w:val="18"/>
              </w:rPr>
              <w:t>Migraine Headaches</w:t>
            </w:r>
          </w:p>
        </w:tc>
        <w:tc>
          <w:tcPr>
            <w:tcW w:w="720" w:type="dxa"/>
            <w:shd w:val="clear" w:color="auto" w:fill="FFFFFF" w:themeFill="background1"/>
          </w:tcPr>
          <w:p w:rsidR="00705EB0" w:rsidRPr="00705EB0" w:rsidRDefault="00705EB0" w:rsidP="0007538F">
            <w:pPr>
              <w:pStyle w:val="ListParagraph"/>
              <w:spacing w:after="0" w:line="240" w:lineRule="auto"/>
              <w:ind w:left="0"/>
              <w:jc w:val="center"/>
              <w:rPr>
                <w:rFonts w:cs="Times New Roman"/>
                <w:color w:val="002060"/>
                <w:sz w:val="18"/>
                <w:szCs w:val="18"/>
              </w:rPr>
            </w:pPr>
            <w:r w:rsidRPr="00705EB0">
              <w:rPr>
                <w:rFonts w:cs="Times New Roman"/>
                <w:color w:val="002060"/>
                <w:sz w:val="18"/>
                <w:szCs w:val="18"/>
              </w:rPr>
              <w:t>8100</w:t>
            </w:r>
          </w:p>
        </w:tc>
        <w:tc>
          <w:tcPr>
            <w:tcW w:w="810" w:type="dxa"/>
            <w:shd w:val="clear" w:color="auto" w:fill="FFFFFF" w:themeFill="background1"/>
          </w:tcPr>
          <w:p w:rsidR="00705EB0" w:rsidRPr="00705EB0" w:rsidRDefault="00705EB0" w:rsidP="0007538F">
            <w:pPr>
              <w:pStyle w:val="ListParagraph"/>
              <w:spacing w:after="0" w:line="240" w:lineRule="auto"/>
              <w:ind w:left="0"/>
              <w:jc w:val="center"/>
              <w:rPr>
                <w:rFonts w:cs="Times New Roman"/>
                <w:color w:val="002060"/>
                <w:sz w:val="18"/>
                <w:szCs w:val="18"/>
              </w:rPr>
            </w:pPr>
            <w:r w:rsidRPr="00705EB0">
              <w:rPr>
                <w:rFonts w:cs="Times New Roman"/>
                <w:color w:val="002060"/>
                <w:sz w:val="18"/>
                <w:szCs w:val="18"/>
              </w:rPr>
              <w:t>0%</w:t>
            </w:r>
          </w:p>
        </w:tc>
        <w:tc>
          <w:tcPr>
            <w:tcW w:w="990" w:type="dxa"/>
            <w:shd w:val="clear" w:color="auto" w:fill="FFFFFF" w:themeFill="background1"/>
          </w:tcPr>
          <w:p w:rsidR="00705EB0" w:rsidRPr="00FD0AA0" w:rsidRDefault="005F4676" w:rsidP="0007538F">
            <w:pPr>
              <w:pStyle w:val="ListParagraph"/>
              <w:spacing w:after="0" w:line="240" w:lineRule="auto"/>
              <w:ind w:left="0"/>
              <w:jc w:val="center"/>
              <w:rPr>
                <w:rFonts w:cs="Times New Roman"/>
                <w:color w:val="002060"/>
                <w:sz w:val="18"/>
                <w:szCs w:val="18"/>
              </w:rPr>
            </w:pPr>
            <w:r w:rsidRPr="002B5F61">
              <w:rPr>
                <w:rFonts w:cs="Times New Roman"/>
                <w:color w:val="002060"/>
                <w:sz w:val="18"/>
                <w:szCs w:val="18"/>
              </w:rPr>
              <w:t>20070221</w:t>
            </w:r>
          </w:p>
        </w:tc>
      </w:tr>
      <w:tr w:rsidR="00705EB0" w:rsidRPr="002A685E" w:rsidTr="006E3DD8">
        <w:trPr>
          <w:trHeight w:val="143"/>
        </w:trPr>
        <w:tc>
          <w:tcPr>
            <w:tcW w:w="4230" w:type="dxa"/>
            <w:gridSpan w:val="4"/>
            <w:vMerge w:val="restart"/>
            <w:tcBorders>
              <w:righ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b/>
                <w:color w:val="002060"/>
                <w:sz w:val="18"/>
                <w:szCs w:val="18"/>
              </w:rPr>
            </w:pPr>
            <w:r w:rsidRPr="00FD0AA0">
              <w:rPr>
                <w:rFonts w:eastAsiaTheme="minorEastAsia"/>
                <w:color w:val="002060"/>
                <w:sz w:val="18"/>
                <w:szCs w:val="18"/>
              </w:rPr>
              <w:t>↓No Additional DA</w:t>
            </w:r>
            <w:r w:rsidR="00350147">
              <w:rPr>
                <w:rFonts w:eastAsiaTheme="minorEastAsia"/>
                <w:color w:val="002060"/>
                <w:sz w:val="18"/>
                <w:szCs w:val="18"/>
              </w:rPr>
              <w:t xml:space="preserve"> Form</w:t>
            </w:r>
            <w:r w:rsidRPr="00FD0AA0">
              <w:rPr>
                <w:rFonts w:eastAsiaTheme="minorEastAsia"/>
                <w:color w:val="002060"/>
                <w:sz w:val="18"/>
                <w:szCs w:val="18"/>
              </w:rPr>
              <w:t xml:space="preserve"> 3947 Entries.↓</w:t>
            </w:r>
          </w:p>
        </w:tc>
        <w:tc>
          <w:tcPr>
            <w:tcW w:w="2520" w:type="dxa"/>
            <w:tcBorders>
              <w:lef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Fibromyalgia</w:t>
            </w:r>
          </w:p>
        </w:tc>
        <w:tc>
          <w:tcPr>
            <w:tcW w:w="720" w:type="dxa"/>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5025</w:t>
            </w:r>
          </w:p>
        </w:tc>
        <w:tc>
          <w:tcPr>
            <w:tcW w:w="810" w:type="dxa"/>
            <w:shd w:val="clear" w:color="auto" w:fill="FFFFFF" w:themeFill="background1"/>
          </w:tcPr>
          <w:p w:rsidR="00705EB0" w:rsidRPr="00FD0AA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40%</w:t>
            </w:r>
          </w:p>
        </w:tc>
        <w:tc>
          <w:tcPr>
            <w:tcW w:w="990" w:type="dxa"/>
            <w:shd w:val="clear" w:color="auto" w:fill="FFFFFF" w:themeFill="background1"/>
          </w:tcPr>
          <w:p w:rsidR="00705EB0" w:rsidRPr="00FD0AA0" w:rsidRDefault="005F4676" w:rsidP="0007538F">
            <w:pPr>
              <w:pStyle w:val="ListParagraph"/>
              <w:spacing w:after="0" w:line="240" w:lineRule="auto"/>
              <w:ind w:left="0"/>
              <w:jc w:val="center"/>
              <w:rPr>
                <w:rFonts w:cs="Times New Roman"/>
                <w:color w:val="002060"/>
                <w:sz w:val="18"/>
                <w:szCs w:val="18"/>
              </w:rPr>
            </w:pPr>
            <w:r w:rsidRPr="002B5F61">
              <w:rPr>
                <w:rFonts w:cs="Times New Roman"/>
                <w:color w:val="002060"/>
                <w:sz w:val="18"/>
                <w:szCs w:val="18"/>
              </w:rPr>
              <w:t>20070221</w:t>
            </w:r>
          </w:p>
        </w:tc>
      </w:tr>
      <w:tr w:rsidR="00705EB0" w:rsidRPr="002A685E" w:rsidTr="006E3DD8">
        <w:trPr>
          <w:trHeight w:val="143"/>
        </w:trPr>
        <w:tc>
          <w:tcPr>
            <w:tcW w:w="4230" w:type="dxa"/>
            <w:gridSpan w:val="4"/>
            <w:vMerge/>
            <w:tcBorders>
              <w:righ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eastAsiaTheme="minorEastAsia"/>
                <w:color w:val="002060"/>
                <w:sz w:val="18"/>
                <w:szCs w:val="18"/>
              </w:rPr>
            </w:pPr>
          </w:p>
        </w:tc>
        <w:tc>
          <w:tcPr>
            <w:tcW w:w="2520" w:type="dxa"/>
            <w:tcBorders>
              <w:left w:val="thinThickThinSmallGap" w:sz="24" w:space="0" w:color="auto"/>
            </w:tcBorders>
            <w:shd w:val="clear" w:color="auto" w:fill="FFFFFF" w:themeFill="background1"/>
          </w:tcPr>
          <w:p w:rsidR="00705EB0" w:rsidRDefault="00705EB0" w:rsidP="0007538F">
            <w:pPr>
              <w:pStyle w:val="ListParagraph"/>
              <w:spacing w:after="0" w:line="240" w:lineRule="auto"/>
              <w:ind w:left="0"/>
              <w:rPr>
                <w:rFonts w:cs="Times New Roman"/>
                <w:color w:val="002060"/>
                <w:sz w:val="18"/>
                <w:szCs w:val="18"/>
              </w:rPr>
            </w:pPr>
            <w:r>
              <w:rPr>
                <w:rFonts w:cs="Times New Roman"/>
                <w:color w:val="002060"/>
                <w:sz w:val="18"/>
                <w:szCs w:val="18"/>
              </w:rPr>
              <w:t>Hysterectomy Residuals</w:t>
            </w:r>
          </w:p>
        </w:tc>
        <w:tc>
          <w:tcPr>
            <w:tcW w:w="720" w:type="dxa"/>
            <w:shd w:val="clear" w:color="auto" w:fill="FFFFFF" w:themeFill="background1"/>
          </w:tcPr>
          <w:p w:rsidR="00705EB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7618</w:t>
            </w:r>
          </w:p>
        </w:tc>
        <w:tc>
          <w:tcPr>
            <w:tcW w:w="810" w:type="dxa"/>
            <w:shd w:val="clear" w:color="auto" w:fill="FFFFFF" w:themeFill="background1"/>
          </w:tcPr>
          <w:p w:rsidR="00705EB0" w:rsidRDefault="00705EB0" w:rsidP="0007538F">
            <w:pPr>
              <w:pStyle w:val="ListParagraph"/>
              <w:spacing w:after="0" w:line="240" w:lineRule="auto"/>
              <w:ind w:left="0"/>
              <w:jc w:val="center"/>
              <w:rPr>
                <w:rFonts w:cs="Times New Roman"/>
                <w:color w:val="002060"/>
                <w:sz w:val="18"/>
                <w:szCs w:val="18"/>
              </w:rPr>
            </w:pPr>
            <w:r>
              <w:rPr>
                <w:rFonts w:cs="Times New Roman"/>
                <w:color w:val="002060"/>
                <w:sz w:val="18"/>
                <w:szCs w:val="18"/>
              </w:rPr>
              <w:t>30%</w:t>
            </w:r>
          </w:p>
        </w:tc>
        <w:tc>
          <w:tcPr>
            <w:tcW w:w="990" w:type="dxa"/>
            <w:shd w:val="clear" w:color="auto" w:fill="FFFFFF" w:themeFill="background1"/>
          </w:tcPr>
          <w:p w:rsidR="00705EB0" w:rsidRPr="00FD0AA0" w:rsidRDefault="005F4676" w:rsidP="0007538F">
            <w:pPr>
              <w:pStyle w:val="ListParagraph"/>
              <w:spacing w:after="0" w:line="240" w:lineRule="auto"/>
              <w:ind w:left="0"/>
              <w:jc w:val="center"/>
              <w:rPr>
                <w:rFonts w:cs="Times New Roman"/>
                <w:color w:val="002060"/>
                <w:sz w:val="18"/>
                <w:szCs w:val="18"/>
              </w:rPr>
            </w:pPr>
            <w:r w:rsidRPr="002B5F61">
              <w:rPr>
                <w:rFonts w:cs="Times New Roman"/>
                <w:color w:val="002060"/>
                <w:sz w:val="18"/>
                <w:szCs w:val="18"/>
              </w:rPr>
              <w:t>20070221</w:t>
            </w:r>
          </w:p>
        </w:tc>
      </w:tr>
      <w:tr w:rsidR="00705EB0" w:rsidRPr="002A685E" w:rsidTr="006E3DD8">
        <w:trPr>
          <w:trHeight w:val="197"/>
        </w:trPr>
        <w:tc>
          <w:tcPr>
            <w:tcW w:w="4230" w:type="dxa"/>
            <w:gridSpan w:val="4"/>
            <w:vMerge/>
            <w:tcBorders>
              <w:right w:val="thinThickThinSmallGap" w:sz="24" w:space="0" w:color="auto"/>
            </w:tcBorders>
            <w:shd w:val="clear" w:color="auto" w:fill="FFFFFF" w:themeFill="background1"/>
          </w:tcPr>
          <w:p w:rsidR="00705EB0" w:rsidRPr="00FD0AA0" w:rsidRDefault="00705EB0" w:rsidP="0007538F">
            <w:pPr>
              <w:pStyle w:val="ListParagraph"/>
              <w:spacing w:after="0" w:line="240" w:lineRule="auto"/>
              <w:ind w:left="0"/>
              <w:jc w:val="center"/>
              <w:rPr>
                <w:rFonts w:cs="Times New Roman"/>
                <w:b/>
                <w:color w:val="002060"/>
                <w:sz w:val="18"/>
                <w:szCs w:val="18"/>
              </w:rPr>
            </w:pPr>
          </w:p>
        </w:tc>
        <w:tc>
          <w:tcPr>
            <w:tcW w:w="4050" w:type="dxa"/>
            <w:gridSpan w:val="3"/>
            <w:tcBorders>
              <w:left w:val="thinThickThinSmallGap" w:sz="24" w:space="0" w:color="auto"/>
            </w:tcBorders>
            <w:shd w:val="clear" w:color="auto" w:fill="FFFFFF" w:themeFill="background1"/>
          </w:tcPr>
          <w:p w:rsidR="00705EB0" w:rsidRPr="00FD0AA0" w:rsidRDefault="00705EB0" w:rsidP="00690FDA">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 xml:space="preserve">Non-PEB X  </w:t>
            </w:r>
            <w:r>
              <w:rPr>
                <w:rFonts w:cs="Times New Roman"/>
                <w:color w:val="002060"/>
                <w:sz w:val="18"/>
                <w:szCs w:val="18"/>
              </w:rPr>
              <w:t>4</w:t>
            </w:r>
            <w:r w:rsidRPr="00FD0AA0">
              <w:rPr>
                <w:rFonts w:cs="Times New Roman"/>
                <w:color w:val="002060"/>
                <w:sz w:val="18"/>
                <w:szCs w:val="18"/>
              </w:rPr>
              <w:t xml:space="preserve"> / NSC X </w:t>
            </w:r>
            <w:r>
              <w:rPr>
                <w:rFonts w:cs="Times New Roman"/>
                <w:color w:val="002060"/>
                <w:sz w:val="18"/>
                <w:szCs w:val="18"/>
              </w:rPr>
              <w:t>3</w:t>
            </w:r>
          </w:p>
        </w:tc>
        <w:tc>
          <w:tcPr>
            <w:tcW w:w="990" w:type="dxa"/>
            <w:shd w:val="clear" w:color="auto" w:fill="FFFFFF" w:themeFill="background1"/>
          </w:tcPr>
          <w:p w:rsidR="00705EB0" w:rsidRPr="00FD0AA0" w:rsidRDefault="005F4676" w:rsidP="0007538F">
            <w:pPr>
              <w:pStyle w:val="ListParagraph"/>
              <w:spacing w:after="0" w:line="240" w:lineRule="auto"/>
              <w:ind w:left="0"/>
              <w:jc w:val="center"/>
              <w:rPr>
                <w:rFonts w:cs="Times New Roman"/>
                <w:color w:val="002060"/>
                <w:sz w:val="18"/>
                <w:szCs w:val="18"/>
              </w:rPr>
            </w:pPr>
            <w:r w:rsidRPr="002B5F61">
              <w:rPr>
                <w:rFonts w:cs="Times New Roman"/>
                <w:color w:val="002060"/>
                <w:sz w:val="18"/>
                <w:szCs w:val="18"/>
              </w:rPr>
              <w:t>20070221</w:t>
            </w:r>
          </w:p>
        </w:tc>
      </w:tr>
      <w:tr w:rsidR="00705EB0" w:rsidRPr="002A685E" w:rsidTr="006E3DD8">
        <w:trPr>
          <w:trHeight w:val="242"/>
        </w:trPr>
        <w:tc>
          <w:tcPr>
            <w:tcW w:w="4230" w:type="dxa"/>
            <w:gridSpan w:val="4"/>
            <w:tcBorders>
              <w:right w:val="thinThickThinSmallGap" w:sz="24" w:space="0" w:color="auto"/>
            </w:tcBorders>
            <w:shd w:val="clear" w:color="auto" w:fill="C6D9F1" w:themeFill="text2" w:themeFillTint="33"/>
          </w:tcPr>
          <w:p w:rsidR="00705EB0" w:rsidRPr="002A685E" w:rsidRDefault="00705EB0" w:rsidP="0007538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Pr>
                <w:rFonts w:cs="Times New Roman"/>
                <w:b/>
                <w:color w:val="002060"/>
                <w:sz w:val="20"/>
                <w:szCs w:val="20"/>
              </w:rPr>
              <w:t>2</w:t>
            </w:r>
            <w:r w:rsidRPr="002A685E">
              <w:rPr>
                <w:rFonts w:cs="Times New Roman"/>
                <w:b/>
                <w:color w:val="002060"/>
                <w:sz w:val="20"/>
                <w:szCs w:val="20"/>
              </w:rPr>
              <w:t>0%</w:t>
            </w:r>
          </w:p>
        </w:tc>
        <w:tc>
          <w:tcPr>
            <w:tcW w:w="5040" w:type="dxa"/>
            <w:gridSpan w:val="4"/>
            <w:tcBorders>
              <w:left w:val="thinThickThinSmallGap" w:sz="24" w:space="0" w:color="auto"/>
            </w:tcBorders>
            <w:shd w:val="clear" w:color="auto" w:fill="C6D9F1" w:themeFill="text2" w:themeFillTint="33"/>
          </w:tcPr>
          <w:p w:rsidR="00705EB0" w:rsidRPr="002A685E" w:rsidRDefault="00705EB0" w:rsidP="0007538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sidR="005F4676">
              <w:rPr>
                <w:rFonts w:cs="Times New Roman"/>
                <w:b/>
                <w:color w:val="002060"/>
                <w:sz w:val="20"/>
                <w:szCs w:val="20"/>
              </w:rPr>
              <w:t>10</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B979D9" w:rsidRDefault="002C6E5B" w:rsidP="002C6E5B">
      <w:pPr>
        <w:tabs>
          <w:tab w:val="left" w:pos="288"/>
          <w:tab w:val="left" w:pos="4752"/>
        </w:tabs>
        <w:spacing w:line="240" w:lineRule="exact"/>
        <w:jc w:val="both"/>
        <w:rPr>
          <w:color w:val="000080"/>
        </w:rPr>
      </w:pPr>
      <w:r w:rsidRPr="00B979D9">
        <w:rPr>
          <w:color w:val="000080"/>
          <w:u w:val="single"/>
        </w:rPr>
        <w:t>ANALYSIS SUMMARY</w:t>
      </w:r>
      <w:r w:rsidRPr="00B979D9">
        <w:rPr>
          <w:color w:val="000080"/>
        </w:rPr>
        <w:t>:</w:t>
      </w:r>
    </w:p>
    <w:p w:rsidR="002C6E5B" w:rsidRPr="00B979D9" w:rsidRDefault="002C6E5B" w:rsidP="002C6E5B">
      <w:pPr>
        <w:tabs>
          <w:tab w:val="left" w:pos="288"/>
          <w:tab w:val="left" w:pos="4752"/>
        </w:tabs>
        <w:spacing w:line="240" w:lineRule="exact"/>
        <w:jc w:val="both"/>
        <w:rPr>
          <w:color w:val="000080"/>
        </w:rPr>
      </w:pPr>
    </w:p>
    <w:p w:rsidR="0075169D" w:rsidRPr="00B979D9" w:rsidRDefault="00127C51" w:rsidP="00B979D9">
      <w:pPr>
        <w:tabs>
          <w:tab w:val="left" w:pos="288"/>
          <w:tab w:val="left" w:pos="4752"/>
        </w:tabs>
        <w:spacing w:line="240" w:lineRule="exact"/>
        <w:jc w:val="both"/>
        <w:rPr>
          <w:color w:val="000080"/>
        </w:rPr>
      </w:pPr>
      <w:proofErr w:type="gramStart"/>
      <w:r w:rsidRPr="00B979D9">
        <w:rPr>
          <w:color w:val="000080"/>
          <w:u w:val="single"/>
        </w:rPr>
        <w:t>Spine</w:t>
      </w:r>
      <w:r w:rsidR="002C6E5B" w:rsidRPr="00B979D9">
        <w:rPr>
          <w:color w:val="000080"/>
          <w:u w:val="single"/>
        </w:rPr>
        <w:t xml:space="preserve"> Condition</w:t>
      </w:r>
      <w:r w:rsidRPr="00B979D9">
        <w:rPr>
          <w:color w:val="000080"/>
          <w:u w:val="single"/>
        </w:rPr>
        <w:t>s</w:t>
      </w:r>
      <w:r w:rsidR="002C6E5B" w:rsidRPr="00B979D9">
        <w:rPr>
          <w:color w:val="000080"/>
        </w:rPr>
        <w:t>.</w:t>
      </w:r>
      <w:proofErr w:type="gramEnd"/>
      <w:r w:rsidR="002C6E5B" w:rsidRPr="00B979D9">
        <w:rPr>
          <w:color w:val="000080"/>
        </w:rPr>
        <w:t xml:space="preserve">  </w:t>
      </w:r>
      <w:r w:rsidR="0075169D" w:rsidRPr="00B979D9">
        <w:rPr>
          <w:color w:val="000080"/>
        </w:rPr>
        <w:t xml:space="preserve">The appropriate ratings for the </w:t>
      </w:r>
      <w:proofErr w:type="spellStart"/>
      <w:r w:rsidR="0075169D" w:rsidRPr="00B979D9">
        <w:rPr>
          <w:color w:val="000080"/>
        </w:rPr>
        <w:t>thoracolumbar</w:t>
      </w:r>
      <w:proofErr w:type="spellEnd"/>
      <w:r w:rsidR="0075169D" w:rsidRPr="00B979D9">
        <w:rPr>
          <w:color w:val="000080"/>
        </w:rPr>
        <w:t xml:space="preserve"> and cervical conditions are better considered in concert since their goniometric range-of-motion (ROM) measurements were performed concurrently on </w:t>
      </w:r>
      <w:r w:rsidR="00461321" w:rsidRPr="00B979D9">
        <w:rPr>
          <w:color w:val="000080"/>
        </w:rPr>
        <w:t xml:space="preserve">all of </w:t>
      </w:r>
      <w:r w:rsidR="0075169D" w:rsidRPr="00B979D9">
        <w:rPr>
          <w:color w:val="000080"/>
        </w:rPr>
        <w:t xml:space="preserve">the examinations in evidence.  It is incongruent for the Board to assign a higher probative value to one exam in its rating recommendation for one of the conditions and then assign a higher probative value to a different exam for the other condition.  </w:t>
      </w:r>
      <w:r w:rsidR="00461321" w:rsidRPr="00B979D9">
        <w:rPr>
          <w:color w:val="000080"/>
        </w:rPr>
        <w:t xml:space="preserve">In addition to the MEB examination at the time of TDRL placement (for which no concurrent VA examination exists), there is a </w:t>
      </w:r>
      <w:r w:rsidR="00162317" w:rsidRPr="00B979D9">
        <w:rPr>
          <w:color w:val="000080"/>
        </w:rPr>
        <w:t xml:space="preserve">service </w:t>
      </w:r>
      <w:r w:rsidR="00461321" w:rsidRPr="00B979D9">
        <w:rPr>
          <w:color w:val="000080"/>
        </w:rPr>
        <w:t xml:space="preserve">TDRL examination two months prior to separation and an initial VA rating examination performed </w:t>
      </w:r>
      <w:r w:rsidR="00162317" w:rsidRPr="00B979D9">
        <w:rPr>
          <w:color w:val="000080"/>
        </w:rPr>
        <w:t>four months prior to separation.  Although the TDRL and VA examinations are primarily relevant to the Board’s recommendations, all three exams are summarized in the chart below.</w:t>
      </w:r>
    </w:p>
    <w:p w:rsidR="00350147" w:rsidRDefault="00350147">
      <w:pPr>
        <w:rPr>
          <w:rFonts w:asciiTheme="minorHAnsi" w:hAnsiTheme="minorHAnsi"/>
          <w:color w:val="auto"/>
          <w:szCs w:val="24"/>
        </w:rPr>
      </w:pPr>
      <w:r>
        <w:rPr>
          <w:rFonts w:asciiTheme="minorHAnsi" w:hAnsiTheme="minorHAnsi"/>
          <w:color w:val="auto"/>
          <w:szCs w:val="24"/>
        </w:rPr>
        <w:br w:type="page"/>
      </w:r>
    </w:p>
    <w:p w:rsidR="00127C51" w:rsidRDefault="00127C51" w:rsidP="007C6046">
      <w:pPr>
        <w:tabs>
          <w:tab w:val="left" w:pos="288"/>
          <w:tab w:val="left" w:pos="4752"/>
        </w:tabs>
        <w:spacing w:line="240" w:lineRule="exact"/>
        <w:rPr>
          <w:rFonts w:asciiTheme="minorHAnsi" w:hAnsiTheme="minorHAnsi"/>
          <w:color w:val="auto"/>
          <w:szCs w:val="24"/>
        </w:rPr>
      </w:pPr>
    </w:p>
    <w:tbl>
      <w:tblPr>
        <w:tblW w:w="85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260"/>
        <w:gridCol w:w="1260"/>
        <w:gridCol w:w="1350"/>
        <w:gridCol w:w="1260"/>
        <w:gridCol w:w="990"/>
        <w:gridCol w:w="900"/>
      </w:tblGrid>
      <w:tr w:rsidR="00461321" w:rsidRPr="007862B0" w:rsidTr="00162317">
        <w:trPr>
          <w:trHeight w:val="270"/>
        </w:trPr>
        <w:tc>
          <w:tcPr>
            <w:tcW w:w="1530" w:type="dxa"/>
            <w:vMerge w:val="restart"/>
            <w:shd w:val="clear" w:color="auto" w:fill="C6D9F1" w:themeFill="text2" w:themeFillTint="33"/>
          </w:tcPr>
          <w:p w:rsidR="003B0F7F" w:rsidRPr="009A2DF0" w:rsidRDefault="003B0F7F" w:rsidP="0007538F">
            <w:pPr>
              <w:pStyle w:val="ListParagraph"/>
              <w:spacing w:after="0" w:line="240" w:lineRule="exact"/>
              <w:ind w:left="0"/>
              <w:jc w:val="center"/>
              <w:rPr>
                <w:rFonts w:ascii="Calibri" w:eastAsia="Calibri" w:hAnsi="Calibri" w:cs="Times New Roman"/>
                <w:color w:val="002060"/>
              </w:rPr>
            </w:pPr>
            <w:r w:rsidRPr="009A2DF0">
              <w:rPr>
                <w:rFonts w:ascii="Calibri" w:eastAsia="Calibri" w:hAnsi="Calibri" w:cs="Times New Roman"/>
                <w:color w:val="002060"/>
              </w:rPr>
              <w:t>Goniometric ROM</w:t>
            </w:r>
          </w:p>
        </w:tc>
        <w:tc>
          <w:tcPr>
            <w:tcW w:w="2520" w:type="dxa"/>
            <w:gridSpan w:val="2"/>
            <w:shd w:val="clear" w:color="auto" w:fill="C6D9F1" w:themeFill="text2" w:themeFillTint="33"/>
          </w:tcPr>
          <w:p w:rsidR="003B0F7F" w:rsidRPr="009A2DF0" w:rsidRDefault="003B0F7F" w:rsidP="00461321">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MEB to TDRL</w:t>
            </w:r>
            <w:r w:rsidRPr="009A2DF0">
              <w:rPr>
                <w:rFonts w:ascii="Calibri" w:eastAsia="Calibri" w:hAnsi="Calibri" w:cs="Times New Roman"/>
                <w:color w:val="002060"/>
              </w:rPr>
              <w:t xml:space="preserve"> – </w:t>
            </w:r>
            <w:r w:rsidR="00461321">
              <w:rPr>
                <w:rFonts w:ascii="Calibri" w:eastAsia="Calibri" w:hAnsi="Calibri" w:cs="Times New Roman"/>
                <w:color w:val="002060"/>
              </w:rPr>
              <w:t>11/18/05</w:t>
            </w:r>
          </w:p>
        </w:tc>
        <w:tc>
          <w:tcPr>
            <w:tcW w:w="2610" w:type="dxa"/>
            <w:gridSpan w:val="2"/>
            <w:shd w:val="clear" w:color="auto" w:fill="C6D9F1" w:themeFill="text2" w:themeFillTint="33"/>
          </w:tcPr>
          <w:p w:rsidR="003B0F7F" w:rsidRPr="009A2DF0" w:rsidRDefault="003B0F7F" w:rsidP="003B0F7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TDRL</w:t>
            </w:r>
            <w:r w:rsidRPr="009A2DF0">
              <w:rPr>
                <w:rFonts w:ascii="Calibri" w:eastAsia="Calibri" w:hAnsi="Calibri" w:cs="Times New Roman"/>
                <w:color w:val="002060"/>
              </w:rPr>
              <w:t xml:space="preserve"> </w:t>
            </w:r>
            <w:r w:rsidR="00461321">
              <w:rPr>
                <w:rFonts w:ascii="Calibri" w:eastAsia="Calibri" w:hAnsi="Calibri" w:cs="Times New Roman"/>
                <w:color w:val="002060"/>
              </w:rPr>
              <w:t xml:space="preserve">Evaluation </w:t>
            </w:r>
            <w:r w:rsidRPr="009A2DF0">
              <w:rPr>
                <w:rFonts w:ascii="Calibri" w:eastAsia="Calibri" w:hAnsi="Calibri" w:cs="Times New Roman"/>
                <w:color w:val="002060"/>
              </w:rPr>
              <w:t xml:space="preserve">– </w:t>
            </w:r>
            <w:r>
              <w:rPr>
                <w:rFonts w:ascii="Calibri" w:eastAsia="Calibri" w:hAnsi="Calibri" w:cs="Times New Roman"/>
                <w:color w:val="002060"/>
              </w:rPr>
              <w:t>4</w:t>
            </w:r>
            <w:r w:rsidRPr="009A2DF0">
              <w:rPr>
                <w:rFonts w:ascii="Calibri" w:eastAsia="Calibri" w:hAnsi="Calibri" w:cs="Times New Roman"/>
                <w:color w:val="002060"/>
              </w:rPr>
              <w:t>/2</w:t>
            </w:r>
            <w:r>
              <w:rPr>
                <w:rFonts w:ascii="Calibri" w:eastAsia="Calibri" w:hAnsi="Calibri" w:cs="Times New Roman"/>
                <w:color w:val="002060"/>
              </w:rPr>
              <w:t>3</w:t>
            </w:r>
            <w:r w:rsidRPr="009A2DF0">
              <w:rPr>
                <w:rFonts w:ascii="Calibri" w:eastAsia="Calibri" w:hAnsi="Calibri" w:cs="Times New Roman"/>
                <w:color w:val="002060"/>
              </w:rPr>
              <w:t>/0</w:t>
            </w:r>
            <w:r>
              <w:rPr>
                <w:rFonts w:ascii="Calibri" w:eastAsia="Calibri" w:hAnsi="Calibri" w:cs="Times New Roman"/>
                <w:color w:val="002060"/>
              </w:rPr>
              <w:t>7</w:t>
            </w:r>
          </w:p>
        </w:tc>
        <w:tc>
          <w:tcPr>
            <w:tcW w:w="1890" w:type="dxa"/>
            <w:gridSpan w:val="2"/>
            <w:tcBorders>
              <w:bottom w:val="single" w:sz="4" w:space="0" w:color="auto"/>
            </w:tcBorders>
            <w:shd w:val="clear" w:color="auto" w:fill="C6D9F1" w:themeFill="text2" w:themeFillTint="33"/>
          </w:tcPr>
          <w:p w:rsidR="003B0F7F" w:rsidRPr="009A2DF0" w:rsidRDefault="003B0F7F" w:rsidP="003B0F7F">
            <w:pPr>
              <w:pStyle w:val="ListParagraph"/>
              <w:spacing w:after="0" w:line="240" w:lineRule="exact"/>
              <w:ind w:left="0"/>
              <w:jc w:val="center"/>
              <w:rPr>
                <w:rFonts w:ascii="Calibri" w:hAnsi="Calibri"/>
                <w:color w:val="002060"/>
              </w:rPr>
            </w:pPr>
            <w:r w:rsidRPr="009A2DF0">
              <w:rPr>
                <w:rFonts w:ascii="Calibri" w:eastAsia="Calibri" w:hAnsi="Calibri" w:cs="Times New Roman"/>
                <w:color w:val="002060"/>
              </w:rPr>
              <w:t>VA</w:t>
            </w:r>
            <w:r w:rsidRPr="009A2DF0">
              <w:rPr>
                <w:rFonts w:ascii="Calibri" w:hAnsi="Calibri"/>
                <w:color w:val="002060"/>
              </w:rPr>
              <w:t xml:space="preserve"> –</w:t>
            </w:r>
            <w:r>
              <w:rPr>
                <w:rFonts w:ascii="Calibri" w:eastAsia="Calibri" w:hAnsi="Calibri" w:cs="Times New Roman"/>
                <w:color w:val="002060"/>
              </w:rPr>
              <w:t>2/21</w:t>
            </w:r>
            <w:r w:rsidRPr="009A2DF0">
              <w:rPr>
                <w:rFonts w:ascii="Calibri" w:eastAsia="Calibri" w:hAnsi="Calibri" w:cs="Times New Roman"/>
                <w:color w:val="002060"/>
              </w:rPr>
              <w:t>/0</w:t>
            </w:r>
            <w:r>
              <w:rPr>
                <w:rFonts w:ascii="Calibri" w:eastAsia="Calibri" w:hAnsi="Calibri" w:cs="Times New Roman"/>
                <w:color w:val="002060"/>
              </w:rPr>
              <w:t>7</w:t>
            </w:r>
          </w:p>
        </w:tc>
      </w:tr>
      <w:tr w:rsidR="00461321" w:rsidRPr="007862B0" w:rsidTr="00162317">
        <w:trPr>
          <w:trHeight w:val="210"/>
        </w:trPr>
        <w:tc>
          <w:tcPr>
            <w:tcW w:w="1530" w:type="dxa"/>
            <w:vMerge/>
            <w:shd w:val="clear" w:color="auto" w:fill="C6D9F1" w:themeFill="text2" w:themeFillTint="33"/>
          </w:tcPr>
          <w:p w:rsidR="0075169D" w:rsidRPr="009A2DF0" w:rsidRDefault="0075169D" w:rsidP="0007538F">
            <w:pPr>
              <w:pStyle w:val="ListParagraph"/>
              <w:spacing w:after="0" w:line="240" w:lineRule="exact"/>
              <w:ind w:left="0"/>
              <w:jc w:val="center"/>
              <w:rPr>
                <w:rFonts w:ascii="Calibri" w:eastAsia="Calibri" w:hAnsi="Calibri" w:cs="Times New Roman"/>
                <w:color w:val="002060"/>
              </w:rPr>
            </w:pPr>
          </w:p>
        </w:tc>
        <w:tc>
          <w:tcPr>
            <w:tcW w:w="1260" w:type="dxa"/>
            <w:shd w:val="clear" w:color="auto" w:fill="C6D9F1" w:themeFill="text2" w:themeFillTint="33"/>
          </w:tcPr>
          <w:p w:rsidR="0075169D" w:rsidRPr="009A2DF0" w:rsidRDefault="0075169D" w:rsidP="0007538F">
            <w:pPr>
              <w:pStyle w:val="ListParagraph"/>
              <w:spacing w:after="0" w:line="240" w:lineRule="exact"/>
              <w:ind w:left="0"/>
              <w:jc w:val="center"/>
              <w:rPr>
                <w:rFonts w:ascii="Calibri" w:eastAsia="Calibri" w:hAnsi="Calibri" w:cs="Times New Roman"/>
                <w:color w:val="002060"/>
              </w:rPr>
            </w:pPr>
            <w:r w:rsidRPr="009A2DF0">
              <w:rPr>
                <w:rFonts w:ascii="Calibri" w:eastAsia="Calibri" w:hAnsi="Calibri" w:cs="Times New Roman"/>
                <w:color w:val="002060"/>
              </w:rPr>
              <w:t xml:space="preserve">Cervical </w:t>
            </w:r>
          </w:p>
        </w:tc>
        <w:tc>
          <w:tcPr>
            <w:tcW w:w="1260" w:type="dxa"/>
            <w:shd w:val="clear" w:color="auto" w:fill="C6D9F1" w:themeFill="text2" w:themeFillTint="33"/>
          </w:tcPr>
          <w:p w:rsidR="0075169D" w:rsidRPr="009A2DF0" w:rsidRDefault="0075169D" w:rsidP="0007538F">
            <w:pPr>
              <w:pStyle w:val="ListParagraph"/>
              <w:spacing w:after="0" w:line="240" w:lineRule="exact"/>
              <w:ind w:left="0"/>
              <w:jc w:val="center"/>
              <w:rPr>
                <w:rFonts w:ascii="Calibri" w:eastAsia="Calibri" w:hAnsi="Calibri" w:cs="Times New Roman"/>
                <w:color w:val="002060"/>
              </w:rPr>
            </w:pPr>
            <w:r w:rsidRPr="009A2DF0">
              <w:rPr>
                <w:rFonts w:ascii="Calibri" w:eastAsia="Calibri" w:hAnsi="Calibri" w:cs="Times New Roman"/>
                <w:color w:val="002060"/>
              </w:rPr>
              <w:t>Lumbar</w:t>
            </w:r>
          </w:p>
        </w:tc>
        <w:tc>
          <w:tcPr>
            <w:tcW w:w="1350" w:type="dxa"/>
            <w:tcBorders>
              <w:top w:val="single" w:sz="4" w:space="0" w:color="auto"/>
              <w:right w:val="single" w:sz="4" w:space="0" w:color="auto"/>
            </w:tcBorders>
            <w:shd w:val="clear" w:color="auto" w:fill="C6D9F1" w:themeFill="text2" w:themeFillTint="33"/>
          </w:tcPr>
          <w:p w:rsidR="0075169D" w:rsidRPr="009A2DF0" w:rsidRDefault="0075169D" w:rsidP="00C84A4E">
            <w:pPr>
              <w:pStyle w:val="ListParagraph"/>
              <w:spacing w:after="0" w:line="240" w:lineRule="exact"/>
              <w:ind w:left="0"/>
              <w:jc w:val="center"/>
              <w:rPr>
                <w:rFonts w:ascii="Calibri" w:eastAsia="Calibri" w:hAnsi="Calibri" w:cs="Times New Roman"/>
                <w:color w:val="002060"/>
              </w:rPr>
            </w:pPr>
            <w:r w:rsidRPr="009A2DF0">
              <w:rPr>
                <w:rFonts w:ascii="Calibri" w:eastAsia="Calibri" w:hAnsi="Calibri" w:cs="Times New Roman"/>
                <w:color w:val="002060"/>
              </w:rPr>
              <w:t xml:space="preserve">Cervical </w:t>
            </w:r>
          </w:p>
        </w:tc>
        <w:tc>
          <w:tcPr>
            <w:tcW w:w="1260" w:type="dxa"/>
            <w:tcBorders>
              <w:top w:val="single" w:sz="4" w:space="0" w:color="auto"/>
              <w:left w:val="single" w:sz="4" w:space="0" w:color="auto"/>
            </w:tcBorders>
            <w:shd w:val="clear" w:color="auto" w:fill="C6D9F1" w:themeFill="text2" w:themeFillTint="33"/>
          </w:tcPr>
          <w:p w:rsidR="0075169D" w:rsidRPr="009A2DF0" w:rsidRDefault="0075169D" w:rsidP="0007538F">
            <w:pPr>
              <w:pStyle w:val="ListParagraph"/>
              <w:spacing w:after="0" w:line="240" w:lineRule="exact"/>
              <w:ind w:left="0"/>
              <w:jc w:val="center"/>
              <w:rPr>
                <w:rFonts w:ascii="Calibri" w:eastAsia="Calibri" w:hAnsi="Calibri" w:cs="Times New Roman"/>
                <w:color w:val="002060"/>
              </w:rPr>
            </w:pPr>
            <w:r w:rsidRPr="009A2DF0">
              <w:rPr>
                <w:rFonts w:ascii="Calibri" w:eastAsia="Calibri" w:hAnsi="Calibri" w:cs="Times New Roman"/>
                <w:color w:val="002060"/>
              </w:rPr>
              <w:t>Lumbar</w:t>
            </w:r>
          </w:p>
        </w:tc>
        <w:tc>
          <w:tcPr>
            <w:tcW w:w="990" w:type="dxa"/>
            <w:tcBorders>
              <w:top w:val="single" w:sz="4" w:space="0" w:color="auto"/>
              <w:right w:val="single" w:sz="4" w:space="0" w:color="auto"/>
            </w:tcBorders>
            <w:shd w:val="clear" w:color="auto" w:fill="C6D9F1" w:themeFill="text2" w:themeFillTint="33"/>
          </w:tcPr>
          <w:p w:rsidR="0075169D" w:rsidRPr="009A2DF0" w:rsidRDefault="0075169D" w:rsidP="0007538F">
            <w:pPr>
              <w:pStyle w:val="ListParagraph"/>
              <w:spacing w:after="0" w:line="240" w:lineRule="exact"/>
              <w:ind w:left="0"/>
              <w:jc w:val="center"/>
              <w:rPr>
                <w:rFonts w:ascii="Calibri" w:eastAsia="Calibri" w:hAnsi="Calibri" w:cs="Times New Roman"/>
                <w:color w:val="002060"/>
              </w:rPr>
            </w:pPr>
            <w:r w:rsidRPr="009A2DF0">
              <w:rPr>
                <w:rFonts w:ascii="Calibri" w:eastAsia="Calibri" w:hAnsi="Calibri" w:cs="Times New Roman"/>
                <w:color w:val="002060"/>
              </w:rPr>
              <w:t xml:space="preserve">Cervical </w:t>
            </w:r>
          </w:p>
        </w:tc>
        <w:tc>
          <w:tcPr>
            <w:tcW w:w="900" w:type="dxa"/>
            <w:tcBorders>
              <w:top w:val="single" w:sz="4" w:space="0" w:color="auto"/>
              <w:left w:val="single" w:sz="4" w:space="0" w:color="auto"/>
            </w:tcBorders>
            <w:shd w:val="clear" w:color="auto" w:fill="C6D9F1" w:themeFill="text2" w:themeFillTint="33"/>
          </w:tcPr>
          <w:p w:rsidR="0075169D" w:rsidRPr="009A2DF0" w:rsidRDefault="0075169D" w:rsidP="0007538F">
            <w:pPr>
              <w:pStyle w:val="ListParagraph"/>
              <w:spacing w:after="0" w:line="240" w:lineRule="exact"/>
              <w:ind w:left="0"/>
              <w:jc w:val="center"/>
              <w:rPr>
                <w:rFonts w:ascii="Calibri" w:eastAsia="Calibri" w:hAnsi="Calibri" w:cs="Times New Roman"/>
                <w:color w:val="002060"/>
              </w:rPr>
            </w:pPr>
            <w:r w:rsidRPr="009A2DF0">
              <w:rPr>
                <w:rFonts w:ascii="Calibri" w:eastAsia="Calibri" w:hAnsi="Calibri" w:cs="Times New Roman"/>
                <w:color w:val="002060"/>
              </w:rPr>
              <w:t>Lumbar</w:t>
            </w:r>
          </w:p>
        </w:tc>
      </w:tr>
      <w:tr w:rsidR="00461321" w:rsidRPr="00140096" w:rsidTr="00162317">
        <w:tc>
          <w:tcPr>
            <w:tcW w:w="1530" w:type="dxa"/>
          </w:tcPr>
          <w:p w:rsidR="0075169D" w:rsidRPr="00F81C35" w:rsidRDefault="0075169D" w:rsidP="0007538F">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1260" w:type="dxa"/>
          </w:tcPr>
          <w:p w:rsidR="0075169D" w:rsidRPr="00F81C35" w:rsidRDefault="0075169D" w:rsidP="0007538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w:t>
            </w:r>
            <w:r w:rsidR="003B0F7F">
              <w:rPr>
                <w:rFonts w:ascii="Calibri" w:eastAsia="Calibri" w:hAnsi="Calibri" w:cs="Times New Roman"/>
                <w:color w:val="002060"/>
              </w:rPr>
              <w:t>5</w:t>
            </w:r>
            <w:r w:rsidRPr="00F81C35">
              <w:rPr>
                <w:rFonts w:ascii="Calibri" w:eastAsia="Calibri" w:hAnsi="Calibri" w:cs="Times New Roman"/>
                <w:color w:val="002060"/>
              </w:rPr>
              <w:t>⁰</w:t>
            </w:r>
          </w:p>
        </w:tc>
        <w:tc>
          <w:tcPr>
            <w:tcW w:w="1260" w:type="dxa"/>
          </w:tcPr>
          <w:p w:rsidR="0075169D" w:rsidRPr="00F81C35" w:rsidRDefault="003B0F7F" w:rsidP="0007538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90</w:t>
            </w:r>
            <w:r w:rsidR="0075169D" w:rsidRPr="00F81C35">
              <w:rPr>
                <w:rFonts w:ascii="Calibri" w:eastAsia="Calibri" w:hAnsi="Calibri" w:cs="Times New Roman"/>
                <w:color w:val="002060"/>
              </w:rPr>
              <w:t>⁰</w:t>
            </w:r>
          </w:p>
        </w:tc>
        <w:tc>
          <w:tcPr>
            <w:tcW w:w="1350" w:type="dxa"/>
            <w:tcBorders>
              <w:right w:val="single" w:sz="4" w:space="0" w:color="auto"/>
            </w:tcBorders>
          </w:tcPr>
          <w:p w:rsidR="0075169D" w:rsidRPr="00F81C35" w:rsidRDefault="0075169D" w:rsidP="0007538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30</w:t>
            </w:r>
            <w:r w:rsidRPr="00F81C35">
              <w:rPr>
                <w:rFonts w:ascii="Calibri" w:eastAsia="Calibri" w:hAnsi="Calibri" w:cs="Times New Roman"/>
                <w:color w:val="002060"/>
              </w:rPr>
              <w:t>⁰</w:t>
            </w:r>
          </w:p>
        </w:tc>
        <w:tc>
          <w:tcPr>
            <w:tcW w:w="1260" w:type="dxa"/>
            <w:tcBorders>
              <w:left w:val="single" w:sz="4" w:space="0" w:color="auto"/>
            </w:tcBorders>
          </w:tcPr>
          <w:p w:rsidR="0075169D" w:rsidRPr="00F81C35" w:rsidRDefault="0075169D" w:rsidP="0007538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85</w:t>
            </w:r>
            <w:r w:rsidRPr="00F81C35">
              <w:rPr>
                <w:rFonts w:ascii="Calibri" w:eastAsia="Calibri" w:hAnsi="Calibri" w:cs="Times New Roman"/>
                <w:color w:val="002060"/>
              </w:rPr>
              <w:t>⁰</w:t>
            </w:r>
          </w:p>
        </w:tc>
        <w:tc>
          <w:tcPr>
            <w:tcW w:w="990" w:type="dxa"/>
            <w:tcBorders>
              <w:right w:val="single" w:sz="4" w:space="0" w:color="auto"/>
            </w:tcBorders>
          </w:tcPr>
          <w:p w:rsidR="0075169D" w:rsidRPr="00F81C35" w:rsidRDefault="0075169D" w:rsidP="0007538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10</w:t>
            </w:r>
            <w:r w:rsidRPr="00F81C35">
              <w:rPr>
                <w:rFonts w:ascii="Calibri" w:eastAsia="Calibri" w:hAnsi="Calibri" w:cs="Times New Roman"/>
                <w:color w:val="002060"/>
              </w:rPr>
              <w:t>⁰</w:t>
            </w:r>
          </w:p>
        </w:tc>
        <w:tc>
          <w:tcPr>
            <w:tcW w:w="900" w:type="dxa"/>
            <w:tcBorders>
              <w:left w:val="single" w:sz="4" w:space="0" w:color="auto"/>
            </w:tcBorders>
          </w:tcPr>
          <w:p w:rsidR="0075169D" w:rsidRPr="00F81C35" w:rsidRDefault="0075169D" w:rsidP="00DE6286">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30</w:t>
            </w:r>
            <w:r w:rsidRPr="00F81C35">
              <w:rPr>
                <w:rFonts w:ascii="Calibri" w:eastAsia="Calibri" w:hAnsi="Calibri" w:cs="Times New Roman"/>
                <w:color w:val="002060"/>
              </w:rPr>
              <w:t>⁰</w:t>
            </w:r>
          </w:p>
        </w:tc>
      </w:tr>
      <w:tr w:rsidR="00461321" w:rsidRPr="00D340CE" w:rsidTr="00162317">
        <w:tc>
          <w:tcPr>
            <w:tcW w:w="1530" w:type="dxa"/>
          </w:tcPr>
          <w:p w:rsidR="0075169D" w:rsidRPr="00F81C35" w:rsidRDefault="0075169D" w:rsidP="0007538F">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1260" w:type="dxa"/>
          </w:tcPr>
          <w:p w:rsidR="0075169D" w:rsidRPr="00F81C35" w:rsidRDefault="003B0F7F" w:rsidP="0007538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325</w:t>
            </w:r>
            <w:r w:rsidR="0075169D" w:rsidRPr="00F81C35">
              <w:rPr>
                <w:rFonts w:ascii="Calibri" w:eastAsia="Calibri" w:hAnsi="Calibri" w:cs="Times New Roman"/>
                <w:color w:val="002060"/>
              </w:rPr>
              <w:t>⁰</w:t>
            </w:r>
          </w:p>
        </w:tc>
        <w:tc>
          <w:tcPr>
            <w:tcW w:w="1260" w:type="dxa"/>
          </w:tcPr>
          <w:p w:rsidR="0075169D" w:rsidRPr="00F81C35" w:rsidRDefault="003B0F7F" w:rsidP="0007538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&gt;240</w:t>
            </w:r>
            <w:r w:rsidR="0075169D" w:rsidRPr="00F81C35">
              <w:rPr>
                <w:rFonts w:ascii="Calibri" w:eastAsia="Calibri" w:hAnsi="Calibri" w:cs="Times New Roman"/>
                <w:color w:val="002060"/>
              </w:rPr>
              <w:t>⁰</w:t>
            </w:r>
          </w:p>
        </w:tc>
        <w:tc>
          <w:tcPr>
            <w:tcW w:w="1350" w:type="dxa"/>
            <w:tcBorders>
              <w:right w:val="single" w:sz="4" w:space="0" w:color="auto"/>
            </w:tcBorders>
          </w:tcPr>
          <w:p w:rsidR="0075169D" w:rsidRPr="00F81C35" w:rsidRDefault="0075169D" w:rsidP="0007538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260</w:t>
            </w:r>
            <w:r w:rsidRPr="00F81C35">
              <w:rPr>
                <w:rFonts w:ascii="Calibri" w:eastAsia="Calibri" w:hAnsi="Calibri" w:cs="Times New Roman"/>
                <w:color w:val="002060"/>
              </w:rPr>
              <w:t>⁰</w:t>
            </w:r>
          </w:p>
        </w:tc>
        <w:tc>
          <w:tcPr>
            <w:tcW w:w="1260" w:type="dxa"/>
            <w:tcBorders>
              <w:left w:val="single" w:sz="4" w:space="0" w:color="auto"/>
            </w:tcBorders>
          </w:tcPr>
          <w:p w:rsidR="0075169D" w:rsidRPr="00F81C35" w:rsidRDefault="0075169D" w:rsidP="00DE6286">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240</w:t>
            </w:r>
            <w:r w:rsidRPr="00F81C35">
              <w:rPr>
                <w:rFonts w:ascii="Calibri" w:eastAsia="Calibri" w:hAnsi="Calibri" w:cs="Times New Roman"/>
                <w:color w:val="002060"/>
              </w:rPr>
              <w:t>⁰</w:t>
            </w:r>
          </w:p>
        </w:tc>
        <w:tc>
          <w:tcPr>
            <w:tcW w:w="990" w:type="dxa"/>
            <w:tcBorders>
              <w:right w:val="single" w:sz="4" w:space="0" w:color="auto"/>
            </w:tcBorders>
          </w:tcPr>
          <w:p w:rsidR="0075169D" w:rsidRPr="00F81C35" w:rsidRDefault="0075169D" w:rsidP="0007538F">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115</w:t>
            </w:r>
            <w:r w:rsidRPr="00F81C35">
              <w:rPr>
                <w:rFonts w:ascii="Calibri" w:eastAsia="Calibri" w:hAnsi="Calibri" w:cs="Times New Roman"/>
                <w:color w:val="002060"/>
              </w:rPr>
              <w:t>⁰</w:t>
            </w:r>
          </w:p>
        </w:tc>
        <w:tc>
          <w:tcPr>
            <w:tcW w:w="900" w:type="dxa"/>
            <w:tcBorders>
              <w:left w:val="single" w:sz="4" w:space="0" w:color="auto"/>
            </w:tcBorders>
          </w:tcPr>
          <w:p w:rsidR="0075169D" w:rsidRPr="00F81C35" w:rsidRDefault="0075169D" w:rsidP="00DE6286">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105</w:t>
            </w:r>
            <w:r w:rsidRPr="00F81C35">
              <w:rPr>
                <w:rFonts w:ascii="Calibri" w:eastAsia="Calibri" w:hAnsi="Calibri" w:cs="Times New Roman"/>
                <w:color w:val="002060"/>
              </w:rPr>
              <w:t>⁰</w:t>
            </w:r>
          </w:p>
        </w:tc>
      </w:tr>
      <w:tr w:rsidR="00461321" w:rsidRPr="004E0248" w:rsidTr="00162317">
        <w:trPr>
          <w:trHeight w:val="233"/>
        </w:trPr>
        <w:tc>
          <w:tcPr>
            <w:tcW w:w="1530" w:type="dxa"/>
          </w:tcPr>
          <w:p w:rsidR="0075169D" w:rsidRPr="00127C51" w:rsidRDefault="0075169D" w:rsidP="0007538F">
            <w:pPr>
              <w:tabs>
                <w:tab w:val="left" w:pos="288"/>
                <w:tab w:val="left" w:pos="4752"/>
              </w:tabs>
              <w:spacing w:line="240" w:lineRule="exact"/>
              <w:rPr>
                <w:rFonts w:asciiTheme="minorHAnsi" w:eastAsiaTheme="minorHAnsi" w:hAnsiTheme="minorHAnsi"/>
                <w:color w:val="002060"/>
                <w:sz w:val="22"/>
                <w:szCs w:val="22"/>
              </w:rPr>
            </w:pPr>
            <w:r w:rsidRPr="00127C51">
              <w:rPr>
                <w:rFonts w:asciiTheme="minorHAnsi" w:eastAsiaTheme="minorHAnsi" w:hAnsiTheme="minorHAnsi"/>
                <w:color w:val="002060"/>
                <w:sz w:val="22"/>
                <w:szCs w:val="22"/>
              </w:rPr>
              <w:t>§4.71a Rating</w:t>
            </w:r>
          </w:p>
        </w:tc>
        <w:tc>
          <w:tcPr>
            <w:tcW w:w="1260" w:type="dxa"/>
          </w:tcPr>
          <w:p w:rsidR="0075169D" w:rsidRPr="00127C51" w:rsidRDefault="003B0F7F" w:rsidP="0007538F">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0075169D" w:rsidRPr="00127C51">
              <w:rPr>
                <w:rFonts w:asciiTheme="minorHAnsi" w:eastAsiaTheme="minorHAnsi" w:hAnsiTheme="minorHAnsi"/>
                <w:color w:val="002060"/>
                <w:sz w:val="22"/>
                <w:szCs w:val="22"/>
              </w:rPr>
              <w:t>0%</w:t>
            </w:r>
          </w:p>
        </w:tc>
        <w:tc>
          <w:tcPr>
            <w:tcW w:w="1260" w:type="dxa"/>
          </w:tcPr>
          <w:p w:rsidR="0075169D" w:rsidRPr="00127C51" w:rsidRDefault="0075169D" w:rsidP="0007538F">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Pr="00127C51">
              <w:rPr>
                <w:rFonts w:asciiTheme="minorHAnsi" w:eastAsiaTheme="minorHAnsi" w:hAnsiTheme="minorHAnsi"/>
                <w:color w:val="002060"/>
                <w:sz w:val="22"/>
                <w:szCs w:val="22"/>
              </w:rPr>
              <w:t>0%</w:t>
            </w:r>
          </w:p>
        </w:tc>
        <w:tc>
          <w:tcPr>
            <w:tcW w:w="1350" w:type="dxa"/>
            <w:tcBorders>
              <w:right w:val="single" w:sz="4" w:space="0" w:color="auto"/>
            </w:tcBorders>
          </w:tcPr>
          <w:p w:rsidR="0075169D" w:rsidRPr="00127C51" w:rsidRDefault="0075169D" w:rsidP="0007538F">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Pr="00127C51">
              <w:rPr>
                <w:rFonts w:asciiTheme="minorHAnsi" w:eastAsiaTheme="minorHAnsi" w:hAnsiTheme="minorHAnsi"/>
                <w:color w:val="002060"/>
                <w:sz w:val="22"/>
                <w:szCs w:val="22"/>
              </w:rPr>
              <w:t>0%</w:t>
            </w:r>
          </w:p>
        </w:tc>
        <w:tc>
          <w:tcPr>
            <w:tcW w:w="1260" w:type="dxa"/>
            <w:tcBorders>
              <w:left w:val="single" w:sz="4" w:space="0" w:color="auto"/>
            </w:tcBorders>
          </w:tcPr>
          <w:p w:rsidR="0075169D" w:rsidRPr="00127C51" w:rsidRDefault="0075169D" w:rsidP="0007538F">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Pr="00127C51">
              <w:rPr>
                <w:rFonts w:asciiTheme="minorHAnsi" w:eastAsiaTheme="minorHAnsi" w:hAnsiTheme="minorHAnsi"/>
                <w:color w:val="002060"/>
                <w:sz w:val="22"/>
                <w:szCs w:val="22"/>
              </w:rPr>
              <w:t>0%</w:t>
            </w:r>
          </w:p>
        </w:tc>
        <w:tc>
          <w:tcPr>
            <w:tcW w:w="990" w:type="dxa"/>
            <w:tcBorders>
              <w:right w:val="single" w:sz="4" w:space="0" w:color="auto"/>
            </w:tcBorders>
          </w:tcPr>
          <w:p w:rsidR="0075169D" w:rsidRPr="00127C51" w:rsidRDefault="0075169D" w:rsidP="0007538F">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3</w:t>
            </w:r>
            <w:r w:rsidRPr="00127C51">
              <w:rPr>
                <w:rFonts w:asciiTheme="minorHAnsi" w:eastAsiaTheme="minorHAnsi" w:hAnsiTheme="minorHAnsi"/>
                <w:color w:val="002060"/>
                <w:sz w:val="22"/>
                <w:szCs w:val="22"/>
              </w:rPr>
              <w:t>0%</w:t>
            </w:r>
          </w:p>
        </w:tc>
        <w:tc>
          <w:tcPr>
            <w:tcW w:w="900" w:type="dxa"/>
            <w:tcBorders>
              <w:left w:val="single" w:sz="4" w:space="0" w:color="auto"/>
            </w:tcBorders>
          </w:tcPr>
          <w:p w:rsidR="0075169D" w:rsidRPr="00127C51" w:rsidRDefault="0075169D" w:rsidP="0007538F">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4</w:t>
            </w:r>
            <w:r w:rsidRPr="00127C51">
              <w:rPr>
                <w:rFonts w:asciiTheme="minorHAnsi" w:eastAsiaTheme="minorHAnsi" w:hAnsiTheme="minorHAnsi"/>
                <w:color w:val="002060"/>
                <w:sz w:val="22"/>
                <w:szCs w:val="22"/>
              </w:rPr>
              <w:t>0%</w:t>
            </w:r>
          </w:p>
        </w:tc>
      </w:tr>
    </w:tbl>
    <w:p w:rsidR="00127C51" w:rsidRDefault="00127C51" w:rsidP="007C6046">
      <w:pPr>
        <w:tabs>
          <w:tab w:val="left" w:pos="288"/>
          <w:tab w:val="left" w:pos="4752"/>
        </w:tabs>
        <w:spacing w:line="240" w:lineRule="exact"/>
        <w:rPr>
          <w:rFonts w:asciiTheme="minorHAnsi" w:hAnsiTheme="minorHAnsi"/>
          <w:color w:val="auto"/>
          <w:szCs w:val="24"/>
        </w:rPr>
      </w:pPr>
    </w:p>
    <w:p w:rsidR="00127C51" w:rsidRPr="00B979D9" w:rsidRDefault="00162317" w:rsidP="00B979D9">
      <w:pPr>
        <w:tabs>
          <w:tab w:val="left" w:pos="288"/>
          <w:tab w:val="left" w:pos="4752"/>
        </w:tabs>
        <w:spacing w:line="240" w:lineRule="exact"/>
        <w:jc w:val="both"/>
        <w:rPr>
          <w:color w:val="000080"/>
        </w:rPr>
      </w:pPr>
      <w:r w:rsidRPr="00B979D9">
        <w:rPr>
          <w:color w:val="000080"/>
        </w:rPr>
        <w:t xml:space="preserve">All of the examinations specified pain as the end-point.  The values reflected in the TDRL exam are an average of three active ROM measurements.  </w:t>
      </w:r>
      <w:r w:rsidR="00455A8A" w:rsidRPr="00B979D9">
        <w:rPr>
          <w:color w:val="000080"/>
        </w:rPr>
        <w:t xml:space="preserve">The values in the VA exam were specified as degree that pain occurs, although they did not differ from the baseline ROM measurements.  The TDRL examiner documented tenderness and spasm.  The VA examiner noted tenderness, but documented the absence of spasm.  The VA </w:t>
      </w:r>
      <w:r w:rsidR="0028137D" w:rsidRPr="00B979D9">
        <w:rPr>
          <w:color w:val="000080"/>
        </w:rPr>
        <w:t xml:space="preserve">examiner further stated ‘no evidence of radiating pain on movement’.  The TDRL exam noted no gait disturbance.  The VA examiner documented the gait as ‘hysterical’.  The Board judged that the service TDRL examination carried the most probative value </w:t>
      </w:r>
      <w:r w:rsidR="00997EC0" w:rsidRPr="00B979D9">
        <w:rPr>
          <w:color w:val="000080"/>
        </w:rPr>
        <w:t>in weighing options</w:t>
      </w:r>
      <w:r w:rsidR="0028137D" w:rsidRPr="00B979D9">
        <w:rPr>
          <w:color w:val="000080"/>
        </w:rPr>
        <w:t xml:space="preserve"> for its rating recommendation.  The reasons this was chosen in lieu of the </w:t>
      </w:r>
      <w:r w:rsidR="00997EC0" w:rsidRPr="00B979D9">
        <w:rPr>
          <w:color w:val="000080"/>
        </w:rPr>
        <w:t xml:space="preserve">higher-rated </w:t>
      </w:r>
      <w:r w:rsidR="0028137D" w:rsidRPr="00B979D9">
        <w:rPr>
          <w:color w:val="000080"/>
        </w:rPr>
        <w:t xml:space="preserve">VA examination were:  1) The TDRL examination was two months closer to the separation date.  2) The poor ROM values reported in the VA exam are </w:t>
      </w:r>
      <w:r w:rsidR="001E3E9C" w:rsidRPr="00B979D9">
        <w:rPr>
          <w:color w:val="000080"/>
        </w:rPr>
        <w:t xml:space="preserve">based on subjective pain responses which are not consistent with the objective absence of spasm.  </w:t>
      </w:r>
      <w:r w:rsidR="00AC7A55" w:rsidRPr="00B979D9">
        <w:rPr>
          <w:color w:val="000080"/>
        </w:rPr>
        <w:t>3)  The VA examiner’s notation of ‘hysterical’ gait raises the question of an emotional, rather than physical, basis for the ROM pain thresholds.  4)  The TDRL examination was more consistent with the baseline impairment evidenced in the STR and by the MEB goniometric examination.  The VA examiner did not report a re-injury or any other clinical reason for significant worsening of the cervical or lumbar conditions over the 14-month course of TDRL.</w:t>
      </w:r>
    </w:p>
    <w:p w:rsidR="00FA3E87" w:rsidRPr="00B979D9" w:rsidRDefault="00FA3E87" w:rsidP="00B979D9">
      <w:pPr>
        <w:tabs>
          <w:tab w:val="left" w:pos="288"/>
          <w:tab w:val="left" w:pos="4752"/>
        </w:tabs>
        <w:spacing w:line="240" w:lineRule="exact"/>
        <w:jc w:val="both"/>
        <w:rPr>
          <w:color w:val="000080"/>
        </w:rPr>
      </w:pPr>
    </w:p>
    <w:p w:rsidR="00FA3E87" w:rsidRPr="00B979D9" w:rsidRDefault="00FA3E87" w:rsidP="00B979D9">
      <w:pPr>
        <w:tabs>
          <w:tab w:val="left" w:pos="288"/>
          <w:tab w:val="left" w:pos="4752"/>
        </w:tabs>
        <w:spacing w:line="240" w:lineRule="exact"/>
        <w:jc w:val="both"/>
        <w:rPr>
          <w:color w:val="000080"/>
        </w:rPr>
      </w:pPr>
      <w:r w:rsidRPr="00B979D9">
        <w:rPr>
          <w:color w:val="000080"/>
        </w:rPr>
        <w:t xml:space="preserve">The ROM values reported in the TDRL value are consistent with </w:t>
      </w:r>
      <w:r w:rsidR="00350147">
        <w:rPr>
          <w:color w:val="000080"/>
        </w:rPr>
        <w:t>Veterans Administration Schedule for Rating Disabilities (</w:t>
      </w:r>
      <w:r w:rsidRPr="00B979D9">
        <w:rPr>
          <w:color w:val="000080"/>
        </w:rPr>
        <w:t>VASRD</w:t>
      </w:r>
      <w:r w:rsidR="00350147">
        <w:rPr>
          <w:color w:val="000080"/>
        </w:rPr>
        <w:t>)</w:t>
      </w:r>
      <w:r w:rsidRPr="00B979D9">
        <w:rPr>
          <w:color w:val="000080"/>
        </w:rPr>
        <w:t xml:space="preserve"> §4.71a ratings of 20% for the cervical spine and 10% for </w:t>
      </w:r>
      <w:proofErr w:type="spellStart"/>
      <w:r w:rsidRPr="00B979D9">
        <w:rPr>
          <w:color w:val="000080"/>
        </w:rPr>
        <w:t>thoracolumbar</w:t>
      </w:r>
      <w:proofErr w:type="spellEnd"/>
      <w:r w:rsidRPr="00B979D9">
        <w:rPr>
          <w:color w:val="000080"/>
        </w:rPr>
        <w:t xml:space="preserve"> spine, as entered in the chart above.  The PEB’s DA </w:t>
      </w:r>
      <w:r w:rsidR="00A85730">
        <w:rPr>
          <w:color w:val="000080"/>
        </w:rPr>
        <w:t xml:space="preserve">Form </w:t>
      </w:r>
      <w:r w:rsidRPr="00B979D9">
        <w:rPr>
          <w:color w:val="000080"/>
        </w:rPr>
        <w:t xml:space="preserve">199 for the separation ratings reflected application of the </w:t>
      </w:r>
      <w:r w:rsidR="00A85730">
        <w:rPr>
          <w:color w:val="000080"/>
        </w:rPr>
        <w:t>US Army Physical Disability Agency (</w:t>
      </w:r>
      <w:r w:rsidRPr="00B979D9">
        <w:rPr>
          <w:color w:val="000080"/>
        </w:rPr>
        <w:t>USAPDA</w:t>
      </w:r>
      <w:r w:rsidR="00A85730">
        <w:rPr>
          <w:color w:val="000080"/>
        </w:rPr>
        <w:t>)</w:t>
      </w:r>
      <w:r w:rsidRPr="00B979D9">
        <w:rPr>
          <w:color w:val="000080"/>
        </w:rPr>
        <w:t xml:space="preserve"> pain policy in reference to the cervical rating.  There was no evidence of ratable peripheral nerve impairment in this case.  The Board therefore recommends a rating of 20% for the</w:t>
      </w:r>
      <w:r w:rsidR="0007538F" w:rsidRPr="00B979D9">
        <w:rPr>
          <w:color w:val="000080"/>
        </w:rPr>
        <w:t xml:space="preserve"> cervical spine condition and 10% for the lumbar spine condition, both coded 5242.</w:t>
      </w:r>
    </w:p>
    <w:p w:rsidR="00127C51" w:rsidRPr="00B979D9" w:rsidRDefault="00127C51" w:rsidP="00B979D9">
      <w:pPr>
        <w:tabs>
          <w:tab w:val="left" w:pos="288"/>
          <w:tab w:val="left" w:pos="4752"/>
        </w:tabs>
        <w:spacing w:line="240" w:lineRule="exact"/>
        <w:jc w:val="both"/>
        <w:rPr>
          <w:color w:val="000080"/>
        </w:rPr>
      </w:pPr>
    </w:p>
    <w:p w:rsidR="0007538F" w:rsidRPr="00B979D9" w:rsidRDefault="0007538F" w:rsidP="00B979D9">
      <w:pPr>
        <w:tabs>
          <w:tab w:val="left" w:pos="288"/>
          <w:tab w:val="left" w:pos="4752"/>
        </w:tabs>
        <w:spacing w:line="240" w:lineRule="exact"/>
        <w:jc w:val="both"/>
        <w:rPr>
          <w:color w:val="000080"/>
        </w:rPr>
      </w:pPr>
      <w:proofErr w:type="gramStart"/>
      <w:r w:rsidRPr="00B979D9">
        <w:rPr>
          <w:color w:val="000080"/>
          <w:u w:val="single"/>
        </w:rPr>
        <w:t>Right Knee Condition</w:t>
      </w:r>
      <w:r w:rsidRPr="00B979D9">
        <w:rPr>
          <w:color w:val="000080"/>
        </w:rPr>
        <w:t>.</w:t>
      </w:r>
      <w:proofErr w:type="gramEnd"/>
      <w:r w:rsidRPr="00B979D9">
        <w:rPr>
          <w:color w:val="000080"/>
        </w:rPr>
        <w:t xml:space="preserve">  Knee flexion was measured at </w:t>
      </w:r>
      <w:r w:rsidR="009B3351" w:rsidRPr="00B979D9">
        <w:rPr>
          <w:color w:val="000080"/>
        </w:rPr>
        <w:t>135</w:t>
      </w:r>
      <w:r w:rsidR="00681505">
        <w:rPr>
          <w:rFonts w:ascii="Cambria Math" w:hAnsi="Cambria Math" w:cs="Cambria Math"/>
          <w:color w:val="000080"/>
        </w:rPr>
        <w:t>⁰</w:t>
      </w:r>
      <w:r w:rsidRPr="00B979D9">
        <w:rPr>
          <w:color w:val="000080"/>
        </w:rPr>
        <w:t xml:space="preserve"> by the </w:t>
      </w:r>
      <w:r w:rsidR="009B3351" w:rsidRPr="00B979D9">
        <w:rPr>
          <w:color w:val="000080"/>
        </w:rPr>
        <w:t>TDRL examiner</w:t>
      </w:r>
      <w:r w:rsidRPr="00B979D9">
        <w:rPr>
          <w:color w:val="000080"/>
        </w:rPr>
        <w:t xml:space="preserve"> and </w:t>
      </w:r>
      <w:r w:rsidR="009B3351" w:rsidRPr="00B979D9">
        <w:rPr>
          <w:color w:val="000080"/>
        </w:rPr>
        <w:t>118</w:t>
      </w:r>
      <w:r w:rsidR="00681505">
        <w:rPr>
          <w:rFonts w:ascii="Cambria Math" w:hAnsi="Cambria Math" w:cs="Cambria Math"/>
          <w:color w:val="000080"/>
        </w:rPr>
        <w:t>⁰</w:t>
      </w:r>
      <w:r w:rsidRPr="00B979D9">
        <w:rPr>
          <w:color w:val="000080"/>
        </w:rPr>
        <w:t xml:space="preserve"> by the VA</w:t>
      </w:r>
      <w:r w:rsidR="009B3351" w:rsidRPr="00B979D9">
        <w:rPr>
          <w:color w:val="000080"/>
        </w:rPr>
        <w:t xml:space="preserve"> examiner</w:t>
      </w:r>
      <w:r w:rsidRPr="00B979D9">
        <w:rPr>
          <w:color w:val="000080"/>
        </w:rPr>
        <w:t>.  Thus there is no compensa</w:t>
      </w:r>
      <w:r w:rsidR="00BF35DD" w:rsidRPr="00B979D9">
        <w:rPr>
          <w:color w:val="000080"/>
        </w:rPr>
        <w:t>ble ROM impairment for the</w:t>
      </w:r>
      <w:r w:rsidRPr="00B979D9">
        <w:rPr>
          <w:color w:val="000080"/>
        </w:rPr>
        <w:t xml:space="preserve"> knee.  The </w:t>
      </w:r>
      <w:r w:rsidR="00BF35DD" w:rsidRPr="00B979D9">
        <w:rPr>
          <w:color w:val="000080"/>
        </w:rPr>
        <w:t>TDRL</w:t>
      </w:r>
      <w:r w:rsidRPr="00B979D9">
        <w:rPr>
          <w:color w:val="000080"/>
        </w:rPr>
        <w:t xml:space="preserve"> and VA evaluations documented the abs</w:t>
      </w:r>
      <w:r w:rsidR="00BF35DD" w:rsidRPr="00B979D9">
        <w:rPr>
          <w:color w:val="000080"/>
        </w:rPr>
        <w:t xml:space="preserve">ence of mechanical instability, clinically significant </w:t>
      </w:r>
      <w:r w:rsidRPr="00B979D9">
        <w:rPr>
          <w:color w:val="000080"/>
        </w:rPr>
        <w:t xml:space="preserve">locking or frequent effusions.  Thus there is no route to a rating higher than 10% </w:t>
      </w:r>
      <w:r w:rsidR="00BF35DD" w:rsidRPr="00B979D9">
        <w:rPr>
          <w:color w:val="000080"/>
        </w:rPr>
        <w:t>or criterion for dual coding of the</w:t>
      </w:r>
      <w:r w:rsidRPr="00B979D9">
        <w:rPr>
          <w:color w:val="000080"/>
        </w:rPr>
        <w:t xml:space="preserve"> knee.  </w:t>
      </w:r>
      <w:r w:rsidR="00BF35DD" w:rsidRPr="00B979D9">
        <w:rPr>
          <w:color w:val="000080"/>
        </w:rPr>
        <w:t xml:space="preserve">The VA rating of 10% was based on §4.59 (painful motion) and §4.40 (functional loss).  </w:t>
      </w:r>
      <w:r w:rsidR="00AF52A2" w:rsidRPr="00B979D9">
        <w:rPr>
          <w:color w:val="000080"/>
        </w:rPr>
        <w:t>The DA</w:t>
      </w:r>
      <w:r w:rsidR="00A85730">
        <w:rPr>
          <w:color w:val="000080"/>
        </w:rPr>
        <w:t> Form </w:t>
      </w:r>
      <w:r w:rsidR="00AF52A2" w:rsidRPr="00B979D9">
        <w:rPr>
          <w:color w:val="000080"/>
        </w:rPr>
        <w:t xml:space="preserve">199 directly referenced the USAPDA pain policy for the </w:t>
      </w:r>
      <w:r w:rsidR="00AF52A2" w:rsidRPr="00B979D9">
        <w:rPr>
          <w:color w:val="000080"/>
        </w:rPr>
        <w:lastRenderedPageBreak/>
        <w:t xml:space="preserve">knee rating.  Documentation of painful motion is evidenced on the TDRL and VA knee examinations and §4.40 functional loss criteria are documented </w:t>
      </w:r>
      <w:r w:rsidR="00103CAE" w:rsidRPr="00B979D9">
        <w:rPr>
          <w:color w:val="000080"/>
        </w:rPr>
        <w:t xml:space="preserve">in the history obtained </w:t>
      </w:r>
      <w:r w:rsidR="00AF52A2" w:rsidRPr="00B979D9">
        <w:rPr>
          <w:color w:val="000080"/>
        </w:rPr>
        <w:t>by the VA examiner.  The Board therefore recommends a 10% rating for the right knee coded 5010</w:t>
      </w:r>
      <w:r w:rsidR="002F742F" w:rsidRPr="00B979D9">
        <w:rPr>
          <w:color w:val="000080"/>
        </w:rPr>
        <w:t>-5003.</w:t>
      </w:r>
    </w:p>
    <w:p w:rsidR="0005566C" w:rsidRPr="00B979D9" w:rsidRDefault="0005566C" w:rsidP="00B979D9">
      <w:pPr>
        <w:tabs>
          <w:tab w:val="left" w:pos="288"/>
          <w:tab w:val="left" w:pos="4752"/>
        </w:tabs>
        <w:spacing w:line="240" w:lineRule="exact"/>
        <w:jc w:val="both"/>
        <w:rPr>
          <w:color w:val="000080"/>
        </w:rPr>
      </w:pPr>
    </w:p>
    <w:p w:rsidR="0073254D" w:rsidRPr="00B979D9" w:rsidRDefault="0073254D" w:rsidP="00B979D9">
      <w:pPr>
        <w:tabs>
          <w:tab w:val="left" w:pos="288"/>
          <w:tab w:val="left" w:pos="4752"/>
        </w:tabs>
        <w:spacing w:line="240" w:lineRule="exact"/>
        <w:jc w:val="both"/>
        <w:rPr>
          <w:color w:val="000080"/>
        </w:rPr>
      </w:pPr>
      <w:proofErr w:type="gramStart"/>
      <w:r w:rsidRPr="00B979D9">
        <w:rPr>
          <w:color w:val="000080"/>
          <w:u w:val="single"/>
        </w:rPr>
        <w:t xml:space="preserve">Other DA </w:t>
      </w:r>
      <w:r w:rsidR="00A85730">
        <w:rPr>
          <w:color w:val="000080"/>
          <w:u w:val="single"/>
        </w:rPr>
        <w:t xml:space="preserve">Form </w:t>
      </w:r>
      <w:r w:rsidRPr="00B979D9">
        <w:rPr>
          <w:color w:val="000080"/>
          <w:u w:val="single"/>
        </w:rPr>
        <w:t>3947 Conditions (</w:t>
      </w:r>
      <w:r w:rsidR="0005566C" w:rsidRPr="00B979D9">
        <w:rPr>
          <w:color w:val="000080"/>
          <w:u w:val="single"/>
        </w:rPr>
        <w:t>Immunodeficiency Virus, Cognitive Disorder, Depression and Headache</w:t>
      </w:r>
      <w:r w:rsidRPr="00B979D9">
        <w:rPr>
          <w:color w:val="000080"/>
          <w:u w:val="single"/>
        </w:rPr>
        <w:t>)</w:t>
      </w:r>
      <w:r w:rsidRPr="00B979D9">
        <w:rPr>
          <w:color w:val="000080"/>
        </w:rPr>
        <w:t>.</w:t>
      </w:r>
      <w:proofErr w:type="gramEnd"/>
      <w:r w:rsidRPr="00B979D9">
        <w:rPr>
          <w:color w:val="000080"/>
        </w:rPr>
        <w:t xml:space="preserve">  </w:t>
      </w:r>
      <w:r w:rsidR="0005566C" w:rsidRPr="00B979D9">
        <w:rPr>
          <w:color w:val="000080"/>
        </w:rPr>
        <w:t xml:space="preserve">Asymptomatic HIV infection without progression to AIDS is not a basis for separation from </w:t>
      </w:r>
      <w:r w:rsidR="00852367" w:rsidRPr="00B979D9">
        <w:rPr>
          <w:color w:val="000080"/>
        </w:rPr>
        <w:t xml:space="preserve">the armed forces as evidenced by the CI’s continued service after the diagnosis.  There is then no argument that it was unfitting at separation, notwithstanding the link to the cognitive and mood disorders which were independently adjudicated.  The cognitive disorder, attributed to HIV, was documented by </w:t>
      </w:r>
      <w:r w:rsidR="00B628B9" w:rsidRPr="00B979D9">
        <w:rPr>
          <w:color w:val="000080"/>
        </w:rPr>
        <w:t xml:space="preserve">serial </w:t>
      </w:r>
      <w:proofErr w:type="spellStart"/>
      <w:r w:rsidR="00B628B9" w:rsidRPr="00B979D9">
        <w:rPr>
          <w:color w:val="000080"/>
        </w:rPr>
        <w:t>neurocognitive</w:t>
      </w:r>
      <w:proofErr w:type="spellEnd"/>
      <w:r w:rsidR="00B628B9" w:rsidRPr="00B979D9">
        <w:rPr>
          <w:color w:val="000080"/>
        </w:rPr>
        <w:t xml:space="preserve"> testing.  The overall impression from the October, 2005 examination (proximal to the fitness adjudication at hand) noted a ‘deficit in sustained attention’ and ‘clinically mild deficit’ for memory.  Intellectual capacity, reasoning and mental/motor </w:t>
      </w:r>
      <w:proofErr w:type="gramStart"/>
      <w:r w:rsidR="00B628B9" w:rsidRPr="00B979D9">
        <w:rPr>
          <w:color w:val="000080"/>
        </w:rPr>
        <w:t>speed were</w:t>
      </w:r>
      <w:proofErr w:type="gramEnd"/>
      <w:r w:rsidR="00B628B9" w:rsidRPr="00B979D9">
        <w:rPr>
          <w:color w:val="000080"/>
        </w:rPr>
        <w:t xml:space="preserve"> all average or better.  The CI stated in a letter to the MEB that </w:t>
      </w:r>
      <w:r w:rsidR="00DD5631" w:rsidRPr="00B979D9">
        <w:rPr>
          <w:color w:val="000080"/>
        </w:rPr>
        <w:t>the attention deficit ‘significantly impair</w:t>
      </w:r>
      <w:r w:rsidR="006C7C15" w:rsidRPr="00B979D9">
        <w:rPr>
          <w:color w:val="000080"/>
        </w:rPr>
        <w:t>s my ability to do my job as a linguist</w:t>
      </w:r>
      <w:r w:rsidR="00DD5631" w:rsidRPr="00B979D9">
        <w:rPr>
          <w:color w:val="000080"/>
        </w:rPr>
        <w:t xml:space="preserve">’ and that ‘I have been passed over for advancement within the work section because of my inability to retain target knowledge.’  These facts are not in evidence, however.  The Commander’s statement noted only her physical limitations and stated that promotion limitations were based on </w:t>
      </w:r>
      <w:r w:rsidR="006C7C15" w:rsidRPr="00B979D9">
        <w:rPr>
          <w:color w:val="000080"/>
        </w:rPr>
        <w:t>the</w:t>
      </w:r>
      <w:r w:rsidR="00DD5631" w:rsidRPr="00B979D9">
        <w:rPr>
          <w:color w:val="000080"/>
        </w:rPr>
        <w:t xml:space="preserve"> inability to take the APFT.  Her enlisted evaluations remained strong, including through the MEB period.  The 2005 evaluation was overall ‘among the best’ and documented numerous high-functioning accomplishments.   </w:t>
      </w:r>
      <w:r w:rsidR="006C7C15" w:rsidRPr="00B979D9">
        <w:rPr>
          <w:color w:val="000080"/>
        </w:rPr>
        <w:t xml:space="preserve">Her physical profile noted only the orthopedic limitations.  It can be conceded that, given her MOS, the cognitive impairment was operant.  There is, however, insufficient evidence to support an argument that the impairment reached unfitting proportions.  </w:t>
      </w:r>
      <w:r w:rsidR="00103CAE" w:rsidRPr="00B979D9">
        <w:rPr>
          <w:color w:val="000080"/>
        </w:rPr>
        <w:t xml:space="preserve">The fitness benchmarks for the depressive disorder are essentially the same as those for the cognitive disorder.  There </w:t>
      </w:r>
      <w:r w:rsidR="00357752" w:rsidRPr="00B979D9">
        <w:rPr>
          <w:color w:val="000080"/>
        </w:rPr>
        <w:t xml:space="preserve">is no evidence of incapacitating vegetative symptoms or any psychotic features.  No admissions were required.  The profile was S-1 without weapons restriction.  </w:t>
      </w:r>
      <w:r w:rsidR="00E32CE9" w:rsidRPr="00B979D9">
        <w:rPr>
          <w:color w:val="000080"/>
        </w:rPr>
        <w:t>The headache condition was not associated with any incapacitating episodes and received a non-compensable VA rating.  The VA examiner stated, ‘When the headache attacks occur, she is able to go to work but requires medication.’</w:t>
      </w:r>
    </w:p>
    <w:p w:rsidR="00E32CE9" w:rsidRPr="00B979D9" w:rsidRDefault="00E32CE9" w:rsidP="00B979D9">
      <w:pPr>
        <w:tabs>
          <w:tab w:val="left" w:pos="288"/>
          <w:tab w:val="left" w:pos="4752"/>
        </w:tabs>
        <w:spacing w:line="240" w:lineRule="exact"/>
        <w:jc w:val="both"/>
        <w:rPr>
          <w:color w:val="000080"/>
        </w:rPr>
      </w:pPr>
    </w:p>
    <w:p w:rsidR="00E32CE9" w:rsidRPr="00B979D9" w:rsidRDefault="00E32CE9" w:rsidP="00B979D9">
      <w:pPr>
        <w:tabs>
          <w:tab w:val="left" w:pos="288"/>
          <w:tab w:val="left" w:pos="4752"/>
        </w:tabs>
        <w:spacing w:line="240" w:lineRule="exact"/>
        <w:jc w:val="both"/>
        <w:rPr>
          <w:color w:val="000080"/>
        </w:rPr>
      </w:pPr>
      <w:r w:rsidRPr="00B979D9">
        <w:rPr>
          <w:color w:val="000080"/>
        </w:rPr>
        <w:t xml:space="preserve">All four conditions were considered by the MEB and determined to be within AR 40-501 standards.  All evidence considered, there is not reasonable doubt in the CI’s favor supporting </w:t>
      </w:r>
      <w:proofErr w:type="spellStart"/>
      <w:r w:rsidRPr="00B979D9">
        <w:rPr>
          <w:color w:val="000080"/>
        </w:rPr>
        <w:t>recharacterization</w:t>
      </w:r>
      <w:proofErr w:type="spellEnd"/>
      <w:r w:rsidRPr="00B979D9">
        <w:rPr>
          <w:color w:val="000080"/>
        </w:rPr>
        <w:t xml:space="preserve"> of the PEB fitness adjudication</w:t>
      </w:r>
      <w:r w:rsidR="008B1D1A">
        <w:rPr>
          <w:color w:val="000080"/>
        </w:rPr>
        <w:t>s</w:t>
      </w:r>
      <w:r w:rsidRPr="00B979D9">
        <w:rPr>
          <w:color w:val="000080"/>
        </w:rPr>
        <w:t xml:space="preserve"> for the immunodeficiency virus, cognitive disorder, </w:t>
      </w:r>
      <w:proofErr w:type="gramStart"/>
      <w:r w:rsidRPr="00B979D9">
        <w:rPr>
          <w:color w:val="000080"/>
        </w:rPr>
        <w:t>depression</w:t>
      </w:r>
      <w:proofErr w:type="gramEnd"/>
      <w:r w:rsidRPr="00B979D9">
        <w:rPr>
          <w:color w:val="000080"/>
        </w:rPr>
        <w:t xml:space="preserve"> and headache conditions.</w:t>
      </w:r>
    </w:p>
    <w:p w:rsidR="0073254D" w:rsidRPr="00B979D9" w:rsidRDefault="0073254D" w:rsidP="00B979D9">
      <w:pPr>
        <w:tabs>
          <w:tab w:val="left" w:pos="288"/>
          <w:tab w:val="left" w:pos="4752"/>
        </w:tabs>
        <w:spacing w:line="240" w:lineRule="exact"/>
        <w:jc w:val="both"/>
        <w:rPr>
          <w:color w:val="000080"/>
        </w:rPr>
      </w:pPr>
    </w:p>
    <w:p w:rsidR="00975D21" w:rsidRPr="00B979D9" w:rsidRDefault="002C6E5B" w:rsidP="00B979D9">
      <w:pPr>
        <w:tabs>
          <w:tab w:val="left" w:pos="288"/>
          <w:tab w:val="left" w:pos="4752"/>
        </w:tabs>
        <w:spacing w:line="240" w:lineRule="exact"/>
        <w:jc w:val="both"/>
        <w:rPr>
          <w:color w:val="000080"/>
        </w:rPr>
      </w:pPr>
      <w:proofErr w:type="gramStart"/>
      <w:r w:rsidRPr="00B979D9">
        <w:rPr>
          <w:color w:val="000080"/>
          <w:u w:val="single"/>
        </w:rPr>
        <w:t>Other Conditions</w:t>
      </w:r>
      <w:r w:rsidRPr="00B979D9">
        <w:rPr>
          <w:color w:val="000080"/>
        </w:rPr>
        <w:t>.</w:t>
      </w:r>
      <w:proofErr w:type="gramEnd"/>
      <w:r w:rsidRPr="00B979D9">
        <w:rPr>
          <w:color w:val="000080"/>
        </w:rPr>
        <w:t xml:space="preserve">  </w:t>
      </w:r>
      <w:r w:rsidR="0071791E" w:rsidRPr="00B979D9">
        <w:rPr>
          <w:color w:val="000080"/>
        </w:rPr>
        <w:t xml:space="preserve">The </w:t>
      </w:r>
      <w:r w:rsidR="00A85730">
        <w:rPr>
          <w:color w:val="000080"/>
        </w:rPr>
        <w:t>narrative summary (</w:t>
      </w:r>
      <w:r w:rsidR="0071791E" w:rsidRPr="00B979D9">
        <w:rPr>
          <w:color w:val="000080"/>
        </w:rPr>
        <w:t>NARSUM</w:t>
      </w:r>
      <w:r w:rsidR="00A85730">
        <w:rPr>
          <w:color w:val="000080"/>
        </w:rPr>
        <w:t>)</w:t>
      </w:r>
      <w:r w:rsidR="0071791E" w:rsidRPr="00B979D9">
        <w:rPr>
          <w:color w:val="000080"/>
        </w:rPr>
        <w:t xml:space="preserve"> and MEB physical identified a history of hysterectomy for fibroid tumors in 2003.  No acute symptoms or exam findings were evidenced in the service or VA examinations.  The CI received a 30% VA rating </w:t>
      </w:r>
      <w:r w:rsidR="0071791E" w:rsidRPr="00B979D9">
        <w:rPr>
          <w:color w:val="000080"/>
        </w:rPr>
        <w:lastRenderedPageBreak/>
        <w:t xml:space="preserve">for loss of creative organ, but there is no link to military fitness.  </w:t>
      </w:r>
      <w:r w:rsidR="00E91FB5" w:rsidRPr="00B979D9">
        <w:rPr>
          <w:color w:val="000080"/>
        </w:rPr>
        <w:t xml:space="preserve">A history of right ‘foot drop’ was noted on the MEB physical and received a non-compensable rating from the VA.  It was noted as ‘resolved’ by the examiner.  Several other more minor medical and orthopedic conditions were identified in the NARSUM and MEB physical histories.  They had no connection with fitness and are not relevant for Board consideration as additionally unfitting and ratable.  </w:t>
      </w:r>
      <w:r w:rsidR="00975D21" w:rsidRPr="00B979D9">
        <w:rPr>
          <w:color w:val="000080"/>
        </w:rPr>
        <w:t xml:space="preserve">A few additional conditions were noted in the VA rating decision, but were not documented in the DES packet.  </w:t>
      </w:r>
      <w:r w:rsidR="00E91FB5" w:rsidRPr="00B979D9">
        <w:rPr>
          <w:color w:val="000080"/>
        </w:rPr>
        <w:t xml:space="preserve">The VA examiner made a diagnosis of fibromyalgia based on a reported two year history of migratory </w:t>
      </w:r>
      <w:proofErr w:type="spellStart"/>
      <w:r w:rsidR="00E91FB5" w:rsidRPr="00B979D9">
        <w:rPr>
          <w:color w:val="000080"/>
        </w:rPr>
        <w:t>arthralgias</w:t>
      </w:r>
      <w:proofErr w:type="spellEnd"/>
      <w:r w:rsidR="00E91FB5" w:rsidRPr="00B979D9">
        <w:rPr>
          <w:color w:val="000080"/>
        </w:rPr>
        <w:t xml:space="preserve">.  This </w:t>
      </w:r>
      <w:r w:rsidR="005F12D6" w:rsidRPr="00B979D9">
        <w:rPr>
          <w:color w:val="000080"/>
        </w:rPr>
        <w:t xml:space="preserve">was rated </w:t>
      </w:r>
      <w:r w:rsidR="00E91FB5" w:rsidRPr="00B979D9">
        <w:rPr>
          <w:color w:val="000080"/>
        </w:rPr>
        <w:t xml:space="preserve">40% by the VA.  The CI was not diagnosed with fibromyalgia by the service and, as near as can be discerned, the VA diagnosis was not confirmed by a rheumatologist.  </w:t>
      </w:r>
      <w:r w:rsidR="00975D21" w:rsidRPr="00B979D9">
        <w:rPr>
          <w:color w:val="000080"/>
        </w:rPr>
        <w:t xml:space="preserve">The Board does not have the authority under </w:t>
      </w:r>
      <w:proofErr w:type="spellStart"/>
      <w:r w:rsidR="00975D21" w:rsidRPr="00B979D9">
        <w:rPr>
          <w:color w:val="000080"/>
        </w:rPr>
        <w:t>DoDI</w:t>
      </w:r>
      <w:proofErr w:type="spellEnd"/>
      <w:r w:rsidR="00975D21" w:rsidRPr="00B979D9">
        <w:rPr>
          <w:color w:val="000080"/>
        </w:rPr>
        <w:t xml:space="preserve"> 6040.44 to render fitness or rating recommendations for any conditions not considered by the DES.  The fibromyalgia and any contended conditions not covered above remain eligible for ABMCR consideration.  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940709" w:rsidRPr="00B979D9" w:rsidRDefault="00C56FC8" w:rsidP="00B979D9">
      <w:pPr>
        <w:tabs>
          <w:tab w:val="left" w:pos="288"/>
          <w:tab w:val="left" w:pos="4752"/>
        </w:tabs>
        <w:spacing w:line="240" w:lineRule="exact"/>
        <w:jc w:val="both"/>
        <w:rPr>
          <w:color w:val="000080"/>
        </w:rPr>
      </w:pPr>
      <w:r w:rsidRPr="00B979D9">
        <w:rPr>
          <w:color w:val="000080"/>
          <w:u w:val="single"/>
        </w:rPr>
        <w:t>BOARD FINDINGS</w:t>
      </w:r>
      <w:r w:rsidRPr="00B979D9">
        <w:rPr>
          <w:color w:val="000080"/>
        </w:rPr>
        <w:t xml:space="preserve">:  IAW </w:t>
      </w:r>
      <w:proofErr w:type="spellStart"/>
      <w:r w:rsidRPr="00B979D9">
        <w:rPr>
          <w:color w:val="000080"/>
        </w:rPr>
        <w:t>DoDI</w:t>
      </w:r>
      <w:proofErr w:type="spellEnd"/>
      <w:r w:rsidRPr="00B979D9">
        <w:rPr>
          <w:color w:val="000080"/>
        </w:rPr>
        <w:t xml:space="preserve"> 6040.44, provisions of </w:t>
      </w:r>
      <w:proofErr w:type="spellStart"/>
      <w:r w:rsidRPr="00B979D9">
        <w:rPr>
          <w:color w:val="000080"/>
        </w:rPr>
        <w:t>DoD</w:t>
      </w:r>
      <w:proofErr w:type="spellEnd"/>
      <w:r w:rsidRPr="00B979D9">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B979D9">
        <w:rPr>
          <w:color w:val="000080"/>
        </w:rPr>
        <w:t xml:space="preserve"> </w:t>
      </w:r>
      <w:r w:rsidR="00975D21" w:rsidRPr="00B979D9">
        <w:rPr>
          <w:color w:val="000080"/>
        </w:rPr>
        <w:t>As discussed above, PEB reliance on the USAPDA pain policy for rating the cervical and right knee conditions was operant in this case and the conditions were adjudicated independently of that policy by the Board.  In the matter of the cervical spine condition, the Board unanimously recommends a separation rating after TDRL of 20% coded 5242 IAW VASRD §4.71a.</w:t>
      </w:r>
      <w:r w:rsidR="00975D21" w:rsidRPr="000F01B2">
        <w:rPr>
          <w:color w:val="000080"/>
        </w:rPr>
        <w:t xml:space="preserve">  </w:t>
      </w:r>
      <w:r w:rsidR="00975D21" w:rsidRPr="00B979D9">
        <w:rPr>
          <w:color w:val="000080"/>
        </w:rPr>
        <w:t xml:space="preserve">In the matter of the lumbar spine condition, the Board unanimously recommends no change in the PEB separation rating </w:t>
      </w:r>
      <w:r w:rsidR="008B1D1A" w:rsidRPr="00B979D9">
        <w:rPr>
          <w:color w:val="000080"/>
        </w:rPr>
        <w:t xml:space="preserve">of 10% </w:t>
      </w:r>
      <w:r w:rsidR="000E4453" w:rsidRPr="00B979D9">
        <w:rPr>
          <w:color w:val="000080"/>
        </w:rPr>
        <w:t>IAW VASRD §4.71a</w:t>
      </w:r>
      <w:r w:rsidR="008B1D1A">
        <w:rPr>
          <w:color w:val="000080"/>
        </w:rPr>
        <w:t>, although</w:t>
      </w:r>
      <w:r w:rsidR="000E4453" w:rsidRPr="00B979D9">
        <w:rPr>
          <w:color w:val="000080"/>
        </w:rPr>
        <w:t xml:space="preserve"> a</w:t>
      </w:r>
      <w:r w:rsidR="00975D21" w:rsidRPr="00B979D9">
        <w:rPr>
          <w:color w:val="000080"/>
        </w:rPr>
        <w:t xml:space="preserve"> change in VASRD code to 5242</w:t>
      </w:r>
      <w:r w:rsidR="000E4453" w:rsidRPr="00B979D9">
        <w:rPr>
          <w:color w:val="000080"/>
        </w:rPr>
        <w:t xml:space="preserve"> is </w:t>
      </w:r>
      <w:r w:rsidR="008B1D1A">
        <w:rPr>
          <w:color w:val="000080"/>
        </w:rPr>
        <w:t>preferred</w:t>
      </w:r>
      <w:r w:rsidR="00975D21" w:rsidRPr="00B979D9">
        <w:rPr>
          <w:color w:val="000080"/>
        </w:rPr>
        <w:t>.</w:t>
      </w:r>
      <w:r w:rsidR="000E4453" w:rsidRPr="00B979D9">
        <w:rPr>
          <w:color w:val="000080"/>
        </w:rPr>
        <w:t xml:space="preserve">  In the matter of the right knee condition, the Board unanimously recommends a separation rating after TDRL of 10% coded 5010-5003 IAW VASRD §4.71a</w:t>
      </w:r>
      <w:r w:rsidR="00940709" w:rsidRPr="00B979D9">
        <w:rPr>
          <w:color w:val="000080"/>
        </w:rPr>
        <w:t xml:space="preserve">.  In the matter of the immunodeficiency virus, cognitive disorder, depression and headache conditions, the Board unanimously recommends no </w:t>
      </w:r>
      <w:proofErr w:type="spellStart"/>
      <w:r w:rsidR="00940709" w:rsidRPr="00B979D9">
        <w:rPr>
          <w:color w:val="000080"/>
        </w:rPr>
        <w:t>recharacterization</w:t>
      </w:r>
      <w:proofErr w:type="spellEnd"/>
      <w:r w:rsidR="00940709" w:rsidRPr="00B979D9">
        <w:rPr>
          <w:color w:val="000080"/>
        </w:rPr>
        <w:t xml:space="preserve"> of the PEB adjudications as not unfitting.  In the matter of the prior hysterectomy, history of right foot drop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B979D9" w:rsidRDefault="00B979D9">
      <w:pPr>
        <w:rPr>
          <w:color w:val="000080"/>
          <w:u w:val="single"/>
        </w:rPr>
      </w:pPr>
      <w:r>
        <w:rPr>
          <w:color w:val="000080"/>
          <w:u w:val="single"/>
        </w:rPr>
        <w:br w:type="page"/>
      </w:r>
    </w:p>
    <w:p w:rsidR="00FB593A" w:rsidRDefault="00C56FC8" w:rsidP="00135385">
      <w:pPr>
        <w:tabs>
          <w:tab w:val="left" w:pos="288"/>
          <w:tab w:val="left" w:pos="4752"/>
        </w:tabs>
        <w:spacing w:line="240" w:lineRule="exact"/>
        <w:jc w:val="both"/>
        <w:rPr>
          <w:color w:val="000080"/>
        </w:rPr>
      </w:pPr>
      <w:r w:rsidRPr="00B979D9">
        <w:rPr>
          <w:color w:val="000080"/>
          <w:u w:val="single"/>
        </w:rPr>
        <w:lastRenderedPageBreak/>
        <w:t>RECOMMENDATION</w:t>
      </w:r>
      <w:r w:rsidRPr="00B979D9">
        <w:rPr>
          <w:color w:val="000080"/>
        </w:rPr>
        <w:t xml:space="preserve">: The Board recommends that the CI’s prior determination be modified as follows and that the discharge with severance pay be </w:t>
      </w:r>
      <w:proofErr w:type="spellStart"/>
      <w:r w:rsidRPr="00B979D9">
        <w:rPr>
          <w:color w:val="000080"/>
        </w:rPr>
        <w:t>recharacterized</w:t>
      </w:r>
      <w:proofErr w:type="spellEnd"/>
      <w:r w:rsidRPr="00B979D9">
        <w:rPr>
          <w:color w:val="000080"/>
        </w:rPr>
        <w:t xml:space="preserve"> to reflect permanent disability retirement, effective as of the date of her prior medical separation.</w:t>
      </w:r>
    </w:p>
    <w:p w:rsidR="004101B2" w:rsidRDefault="004101B2" w:rsidP="004101B2">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533FB5" w:rsidTr="0007538F">
        <w:trPr>
          <w:trHeight w:val="287"/>
        </w:trPr>
        <w:tc>
          <w:tcPr>
            <w:tcW w:w="6480" w:type="dxa"/>
            <w:shd w:val="clear" w:color="auto" w:fill="D9D9D9"/>
          </w:tcPr>
          <w:p w:rsidR="00A95BBA" w:rsidRPr="00A867F0" w:rsidRDefault="00A95BBA" w:rsidP="0007538F">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A95BBA" w:rsidRPr="00A867F0" w:rsidRDefault="00A95BBA" w:rsidP="0007538F">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A95BBA" w:rsidRPr="00A867F0" w:rsidRDefault="00A95BBA" w:rsidP="0007538F">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A95BBA" w:rsidRPr="00533FB5" w:rsidTr="0007538F">
        <w:tc>
          <w:tcPr>
            <w:tcW w:w="6480" w:type="dxa"/>
          </w:tcPr>
          <w:p w:rsidR="00A95BBA" w:rsidRPr="00A867F0" w:rsidRDefault="0007538F" w:rsidP="0007538F">
            <w:pPr>
              <w:tabs>
                <w:tab w:val="left" w:pos="288"/>
                <w:tab w:val="left" w:pos="4752"/>
              </w:tabs>
              <w:spacing w:before="20" w:after="20"/>
              <w:rPr>
                <w:color w:val="000080"/>
                <w:szCs w:val="24"/>
              </w:rPr>
            </w:pPr>
            <w:r>
              <w:rPr>
                <w:color w:val="000080"/>
                <w:szCs w:val="24"/>
              </w:rPr>
              <w:t>Degenerative Arthritis and Disc Disease</w:t>
            </w:r>
            <w:r w:rsidR="000E4453">
              <w:rPr>
                <w:color w:val="000080"/>
                <w:szCs w:val="24"/>
              </w:rPr>
              <w:t>, Cervical Spine</w:t>
            </w:r>
          </w:p>
        </w:tc>
        <w:tc>
          <w:tcPr>
            <w:tcW w:w="1710" w:type="dxa"/>
          </w:tcPr>
          <w:p w:rsidR="00A95BBA" w:rsidRPr="00A867F0" w:rsidRDefault="0007538F" w:rsidP="003A7FF8">
            <w:pPr>
              <w:tabs>
                <w:tab w:val="left" w:pos="288"/>
                <w:tab w:val="left" w:pos="4752"/>
              </w:tabs>
              <w:spacing w:before="20" w:after="20" w:line="240" w:lineRule="exact"/>
              <w:jc w:val="center"/>
              <w:rPr>
                <w:color w:val="000080"/>
                <w:szCs w:val="24"/>
              </w:rPr>
            </w:pPr>
            <w:r>
              <w:rPr>
                <w:color w:val="000080"/>
                <w:szCs w:val="24"/>
              </w:rPr>
              <w:t>5242</w:t>
            </w:r>
          </w:p>
        </w:tc>
        <w:tc>
          <w:tcPr>
            <w:tcW w:w="1170" w:type="dxa"/>
          </w:tcPr>
          <w:p w:rsidR="00A95BBA" w:rsidRPr="00A867F0" w:rsidRDefault="0007538F" w:rsidP="003A7FF8">
            <w:pPr>
              <w:tabs>
                <w:tab w:val="left" w:pos="288"/>
                <w:tab w:val="left" w:pos="4752"/>
              </w:tabs>
              <w:spacing w:before="20" w:after="20" w:line="240" w:lineRule="exact"/>
              <w:jc w:val="center"/>
              <w:rPr>
                <w:color w:val="000080"/>
                <w:szCs w:val="24"/>
              </w:rPr>
            </w:pPr>
            <w:r>
              <w:rPr>
                <w:color w:val="000080"/>
                <w:szCs w:val="24"/>
              </w:rPr>
              <w:t>2</w:t>
            </w:r>
            <w:r w:rsidR="00A95BBA">
              <w:rPr>
                <w:color w:val="000080"/>
                <w:szCs w:val="24"/>
              </w:rPr>
              <w:t>0%</w:t>
            </w:r>
          </w:p>
        </w:tc>
      </w:tr>
      <w:tr w:rsidR="0007538F" w:rsidRPr="00533FB5" w:rsidTr="0007538F">
        <w:tc>
          <w:tcPr>
            <w:tcW w:w="6480" w:type="dxa"/>
          </w:tcPr>
          <w:p w:rsidR="0007538F" w:rsidRPr="00A867F0" w:rsidRDefault="000E4453" w:rsidP="000E4453">
            <w:pPr>
              <w:tabs>
                <w:tab w:val="left" w:pos="288"/>
                <w:tab w:val="left" w:pos="4752"/>
              </w:tabs>
              <w:spacing w:before="20" w:after="20"/>
              <w:rPr>
                <w:color w:val="000080"/>
                <w:szCs w:val="24"/>
              </w:rPr>
            </w:pPr>
            <w:r>
              <w:rPr>
                <w:color w:val="000080"/>
                <w:szCs w:val="24"/>
              </w:rPr>
              <w:t>Degenerative Arthritis and Disc Disease, Lumbar Spine</w:t>
            </w:r>
          </w:p>
        </w:tc>
        <w:tc>
          <w:tcPr>
            <w:tcW w:w="1710" w:type="dxa"/>
          </w:tcPr>
          <w:p w:rsidR="0007538F" w:rsidRPr="00A867F0" w:rsidRDefault="0007538F" w:rsidP="0007538F">
            <w:pPr>
              <w:tabs>
                <w:tab w:val="left" w:pos="288"/>
                <w:tab w:val="left" w:pos="4752"/>
              </w:tabs>
              <w:spacing w:before="20" w:after="20" w:line="240" w:lineRule="exact"/>
              <w:jc w:val="center"/>
              <w:rPr>
                <w:color w:val="000080"/>
                <w:szCs w:val="24"/>
              </w:rPr>
            </w:pPr>
            <w:r>
              <w:rPr>
                <w:color w:val="000080"/>
                <w:szCs w:val="24"/>
              </w:rPr>
              <w:t>5242</w:t>
            </w:r>
          </w:p>
        </w:tc>
        <w:tc>
          <w:tcPr>
            <w:tcW w:w="1170" w:type="dxa"/>
          </w:tcPr>
          <w:p w:rsidR="0007538F" w:rsidRPr="00A867F0" w:rsidRDefault="0007538F" w:rsidP="0007538F">
            <w:pPr>
              <w:tabs>
                <w:tab w:val="left" w:pos="288"/>
                <w:tab w:val="left" w:pos="4752"/>
              </w:tabs>
              <w:spacing w:before="20" w:after="20" w:line="240" w:lineRule="exact"/>
              <w:jc w:val="center"/>
              <w:rPr>
                <w:color w:val="000080"/>
                <w:szCs w:val="24"/>
              </w:rPr>
            </w:pPr>
            <w:r>
              <w:rPr>
                <w:color w:val="000080"/>
                <w:szCs w:val="24"/>
              </w:rPr>
              <w:t>10%</w:t>
            </w:r>
          </w:p>
        </w:tc>
      </w:tr>
      <w:tr w:rsidR="0007538F" w:rsidRPr="00533FB5" w:rsidTr="0007538F">
        <w:tc>
          <w:tcPr>
            <w:tcW w:w="6480" w:type="dxa"/>
          </w:tcPr>
          <w:p w:rsidR="0007538F" w:rsidRPr="00A867F0" w:rsidRDefault="000E4453" w:rsidP="0007538F">
            <w:pPr>
              <w:tabs>
                <w:tab w:val="left" w:pos="288"/>
                <w:tab w:val="left" w:pos="4752"/>
              </w:tabs>
              <w:spacing w:before="20" w:after="20"/>
              <w:rPr>
                <w:color w:val="000080"/>
                <w:szCs w:val="24"/>
              </w:rPr>
            </w:pPr>
            <w:r>
              <w:rPr>
                <w:color w:val="000080"/>
                <w:szCs w:val="24"/>
              </w:rPr>
              <w:t>Degenerative Arthritis, Right Knee</w:t>
            </w:r>
          </w:p>
        </w:tc>
        <w:tc>
          <w:tcPr>
            <w:tcW w:w="1710" w:type="dxa"/>
          </w:tcPr>
          <w:p w:rsidR="0007538F" w:rsidRPr="00A867F0" w:rsidRDefault="00940709" w:rsidP="00574913">
            <w:pPr>
              <w:tabs>
                <w:tab w:val="left" w:pos="288"/>
                <w:tab w:val="left" w:pos="4752"/>
              </w:tabs>
              <w:spacing w:before="20" w:after="20" w:line="240" w:lineRule="exact"/>
              <w:jc w:val="center"/>
              <w:rPr>
                <w:color w:val="000080"/>
                <w:szCs w:val="24"/>
              </w:rPr>
            </w:pPr>
            <w:r>
              <w:rPr>
                <w:color w:val="000080"/>
                <w:szCs w:val="24"/>
              </w:rPr>
              <w:t>5010-</w:t>
            </w:r>
            <w:r w:rsidR="00574913">
              <w:rPr>
                <w:color w:val="000080"/>
                <w:szCs w:val="24"/>
              </w:rPr>
              <w:t>5260</w:t>
            </w:r>
          </w:p>
        </w:tc>
        <w:tc>
          <w:tcPr>
            <w:tcW w:w="1170" w:type="dxa"/>
          </w:tcPr>
          <w:p w:rsidR="0007538F" w:rsidRDefault="00940709" w:rsidP="003A7FF8">
            <w:pPr>
              <w:tabs>
                <w:tab w:val="left" w:pos="288"/>
                <w:tab w:val="left" w:pos="4752"/>
              </w:tabs>
              <w:spacing w:before="20" w:after="20" w:line="240" w:lineRule="exact"/>
              <w:jc w:val="center"/>
              <w:rPr>
                <w:color w:val="000080"/>
                <w:szCs w:val="24"/>
              </w:rPr>
            </w:pPr>
            <w:r>
              <w:rPr>
                <w:color w:val="000080"/>
                <w:szCs w:val="24"/>
              </w:rPr>
              <w:t>10%</w:t>
            </w:r>
          </w:p>
        </w:tc>
      </w:tr>
      <w:tr w:rsidR="0007538F" w:rsidRPr="00533FB5" w:rsidTr="0007538F">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07538F" w:rsidRPr="00A867F0" w:rsidRDefault="0007538F" w:rsidP="0007538F">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170" w:type="dxa"/>
            <w:tcBorders>
              <w:bottom w:val="single" w:sz="4" w:space="0" w:color="000000"/>
            </w:tcBorders>
            <w:shd w:val="clear" w:color="auto" w:fill="D9D9D9" w:themeFill="background1" w:themeFillShade="D9"/>
          </w:tcPr>
          <w:p w:rsidR="0007538F" w:rsidRPr="005A258C" w:rsidRDefault="00940709" w:rsidP="0007538F">
            <w:pPr>
              <w:tabs>
                <w:tab w:val="left" w:pos="288"/>
                <w:tab w:val="left" w:pos="4752"/>
              </w:tabs>
              <w:spacing w:before="40" w:line="240" w:lineRule="exact"/>
              <w:jc w:val="center"/>
              <w:rPr>
                <w:b/>
                <w:color w:val="000080"/>
                <w:szCs w:val="24"/>
              </w:rPr>
            </w:pPr>
            <w:r>
              <w:rPr>
                <w:b/>
                <w:color w:val="000080"/>
                <w:szCs w:val="24"/>
              </w:rPr>
              <w:t>4</w:t>
            </w:r>
            <w:r w:rsidR="0007538F">
              <w:rPr>
                <w:b/>
                <w:color w:val="000080"/>
                <w:szCs w:val="24"/>
              </w:rPr>
              <w:t>0</w:t>
            </w:r>
            <w:r w:rsidR="0007538F"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DD1D64">
        <w:rPr>
          <w:color w:val="000080"/>
        </w:rPr>
        <w:t>0203</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481DC2" w:rsidRDefault="00481DC2">
      <w:pPr>
        <w:rPr>
          <w:color w:val="000080"/>
        </w:rPr>
      </w:pPr>
      <w:r>
        <w:rPr>
          <w:color w:val="000080"/>
        </w:rPr>
        <w:br w:type="page"/>
      </w:r>
    </w:p>
    <w:p w:rsidR="00481DC2" w:rsidRDefault="00481DC2" w:rsidP="00481DC2">
      <w:pPr>
        <w:pStyle w:val="Default"/>
        <w:framePr w:w="16153" w:wrap="auto" w:vAnchor="page" w:hAnchor="page" w:x="1" w:y="1"/>
      </w:pPr>
      <w:r>
        <w:rPr>
          <w:noProof/>
        </w:rPr>
        <w:lastRenderedPageBreak/>
        <w:drawing>
          <wp:inline distT="0" distB="0" distL="0" distR="0">
            <wp:extent cx="7847965" cy="100342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7965" cy="10034270"/>
                    </a:xfrm>
                    <a:prstGeom prst="rect">
                      <a:avLst/>
                    </a:prstGeom>
                    <a:noFill/>
                    <a:ln w="9525">
                      <a:noFill/>
                      <a:miter lim="800000"/>
                      <a:headEnd/>
                      <a:tailEnd/>
                    </a:ln>
                  </pic:spPr>
                </pic:pic>
              </a:graphicData>
            </a:graphic>
          </wp:inline>
        </w:drawing>
      </w:r>
    </w:p>
    <w:p w:rsidR="00114F20" w:rsidRPr="00D91DA6" w:rsidRDefault="00114F20" w:rsidP="00875F2D">
      <w:pPr>
        <w:tabs>
          <w:tab w:val="left" w:pos="288"/>
          <w:tab w:val="left" w:pos="4752"/>
        </w:tabs>
        <w:spacing w:line="240" w:lineRule="exact"/>
        <w:jc w:val="both"/>
        <w:rPr>
          <w:color w:val="000080"/>
        </w:rPr>
      </w:pPr>
    </w:p>
    <w:sectPr w:rsidR="00114F20" w:rsidRPr="00D91DA6"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5E" w:rsidRDefault="00FF3F5E">
      <w:r>
        <w:separator/>
      </w:r>
    </w:p>
  </w:endnote>
  <w:endnote w:type="continuationSeparator" w:id="0">
    <w:p w:rsidR="00FF3F5E" w:rsidRDefault="00FF3F5E">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8F" w:rsidRDefault="003B05D1">
    <w:pPr>
      <w:pStyle w:val="Footer"/>
      <w:framePr w:wrap="around" w:vAnchor="text" w:hAnchor="margin" w:xAlign="center" w:y="1"/>
      <w:rPr>
        <w:rStyle w:val="PageNumber"/>
      </w:rPr>
    </w:pPr>
    <w:r>
      <w:rPr>
        <w:rStyle w:val="PageNumber"/>
      </w:rPr>
      <w:fldChar w:fldCharType="begin"/>
    </w:r>
    <w:r w:rsidR="0007538F">
      <w:rPr>
        <w:rStyle w:val="PageNumber"/>
      </w:rPr>
      <w:instrText xml:space="preserve">PAGE  </w:instrText>
    </w:r>
    <w:r>
      <w:rPr>
        <w:rStyle w:val="PageNumber"/>
      </w:rPr>
      <w:fldChar w:fldCharType="separate"/>
    </w:r>
    <w:r w:rsidR="0007538F">
      <w:rPr>
        <w:rStyle w:val="PageNumber"/>
        <w:noProof/>
      </w:rPr>
      <w:t>2</w:t>
    </w:r>
    <w:r>
      <w:rPr>
        <w:rStyle w:val="PageNumber"/>
      </w:rPr>
      <w:fldChar w:fldCharType="end"/>
    </w:r>
  </w:p>
  <w:p w:rsidR="0007538F" w:rsidRDefault="0007538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8F" w:rsidRDefault="003B05D1">
    <w:pPr>
      <w:pStyle w:val="Footer"/>
      <w:framePr w:wrap="around" w:vAnchor="text" w:hAnchor="margin" w:xAlign="center" w:y="1"/>
      <w:rPr>
        <w:rStyle w:val="PageNumber"/>
      </w:rPr>
    </w:pPr>
    <w:r>
      <w:rPr>
        <w:rStyle w:val="PageNumber"/>
      </w:rPr>
      <w:fldChar w:fldCharType="begin"/>
    </w:r>
    <w:r w:rsidR="0007538F">
      <w:rPr>
        <w:rStyle w:val="PageNumber"/>
      </w:rPr>
      <w:instrText xml:space="preserve">PAGE  </w:instrText>
    </w:r>
    <w:r>
      <w:rPr>
        <w:rStyle w:val="PageNumber"/>
      </w:rPr>
      <w:fldChar w:fldCharType="separate"/>
    </w:r>
    <w:r w:rsidR="00481DC2">
      <w:rPr>
        <w:rStyle w:val="PageNumber"/>
        <w:noProof/>
      </w:rPr>
      <w:t>8</w:t>
    </w:r>
    <w:r>
      <w:rPr>
        <w:rStyle w:val="PageNumber"/>
      </w:rPr>
      <w:fldChar w:fldCharType="end"/>
    </w:r>
  </w:p>
  <w:p w:rsidR="0007538F" w:rsidRDefault="0007538F" w:rsidP="002B0749">
    <w:pPr>
      <w:pStyle w:val="Footer"/>
      <w:jc w:val="right"/>
    </w:pPr>
    <w:r>
      <w:tab/>
    </w:r>
    <w:r>
      <w:tab/>
    </w:r>
    <w:r w:rsidRPr="001D3186">
      <w:rPr>
        <w:caps/>
        <w:color w:val="000080"/>
      </w:rPr>
      <w:t>PD09</w:t>
    </w:r>
    <w:r>
      <w:rPr>
        <w:caps/>
        <w:color w:val="000080"/>
      </w:rPr>
      <w:t>00124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5E" w:rsidRDefault="00FF3F5E">
      <w:r>
        <w:separator/>
      </w:r>
    </w:p>
  </w:footnote>
  <w:footnote w:type="continuationSeparator" w:id="0">
    <w:p w:rsidR="00FF3F5E" w:rsidRDefault="00FF3F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56705"/>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234"/>
    <w:rsid w:val="00053D7C"/>
    <w:rsid w:val="0005566C"/>
    <w:rsid w:val="000577C9"/>
    <w:rsid w:val="0006431E"/>
    <w:rsid w:val="00072433"/>
    <w:rsid w:val="0007538F"/>
    <w:rsid w:val="000775C2"/>
    <w:rsid w:val="000806AD"/>
    <w:rsid w:val="00082482"/>
    <w:rsid w:val="0008708B"/>
    <w:rsid w:val="00094E4F"/>
    <w:rsid w:val="000A2BCE"/>
    <w:rsid w:val="000A41E3"/>
    <w:rsid w:val="000A4BBA"/>
    <w:rsid w:val="000A5071"/>
    <w:rsid w:val="000C3C13"/>
    <w:rsid w:val="000C5813"/>
    <w:rsid w:val="000C7DE4"/>
    <w:rsid w:val="000D15E7"/>
    <w:rsid w:val="000D1A24"/>
    <w:rsid w:val="000D21C7"/>
    <w:rsid w:val="000D248A"/>
    <w:rsid w:val="000D43F9"/>
    <w:rsid w:val="000D4717"/>
    <w:rsid w:val="000D487B"/>
    <w:rsid w:val="000D6457"/>
    <w:rsid w:val="000D7D55"/>
    <w:rsid w:val="000E0993"/>
    <w:rsid w:val="000E37E0"/>
    <w:rsid w:val="000E4453"/>
    <w:rsid w:val="000F02BE"/>
    <w:rsid w:val="000F427B"/>
    <w:rsid w:val="001008C1"/>
    <w:rsid w:val="00103CAE"/>
    <w:rsid w:val="00103CCF"/>
    <w:rsid w:val="0010417F"/>
    <w:rsid w:val="001042D2"/>
    <w:rsid w:val="0010530E"/>
    <w:rsid w:val="001103CD"/>
    <w:rsid w:val="00114F20"/>
    <w:rsid w:val="001219DF"/>
    <w:rsid w:val="001231DC"/>
    <w:rsid w:val="001272AE"/>
    <w:rsid w:val="00127C51"/>
    <w:rsid w:val="001315DD"/>
    <w:rsid w:val="00135385"/>
    <w:rsid w:val="001364D1"/>
    <w:rsid w:val="00142EBA"/>
    <w:rsid w:val="00150DCB"/>
    <w:rsid w:val="00153740"/>
    <w:rsid w:val="001541C5"/>
    <w:rsid w:val="0015623F"/>
    <w:rsid w:val="00162317"/>
    <w:rsid w:val="00166182"/>
    <w:rsid w:val="00172683"/>
    <w:rsid w:val="00177659"/>
    <w:rsid w:val="001779E5"/>
    <w:rsid w:val="00182A4C"/>
    <w:rsid w:val="00183F77"/>
    <w:rsid w:val="00185DA8"/>
    <w:rsid w:val="00185ECB"/>
    <w:rsid w:val="001870F0"/>
    <w:rsid w:val="0019273F"/>
    <w:rsid w:val="00193AD5"/>
    <w:rsid w:val="00194930"/>
    <w:rsid w:val="001A08CD"/>
    <w:rsid w:val="001A5E62"/>
    <w:rsid w:val="001A7538"/>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873"/>
    <w:rsid w:val="001E18E0"/>
    <w:rsid w:val="001E18E2"/>
    <w:rsid w:val="001E3E9C"/>
    <w:rsid w:val="00200AA0"/>
    <w:rsid w:val="00202736"/>
    <w:rsid w:val="00203652"/>
    <w:rsid w:val="002060B6"/>
    <w:rsid w:val="00213712"/>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0BB0"/>
    <w:rsid w:val="0025183C"/>
    <w:rsid w:val="002528EC"/>
    <w:rsid w:val="00255049"/>
    <w:rsid w:val="00257DE5"/>
    <w:rsid w:val="00260531"/>
    <w:rsid w:val="0026318D"/>
    <w:rsid w:val="00270864"/>
    <w:rsid w:val="002712F7"/>
    <w:rsid w:val="0027159C"/>
    <w:rsid w:val="00274549"/>
    <w:rsid w:val="00274E46"/>
    <w:rsid w:val="00276C86"/>
    <w:rsid w:val="002810A4"/>
    <w:rsid w:val="0028137D"/>
    <w:rsid w:val="00284A26"/>
    <w:rsid w:val="002A3237"/>
    <w:rsid w:val="002A685E"/>
    <w:rsid w:val="002A72C7"/>
    <w:rsid w:val="002B03B2"/>
    <w:rsid w:val="002B0749"/>
    <w:rsid w:val="002B2645"/>
    <w:rsid w:val="002B2E5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42F"/>
    <w:rsid w:val="002F7F81"/>
    <w:rsid w:val="00300A36"/>
    <w:rsid w:val="0030678B"/>
    <w:rsid w:val="00310CD7"/>
    <w:rsid w:val="0032136A"/>
    <w:rsid w:val="00323E70"/>
    <w:rsid w:val="003252B2"/>
    <w:rsid w:val="00326F7F"/>
    <w:rsid w:val="003320E8"/>
    <w:rsid w:val="0033555E"/>
    <w:rsid w:val="00336805"/>
    <w:rsid w:val="00337351"/>
    <w:rsid w:val="00341A54"/>
    <w:rsid w:val="00345895"/>
    <w:rsid w:val="0034669F"/>
    <w:rsid w:val="00350147"/>
    <w:rsid w:val="00351498"/>
    <w:rsid w:val="00352B22"/>
    <w:rsid w:val="003567DE"/>
    <w:rsid w:val="00357752"/>
    <w:rsid w:val="0036319E"/>
    <w:rsid w:val="003632A4"/>
    <w:rsid w:val="00363362"/>
    <w:rsid w:val="00370EF5"/>
    <w:rsid w:val="00372251"/>
    <w:rsid w:val="0037520D"/>
    <w:rsid w:val="0037628C"/>
    <w:rsid w:val="00376B81"/>
    <w:rsid w:val="00377BD2"/>
    <w:rsid w:val="003821E1"/>
    <w:rsid w:val="003821FD"/>
    <w:rsid w:val="00384866"/>
    <w:rsid w:val="003857D4"/>
    <w:rsid w:val="00385D6F"/>
    <w:rsid w:val="00387095"/>
    <w:rsid w:val="00390092"/>
    <w:rsid w:val="00393651"/>
    <w:rsid w:val="003A41BA"/>
    <w:rsid w:val="003A6A99"/>
    <w:rsid w:val="003A7FF8"/>
    <w:rsid w:val="003B05D1"/>
    <w:rsid w:val="003B0F7F"/>
    <w:rsid w:val="003B227A"/>
    <w:rsid w:val="003B6764"/>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4384F"/>
    <w:rsid w:val="00446018"/>
    <w:rsid w:val="004543BC"/>
    <w:rsid w:val="00455A8A"/>
    <w:rsid w:val="0045645D"/>
    <w:rsid w:val="004574C6"/>
    <w:rsid w:val="00457BCF"/>
    <w:rsid w:val="00457DCE"/>
    <w:rsid w:val="00460E3F"/>
    <w:rsid w:val="00461321"/>
    <w:rsid w:val="00467592"/>
    <w:rsid w:val="004718E7"/>
    <w:rsid w:val="004761CC"/>
    <w:rsid w:val="00481DA1"/>
    <w:rsid w:val="00481DC2"/>
    <w:rsid w:val="0049445D"/>
    <w:rsid w:val="00495350"/>
    <w:rsid w:val="00497156"/>
    <w:rsid w:val="004A0947"/>
    <w:rsid w:val="004A24D2"/>
    <w:rsid w:val="004A4136"/>
    <w:rsid w:val="004A417B"/>
    <w:rsid w:val="004A66DF"/>
    <w:rsid w:val="004B03F3"/>
    <w:rsid w:val="004B2536"/>
    <w:rsid w:val="004B6AF3"/>
    <w:rsid w:val="004B715E"/>
    <w:rsid w:val="004B7169"/>
    <w:rsid w:val="004B79C9"/>
    <w:rsid w:val="004C5E33"/>
    <w:rsid w:val="004C6CDA"/>
    <w:rsid w:val="004D0EFD"/>
    <w:rsid w:val="004D10D4"/>
    <w:rsid w:val="004D16BD"/>
    <w:rsid w:val="004D6F2B"/>
    <w:rsid w:val="004E0248"/>
    <w:rsid w:val="004E21A3"/>
    <w:rsid w:val="004E32EA"/>
    <w:rsid w:val="004F3222"/>
    <w:rsid w:val="004F3784"/>
    <w:rsid w:val="004F3BFA"/>
    <w:rsid w:val="00510588"/>
    <w:rsid w:val="0051146C"/>
    <w:rsid w:val="005222E7"/>
    <w:rsid w:val="00523E04"/>
    <w:rsid w:val="0052590B"/>
    <w:rsid w:val="00526591"/>
    <w:rsid w:val="00527178"/>
    <w:rsid w:val="005350A5"/>
    <w:rsid w:val="00536379"/>
    <w:rsid w:val="005400C5"/>
    <w:rsid w:val="00540BEF"/>
    <w:rsid w:val="005436C2"/>
    <w:rsid w:val="0055288D"/>
    <w:rsid w:val="00555259"/>
    <w:rsid w:val="00560D57"/>
    <w:rsid w:val="00562A94"/>
    <w:rsid w:val="00570C54"/>
    <w:rsid w:val="005710A9"/>
    <w:rsid w:val="00574913"/>
    <w:rsid w:val="00593043"/>
    <w:rsid w:val="00595BF0"/>
    <w:rsid w:val="005A258C"/>
    <w:rsid w:val="005A3560"/>
    <w:rsid w:val="005A6C99"/>
    <w:rsid w:val="005B011A"/>
    <w:rsid w:val="005B1D8F"/>
    <w:rsid w:val="005B508C"/>
    <w:rsid w:val="005B5B3D"/>
    <w:rsid w:val="005C3758"/>
    <w:rsid w:val="005E04F9"/>
    <w:rsid w:val="005E3064"/>
    <w:rsid w:val="005F1115"/>
    <w:rsid w:val="005F12D6"/>
    <w:rsid w:val="005F27F2"/>
    <w:rsid w:val="005F424D"/>
    <w:rsid w:val="005F4676"/>
    <w:rsid w:val="00605AAB"/>
    <w:rsid w:val="00606BEB"/>
    <w:rsid w:val="0061014A"/>
    <w:rsid w:val="00613E26"/>
    <w:rsid w:val="00615641"/>
    <w:rsid w:val="006211D0"/>
    <w:rsid w:val="00624D0C"/>
    <w:rsid w:val="006307BA"/>
    <w:rsid w:val="00634C4A"/>
    <w:rsid w:val="0063532E"/>
    <w:rsid w:val="00637BDC"/>
    <w:rsid w:val="006418C9"/>
    <w:rsid w:val="00645046"/>
    <w:rsid w:val="00645EA2"/>
    <w:rsid w:val="00662F08"/>
    <w:rsid w:val="00663589"/>
    <w:rsid w:val="00670DDC"/>
    <w:rsid w:val="00671C6B"/>
    <w:rsid w:val="00671EB4"/>
    <w:rsid w:val="0067443B"/>
    <w:rsid w:val="00681505"/>
    <w:rsid w:val="00684E2B"/>
    <w:rsid w:val="00690FDA"/>
    <w:rsid w:val="00694EEA"/>
    <w:rsid w:val="006955B4"/>
    <w:rsid w:val="00696476"/>
    <w:rsid w:val="006A10FA"/>
    <w:rsid w:val="006A40E6"/>
    <w:rsid w:val="006A5C07"/>
    <w:rsid w:val="006A75FA"/>
    <w:rsid w:val="006B07D5"/>
    <w:rsid w:val="006B1309"/>
    <w:rsid w:val="006B5923"/>
    <w:rsid w:val="006B67D9"/>
    <w:rsid w:val="006B6C14"/>
    <w:rsid w:val="006C3A68"/>
    <w:rsid w:val="006C6AB1"/>
    <w:rsid w:val="006C7C15"/>
    <w:rsid w:val="006D2D39"/>
    <w:rsid w:val="006E06D1"/>
    <w:rsid w:val="006E1313"/>
    <w:rsid w:val="006E2DC8"/>
    <w:rsid w:val="006E3DD8"/>
    <w:rsid w:val="006E7356"/>
    <w:rsid w:val="006E77C8"/>
    <w:rsid w:val="006F149D"/>
    <w:rsid w:val="006F1A46"/>
    <w:rsid w:val="006F5A4E"/>
    <w:rsid w:val="00703B6C"/>
    <w:rsid w:val="00705EB0"/>
    <w:rsid w:val="00706482"/>
    <w:rsid w:val="00706BEF"/>
    <w:rsid w:val="007116BC"/>
    <w:rsid w:val="007165CE"/>
    <w:rsid w:val="0071791E"/>
    <w:rsid w:val="00720968"/>
    <w:rsid w:val="00721D12"/>
    <w:rsid w:val="00721F8B"/>
    <w:rsid w:val="0073254D"/>
    <w:rsid w:val="00736A49"/>
    <w:rsid w:val="00743B71"/>
    <w:rsid w:val="00743C2D"/>
    <w:rsid w:val="00743E36"/>
    <w:rsid w:val="00744EBB"/>
    <w:rsid w:val="007468AC"/>
    <w:rsid w:val="00746AE2"/>
    <w:rsid w:val="00750C82"/>
    <w:rsid w:val="0075169D"/>
    <w:rsid w:val="0076100C"/>
    <w:rsid w:val="007651ED"/>
    <w:rsid w:val="00766C87"/>
    <w:rsid w:val="00781BD4"/>
    <w:rsid w:val="00784832"/>
    <w:rsid w:val="00785D77"/>
    <w:rsid w:val="00786111"/>
    <w:rsid w:val="00791F1E"/>
    <w:rsid w:val="00794F3D"/>
    <w:rsid w:val="00794F4E"/>
    <w:rsid w:val="007968AC"/>
    <w:rsid w:val="007A0B39"/>
    <w:rsid w:val="007A14A4"/>
    <w:rsid w:val="007A168F"/>
    <w:rsid w:val="007A28E4"/>
    <w:rsid w:val="007A3BB3"/>
    <w:rsid w:val="007A5AD1"/>
    <w:rsid w:val="007A5B7B"/>
    <w:rsid w:val="007B0A06"/>
    <w:rsid w:val="007B5C5C"/>
    <w:rsid w:val="007B7C41"/>
    <w:rsid w:val="007C433E"/>
    <w:rsid w:val="007C4DB1"/>
    <w:rsid w:val="007C6046"/>
    <w:rsid w:val="007D0292"/>
    <w:rsid w:val="007D21AC"/>
    <w:rsid w:val="007D568A"/>
    <w:rsid w:val="007D574E"/>
    <w:rsid w:val="007E2046"/>
    <w:rsid w:val="007E44A8"/>
    <w:rsid w:val="007E4FBB"/>
    <w:rsid w:val="007E55BF"/>
    <w:rsid w:val="007E71B1"/>
    <w:rsid w:val="007E7B4E"/>
    <w:rsid w:val="007F0CE2"/>
    <w:rsid w:val="007F0EFF"/>
    <w:rsid w:val="007F1375"/>
    <w:rsid w:val="00803850"/>
    <w:rsid w:val="00805AFD"/>
    <w:rsid w:val="00811D5B"/>
    <w:rsid w:val="00817713"/>
    <w:rsid w:val="00830999"/>
    <w:rsid w:val="00830D5E"/>
    <w:rsid w:val="00830F69"/>
    <w:rsid w:val="00834458"/>
    <w:rsid w:val="00835841"/>
    <w:rsid w:val="00837465"/>
    <w:rsid w:val="00841457"/>
    <w:rsid w:val="0084374E"/>
    <w:rsid w:val="00844842"/>
    <w:rsid w:val="0085206E"/>
    <w:rsid w:val="00852367"/>
    <w:rsid w:val="00852AD4"/>
    <w:rsid w:val="00852BA8"/>
    <w:rsid w:val="00853718"/>
    <w:rsid w:val="008541EF"/>
    <w:rsid w:val="00856FA4"/>
    <w:rsid w:val="0086162B"/>
    <w:rsid w:val="00865207"/>
    <w:rsid w:val="008656A7"/>
    <w:rsid w:val="00871262"/>
    <w:rsid w:val="00871D4E"/>
    <w:rsid w:val="00871E7B"/>
    <w:rsid w:val="00873AEA"/>
    <w:rsid w:val="00875B51"/>
    <w:rsid w:val="00875F2D"/>
    <w:rsid w:val="008764DC"/>
    <w:rsid w:val="00883930"/>
    <w:rsid w:val="008855B8"/>
    <w:rsid w:val="00896535"/>
    <w:rsid w:val="00896683"/>
    <w:rsid w:val="008A161E"/>
    <w:rsid w:val="008A2DC4"/>
    <w:rsid w:val="008A63A9"/>
    <w:rsid w:val="008B04DB"/>
    <w:rsid w:val="008B1D1A"/>
    <w:rsid w:val="008B3AF2"/>
    <w:rsid w:val="008B515D"/>
    <w:rsid w:val="008B5D31"/>
    <w:rsid w:val="008B6705"/>
    <w:rsid w:val="008D795D"/>
    <w:rsid w:val="008D7B07"/>
    <w:rsid w:val="008E2D99"/>
    <w:rsid w:val="008E4A60"/>
    <w:rsid w:val="009026E8"/>
    <w:rsid w:val="0090609A"/>
    <w:rsid w:val="00906EB7"/>
    <w:rsid w:val="009102BF"/>
    <w:rsid w:val="009115F2"/>
    <w:rsid w:val="00914ADB"/>
    <w:rsid w:val="00923B25"/>
    <w:rsid w:val="0092402E"/>
    <w:rsid w:val="00926FCB"/>
    <w:rsid w:val="00940709"/>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5D21"/>
    <w:rsid w:val="00976869"/>
    <w:rsid w:val="00977740"/>
    <w:rsid w:val="00977CB4"/>
    <w:rsid w:val="009809B8"/>
    <w:rsid w:val="00985099"/>
    <w:rsid w:val="009933A4"/>
    <w:rsid w:val="0099421F"/>
    <w:rsid w:val="00997EC0"/>
    <w:rsid w:val="009A0DE3"/>
    <w:rsid w:val="009A1643"/>
    <w:rsid w:val="009A4F1B"/>
    <w:rsid w:val="009A79BA"/>
    <w:rsid w:val="009B1534"/>
    <w:rsid w:val="009B3351"/>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F7809"/>
    <w:rsid w:val="009F7AF5"/>
    <w:rsid w:val="00A00D14"/>
    <w:rsid w:val="00A01408"/>
    <w:rsid w:val="00A02457"/>
    <w:rsid w:val="00A0404B"/>
    <w:rsid w:val="00A07BDD"/>
    <w:rsid w:val="00A1105B"/>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6D26"/>
    <w:rsid w:val="00A608FB"/>
    <w:rsid w:val="00A60D83"/>
    <w:rsid w:val="00A60F68"/>
    <w:rsid w:val="00A65C78"/>
    <w:rsid w:val="00A70E7B"/>
    <w:rsid w:val="00A73B84"/>
    <w:rsid w:val="00A7411D"/>
    <w:rsid w:val="00A76094"/>
    <w:rsid w:val="00A768E2"/>
    <w:rsid w:val="00A82C52"/>
    <w:rsid w:val="00A85730"/>
    <w:rsid w:val="00A86CB6"/>
    <w:rsid w:val="00A90D55"/>
    <w:rsid w:val="00A959E7"/>
    <w:rsid w:val="00A95BBA"/>
    <w:rsid w:val="00A961EE"/>
    <w:rsid w:val="00AA04B3"/>
    <w:rsid w:val="00AA493E"/>
    <w:rsid w:val="00AA73AF"/>
    <w:rsid w:val="00AB1754"/>
    <w:rsid w:val="00AB27DD"/>
    <w:rsid w:val="00AC439D"/>
    <w:rsid w:val="00AC7A55"/>
    <w:rsid w:val="00AD067E"/>
    <w:rsid w:val="00AD68C5"/>
    <w:rsid w:val="00AE1273"/>
    <w:rsid w:val="00AE2D29"/>
    <w:rsid w:val="00AE4624"/>
    <w:rsid w:val="00AE5E14"/>
    <w:rsid w:val="00AF1020"/>
    <w:rsid w:val="00AF4FA5"/>
    <w:rsid w:val="00AF52A2"/>
    <w:rsid w:val="00B15D30"/>
    <w:rsid w:val="00B23436"/>
    <w:rsid w:val="00B248DE"/>
    <w:rsid w:val="00B32179"/>
    <w:rsid w:val="00B331A9"/>
    <w:rsid w:val="00B40A3E"/>
    <w:rsid w:val="00B50227"/>
    <w:rsid w:val="00B50767"/>
    <w:rsid w:val="00B522CD"/>
    <w:rsid w:val="00B53A35"/>
    <w:rsid w:val="00B55917"/>
    <w:rsid w:val="00B628B9"/>
    <w:rsid w:val="00B6380B"/>
    <w:rsid w:val="00B64DD6"/>
    <w:rsid w:val="00B674BC"/>
    <w:rsid w:val="00B72303"/>
    <w:rsid w:val="00B82277"/>
    <w:rsid w:val="00B91676"/>
    <w:rsid w:val="00B95833"/>
    <w:rsid w:val="00B979D9"/>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35DD"/>
    <w:rsid w:val="00BF4720"/>
    <w:rsid w:val="00C038EC"/>
    <w:rsid w:val="00C13B34"/>
    <w:rsid w:val="00C1713D"/>
    <w:rsid w:val="00C177F1"/>
    <w:rsid w:val="00C25978"/>
    <w:rsid w:val="00C261C6"/>
    <w:rsid w:val="00C30A97"/>
    <w:rsid w:val="00C31DDC"/>
    <w:rsid w:val="00C34326"/>
    <w:rsid w:val="00C36201"/>
    <w:rsid w:val="00C368E8"/>
    <w:rsid w:val="00C42443"/>
    <w:rsid w:val="00C42CBA"/>
    <w:rsid w:val="00C5019E"/>
    <w:rsid w:val="00C53E8A"/>
    <w:rsid w:val="00C54DF3"/>
    <w:rsid w:val="00C560A7"/>
    <w:rsid w:val="00C56FC8"/>
    <w:rsid w:val="00C60F23"/>
    <w:rsid w:val="00C62EB2"/>
    <w:rsid w:val="00C71BEC"/>
    <w:rsid w:val="00C74D3A"/>
    <w:rsid w:val="00C80511"/>
    <w:rsid w:val="00C826F5"/>
    <w:rsid w:val="00C83740"/>
    <w:rsid w:val="00C84A4E"/>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63C8"/>
    <w:rsid w:val="00CF158D"/>
    <w:rsid w:val="00CF4394"/>
    <w:rsid w:val="00D0591B"/>
    <w:rsid w:val="00D10577"/>
    <w:rsid w:val="00D10F3F"/>
    <w:rsid w:val="00D1323B"/>
    <w:rsid w:val="00D14BAE"/>
    <w:rsid w:val="00D15D54"/>
    <w:rsid w:val="00D1648B"/>
    <w:rsid w:val="00D16819"/>
    <w:rsid w:val="00D20790"/>
    <w:rsid w:val="00D20AC0"/>
    <w:rsid w:val="00D26873"/>
    <w:rsid w:val="00D336C8"/>
    <w:rsid w:val="00D339E8"/>
    <w:rsid w:val="00D40B1F"/>
    <w:rsid w:val="00D40D75"/>
    <w:rsid w:val="00D50C8C"/>
    <w:rsid w:val="00D52393"/>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973B8"/>
    <w:rsid w:val="00DA195B"/>
    <w:rsid w:val="00DB0015"/>
    <w:rsid w:val="00DB2AAD"/>
    <w:rsid w:val="00DB626D"/>
    <w:rsid w:val="00DB6365"/>
    <w:rsid w:val="00DC0BF1"/>
    <w:rsid w:val="00DC41C3"/>
    <w:rsid w:val="00DD1D64"/>
    <w:rsid w:val="00DD3593"/>
    <w:rsid w:val="00DD5631"/>
    <w:rsid w:val="00DE0C67"/>
    <w:rsid w:val="00DE6286"/>
    <w:rsid w:val="00DE6952"/>
    <w:rsid w:val="00DE7E74"/>
    <w:rsid w:val="00E00A69"/>
    <w:rsid w:val="00E017F0"/>
    <w:rsid w:val="00E01A0E"/>
    <w:rsid w:val="00E041E4"/>
    <w:rsid w:val="00E103C8"/>
    <w:rsid w:val="00E1085B"/>
    <w:rsid w:val="00E14581"/>
    <w:rsid w:val="00E15539"/>
    <w:rsid w:val="00E16541"/>
    <w:rsid w:val="00E2536E"/>
    <w:rsid w:val="00E2632B"/>
    <w:rsid w:val="00E322F7"/>
    <w:rsid w:val="00E32CE9"/>
    <w:rsid w:val="00E3369B"/>
    <w:rsid w:val="00E36D76"/>
    <w:rsid w:val="00E405EA"/>
    <w:rsid w:val="00E408B7"/>
    <w:rsid w:val="00E4225A"/>
    <w:rsid w:val="00E42789"/>
    <w:rsid w:val="00E43F59"/>
    <w:rsid w:val="00E464F0"/>
    <w:rsid w:val="00E50BEB"/>
    <w:rsid w:val="00E6092F"/>
    <w:rsid w:val="00E629DA"/>
    <w:rsid w:val="00E67FAC"/>
    <w:rsid w:val="00E7200B"/>
    <w:rsid w:val="00E738CB"/>
    <w:rsid w:val="00E73C88"/>
    <w:rsid w:val="00E74437"/>
    <w:rsid w:val="00E81C3E"/>
    <w:rsid w:val="00E82B6D"/>
    <w:rsid w:val="00E91FB5"/>
    <w:rsid w:val="00EA1177"/>
    <w:rsid w:val="00EA118B"/>
    <w:rsid w:val="00EA11B6"/>
    <w:rsid w:val="00EA2181"/>
    <w:rsid w:val="00EA2DD8"/>
    <w:rsid w:val="00EA4475"/>
    <w:rsid w:val="00EA681F"/>
    <w:rsid w:val="00EB3823"/>
    <w:rsid w:val="00EB47D8"/>
    <w:rsid w:val="00EB679F"/>
    <w:rsid w:val="00EB76E4"/>
    <w:rsid w:val="00EC0E65"/>
    <w:rsid w:val="00EC2938"/>
    <w:rsid w:val="00EC50C9"/>
    <w:rsid w:val="00EC5BB2"/>
    <w:rsid w:val="00ED293B"/>
    <w:rsid w:val="00ED664B"/>
    <w:rsid w:val="00EE0B44"/>
    <w:rsid w:val="00EE3D38"/>
    <w:rsid w:val="00EE6FE0"/>
    <w:rsid w:val="00EE704A"/>
    <w:rsid w:val="00EF4C74"/>
    <w:rsid w:val="00EF5268"/>
    <w:rsid w:val="00EF608E"/>
    <w:rsid w:val="00EF68B9"/>
    <w:rsid w:val="00F0044B"/>
    <w:rsid w:val="00F05807"/>
    <w:rsid w:val="00F07052"/>
    <w:rsid w:val="00F0706C"/>
    <w:rsid w:val="00F11EBE"/>
    <w:rsid w:val="00F130D0"/>
    <w:rsid w:val="00F14933"/>
    <w:rsid w:val="00F1516A"/>
    <w:rsid w:val="00F22A26"/>
    <w:rsid w:val="00F24072"/>
    <w:rsid w:val="00F26432"/>
    <w:rsid w:val="00F2766E"/>
    <w:rsid w:val="00F3008C"/>
    <w:rsid w:val="00F3197A"/>
    <w:rsid w:val="00F32139"/>
    <w:rsid w:val="00F33D56"/>
    <w:rsid w:val="00F34E08"/>
    <w:rsid w:val="00F41D91"/>
    <w:rsid w:val="00F42363"/>
    <w:rsid w:val="00F46964"/>
    <w:rsid w:val="00F46F9A"/>
    <w:rsid w:val="00F5126A"/>
    <w:rsid w:val="00F6636A"/>
    <w:rsid w:val="00F67E31"/>
    <w:rsid w:val="00F718A8"/>
    <w:rsid w:val="00F72183"/>
    <w:rsid w:val="00F76D01"/>
    <w:rsid w:val="00F81C35"/>
    <w:rsid w:val="00F82981"/>
    <w:rsid w:val="00F8311F"/>
    <w:rsid w:val="00F83248"/>
    <w:rsid w:val="00F83376"/>
    <w:rsid w:val="00F853AE"/>
    <w:rsid w:val="00F93DCC"/>
    <w:rsid w:val="00F9435D"/>
    <w:rsid w:val="00FA1870"/>
    <w:rsid w:val="00FA3E87"/>
    <w:rsid w:val="00FB593A"/>
    <w:rsid w:val="00FB6410"/>
    <w:rsid w:val="00FB6E82"/>
    <w:rsid w:val="00FC2A13"/>
    <w:rsid w:val="00FC4284"/>
    <w:rsid w:val="00FC4576"/>
    <w:rsid w:val="00FC7DBC"/>
    <w:rsid w:val="00FD076A"/>
    <w:rsid w:val="00FD0AA0"/>
    <w:rsid w:val="00FD1D5A"/>
    <w:rsid w:val="00FD5059"/>
    <w:rsid w:val="00FD554D"/>
    <w:rsid w:val="00FD77EF"/>
    <w:rsid w:val="00FF0FF7"/>
    <w:rsid w:val="00FF1438"/>
    <w:rsid w:val="00FF3A38"/>
    <w:rsid w:val="00FF3C25"/>
    <w:rsid w:val="00FF3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81DC2"/>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4328-F798-4FD2-86D1-C30E6D1D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12</cp:revision>
  <cp:lastPrinted>2010-05-19T17:00:00Z</cp:lastPrinted>
  <dcterms:created xsi:type="dcterms:W3CDTF">2010-05-13T15:44:00Z</dcterms:created>
  <dcterms:modified xsi:type="dcterms:W3CDTF">2012-01-24T17:02:00Z</dcterms:modified>
</cp:coreProperties>
</file>