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FF0FBE" w:rsidRPr="00D91DA6" w:rsidRDefault="00FF0FBE" w:rsidP="00540BEF">
      <w:pPr>
        <w:tabs>
          <w:tab w:val="left" w:pos="288"/>
          <w:tab w:val="left" w:pos="4752"/>
        </w:tabs>
        <w:spacing w:line="240" w:lineRule="exact"/>
        <w:jc w:val="center"/>
        <w:rPr>
          <w:color w:val="000080"/>
        </w:rPr>
      </w:pPr>
    </w:p>
    <w:p w:rsidR="00540BEF" w:rsidRPr="00D91DA6" w:rsidRDefault="00540BEF" w:rsidP="00540BEF">
      <w:pPr>
        <w:tabs>
          <w:tab w:val="left" w:pos="288"/>
          <w:tab w:val="left" w:pos="4752"/>
        </w:tabs>
        <w:spacing w:line="240" w:lineRule="exact"/>
        <w:jc w:val="both"/>
        <w:rPr>
          <w:color w:val="000080"/>
        </w:rPr>
      </w:pPr>
    </w:p>
    <w:p w:rsidR="00540BEF" w:rsidRPr="00D91DA6" w:rsidRDefault="00540BEF" w:rsidP="006646D2">
      <w:pPr>
        <w:tabs>
          <w:tab w:val="left" w:pos="288"/>
          <w:tab w:val="left" w:pos="4752"/>
        </w:tabs>
        <w:spacing w:line="240" w:lineRule="exact"/>
        <w:ind w:right="-180"/>
        <w:rPr>
          <w:color w:val="000080"/>
        </w:rPr>
      </w:pPr>
      <w:r w:rsidRPr="00D91DA6">
        <w:rPr>
          <w:color w:val="000080"/>
        </w:rPr>
        <w:t xml:space="preserve">NAME: </w:t>
      </w:r>
      <w:r w:rsidR="003E0BF6">
        <w:rPr>
          <w:color w:val="000080"/>
        </w:rPr>
        <w:tab/>
      </w:r>
      <w:r w:rsidR="003E0BF6">
        <w:rPr>
          <w:color w:val="000080"/>
        </w:rPr>
        <w:tab/>
      </w:r>
      <w:r w:rsidR="003E0BF6">
        <w:rPr>
          <w:color w:val="000080"/>
        </w:rPr>
        <w:tab/>
        <w:t xml:space="preserve"> </w:t>
      </w:r>
      <w:r>
        <w:rPr>
          <w:color w:val="000080"/>
        </w:rPr>
        <w:t>BRANCH OF SERVICE</w:t>
      </w:r>
      <w:r w:rsidRPr="00D91DA6">
        <w:rPr>
          <w:color w:val="000080"/>
        </w:rPr>
        <w:t xml:space="preserve">: </w:t>
      </w:r>
      <w:r w:rsidR="000E0993">
        <w:rPr>
          <w:color w:val="000080"/>
        </w:rPr>
        <w:t>ARMY</w:t>
      </w:r>
    </w:p>
    <w:p w:rsidR="00FF0FBE" w:rsidRDefault="00540BEF" w:rsidP="006646D2">
      <w:pPr>
        <w:tabs>
          <w:tab w:val="left" w:pos="288"/>
          <w:tab w:val="left" w:pos="4752"/>
        </w:tabs>
        <w:spacing w:line="240" w:lineRule="exact"/>
        <w:ind w:right="-180"/>
        <w:rPr>
          <w:color w:val="000080"/>
        </w:rPr>
      </w:pPr>
      <w:r>
        <w:rPr>
          <w:color w:val="000080"/>
        </w:rPr>
        <w:t>CASE</w:t>
      </w:r>
      <w:r w:rsidRPr="00D91DA6">
        <w:rPr>
          <w:color w:val="000080"/>
        </w:rPr>
        <w:t xml:space="preserve"> NUMBER:  </w:t>
      </w:r>
      <w:r>
        <w:rPr>
          <w:color w:val="000080"/>
        </w:rPr>
        <w:t>PD0900</w:t>
      </w:r>
      <w:r w:rsidR="0069265A">
        <w:rPr>
          <w:color w:val="000080"/>
        </w:rPr>
        <w:t>112</w:t>
      </w:r>
      <w:r w:rsidRPr="00D91DA6">
        <w:rPr>
          <w:color w:val="000080"/>
        </w:rPr>
        <w:tab/>
      </w:r>
      <w:r w:rsidRPr="00D91DA6">
        <w:rPr>
          <w:color w:val="000080"/>
        </w:rPr>
        <w:tab/>
      </w:r>
      <w:r w:rsidR="00FF0FBE">
        <w:rPr>
          <w:color w:val="000080"/>
        </w:rPr>
        <w:tab/>
      </w:r>
      <w:r w:rsidR="006646D2">
        <w:rPr>
          <w:color w:val="000080"/>
        </w:rPr>
        <w:t xml:space="preserve"> </w:t>
      </w:r>
      <w:r w:rsidRPr="00D91DA6">
        <w:rPr>
          <w:color w:val="000080"/>
        </w:rPr>
        <w:t xml:space="preserve">BOARD DATE: </w:t>
      </w:r>
      <w:r w:rsidR="000F02BE">
        <w:rPr>
          <w:color w:val="000080"/>
        </w:rPr>
        <w:t>2010</w:t>
      </w:r>
      <w:r w:rsidR="0069265A">
        <w:rPr>
          <w:color w:val="000080"/>
        </w:rPr>
        <w:t>0304</w:t>
      </w:r>
    </w:p>
    <w:p w:rsidR="00540BEF" w:rsidRDefault="00540BEF" w:rsidP="00C46E85">
      <w:pPr>
        <w:tabs>
          <w:tab w:val="left" w:pos="288"/>
          <w:tab w:val="left" w:pos="4752"/>
        </w:tabs>
        <w:spacing w:line="240" w:lineRule="exact"/>
        <w:rPr>
          <w:color w:val="000080"/>
        </w:rPr>
      </w:pPr>
      <w:r w:rsidRPr="00D91DA6">
        <w:rPr>
          <w:color w:val="000080"/>
        </w:rPr>
        <w:t xml:space="preserve">SEPARATION DATE: </w:t>
      </w:r>
      <w:r w:rsidR="000E0993">
        <w:rPr>
          <w:color w:val="000080"/>
        </w:rPr>
        <w:t>200</w:t>
      </w:r>
      <w:r w:rsidR="00894FA2">
        <w:rPr>
          <w:color w:val="000080"/>
        </w:rPr>
        <w:t>5</w:t>
      </w:r>
      <w:r w:rsidR="0069265A">
        <w:rPr>
          <w:color w:val="000080"/>
        </w:rPr>
        <w:t>1028</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B23D67" w:rsidRPr="00894FA2" w:rsidRDefault="002C6E5B" w:rsidP="00894FA2">
      <w:pPr>
        <w:tabs>
          <w:tab w:val="left" w:pos="288"/>
          <w:tab w:val="left" w:pos="4752"/>
        </w:tabs>
        <w:spacing w:line="240" w:lineRule="exact"/>
        <w:jc w:val="both"/>
        <w:rPr>
          <w:color w:val="000080"/>
        </w:rPr>
      </w:pPr>
      <w:r w:rsidRPr="00894FA2">
        <w:rPr>
          <w:color w:val="000080"/>
          <w:u w:val="single"/>
        </w:rPr>
        <w:t>SUMMARY OF CASE</w:t>
      </w:r>
      <w:r w:rsidRPr="00894FA2">
        <w:rPr>
          <w:color w:val="000080"/>
        </w:rPr>
        <w:t xml:space="preserve">:  </w:t>
      </w:r>
      <w:r w:rsidR="00C46E85" w:rsidRPr="00894FA2">
        <w:rPr>
          <w:color w:val="000080"/>
        </w:rPr>
        <w:t xml:space="preserve">This covered individual (CI) was an NCO (Information Systems Analyst) medically separated from the Army in 2005 after 5 years of service.  The medical basis for the separation was recurrent </w:t>
      </w:r>
      <w:r w:rsidR="0035786A" w:rsidRPr="00894FA2">
        <w:rPr>
          <w:color w:val="000080"/>
        </w:rPr>
        <w:t>episodes</w:t>
      </w:r>
      <w:r w:rsidR="00C46E85" w:rsidRPr="00894FA2">
        <w:rPr>
          <w:color w:val="000080"/>
        </w:rPr>
        <w:t xml:space="preserve"> of </w:t>
      </w:r>
      <w:r w:rsidR="0035786A" w:rsidRPr="00894FA2">
        <w:rPr>
          <w:color w:val="000080"/>
        </w:rPr>
        <w:t>non-specific alterations in</w:t>
      </w:r>
      <w:r w:rsidR="00C46E85" w:rsidRPr="00894FA2">
        <w:rPr>
          <w:color w:val="000080"/>
        </w:rPr>
        <w:t xml:space="preserve"> consciousness.  </w:t>
      </w:r>
      <w:r w:rsidR="0035786A" w:rsidRPr="00894FA2">
        <w:rPr>
          <w:color w:val="000080"/>
        </w:rPr>
        <w:t xml:space="preserve">She developed </w:t>
      </w:r>
      <w:proofErr w:type="spellStart"/>
      <w:r w:rsidR="0035786A" w:rsidRPr="00894FA2">
        <w:rPr>
          <w:color w:val="000080"/>
        </w:rPr>
        <w:t>syncopal</w:t>
      </w:r>
      <w:proofErr w:type="spellEnd"/>
      <w:r w:rsidR="0035786A" w:rsidRPr="00894FA2">
        <w:rPr>
          <w:color w:val="000080"/>
        </w:rPr>
        <w:t xml:space="preserve">-like episodes associated with heat and exertion </w:t>
      </w:r>
      <w:r w:rsidR="00B23D67" w:rsidRPr="00894FA2">
        <w:rPr>
          <w:color w:val="000080"/>
        </w:rPr>
        <w:t xml:space="preserve">beginning in Basic Training and continuing to her first duty station.  These were treated with hydration and no specific evaluation was pursued.  During a subsequent deployment to Korea, she developed a different type of recurrent episodes.  Clinical notes described apparent loss of consciousness </w:t>
      </w:r>
      <w:r w:rsidR="00590E54" w:rsidRPr="00894FA2">
        <w:rPr>
          <w:color w:val="000080"/>
        </w:rPr>
        <w:t xml:space="preserve">(LOC) </w:t>
      </w:r>
      <w:r w:rsidR="00B23D67" w:rsidRPr="00894FA2">
        <w:rPr>
          <w:color w:val="000080"/>
        </w:rPr>
        <w:t>associated with shiverin</w:t>
      </w:r>
      <w:r w:rsidR="00E54050" w:rsidRPr="00894FA2">
        <w:rPr>
          <w:color w:val="000080"/>
        </w:rPr>
        <w:t>g-like activity and</w:t>
      </w:r>
      <w:r w:rsidR="00B23D67" w:rsidRPr="00894FA2">
        <w:rPr>
          <w:color w:val="000080"/>
        </w:rPr>
        <w:t xml:space="preserve"> </w:t>
      </w:r>
      <w:r w:rsidR="00E54050" w:rsidRPr="00894FA2">
        <w:rPr>
          <w:color w:val="000080"/>
        </w:rPr>
        <w:t>limb movements</w:t>
      </w:r>
      <w:r w:rsidR="00B23D67" w:rsidRPr="00894FA2">
        <w:rPr>
          <w:color w:val="000080"/>
        </w:rPr>
        <w:t xml:space="preserve"> atypical for seizure </w:t>
      </w:r>
      <w:r w:rsidR="00E54050" w:rsidRPr="00894FA2">
        <w:rPr>
          <w:color w:val="000080"/>
        </w:rPr>
        <w:t>with</w:t>
      </w:r>
      <w:r w:rsidR="00B23D67" w:rsidRPr="00894FA2">
        <w:rPr>
          <w:color w:val="000080"/>
        </w:rPr>
        <w:t xml:space="preserve"> </w:t>
      </w:r>
      <w:r w:rsidR="00E54050" w:rsidRPr="00894FA2">
        <w:rPr>
          <w:color w:val="000080"/>
        </w:rPr>
        <w:t xml:space="preserve">atypical eye opening and eyelid motion.  She described amnesia for the events.  She was eventually transferred to </w:t>
      </w:r>
      <w:r w:rsidR="00FF0FBE">
        <w:rPr>
          <w:color w:val="000080"/>
        </w:rPr>
        <w:t>Walter-Reed Army Medical Center (</w:t>
      </w:r>
      <w:r w:rsidR="00E54050" w:rsidRPr="00894FA2">
        <w:rPr>
          <w:color w:val="000080"/>
        </w:rPr>
        <w:t>WRAMC</w:t>
      </w:r>
      <w:r w:rsidR="00FF0FBE">
        <w:rPr>
          <w:color w:val="000080"/>
        </w:rPr>
        <w:t>)</w:t>
      </w:r>
      <w:r w:rsidR="00E54050" w:rsidRPr="00894FA2">
        <w:rPr>
          <w:color w:val="000080"/>
        </w:rPr>
        <w:t xml:space="preserve"> and spent the remainder of her service time </w:t>
      </w:r>
      <w:r w:rsidR="00FF0FBE">
        <w:rPr>
          <w:color w:val="000080"/>
        </w:rPr>
        <w:t>in medical h</w:t>
      </w:r>
      <w:r w:rsidR="00590E54" w:rsidRPr="00894FA2">
        <w:rPr>
          <w:color w:val="000080"/>
        </w:rPr>
        <w:t xml:space="preserve">old </w:t>
      </w:r>
      <w:r w:rsidR="00E54050" w:rsidRPr="00894FA2">
        <w:rPr>
          <w:color w:val="000080"/>
        </w:rPr>
        <w:t xml:space="preserve">undergoing a prolonged evaluation.  </w:t>
      </w:r>
      <w:r w:rsidR="00590E54" w:rsidRPr="00894FA2">
        <w:rPr>
          <w:color w:val="000080"/>
        </w:rPr>
        <w:t xml:space="preserve">During the </w:t>
      </w:r>
      <w:r w:rsidR="00FF0FBE">
        <w:rPr>
          <w:color w:val="000080"/>
        </w:rPr>
        <w:t>medical evaluation board (</w:t>
      </w:r>
      <w:r w:rsidR="00590E54" w:rsidRPr="00894FA2">
        <w:rPr>
          <w:color w:val="000080"/>
        </w:rPr>
        <w:t>MEB</w:t>
      </w:r>
      <w:r w:rsidR="00FF0FBE">
        <w:rPr>
          <w:color w:val="000080"/>
        </w:rPr>
        <w:t>)</w:t>
      </w:r>
      <w:r w:rsidR="00590E54" w:rsidRPr="00894FA2">
        <w:rPr>
          <w:color w:val="000080"/>
        </w:rPr>
        <w:t xml:space="preserve"> period her episodes evolved into staring spells of a few minutes duration.  Witnesses stated she was verbally unresponsive but did not exhibit LOC or motor </w:t>
      </w:r>
      <w:proofErr w:type="gramStart"/>
      <w:r w:rsidR="00590E54" w:rsidRPr="00894FA2">
        <w:rPr>
          <w:color w:val="000080"/>
        </w:rPr>
        <w:t>activity</w:t>
      </w:r>
      <w:proofErr w:type="gramEnd"/>
      <w:r w:rsidR="00590E54" w:rsidRPr="00894FA2">
        <w:rPr>
          <w:color w:val="000080"/>
        </w:rPr>
        <w:t>.  She would quickly regain normal function but had no recall of the events by history.  She underwent</w:t>
      </w:r>
      <w:r w:rsidR="00E54050" w:rsidRPr="00894FA2">
        <w:rPr>
          <w:color w:val="000080"/>
        </w:rPr>
        <w:t xml:space="preserve"> sequential electroencephalographs without demonstration of a seizure disorder</w:t>
      </w:r>
      <w:r w:rsidR="00590E54" w:rsidRPr="00894FA2">
        <w:rPr>
          <w:color w:val="000080"/>
        </w:rPr>
        <w:t xml:space="preserve">.  Two were normal and one demonstrated ‘non-specific, </w:t>
      </w:r>
      <w:r w:rsidR="00DE0F29" w:rsidRPr="00894FA2">
        <w:rPr>
          <w:color w:val="000080"/>
        </w:rPr>
        <w:t>non-</w:t>
      </w:r>
      <w:proofErr w:type="spellStart"/>
      <w:r w:rsidR="00DE0F29" w:rsidRPr="00894FA2">
        <w:rPr>
          <w:color w:val="000080"/>
        </w:rPr>
        <w:t>epileptiform</w:t>
      </w:r>
      <w:proofErr w:type="spellEnd"/>
      <w:r w:rsidR="00DE0F29" w:rsidRPr="00894FA2">
        <w:rPr>
          <w:color w:val="000080"/>
        </w:rPr>
        <w:t xml:space="preserve"> abnormalities’.  A brain </w:t>
      </w:r>
      <w:r w:rsidR="00934627" w:rsidRPr="00934627">
        <w:rPr>
          <w:color w:val="000080"/>
        </w:rPr>
        <w:t>magnetic resonance imaging</w:t>
      </w:r>
      <w:r w:rsidR="00934627">
        <w:rPr>
          <w:color w:val="000080"/>
        </w:rPr>
        <w:t xml:space="preserve"> (</w:t>
      </w:r>
      <w:r w:rsidR="00DE0F29" w:rsidRPr="00894FA2">
        <w:rPr>
          <w:color w:val="000080"/>
        </w:rPr>
        <w:t>MRI</w:t>
      </w:r>
      <w:r w:rsidR="00934627">
        <w:rPr>
          <w:color w:val="000080"/>
        </w:rPr>
        <w:t>)</w:t>
      </w:r>
      <w:r w:rsidR="00DE0F29" w:rsidRPr="00894FA2">
        <w:rPr>
          <w:color w:val="000080"/>
        </w:rPr>
        <w:t xml:space="preserve"> and cardiovascular evaluation were normal.  Her neurologist at WRAMC rendered a diagnosis of </w:t>
      </w:r>
      <w:proofErr w:type="spellStart"/>
      <w:r w:rsidR="00DE0F29" w:rsidRPr="00894FA2">
        <w:rPr>
          <w:color w:val="000080"/>
        </w:rPr>
        <w:t>nonepileptic</w:t>
      </w:r>
      <w:proofErr w:type="spellEnd"/>
      <w:r w:rsidR="00DE0F29" w:rsidRPr="00894FA2">
        <w:rPr>
          <w:color w:val="000080"/>
        </w:rPr>
        <w:t xml:space="preserve"> seizures.  </w:t>
      </w:r>
      <w:r w:rsidR="00291270" w:rsidRPr="00894FA2">
        <w:rPr>
          <w:color w:val="000080"/>
        </w:rPr>
        <w:t xml:space="preserve">Since these episodes were unpredictable and occurring several times a week, she was barred from many essential military activities.   She was placed on a permanent P3 profile and the condition was forwarded to the </w:t>
      </w:r>
      <w:r w:rsidR="00FF0FBE">
        <w:rPr>
          <w:color w:val="000080"/>
        </w:rPr>
        <w:t>Physical Evaluation Board (</w:t>
      </w:r>
      <w:r w:rsidR="00291270" w:rsidRPr="00894FA2">
        <w:rPr>
          <w:color w:val="000080"/>
        </w:rPr>
        <w:t>PEB</w:t>
      </w:r>
      <w:r w:rsidR="00FF0FBE">
        <w:rPr>
          <w:color w:val="000080"/>
        </w:rPr>
        <w:t>)</w:t>
      </w:r>
      <w:r w:rsidR="00291270" w:rsidRPr="00894FA2">
        <w:rPr>
          <w:color w:val="000080"/>
        </w:rPr>
        <w:t xml:space="preserve"> as medically unacceptable </w:t>
      </w:r>
      <w:r w:rsidR="00133F6E" w:rsidRPr="00894FA2">
        <w:rPr>
          <w:color w:val="000080"/>
        </w:rPr>
        <w:t>IAW AR</w:t>
      </w:r>
      <w:r w:rsidR="00FF0FBE">
        <w:rPr>
          <w:color w:val="000080"/>
        </w:rPr>
        <w:t> </w:t>
      </w:r>
      <w:r w:rsidR="00133F6E" w:rsidRPr="00894FA2">
        <w:rPr>
          <w:color w:val="000080"/>
        </w:rPr>
        <w:t>40-501</w:t>
      </w:r>
      <w:r w:rsidR="00291270" w:rsidRPr="00894FA2">
        <w:rPr>
          <w:color w:val="000080"/>
        </w:rPr>
        <w:t>.  A left wrist condition and psychiatric diagnosis of adjustment disorder were forwarded as medically acceptable conditions</w:t>
      </w:r>
      <w:r w:rsidR="00133F6E" w:rsidRPr="00133F6E">
        <w:rPr>
          <w:color w:val="000080"/>
        </w:rPr>
        <w:t xml:space="preserve"> </w:t>
      </w:r>
      <w:r w:rsidR="00133F6E" w:rsidRPr="00894FA2">
        <w:rPr>
          <w:color w:val="000080"/>
        </w:rPr>
        <w:t xml:space="preserve">on the DA </w:t>
      </w:r>
      <w:r w:rsidR="00FF0FBE">
        <w:rPr>
          <w:color w:val="000080"/>
        </w:rPr>
        <w:t>Form</w:t>
      </w:r>
      <w:r w:rsidR="00934627">
        <w:rPr>
          <w:color w:val="000080"/>
        </w:rPr>
        <w:t xml:space="preserve"> </w:t>
      </w:r>
      <w:r w:rsidR="00133F6E" w:rsidRPr="00894FA2">
        <w:rPr>
          <w:color w:val="000080"/>
        </w:rPr>
        <w:t>3847</w:t>
      </w:r>
      <w:r w:rsidR="00291270" w:rsidRPr="00894FA2">
        <w:rPr>
          <w:color w:val="000080"/>
        </w:rPr>
        <w:t xml:space="preserve">.  The CI was found unfit </w:t>
      </w:r>
      <w:r w:rsidR="00133F6E" w:rsidRPr="00894FA2">
        <w:rPr>
          <w:color w:val="000080"/>
        </w:rPr>
        <w:t xml:space="preserve">only </w:t>
      </w:r>
      <w:r w:rsidR="00291270" w:rsidRPr="00894FA2">
        <w:rPr>
          <w:color w:val="000080"/>
        </w:rPr>
        <w:t xml:space="preserve">for the </w:t>
      </w:r>
      <w:proofErr w:type="spellStart"/>
      <w:r w:rsidR="00291270" w:rsidRPr="00894FA2">
        <w:rPr>
          <w:color w:val="000080"/>
        </w:rPr>
        <w:t>nonepileptic</w:t>
      </w:r>
      <w:proofErr w:type="spellEnd"/>
      <w:r w:rsidR="00291270" w:rsidRPr="00894FA2">
        <w:rPr>
          <w:color w:val="000080"/>
        </w:rPr>
        <w:t xml:space="preserve"> seizures and was medically separated with a disability rating of 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FF0FBE" w:rsidRDefault="002C6E5B" w:rsidP="00875F2D">
      <w:pPr>
        <w:tabs>
          <w:tab w:val="left" w:pos="288"/>
          <w:tab w:val="left" w:pos="4752"/>
        </w:tabs>
        <w:spacing w:line="240" w:lineRule="exact"/>
        <w:jc w:val="both"/>
        <w:rPr>
          <w:color w:val="000080"/>
        </w:rPr>
      </w:pPr>
      <w:r w:rsidRPr="00894FA2">
        <w:rPr>
          <w:color w:val="000080"/>
          <w:u w:val="single"/>
        </w:rPr>
        <w:t>CI CONTENTION</w:t>
      </w:r>
      <w:r w:rsidRPr="00894FA2">
        <w:rPr>
          <w:color w:val="000080"/>
        </w:rPr>
        <w:t>:  The CI states:</w:t>
      </w:r>
      <w:r w:rsidR="0035786A" w:rsidRPr="00894FA2">
        <w:rPr>
          <w:color w:val="000080"/>
        </w:rPr>
        <w:t xml:space="preserve"> ‘Issue has not resolved and original diagnosis of cranial nerve injury by naval physician was disregarded and put to les</w:t>
      </w:r>
      <w:r w:rsidR="00894FA2">
        <w:rPr>
          <w:color w:val="000080"/>
        </w:rPr>
        <w:t>ser epilepsy by Army Physicians...</w:t>
      </w:r>
      <w:r w:rsidR="0035786A" w:rsidRPr="00894FA2">
        <w:rPr>
          <w:color w:val="000080"/>
        </w:rPr>
        <w:t>I was a patient at Walter Ree</w:t>
      </w:r>
      <w:r w:rsidR="00133F6E">
        <w:rPr>
          <w:color w:val="000080"/>
        </w:rPr>
        <w:t>d Army Medical Center from 2002</w:t>
      </w:r>
      <w:r w:rsidR="0035786A" w:rsidRPr="00894FA2">
        <w:rPr>
          <w:color w:val="000080"/>
        </w:rPr>
        <w:t xml:space="preserve"> until 2005 as part of Medical Holding Company when I was advised it was in my best interest to accept my diagnosis and separate.’  She does not make specific contention</w:t>
      </w:r>
      <w:r w:rsidR="00133F6E">
        <w:rPr>
          <w:color w:val="000080"/>
        </w:rPr>
        <w:t>s</w:t>
      </w:r>
      <w:r w:rsidR="0035786A" w:rsidRPr="00894FA2">
        <w:rPr>
          <w:color w:val="000080"/>
        </w:rPr>
        <w:t xml:space="preserve"> regarding rating or other unfitting conditions.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lastRenderedPageBreak/>
        <w:t>_______________________________________________________________</w:t>
      </w:r>
      <w:r>
        <w:rPr>
          <w:color w:val="000080"/>
        </w:rPr>
        <w:t>_</w:t>
      </w:r>
    </w:p>
    <w:p w:rsidR="00FF0FBE" w:rsidRDefault="00FF0FBE" w:rsidP="00894FA2">
      <w:pPr>
        <w:tabs>
          <w:tab w:val="left" w:pos="288"/>
          <w:tab w:val="left" w:pos="4752"/>
        </w:tabs>
        <w:spacing w:line="240" w:lineRule="exact"/>
        <w:jc w:val="both"/>
        <w:rPr>
          <w:color w:val="000080"/>
          <w:u w:val="single"/>
        </w:rPr>
      </w:pPr>
    </w:p>
    <w:p w:rsidR="002338CA" w:rsidRPr="00894FA2" w:rsidRDefault="002C6E5B" w:rsidP="00894FA2">
      <w:pPr>
        <w:tabs>
          <w:tab w:val="left" w:pos="288"/>
          <w:tab w:val="left" w:pos="4752"/>
        </w:tabs>
        <w:spacing w:line="240" w:lineRule="exact"/>
        <w:jc w:val="both"/>
        <w:rPr>
          <w:color w:val="000080"/>
        </w:rPr>
      </w:pPr>
      <w:r w:rsidRPr="00894FA2">
        <w:rPr>
          <w:color w:val="000080"/>
          <w:u w:val="single"/>
        </w:rPr>
        <w:t>RATING COMPARISON</w:t>
      </w:r>
      <w:r w:rsidRPr="00894FA2">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720" w:type="dxa"/>
        <w:tblLayout w:type="fixed"/>
        <w:tblLook w:val="04A0"/>
      </w:tblPr>
      <w:tblGrid>
        <w:gridCol w:w="2430"/>
        <w:gridCol w:w="718"/>
        <w:gridCol w:w="810"/>
        <w:gridCol w:w="990"/>
        <w:gridCol w:w="1978"/>
        <w:gridCol w:w="232"/>
        <w:gridCol w:w="582"/>
        <w:gridCol w:w="172"/>
        <w:gridCol w:w="98"/>
        <w:gridCol w:w="636"/>
        <w:gridCol w:w="1074"/>
      </w:tblGrid>
      <w:tr w:rsidR="00684E2B" w:rsidTr="00C46E85">
        <w:trPr>
          <w:trHeight w:val="233"/>
        </w:trPr>
        <w:tc>
          <w:tcPr>
            <w:tcW w:w="4948" w:type="dxa"/>
            <w:gridSpan w:val="4"/>
            <w:tcBorders>
              <w:right w:val="thinThickThinSmallGap" w:sz="24" w:space="0" w:color="auto"/>
            </w:tcBorders>
            <w:shd w:val="clear" w:color="auto" w:fill="C6D9F1" w:themeFill="text2" w:themeFillTint="33"/>
          </w:tcPr>
          <w:p w:rsidR="00684E2B" w:rsidRPr="00BC09D1" w:rsidRDefault="00684E2B" w:rsidP="00F375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772" w:type="dxa"/>
            <w:gridSpan w:val="7"/>
            <w:tcBorders>
              <w:left w:val="thinThickThinSmallGap" w:sz="24" w:space="0" w:color="auto"/>
            </w:tcBorders>
            <w:shd w:val="clear" w:color="auto" w:fill="C6D9F1" w:themeFill="text2" w:themeFillTint="33"/>
          </w:tcPr>
          <w:p w:rsidR="00684E2B" w:rsidRPr="00BC09D1" w:rsidRDefault="00684E2B" w:rsidP="003206E6">
            <w:pPr>
              <w:pStyle w:val="ListParagraph"/>
              <w:spacing w:after="0" w:line="240" w:lineRule="auto"/>
              <w:ind w:left="0"/>
              <w:jc w:val="center"/>
              <w:rPr>
                <w:rFonts w:cs="Times New Roman"/>
                <w:b/>
                <w:sz w:val="20"/>
                <w:szCs w:val="20"/>
              </w:rPr>
            </w:pPr>
            <w:r w:rsidRPr="00BC09D1">
              <w:rPr>
                <w:rFonts w:cs="Times New Roman"/>
                <w:b/>
                <w:sz w:val="20"/>
                <w:szCs w:val="20"/>
              </w:rPr>
              <w:t>VA (</w:t>
            </w:r>
            <w:r w:rsidR="003206E6">
              <w:rPr>
                <w:rFonts w:cs="Times New Roman"/>
                <w:b/>
                <w:sz w:val="20"/>
                <w:szCs w:val="20"/>
              </w:rPr>
              <w:t>9</w:t>
            </w:r>
            <w:r w:rsidRPr="00BC09D1">
              <w:rPr>
                <w:rFonts w:cs="Times New Roman"/>
                <w:b/>
                <w:sz w:val="20"/>
                <w:szCs w:val="20"/>
              </w:rPr>
              <w:t xml:space="preserve"> Mo. after Separation)</w:t>
            </w:r>
            <w:r w:rsidR="000C3C13">
              <w:rPr>
                <w:rFonts w:cs="Times New Roman"/>
                <w:b/>
                <w:sz w:val="20"/>
                <w:szCs w:val="20"/>
              </w:rPr>
              <w:t xml:space="preserve"> – All Effective </w:t>
            </w:r>
            <w:r w:rsidR="003206E6">
              <w:rPr>
                <w:rFonts w:cs="Times New Roman"/>
                <w:b/>
                <w:sz w:val="20"/>
                <w:szCs w:val="20"/>
              </w:rPr>
              <w:t>20051029</w:t>
            </w:r>
          </w:p>
        </w:tc>
      </w:tr>
      <w:tr w:rsidR="000C3C13" w:rsidTr="00C46E85">
        <w:trPr>
          <w:trHeight w:val="233"/>
        </w:trPr>
        <w:tc>
          <w:tcPr>
            <w:tcW w:w="243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18"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1978" w:type="dxa"/>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814" w:type="dxa"/>
            <w:gridSpan w:val="2"/>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906" w:type="dxa"/>
            <w:gridSpan w:val="3"/>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1074" w:type="dxa"/>
            <w:tcBorders>
              <w:bottom w:val="single" w:sz="4" w:space="0" w:color="000000" w:themeColor="text1"/>
            </w:tcBorders>
            <w:shd w:val="clear" w:color="auto" w:fill="C6D9F1" w:themeFill="text2" w:themeFillTint="33"/>
          </w:tcPr>
          <w:p w:rsidR="000C3C13" w:rsidRPr="00BC09D1" w:rsidRDefault="000C3C13" w:rsidP="00F375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0C68D2" w:rsidTr="00C46E85">
        <w:trPr>
          <w:trHeight w:val="152"/>
        </w:trPr>
        <w:tc>
          <w:tcPr>
            <w:tcW w:w="2430" w:type="dxa"/>
            <w:shd w:val="clear" w:color="auto" w:fill="FFFFFF" w:themeFill="background1"/>
          </w:tcPr>
          <w:p w:rsidR="000C68D2" w:rsidRPr="00BC09D1" w:rsidRDefault="000C68D2" w:rsidP="000C68D2">
            <w:pPr>
              <w:pStyle w:val="ListParagraph"/>
              <w:spacing w:after="0" w:line="240" w:lineRule="exact"/>
              <w:ind w:left="0"/>
              <w:rPr>
                <w:rFonts w:cs="Times New Roman"/>
                <w:sz w:val="18"/>
                <w:szCs w:val="18"/>
              </w:rPr>
            </w:pPr>
            <w:r>
              <w:rPr>
                <w:rFonts w:ascii="Times New Roman" w:hAnsi="Times New Roman"/>
                <w:szCs w:val="24"/>
              </w:rPr>
              <w:t xml:space="preserve">Recurrent </w:t>
            </w:r>
            <w:proofErr w:type="gramStart"/>
            <w:r>
              <w:rPr>
                <w:rFonts w:ascii="Times New Roman" w:hAnsi="Times New Roman"/>
                <w:szCs w:val="24"/>
              </w:rPr>
              <w:t>s</w:t>
            </w:r>
            <w:r w:rsidRPr="006B6126">
              <w:rPr>
                <w:rFonts w:ascii="Times New Roman" w:hAnsi="Times New Roman"/>
                <w:szCs w:val="24"/>
              </w:rPr>
              <w:t>pells,</w:t>
            </w:r>
            <w:proofErr w:type="gramEnd"/>
            <w:r w:rsidRPr="006B6126">
              <w:rPr>
                <w:rFonts w:ascii="Times New Roman" w:hAnsi="Times New Roman"/>
                <w:szCs w:val="24"/>
              </w:rPr>
              <w:t xml:space="preserve"> likely non-epileptic seizures</w:t>
            </w:r>
            <w:r>
              <w:rPr>
                <w:rFonts w:ascii="Times New Roman" w:hAnsi="Times New Roman"/>
                <w:szCs w:val="24"/>
              </w:rPr>
              <w:t>…</w:t>
            </w:r>
          </w:p>
        </w:tc>
        <w:tc>
          <w:tcPr>
            <w:tcW w:w="718" w:type="dxa"/>
            <w:shd w:val="clear" w:color="auto" w:fill="FFFFFF" w:themeFill="background1"/>
          </w:tcPr>
          <w:p w:rsidR="000C68D2" w:rsidRPr="00BC09D1" w:rsidRDefault="000C68D2" w:rsidP="00F37554">
            <w:pPr>
              <w:pStyle w:val="ListParagraph"/>
              <w:spacing w:after="0" w:line="240" w:lineRule="auto"/>
              <w:ind w:left="0"/>
              <w:jc w:val="center"/>
              <w:rPr>
                <w:rFonts w:cs="Times New Roman"/>
                <w:sz w:val="18"/>
                <w:szCs w:val="18"/>
              </w:rPr>
            </w:pPr>
            <w:r>
              <w:rPr>
                <w:rFonts w:cs="Times New Roman"/>
                <w:sz w:val="18"/>
                <w:szCs w:val="18"/>
              </w:rPr>
              <w:t>8999-8911</w:t>
            </w:r>
          </w:p>
        </w:tc>
        <w:tc>
          <w:tcPr>
            <w:tcW w:w="810" w:type="dxa"/>
            <w:shd w:val="clear" w:color="auto" w:fill="FFFFFF" w:themeFill="background1"/>
          </w:tcPr>
          <w:p w:rsidR="000C68D2" w:rsidRPr="00BC09D1" w:rsidRDefault="000C68D2" w:rsidP="00F37554">
            <w:pPr>
              <w:pStyle w:val="ListParagraph"/>
              <w:spacing w:after="0" w:line="240" w:lineRule="auto"/>
              <w:ind w:left="0"/>
              <w:jc w:val="center"/>
              <w:rPr>
                <w:rFonts w:cs="Times New Roman"/>
                <w:sz w:val="18"/>
                <w:szCs w:val="18"/>
              </w:rPr>
            </w:pPr>
            <w:r>
              <w:rPr>
                <w:rFonts w:cs="Times New Roman"/>
                <w:sz w:val="18"/>
                <w:szCs w:val="18"/>
              </w:rPr>
              <w:t>0%</w:t>
            </w:r>
          </w:p>
        </w:tc>
        <w:tc>
          <w:tcPr>
            <w:tcW w:w="990" w:type="dxa"/>
            <w:tcBorders>
              <w:right w:val="thinThickThinSmallGap" w:sz="24" w:space="0" w:color="auto"/>
            </w:tcBorders>
            <w:shd w:val="clear" w:color="auto" w:fill="FFFFFF" w:themeFill="background1"/>
          </w:tcPr>
          <w:p w:rsidR="000C68D2" w:rsidRPr="002E333A" w:rsidRDefault="000C68D2" w:rsidP="00F37554">
            <w:pPr>
              <w:pStyle w:val="ListParagraph"/>
              <w:spacing w:after="0" w:line="240" w:lineRule="auto"/>
              <w:ind w:left="0"/>
              <w:jc w:val="center"/>
              <w:rPr>
                <w:rFonts w:cs="Times New Roman"/>
                <w:sz w:val="18"/>
                <w:szCs w:val="18"/>
              </w:rPr>
            </w:pPr>
            <w:r>
              <w:rPr>
                <w:rFonts w:cs="Times New Roman"/>
                <w:sz w:val="18"/>
                <w:szCs w:val="18"/>
              </w:rPr>
              <w:t>20050901</w:t>
            </w:r>
          </w:p>
        </w:tc>
        <w:tc>
          <w:tcPr>
            <w:tcW w:w="2210" w:type="dxa"/>
            <w:gridSpan w:val="2"/>
            <w:tcBorders>
              <w:left w:val="thinThickThinSmallGap" w:sz="24" w:space="0" w:color="auto"/>
              <w:right w:val="single" w:sz="4" w:space="0" w:color="auto"/>
            </w:tcBorders>
            <w:shd w:val="clear" w:color="auto" w:fill="FFFFFF" w:themeFill="background1"/>
          </w:tcPr>
          <w:p w:rsidR="000C68D2" w:rsidRPr="00BC09D1" w:rsidRDefault="000C68D2" w:rsidP="000C68D2">
            <w:pPr>
              <w:pStyle w:val="ListParagraph"/>
              <w:spacing w:after="0" w:line="240" w:lineRule="auto"/>
              <w:ind w:left="0"/>
              <w:rPr>
                <w:rFonts w:cs="Times New Roman"/>
                <w:sz w:val="18"/>
                <w:szCs w:val="18"/>
              </w:rPr>
            </w:pPr>
            <w:r>
              <w:rPr>
                <w:rFonts w:cs="Times New Roman"/>
                <w:sz w:val="18"/>
                <w:szCs w:val="18"/>
              </w:rPr>
              <w:t>Epilepsy</w:t>
            </w:r>
          </w:p>
        </w:tc>
        <w:tc>
          <w:tcPr>
            <w:tcW w:w="754" w:type="dxa"/>
            <w:gridSpan w:val="2"/>
            <w:tcBorders>
              <w:left w:val="single" w:sz="4" w:space="0" w:color="auto"/>
            </w:tcBorders>
            <w:shd w:val="clear" w:color="auto" w:fill="FFFFFF" w:themeFill="background1"/>
          </w:tcPr>
          <w:p w:rsidR="000C68D2" w:rsidRPr="00BC09D1" w:rsidRDefault="000C68D2" w:rsidP="000C68D2">
            <w:pPr>
              <w:pStyle w:val="ListParagraph"/>
              <w:spacing w:after="0" w:line="240" w:lineRule="auto"/>
              <w:ind w:left="0"/>
              <w:jc w:val="center"/>
              <w:rPr>
                <w:rFonts w:cs="Times New Roman"/>
                <w:sz w:val="18"/>
                <w:szCs w:val="18"/>
              </w:rPr>
            </w:pPr>
            <w:r>
              <w:rPr>
                <w:rFonts w:cs="Times New Roman"/>
                <w:sz w:val="18"/>
                <w:szCs w:val="18"/>
              </w:rPr>
              <w:t>8999-8910</w:t>
            </w:r>
          </w:p>
        </w:tc>
        <w:tc>
          <w:tcPr>
            <w:tcW w:w="734" w:type="dxa"/>
            <w:gridSpan w:val="2"/>
            <w:shd w:val="clear" w:color="auto" w:fill="FFFFFF" w:themeFill="background1"/>
          </w:tcPr>
          <w:p w:rsidR="000C68D2" w:rsidRPr="00BC09D1" w:rsidRDefault="000C68D2" w:rsidP="00907A90">
            <w:pPr>
              <w:pStyle w:val="ListParagraph"/>
              <w:spacing w:after="0" w:line="240" w:lineRule="auto"/>
              <w:ind w:left="0"/>
              <w:jc w:val="center"/>
              <w:rPr>
                <w:rFonts w:cs="Times New Roman"/>
                <w:sz w:val="18"/>
                <w:szCs w:val="18"/>
              </w:rPr>
            </w:pPr>
            <w:r>
              <w:rPr>
                <w:rFonts w:cs="Times New Roman"/>
                <w:sz w:val="18"/>
                <w:szCs w:val="18"/>
              </w:rPr>
              <w:t>10%</w:t>
            </w:r>
          </w:p>
        </w:tc>
        <w:tc>
          <w:tcPr>
            <w:tcW w:w="1074" w:type="dxa"/>
            <w:shd w:val="clear" w:color="auto" w:fill="FFFFFF" w:themeFill="background1"/>
          </w:tcPr>
          <w:p w:rsidR="000C68D2" w:rsidRPr="00BC09D1" w:rsidRDefault="000C68D2" w:rsidP="00F37554">
            <w:pPr>
              <w:pStyle w:val="ListParagraph"/>
              <w:spacing w:after="0" w:line="240" w:lineRule="auto"/>
              <w:ind w:left="0"/>
              <w:jc w:val="center"/>
              <w:rPr>
                <w:rFonts w:cs="Times New Roman"/>
                <w:sz w:val="18"/>
                <w:szCs w:val="18"/>
              </w:rPr>
            </w:pPr>
            <w:r>
              <w:rPr>
                <w:rFonts w:cs="Times New Roman"/>
                <w:sz w:val="18"/>
                <w:szCs w:val="18"/>
              </w:rPr>
              <w:t>20060725</w:t>
            </w:r>
          </w:p>
        </w:tc>
      </w:tr>
      <w:tr w:rsidR="00C46E85" w:rsidTr="00C46E85">
        <w:trPr>
          <w:trHeight w:val="188"/>
        </w:trPr>
        <w:tc>
          <w:tcPr>
            <w:tcW w:w="2430" w:type="dxa"/>
            <w:shd w:val="clear" w:color="auto" w:fill="FFFFFF" w:themeFill="background1"/>
          </w:tcPr>
          <w:p w:rsidR="000C68D2" w:rsidRPr="00BC09D1" w:rsidRDefault="000C68D2" w:rsidP="00F37554">
            <w:pPr>
              <w:pStyle w:val="ListParagraph"/>
              <w:spacing w:after="0" w:line="240" w:lineRule="auto"/>
              <w:ind w:left="0"/>
              <w:rPr>
                <w:rFonts w:cs="Times New Roman"/>
                <w:sz w:val="18"/>
                <w:szCs w:val="18"/>
              </w:rPr>
            </w:pPr>
            <w:r>
              <w:rPr>
                <w:rFonts w:ascii="Times New Roman" w:hAnsi="Times New Roman" w:cs="Times New Roman"/>
                <w:sz w:val="20"/>
                <w:szCs w:val="20"/>
              </w:rPr>
              <w:t>Recurrent Left W</w:t>
            </w:r>
            <w:r w:rsidRPr="006B6126">
              <w:rPr>
                <w:rFonts w:ascii="Times New Roman" w:hAnsi="Times New Roman" w:cs="Times New Roman"/>
                <w:sz w:val="20"/>
                <w:szCs w:val="20"/>
              </w:rPr>
              <w:t>rist Strain</w:t>
            </w:r>
          </w:p>
        </w:tc>
        <w:tc>
          <w:tcPr>
            <w:tcW w:w="1528" w:type="dxa"/>
            <w:gridSpan w:val="2"/>
            <w:shd w:val="clear" w:color="auto" w:fill="FFFFFF" w:themeFill="background1"/>
          </w:tcPr>
          <w:p w:rsidR="000C68D2" w:rsidRPr="00BC09D1" w:rsidRDefault="000C68D2" w:rsidP="00F37554">
            <w:pPr>
              <w:pStyle w:val="ListParagraph"/>
              <w:spacing w:after="0" w:line="240" w:lineRule="auto"/>
              <w:ind w:left="0"/>
              <w:jc w:val="center"/>
              <w:rPr>
                <w:rFonts w:cs="Times New Roman"/>
                <w:sz w:val="18"/>
                <w:szCs w:val="18"/>
              </w:rPr>
            </w:pPr>
            <w:r w:rsidRPr="00BC09D1">
              <w:rPr>
                <w:rFonts w:cs="Times New Roman"/>
                <w:sz w:val="18"/>
                <w:szCs w:val="18"/>
              </w:rPr>
              <w:t>Not Unfitting</w:t>
            </w:r>
          </w:p>
        </w:tc>
        <w:tc>
          <w:tcPr>
            <w:tcW w:w="990" w:type="dxa"/>
            <w:tcBorders>
              <w:right w:val="thinThickThinSmallGap" w:sz="24" w:space="0" w:color="auto"/>
            </w:tcBorders>
            <w:shd w:val="clear" w:color="auto" w:fill="FFFFFF" w:themeFill="background1"/>
          </w:tcPr>
          <w:p w:rsidR="000C68D2" w:rsidRPr="002E333A" w:rsidRDefault="000C68D2" w:rsidP="00F37554">
            <w:pPr>
              <w:pStyle w:val="ListParagraph"/>
              <w:spacing w:after="0" w:line="240" w:lineRule="auto"/>
              <w:ind w:left="0"/>
              <w:jc w:val="center"/>
              <w:rPr>
                <w:rFonts w:cs="Times New Roman"/>
                <w:sz w:val="18"/>
                <w:szCs w:val="18"/>
              </w:rPr>
            </w:pPr>
            <w:r>
              <w:rPr>
                <w:rFonts w:cs="Times New Roman"/>
                <w:sz w:val="18"/>
                <w:szCs w:val="18"/>
              </w:rPr>
              <w:t>20050901</w:t>
            </w:r>
          </w:p>
        </w:tc>
        <w:tc>
          <w:tcPr>
            <w:tcW w:w="1978" w:type="dxa"/>
            <w:tcBorders>
              <w:left w:val="thinThickThinSmallGap" w:sz="24" w:space="0" w:color="auto"/>
              <w:right w:val="single" w:sz="4" w:space="0" w:color="auto"/>
            </w:tcBorders>
            <w:shd w:val="clear" w:color="auto" w:fill="FFFFFF" w:themeFill="background1"/>
          </w:tcPr>
          <w:p w:rsidR="000C68D2" w:rsidRPr="006B6126" w:rsidRDefault="000C68D2" w:rsidP="00907A90">
            <w:pPr>
              <w:autoSpaceDE w:val="0"/>
              <w:autoSpaceDN w:val="0"/>
              <w:adjustRightInd w:val="0"/>
              <w:spacing w:line="240" w:lineRule="exact"/>
              <w:rPr>
                <w:rFonts w:eastAsiaTheme="minorEastAsia"/>
                <w:color w:val="auto"/>
                <w:sz w:val="20"/>
                <w:szCs w:val="20"/>
              </w:rPr>
            </w:pPr>
            <w:r>
              <w:rPr>
                <w:rFonts w:ascii="Times New Roman" w:hAnsi="Times New Roman" w:cs="Times New Roman"/>
                <w:color w:val="auto"/>
                <w:sz w:val="20"/>
                <w:szCs w:val="20"/>
              </w:rPr>
              <w:t>Left Wrist T</w:t>
            </w:r>
            <w:r w:rsidRPr="006B6126">
              <w:rPr>
                <w:rFonts w:ascii="Times New Roman" w:hAnsi="Times New Roman" w:cs="Times New Roman"/>
                <w:color w:val="auto"/>
                <w:sz w:val="20"/>
                <w:szCs w:val="20"/>
              </w:rPr>
              <w:t>endinitis</w:t>
            </w:r>
          </w:p>
        </w:tc>
        <w:tc>
          <w:tcPr>
            <w:tcW w:w="1084" w:type="dxa"/>
            <w:gridSpan w:val="4"/>
            <w:tcBorders>
              <w:left w:val="single" w:sz="4" w:space="0" w:color="auto"/>
            </w:tcBorders>
            <w:shd w:val="clear" w:color="auto" w:fill="FFFFFF" w:themeFill="background1"/>
          </w:tcPr>
          <w:p w:rsidR="000C68D2" w:rsidRPr="006B6126" w:rsidRDefault="000C68D2" w:rsidP="00907A90">
            <w:pPr>
              <w:pStyle w:val="ListParagraph"/>
              <w:spacing w:after="0" w:line="240" w:lineRule="exact"/>
              <w:ind w:left="0"/>
              <w:jc w:val="center"/>
              <w:rPr>
                <w:sz w:val="18"/>
                <w:szCs w:val="18"/>
              </w:rPr>
            </w:pPr>
            <w:r w:rsidRPr="006B6126">
              <w:rPr>
                <w:rFonts w:ascii="Times New Roman" w:hAnsi="Times New Roman" w:cs="Times New Roman"/>
                <w:sz w:val="18"/>
                <w:szCs w:val="18"/>
              </w:rPr>
              <w:t>5009-5024</w:t>
            </w:r>
          </w:p>
        </w:tc>
        <w:tc>
          <w:tcPr>
            <w:tcW w:w="636" w:type="dxa"/>
            <w:shd w:val="clear" w:color="auto" w:fill="FFFFFF" w:themeFill="background1"/>
          </w:tcPr>
          <w:p w:rsidR="000C68D2" w:rsidRPr="006B6126" w:rsidRDefault="000C68D2" w:rsidP="00907A90">
            <w:pPr>
              <w:pStyle w:val="ListParagraph"/>
              <w:spacing w:after="0" w:line="240" w:lineRule="exact"/>
              <w:ind w:left="0"/>
              <w:jc w:val="center"/>
              <w:rPr>
                <w:sz w:val="18"/>
                <w:szCs w:val="18"/>
              </w:rPr>
            </w:pPr>
            <w:r w:rsidRPr="006B6126">
              <w:rPr>
                <w:rFonts w:ascii="Times New Roman" w:hAnsi="Times New Roman" w:cs="Times New Roman"/>
                <w:sz w:val="18"/>
                <w:szCs w:val="18"/>
              </w:rPr>
              <w:t>10%</w:t>
            </w:r>
          </w:p>
        </w:tc>
        <w:tc>
          <w:tcPr>
            <w:tcW w:w="1074" w:type="dxa"/>
            <w:shd w:val="clear" w:color="auto" w:fill="FFFFFF" w:themeFill="background1"/>
          </w:tcPr>
          <w:p w:rsidR="000C68D2" w:rsidRPr="006B6126" w:rsidRDefault="000C68D2" w:rsidP="00C46E85">
            <w:pPr>
              <w:spacing w:line="240" w:lineRule="exact"/>
              <w:jc w:val="center"/>
              <w:rPr>
                <w:color w:val="auto"/>
              </w:rPr>
            </w:pPr>
            <w:r w:rsidRPr="006B6126">
              <w:rPr>
                <w:rFonts w:ascii="Times New Roman" w:hAnsi="Times New Roman" w:cs="Times New Roman"/>
                <w:color w:val="auto"/>
                <w:sz w:val="18"/>
                <w:szCs w:val="18"/>
              </w:rPr>
              <w:t>20060725</w:t>
            </w:r>
          </w:p>
        </w:tc>
      </w:tr>
      <w:tr w:rsidR="000C68D2" w:rsidTr="00C46E85">
        <w:trPr>
          <w:trHeight w:val="188"/>
        </w:trPr>
        <w:tc>
          <w:tcPr>
            <w:tcW w:w="2430" w:type="dxa"/>
            <w:shd w:val="clear" w:color="auto" w:fill="FFFFFF" w:themeFill="background1"/>
          </w:tcPr>
          <w:p w:rsidR="000C68D2" w:rsidRDefault="000C68D2" w:rsidP="00F3755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Adjustment Disorder</w:t>
            </w:r>
          </w:p>
        </w:tc>
        <w:tc>
          <w:tcPr>
            <w:tcW w:w="1528" w:type="dxa"/>
            <w:gridSpan w:val="2"/>
            <w:shd w:val="clear" w:color="auto" w:fill="FFFFFF" w:themeFill="background1"/>
          </w:tcPr>
          <w:p w:rsidR="000C68D2" w:rsidRPr="00BC09D1" w:rsidRDefault="000C68D2" w:rsidP="00F37554">
            <w:pPr>
              <w:pStyle w:val="ListParagraph"/>
              <w:spacing w:after="0" w:line="240" w:lineRule="auto"/>
              <w:ind w:left="0"/>
              <w:jc w:val="center"/>
              <w:rPr>
                <w:rFonts w:cs="Times New Roman"/>
                <w:sz w:val="18"/>
                <w:szCs w:val="18"/>
              </w:rPr>
            </w:pPr>
            <w:r w:rsidRPr="00BC09D1">
              <w:rPr>
                <w:rFonts w:cs="Times New Roman"/>
                <w:sz w:val="18"/>
                <w:szCs w:val="18"/>
              </w:rPr>
              <w:t>Not Unfitting</w:t>
            </w:r>
          </w:p>
        </w:tc>
        <w:tc>
          <w:tcPr>
            <w:tcW w:w="990" w:type="dxa"/>
            <w:tcBorders>
              <w:right w:val="thinThickThinSmallGap" w:sz="24" w:space="0" w:color="auto"/>
            </w:tcBorders>
            <w:shd w:val="clear" w:color="auto" w:fill="FFFFFF" w:themeFill="background1"/>
          </w:tcPr>
          <w:p w:rsidR="000C68D2" w:rsidRPr="002E333A" w:rsidRDefault="000C68D2" w:rsidP="00F37554">
            <w:pPr>
              <w:pStyle w:val="ListParagraph"/>
              <w:spacing w:after="0" w:line="240" w:lineRule="auto"/>
              <w:ind w:left="0"/>
              <w:jc w:val="center"/>
              <w:rPr>
                <w:rFonts w:cs="Times New Roman"/>
                <w:sz w:val="18"/>
                <w:szCs w:val="18"/>
              </w:rPr>
            </w:pPr>
            <w:r>
              <w:rPr>
                <w:rFonts w:cs="Times New Roman"/>
                <w:sz w:val="18"/>
                <w:szCs w:val="18"/>
              </w:rPr>
              <w:t>20050901</w:t>
            </w:r>
          </w:p>
        </w:tc>
        <w:tc>
          <w:tcPr>
            <w:tcW w:w="3698" w:type="dxa"/>
            <w:gridSpan w:val="6"/>
            <w:tcBorders>
              <w:left w:val="thinThickThinSmallGap" w:sz="24" w:space="0" w:color="auto"/>
            </w:tcBorders>
            <w:shd w:val="clear" w:color="auto" w:fill="FFFFFF" w:themeFill="background1"/>
          </w:tcPr>
          <w:p w:rsidR="000C68D2" w:rsidRPr="00BC09D1" w:rsidRDefault="000C68D2" w:rsidP="00F37554">
            <w:pPr>
              <w:pStyle w:val="ListParagraph"/>
              <w:spacing w:after="0" w:line="240" w:lineRule="auto"/>
              <w:ind w:left="0"/>
              <w:jc w:val="center"/>
              <w:rPr>
                <w:rFonts w:cs="Times New Roman"/>
                <w:sz w:val="18"/>
                <w:szCs w:val="18"/>
              </w:rPr>
            </w:pPr>
            <w:r>
              <w:rPr>
                <w:rFonts w:cs="Times New Roman"/>
                <w:sz w:val="18"/>
                <w:szCs w:val="18"/>
              </w:rPr>
              <w:t>No VA Code or Rating</w:t>
            </w:r>
          </w:p>
        </w:tc>
        <w:tc>
          <w:tcPr>
            <w:tcW w:w="1074" w:type="dxa"/>
            <w:shd w:val="clear" w:color="auto" w:fill="FFFFFF" w:themeFill="background1"/>
          </w:tcPr>
          <w:p w:rsidR="000C68D2" w:rsidRPr="00BC09D1" w:rsidRDefault="00592754" w:rsidP="00F37554">
            <w:pPr>
              <w:pStyle w:val="ListParagraph"/>
              <w:spacing w:after="0" w:line="240" w:lineRule="auto"/>
              <w:ind w:left="0"/>
              <w:jc w:val="center"/>
              <w:rPr>
                <w:rFonts w:cs="Times New Roman"/>
                <w:sz w:val="18"/>
                <w:szCs w:val="18"/>
              </w:rPr>
            </w:pPr>
            <w:r w:rsidRPr="006B6126">
              <w:rPr>
                <w:rFonts w:ascii="Times New Roman" w:hAnsi="Times New Roman" w:cs="Times New Roman"/>
                <w:sz w:val="18"/>
                <w:szCs w:val="18"/>
              </w:rPr>
              <w:t>20060725</w:t>
            </w:r>
          </w:p>
        </w:tc>
      </w:tr>
      <w:tr w:rsidR="000C68D2" w:rsidTr="00C46E85">
        <w:trPr>
          <w:trHeight w:val="197"/>
        </w:trPr>
        <w:tc>
          <w:tcPr>
            <w:tcW w:w="4948" w:type="dxa"/>
            <w:gridSpan w:val="4"/>
            <w:tcBorders>
              <w:right w:val="thinThickThinSmallGap" w:sz="24" w:space="0" w:color="auto"/>
            </w:tcBorders>
            <w:shd w:val="clear" w:color="auto" w:fill="FFFFFF" w:themeFill="background1"/>
          </w:tcPr>
          <w:p w:rsidR="000C68D2" w:rsidRPr="00BC09D1" w:rsidRDefault="000C68D2" w:rsidP="00F375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698" w:type="dxa"/>
            <w:gridSpan w:val="6"/>
            <w:tcBorders>
              <w:left w:val="thinThickThinSmallGap" w:sz="24" w:space="0" w:color="auto"/>
            </w:tcBorders>
            <w:shd w:val="clear" w:color="auto" w:fill="FFFFFF" w:themeFill="background1"/>
          </w:tcPr>
          <w:p w:rsidR="000C68D2" w:rsidRPr="00BC09D1" w:rsidRDefault="000C68D2" w:rsidP="00690FDA">
            <w:pPr>
              <w:pStyle w:val="ListParagraph"/>
              <w:spacing w:after="0" w:line="240" w:lineRule="auto"/>
              <w:ind w:left="0"/>
              <w:jc w:val="center"/>
              <w:rPr>
                <w:rFonts w:cs="Times New Roman"/>
                <w:sz w:val="18"/>
                <w:szCs w:val="18"/>
              </w:rPr>
            </w:pPr>
            <w:r>
              <w:rPr>
                <w:rFonts w:cs="Times New Roman"/>
                <w:sz w:val="18"/>
                <w:szCs w:val="18"/>
              </w:rPr>
              <w:t>No Additional VA Codes or Ratings</w:t>
            </w:r>
          </w:p>
        </w:tc>
        <w:tc>
          <w:tcPr>
            <w:tcW w:w="1074" w:type="dxa"/>
            <w:shd w:val="clear" w:color="auto" w:fill="FFFFFF" w:themeFill="background1"/>
          </w:tcPr>
          <w:p w:rsidR="000C68D2" w:rsidRPr="00BC09D1" w:rsidRDefault="00592754" w:rsidP="00F37554">
            <w:pPr>
              <w:pStyle w:val="ListParagraph"/>
              <w:spacing w:after="0" w:line="240" w:lineRule="auto"/>
              <w:ind w:left="0"/>
              <w:jc w:val="center"/>
              <w:rPr>
                <w:rFonts w:cs="Times New Roman"/>
                <w:sz w:val="18"/>
                <w:szCs w:val="18"/>
              </w:rPr>
            </w:pPr>
            <w:r w:rsidRPr="006B6126">
              <w:rPr>
                <w:rFonts w:ascii="Times New Roman" w:hAnsi="Times New Roman" w:cs="Times New Roman"/>
                <w:sz w:val="18"/>
                <w:szCs w:val="18"/>
              </w:rPr>
              <w:t>20060725</w:t>
            </w:r>
          </w:p>
        </w:tc>
      </w:tr>
      <w:tr w:rsidR="000C68D2" w:rsidTr="00C46E85">
        <w:trPr>
          <w:trHeight w:val="242"/>
        </w:trPr>
        <w:tc>
          <w:tcPr>
            <w:tcW w:w="4948" w:type="dxa"/>
            <w:gridSpan w:val="4"/>
            <w:tcBorders>
              <w:right w:val="thinThickThinSmallGap" w:sz="24" w:space="0" w:color="auto"/>
            </w:tcBorders>
            <w:shd w:val="clear" w:color="auto" w:fill="C6D9F1" w:themeFill="text2" w:themeFillTint="33"/>
          </w:tcPr>
          <w:p w:rsidR="000C68D2" w:rsidRPr="00BC09D1" w:rsidRDefault="000C68D2" w:rsidP="00F37554">
            <w:pPr>
              <w:pStyle w:val="ListParagraph"/>
              <w:spacing w:after="0" w:line="240" w:lineRule="auto"/>
              <w:ind w:left="0"/>
              <w:jc w:val="center"/>
              <w:rPr>
                <w:rFonts w:cs="Times New Roman"/>
                <w:b/>
                <w:sz w:val="20"/>
                <w:szCs w:val="20"/>
              </w:rPr>
            </w:pPr>
            <w:r w:rsidRPr="00BC09D1">
              <w:rPr>
                <w:rFonts w:cs="Times New Roman"/>
                <w:b/>
                <w:sz w:val="20"/>
                <w:szCs w:val="20"/>
              </w:rPr>
              <w:t>TOTAL Combined:  0%</w:t>
            </w:r>
          </w:p>
        </w:tc>
        <w:tc>
          <w:tcPr>
            <w:tcW w:w="4772" w:type="dxa"/>
            <w:gridSpan w:val="7"/>
            <w:tcBorders>
              <w:left w:val="thinThickThinSmallGap" w:sz="24" w:space="0" w:color="auto"/>
            </w:tcBorders>
            <w:shd w:val="clear" w:color="auto" w:fill="C6D9F1" w:themeFill="text2" w:themeFillTint="33"/>
          </w:tcPr>
          <w:p w:rsidR="000C68D2" w:rsidRPr="00BC09D1" w:rsidRDefault="000C68D2" w:rsidP="00F37554">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Pr>
                <w:rFonts w:cs="Times New Roman"/>
                <w:b/>
                <w:sz w:val="20"/>
                <w:szCs w:val="20"/>
              </w:rPr>
              <w:t>2</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894FA2" w:rsidRDefault="002C6E5B" w:rsidP="002C6E5B">
      <w:pPr>
        <w:tabs>
          <w:tab w:val="left" w:pos="288"/>
          <w:tab w:val="left" w:pos="4752"/>
        </w:tabs>
        <w:spacing w:line="240" w:lineRule="exact"/>
        <w:jc w:val="both"/>
        <w:rPr>
          <w:color w:val="000080"/>
        </w:rPr>
      </w:pPr>
      <w:r w:rsidRPr="00894FA2">
        <w:rPr>
          <w:color w:val="000080"/>
          <w:u w:val="single"/>
        </w:rPr>
        <w:t>ANALYSIS SUMMARY</w:t>
      </w:r>
      <w:r w:rsidRPr="00894FA2">
        <w:rPr>
          <w:color w:val="000080"/>
        </w:rPr>
        <w:t>:</w:t>
      </w:r>
    </w:p>
    <w:p w:rsidR="002C6E5B" w:rsidRPr="00894FA2" w:rsidRDefault="002C6E5B" w:rsidP="002C6E5B">
      <w:pPr>
        <w:tabs>
          <w:tab w:val="left" w:pos="288"/>
          <w:tab w:val="left" w:pos="4752"/>
        </w:tabs>
        <w:spacing w:line="240" w:lineRule="exact"/>
        <w:jc w:val="both"/>
        <w:rPr>
          <w:color w:val="000080"/>
        </w:rPr>
      </w:pPr>
    </w:p>
    <w:p w:rsidR="00281408" w:rsidRPr="00894FA2" w:rsidRDefault="003D70BD" w:rsidP="00894FA2">
      <w:pPr>
        <w:tabs>
          <w:tab w:val="left" w:pos="288"/>
          <w:tab w:val="left" w:pos="4752"/>
        </w:tabs>
        <w:spacing w:line="240" w:lineRule="exact"/>
        <w:jc w:val="both"/>
        <w:rPr>
          <w:color w:val="000080"/>
        </w:rPr>
      </w:pPr>
      <w:proofErr w:type="spellStart"/>
      <w:proofErr w:type="gramStart"/>
      <w:r w:rsidRPr="00894FA2">
        <w:rPr>
          <w:color w:val="000080"/>
          <w:u w:val="single"/>
        </w:rPr>
        <w:t>Nonepileptic</w:t>
      </w:r>
      <w:proofErr w:type="spellEnd"/>
      <w:r w:rsidRPr="00894FA2">
        <w:rPr>
          <w:color w:val="000080"/>
          <w:u w:val="single"/>
        </w:rPr>
        <w:t xml:space="preserve"> Seizure</w:t>
      </w:r>
      <w:r w:rsidR="002C6E5B" w:rsidRPr="00894FA2">
        <w:rPr>
          <w:color w:val="000080"/>
          <w:u w:val="single"/>
        </w:rPr>
        <w:t xml:space="preserve"> Condition</w:t>
      </w:r>
      <w:r w:rsidR="002C6E5B" w:rsidRPr="00894FA2">
        <w:rPr>
          <w:color w:val="000080"/>
        </w:rPr>
        <w:t>.</w:t>
      </w:r>
      <w:proofErr w:type="gramEnd"/>
      <w:r w:rsidR="002C6E5B" w:rsidRPr="00894FA2">
        <w:rPr>
          <w:color w:val="000080"/>
        </w:rPr>
        <w:t xml:space="preserve">  </w:t>
      </w:r>
      <w:r w:rsidR="00281408" w:rsidRPr="00894FA2">
        <w:rPr>
          <w:color w:val="000080"/>
        </w:rPr>
        <w:t xml:space="preserve">The precise etiology of the CI’s seizure disorder remained undefined, although the neurologist’s </w:t>
      </w:r>
      <w:r w:rsidR="00F63E1B" w:rsidRPr="00894FA2">
        <w:rPr>
          <w:color w:val="000080"/>
        </w:rPr>
        <w:t>addendum</w:t>
      </w:r>
      <w:r w:rsidR="00FF0FBE">
        <w:rPr>
          <w:color w:val="000080"/>
        </w:rPr>
        <w:t xml:space="preserve"> and the action o</w:t>
      </w:r>
      <w:r w:rsidR="00281408" w:rsidRPr="00894FA2">
        <w:rPr>
          <w:color w:val="000080"/>
        </w:rPr>
        <w:t xml:space="preserve">fficer’s review of the case </w:t>
      </w:r>
      <w:proofErr w:type="gramStart"/>
      <w:r w:rsidR="00281408" w:rsidRPr="00894FA2">
        <w:rPr>
          <w:color w:val="000080"/>
        </w:rPr>
        <w:t>is</w:t>
      </w:r>
      <w:proofErr w:type="gramEnd"/>
      <w:r w:rsidR="00281408" w:rsidRPr="00894FA2">
        <w:rPr>
          <w:color w:val="000080"/>
        </w:rPr>
        <w:t xml:space="preserve"> most consistent with </w:t>
      </w:r>
      <w:r w:rsidR="00CB55D2" w:rsidRPr="00894FA2">
        <w:rPr>
          <w:color w:val="000080"/>
        </w:rPr>
        <w:t xml:space="preserve">the psychogenic category of </w:t>
      </w:r>
      <w:proofErr w:type="spellStart"/>
      <w:r w:rsidR="00CB55D2" w:rsidRPr="00894FA2">
        <w:rPr>
          <w:color w:val="000080"/>
        </w:rPr>
        <w:t>nonepileptic</w:t>
      </w:r>
      <w:proofErr w:type="spellEnd"/>
      <w:r w:rsidR="00CB55D2" w:rsidRPr="00894FA2">
        <w:rPr>
          <w:color w:val="000080"/>
        </w:rPr>
        <w:t xml:space="preserve"> seizures.  </w:t>
      </w:r>
      <w:r w:rsidR="00F63E1B" w:rsidRPr="00894FA2">
        <w:rPr>
          <w:color w:val="000080"/>
        </w:rPr>
        <w:t xml:space="preserve">A history of childhood sexual abuse </w:t>
      </w:r>
      <w:r w:rsidR="0068300A" w:rsidRPr="00894FA2">
        <w:rPr>
          <w:color w:val="000080"/>
        </w:rPr>
        <w:t xml:space="preserve">was </w:t>
      </w:r>
      <w:r w:rsidR="00F63E1B" w:rsidRPr="00894FA2">
        <w:rPr>
          <w:color w:val="000080"/>
        </w:rPr>
        <w:t>noted i</w:t>
      </w:r>
      <w:r w:rsidR="0068300A" w:rsidRPr="00894FA2">
        <w:rPr>
          <w:color w:val="000080"/>
        </w:rPr>
        <w:t>n the record and</w:t>
      </w:r>
      <w:r w:rsidR="00F63E1B" w:rsidRPr="00894FA2">
        <w:rPr>
          <w:color w:val="000080"/>
        </w:rPr>
        <w:t xml:space="preserve"> </w:t>
      </w:r>
      <w:r w:rsidR="0068300A" w:rsidRPr="00894FA2">
        <w:rPr>
          <w:color w:val="000080"/>
        </w:rPr>
        <w:t>heightens suspicion in that regard</w:t>
      </w:r>
      <w:r w:rsidR="00F63E1B" w:rsidRPr="00894FA2">
        <w:rPr>
          <w:color w:val="000080"/>
        </w:rPr>
        <w:t xml:space="preserve">.  </w:t>
      </w:r>
      <w:r w:rsidR="00CB55D2" w:rsidRPr="00894FA2">
        <w:rPr>
          <w:color w:val="000080"/>
        </w:rPr>
        <w:t>The CI conten</w:t>
      </w:r>
      <w:r w:rsidR="00242990" w:rsidRPr="00894FA2">
        <w:rPr>
          <w:color w:val="000080"/>
        </w:rPr>
        <w:t xml:space="preserve">ds that </w:t>
      </w:r>
      <w:r w:rsidR="00CB55D2" w:rsidRPr="00894FA2">
        <w:rPr>
          <w:color w:val="000080"/>
        </w:rPr>
        <w:t xml:space="preserve">‘cranial nerve injury’ </w:t>
      </w:r>
      <w:r w:rsidR="00242990" w:rsidRPr="00894FA2">
        <w:rPr>
          <w:color w:val="000080"/>
        </w:rPr>
        <w:t xml:space="preserve">was diagnosed by a Navy physician (a good deal of her care was at </w:t>
      </w:r>
      <w:r w:rsidR="00FF0FBE">
        <w:rPr>
          <w:color w:val="000080"/>
        </w:rPr>
        <w:t>National Naval Medical Center (</w:t>
      </w:r>
      <w:r w:rsidR="00242990" w:rsidRPr="00894FA2">
        <w:rPr>
          <w:color w:val="000080"/>
        </w:rPr>
        <w:t>NNMC</w:t>
      </w:r>
      <w:r w:rsidR="00FF0FBE">
        <w:rPr>
          <w:color w:val="000080"/>
        </w:rPr>
        <w:t xml:space="preserve">), Bethesda instead of WRAMC). </w:t>
      </w:r>
      <w:r w:rsidR="00C430A9">
        <w:rPr>
          <w:color w:val="000080"/>
        </w:rPr>
        <w:t xml:space="preserve"> </w:t>
      </w:r>
      <w:r w:rsidR="00242990" w:rsidRPr="00894FA2">
        <w:rPr>
          <w:color w:val="000080"/>
        </w:rPr>
        <w:t xml:space="preserve">This was not apparent in any of the clinical entries in evidence or consistent with the overall clinical picture.  The precise etiology of the condition, however, does not affect rating under </w:t>
      </w:r>
      <w:r w:rsidR="00AD246C" w:rsidRPr="00894FA2">
        <w:rPr>
          <w:color w:val="000080"/>
        </w:rPr>
        <w:t xml:space="preserve">the </w:t>
      </w:r>
      <w:r w:rsidR="00C430A9">
        <w:rPr>
          <w:color w:val="000080"/>
        </w:rPr>
        <w:t xml:space="preserve">Veterans Administration Schedule for Rating </w:t>
      </w:r>
      <w:proofErr w:type="spellStart"/>
      <w:r w:rsidR="00C430A9">
        <w:rPr>
          <w:color w:val="000080"/>
        </w:rPr>
        <w:t>Disabilites</w:t>
      </w:r>
      <w:proofErr w:type="spellEnd"/>
      <w:r w:rsidR="00C430A9">
        <w:rPr>
          <w:color w:val="000080"/>
        </w:rPr>
        <w:t xml:space="preserve"> (</w:t>
      </w:r>
      <w:r w:rsidR="00242990" w:rsidRPr="00894FA2">
        <w:rPr>
          <w:color w:val="000080"/>
        </w:rPr>
        <w:t>VASRD</w:t>
      </w:r>
      <w:r w:rsidR="00C430A9">
        <w:rPr>
          <w:color w:val="000080"/>
        </w:rPr>
        <w:t>)</w:t>
      </w:r>
      <w:r w:rsidR="00242990" w:rsidRPr="00894FA2">
        <w:rPr>
          <w:color w:val="000080"/>
        </w:rPr>
        <w:t xml:space="preserve"> §4.124a</w:t>
      </w:r>
      <w:r w:rsidR="00AD246C" w:rsidRPr="00894FA2">
        <w:rPr>
          <w:color w:val="000080"/>
        </w:rPr>
        <w:t xml:space="preserve"> general rating formula for major and minor seizures</w:t>
      </w:r>
      <w:r w:rsidR="00242990" w:rsidRPr="00894FA2">
        <w:rPr>
          <w:color w:val="000080"/>
        </w:rPr>
        <w:t xml:space="preserve">.  </w:t>
      </w:r>
      <w:r w:rsidR="00554E1C" w:rsidRPr="00894FA2">
        <w:rPr>
          <w:color w:val="000080"/>
        </w:rPr>
        <w:t xml:space="preserve">The different coding choice by the PEB and the VA </w:t>
      </w:r>
      <w:r w:rsidR="00343B2E" w:rsidRPr="00894FA2">
        <w:rPr>
          <w:color w:val="000080"/>
        </w:rPr>
        <w:t xml:space="preserve">also </w:t>
      </w:r>
      <w:r w:rsidR="00554E1C" w:rsidRPr="00894FA2">
        <w:rPr>
          <w:color w:val="000080"/>
        </w:rPr>
        <w:t xml:space="preserve">did not affect </w:t>
      </w:r>
      <w:r w:rsidR="00FC4B1D" w:rsidRPr="00894FA2">
        <w:rPr>
          <w:color w:val="000080"/>
        </w:rPr>
        <w:t>rating</w:t>
      </w:r>
      <w:r w:rsidR="00554E1C" w:rsidRPr="00894FA2">
        <w:rPr>
          <w:color w:val="000080"/>
        </w:rPr>
        <w:t xml:space="preserve">.  The rationale for the PEB’s 0% rating was not elaborated </w:t>
      </w:r>
      <w:r w:rsidR="0068300A" w:rsidRPr="00894FA2">
        <w:rPr>
          <w:color w:val="000080"/>
        </w:rPr>
        <w:t>i</w:t>
      </w:r>
      <w:r w:rsidR="00554E1C" w:rsidRPr="00894FA2">
        <w:rPr>
          <w:color w:val="000080"/>
        </w:rPr>
        <w:t xml:space="preserve">n the DA </w:t>
      </w:r>
      <w:r w:rsidR="00C430A9">
        <w:rPr>
          <w:color w:val="000080"/>
        </w:rPr>
        <w:t xml:space="preserve">Form </w:t>
      </w:r>
      <w:r w:rsidR="00554E1C" w:rsidRPr="00894FA2">
        <w:rPr>
          <w:color w:val="000080"/>
        </w:rPr>
        <w:t>199, but the language includes the negative neurologic findings and absence of medication</w:t>
      </w:r>
      <w:r w:rsidR="00092DDC" w:rsidRPr="00894FA2">
        <w:rPr>
          <w:color w:val="000080"/>
        </w:rPr>
        <w:t xml:space="preserve"> use.  </w:t>
      </w:r>
      <w:r w:rsidR="00812F39" w:rsidRPr="00894FA2">
        <w:rPr>
          <w:color w:val="000080"/>
        </w:rPr>
        <w:t xml:space="preserve">The DA </w:t>
      </w:r>
      <w:r w:rsidR="00C430A9">
        <w:rPr>
          <w:color w:val="000080"/>
        </w:rPr>
        <w:t xml:space="preserve">Form </w:t>
      </w:r>
      <w:r w:rsidR="00812F39" w:rsidRPr="00894FA2">
        <w:rPr>
          <w:color w:val="000080"/>
        </w:rPr>
        <w:t xml:space="preserve">199 characterization of the episodes was ‘alteration of arousal without tonic or </w:t>
      </w:r>
      <w:proofErr w:type="spellStart"/>
      <w:r w:rsidR="00812F39" w:rsidRPr="00894FA2">
        <w:rPr>
          <w:color w:val="000080"/>
        </w:rPr>
        <w:t>clonic</w:t>
      </w:r>
      <w:proofErr w:type="spellEnd"/>
      <w:r w:rsidR="00812F39" w:rsidRPr="00894FA2">
        <w:rPr>
          <w:color w:val="000080"/>
        </w:rPr>
        <w:t xml:space="preserve"> activity’.  Since it adjudicated a 0% rating, the PEB logically implied</w:t>
      </w:r>
      <w:r w:rsidR="00092DDC" w:rsidRPr="00894FA2">
        <w:rPr>
          <w:color w:val="000080"/>
        </w:rPr>
        <w:t xml:space="preserve"> that the</w:t>
      </w:r>
      <w:r w:rsidR="00812F39" w:rsidRPr="00894FA2">
        <w:rPr>
          <w:color w:val="000080"/>
        </w:rPr>
        <w:t xml:space="preserve">se episodes were not considered to be ratable seizures.  </w:t>
      </w:r>
      <w:r w:rsidR="00092DDC" w:rsidRPr="00894FA2">
        <w:rPr>
          <w:color w:val="000080"/>
        </w:rPr>
        <w:t xml:space="preserve">This produces a </w:t>
      </w:r>
      <w:r w:rsidR="00133F6E">
        <w:rPr>
          <w:color w:val="000080"/>
        </w:rPr>
        <w:t>conflict with its coding</w:t>
      </w:r>
      <w:r w:rsidR="00092DDC" w:rsidRPr="00894FA2">
        <w:rPr>
          <w:color w:val="000080"/>
        </w:rPr>
        <w:t>, however.  If the episodes were not seizures, then analogous cod</w:t>
      </w:r>
      <w:r w:rsidR="00EB36FD" w:rsidRPr="00894FA2">
        <w:rPr>
          <w:color w:val="000080"/>
        </w:rPr>
        <w:t xml:space="preserve">ing for </w:t>
      </w:r>
      <w:r w:rsidR="00133F6E">
        <w:rPr>
          <w:color w:val="000080"/>
        </w:rPr>
        <w:t xml:space="preserve">petit mal </w:t>
      </w:r>
      <w:r w:rsidR="00EB36FD" w:rsidRPr="00894FA2">
        <w:rPr>
          <w:color w:val="000080"/>
        </w:rPr>
        <w:t xml:space="preserve">seizures is incongruent.  </w:t>
      </w:r>
      <w:r w:rsidR="00812F39" w:rsidRPr="00894FA2">
        <w:rPr>
          <w:color w:val="000080"/>
        </w:rPr>
        <w:t>§4.124a do</w:t>
      </w:r>
      <w:r w:rsidR="00EB36FD" w:rsidRPr="00894FA2">
        <w:rPr>
          <w:color w:val="000080"/>
        </w:rPr>
        <w:t>es not provide for a 0% rating or for a definition of non-</w:t>
      </w:r>
      <w:r w:rsidR="00133F6E">
        <w:rPr>
          <w:color w:val="000080"/>
        </w:rPr>
        <w:t>ratable seizures</w:t>
      </w:r>
      <w:r w:rsidR="00EB36FD" w:rsidRPr="00894FA2">
        <w:rPr>
          <w:color w:val="000080"/>
        </w:rPr>
        <w:t xml:space="preserve">.  </w:t>
      </w:r>
      <w:r w:rsidR="00092DDC" w:rsidRPr="00894FA2">
        <w:rPr>
          <w:color w:val="000080"/>
        </w:rPr>
        <w:t xml:space="preserve">If conversion reaction, </w:t>
      </w:r>
      <w:r w:rsidR="00AD246C" w:rsidRPr="00894FA2">
        <w:rPr>
          <w:color w:val="000080"/>
        </w:rPr>
        <w:t>somatoform</w:t>
      </w:r>
      <w:r w:rsidR="00092DDC" w:rsidRPr="00894FA2">
        <w:rPr>
          <w:color w:val="000080"/>
        </w:rPr>
        <w:t xml:space="preserve"> disorder or other psychiatric </w:t>
      </w:r>
      <w:r w:rsidR="00FC4B1D" w:rsidRPr="00894FA2">
        <w:rPr>
          <w:color w:val="000080"/>
        </w:rPr>
        <w:t xml:space="preserve">cause was assumed, then the psychiatric diagnosis should have been confirmed and rated IAW §4.130.  The psychiatric diagnosis of adjustment disorder, discussed below, would not account for seizure-like episodes.  If covert malingering was suspected, then it should have been confronted and pursued administratively.  By defaulting to seizure coding, </w:t>
      </w:r>
      <w:r w:rsidR="00F250FE" w:rsidRPr="00894FA2">
        <w:rPr>
          <w:color w:val="000080"/>
        </w:rPr>
        <w:t xml:space="preserve">the PEB should have logically </w:t>
      </w:r>
      <w:r w:rsidR="00FC4B1D" w:rsidRPr="00894FA2">
        <w:rPr>
          <w:color w:val="000080"/>
        </w:rPr>
        <w:t>default</w:t>
      </w:r>
      <w:r w:rsidR="00F250FE" w:rsidRPr="00894FA2">
        <w:rPr>
          <w:color w:val="000080"/>
        </w:rPr>
        <w:t>ed</w:t>
      </w:r>
      <w:r w:rsidR="00FC4B1D" w:rsidRPr="00894FA2">
        <w:rPr>
          <w:color w:val="000080"/>
        </w:rPr>
        <w:t xml:space="preserve"> to seizure counting as provided in the </w:t>
      </w:r>
      <w:r w:rsidR="00C430A9">
        <w:rPr>
          <w:color w:val="000080"/>
        </w:rPr>
        <w:t>narrative summary (</w:t>
      </w:r>
      <w:r w:rsidR="00FC4B1D" w:rsidRPr="00894FA2">
        <w:rPr>
          <w:color w:val="000080"/>
        </w:rPr>
        <w:t>NARSUM</w:t>
      </w:r>
      <w:r w:rsidR="00C430A9">
        <w:rPr>
          <w:color w:val="000080"/>
        </w:rPr>
        <w:t>)</w:t>
      </w:r>
      <w:r w:rsidR="00370C33" w:rsidRPr="00894FA2">
        <w:rPr>
          <w:color w:val="000080"/>
        </w:rPr>
        <w:t xml:space="preserve">.  </w:t>
      </w:r>
      <w:r w:rsidR="00F250FE" w:rsidRPr="00894FA2">
        <w:rPr>
          <w:color w:val="000080"/>
        </w:rPr>
        <w:t xml:space="preserve">If it was concluded that the concurrent episodes did not qualify even as minor seizures, just the </w:t>
      </w:r>
      <w:r w:rsidR="00370C33" w:rsidRPr="00894FA2">
        <w:rPr>
          <w:color w:val="000080"/>
        </w:rPr>
        <w:t xml:space="preserve">history of seizures provides for a 10% rating under the </w:t>
      </w:r>
      <w:r w:rsidR="00370C33" w:rsidRPr="00894FA2">
        <w:rPr>
          <w:color w:val="000080"/>
        </w:rPr>
        <w:lastRenderedPageBreak/>
        <w:t>general formula</w:t>
      </w:r>
      <w:r w:rsidR="00133F6E">
        <w:rPr>
          <w:color w:val="000080"/>
        </w:rPr>
        <w:t xml:space="preserve"> for rating seizures</w:t>
      </w:r>
      <w:r w:rsidR="00F250FE" w:rsidRPr="00894FA2">
        <w:rPr>
          <w:color w:val="000080"/>
        </w:rPr>
        <w:t xml:space="preserve">.  This was the decision arrived at by the VA.  The VA </w:t>
      </w:r>
      <w:r w:rsidR="00343B2E" w:rsidRPr="00894FA2">
        <w:rPr>
          <w:color w:val="000080"/>
        </w:rPr>
        <w:t>neurologist</w:t>
      </w:r>
      <w:r w:rsidR="00F250FE" w:rsidRPr="00894FA2">
        <w:rPr>
          <w:color w:val="000080"/>
        </w:rPr>
        <w:t xml:space="preserve"> did not opine that there were active </w:t>
      </w:r>
      <w:r w:rsidR="00343B2E" w:rsidRPr="00894FA2">
        <w:rPr>
          <w:color w:val="000080"/>
        </w:rPr>
        <w:t xml:space="preserve">seizures at the time of the exam, describing </w:t>
      </w:r>
      <w:r w:rsidR="00133F6E">
        <w:rPr>
          <w:color w:val="000080"/>
        </w:rPr>
        <w:t xml:space="preserve">only </w:t>
      </w:r>
      <w:r w:rsidR="00343B2E" w:rsidRPr="00894FA2">
        <w:rPr>
          <w:color w:val="000080"/>
        </w:rPr>
        <w:t>two minute episodes of ‘loss of time’.  He noted that the CI was not under treatment for epilepsy and did not quantify the frequency of the events</w:t>
      </w:r>
      <w:r w:rsidR="007A72E3" w:rsidRPr="00894FA2">
        <w:rPr>
          <w:color w:val="000080"/>
        </w:rPr>
        <w:t xml:space="preserve"> which were manifest at that time</w:t>
      </w:r>
      <w:r w:rsidR="00343B2E" w:rsidRPr="00894FA2">
        <w:rPr>
          <w:color w:val="000080"/>
        </w:rPr>
        <w:t xml:space="preserve">.  The </w:t>
      </w:r>
      <w:r w:rsidR="007A72E3" w:rsidRPr="00894FA2">
        <w:rPr>
          <w:color w:val="000080"/>
        </w:rPr>
        <w:t>VA</w:t>
      </w:r>
      <w:r w:rsidR="00343B2E" w:rsidRPr="00894FA2">
        <w:rPr>
          <w:color w:val="000080"/>
        </w:rPr>
        <w:t xml:space="preserve"> therefore rated 10% for history of seizures from the service records.</w:t>
      </w:r>
    </w:p>
    <w:p w:rsidR="00281408" w:rsidRPr="00894FA2" w:rsidRDefault="00281408" w:rsidP="00894FA2">
      <w:pPr>
        <w:tabs>
          <w:tab w:val="left" w:pos="288"/>
          <w:tab w:val="left" w:pos="4752"/>
        </w:tabs>
        <w:spacing w:line="240" w:lineRule="exact"/>
        <w:jc w:val="both"/>
        <w:rPr>
          <w:color w:val="000080"/>
        </w:rPr>
      </w:pPr>
    </w:p>
    <w:p w:rsidR="00F47250" w:rsidRPr="00894FA2" w:rsidRDefault="00866B68" w:rsidP="00894FA2">
      <w:pPr>
        <w:tabs>
          <w:tab w:val="left" w:pos="288"/>
          <w:tab w:val="left" w:pos="4752"/>
        </w:tabs>
        <w:spacing w:line="240" w:lineRule="exact"/>
        <w:jc w:val="both"/>
        <w:rPr>
          <w:color w:val="000080"/>
        </w:rPr>
      </w:pPr>
      <w:r w:rsidRPr="00894FA2">
        <w:rPr>
          <w:color w:val="000080"/>
        </w:rPr>
        <w:t>T</w:t>
      </w:r>
      <w:r w:rsidR="007A72E3" w:rsidRPr="00894FA2">
        <w:rPr>
          <w:color w:val="000080"/>
        </w:rPr>
        <w:t xml:space="preserve">he Board </w:t>
      </w:r>
      <w:r w:rsidRPr="00894FA2">
        <w:rPr>
          <w:color w:val="000080"/>
        </w:rPr>
        <w:t xml:space="preserve">agrees that the most appropriate coding for this case is 8999-8911 and </w:t>
      </w:r>
      <w:r w:rsidR="007A72E3" w:rsidRPr="00894FA2">
        <w:rPr>
          <w:color w:val="000080"/>
        </w:rPr>
        <w:t>takes the position</w:t>
      </w:r>
      <w:r w:rsidRPr="00894FA2">
        <w:rPr>
          <w:color w:val="000080"/>
        </w:rPr>
        <w:t>, as stated above,</w:t>
      </w:r>
      <w:r w:rsidR="007A72E3" w:rsidRPr="00894FA2">
        <w:rPr>
          <w:color w:val="000080"/>
        </w:rPr>
        <w:t xml:space="preserve"> that the etiology of the CI’s seizure disorder is moot</w:t>
      </w:r>
      <w:r w:rsidR="00AD246C" w:rsidRPr="00894FA2">
        <w:rPr>
          <w:color w:val="000080"/>
        </w:rPr>
        <w:t xml:space="preserve">.  </w:t>
      </w:r>
      <w:r w:rsidR="00343B2E" w:rsidRPr="00894FA2">
        <w:rPr>
          <w:color w:val="000080"/>
        </w:rPr>
        <w:t xml:space="preserve">Whether the events </w:t>
      </w:r>
      <w:r w:rsidR="00AD246C" w:rsidRPr="00894FA2">
        <w:rPr>
          <w:color w:val="000080"/>
        </w:rPr>
        <w:t xml:space="preserve">at the time of separation </w:t>
      </w:r>
      <w:r w:rsidR="00343B2E" w:rsidRPr="00894FA2">
        <w:rPr>
          <w:color w:val="000080"/>
        </w:rPr>
        <w:t xml:space="preserve">were epileptic or </w:t>
      </w:r>
      <w:proofErr w:type="spellStart"/>
      <w:r w:rsidR="00343B2E" w:rsidRPr="00894FA2">
        <w:rPr>
          <w:color w:val="000080"/>
        </w:rPr>
        <w:t>nonepileptic</w:t>
      </w:r>
      <w:proofErr w:type="spellEnd"/>
      <w:r w:rsidR="00343B2E" w:rsidRPr="00894FA2">
        <w:rPr>
          <w:color w:val="000080"/>
        </w:rPr>
        <w:t xml:space="preserve"> seizures, they met the criteria </w:t>
      </w:r>
      <w:r w:rsidRPr="00894FA2">
        <w:rPr>
          <w:color w:val="000080"/>
        </w:rPr>
        <w:t>for</w:t>
      </w:r>
      <w:r w:rsidR="00343B2E" w:rsidRPr="00894FA2">
        <w:rPr>
          <w:color w:val="000080"/>
        </w:rPr>
        <w:t xml:space="preserve"> minor seizures as defined in </w:t>
      </w:r>
      <w:r w:rsidR="00AD246C" w:rsidRPr="00894FA2">
        <w:rPr>
          <w:color w:val="000080"/>
        </w:rPr>
        <w:t>§4.124a</w:t>
      </w:r>
      <w:r w:rsidR="00343B2E" w:rsidRPr="00894FA2">
        <w:rPr>
          <w:color w:val="000080"/>
        </w:rPr>
        <w:t>,</w:t>
      </w:r>
      <w:r w:rsidR="00C430A9">
        <w:rPr>
          <w:color w:val="000080"/>
        </w:rPr>
        <w:t xml:space="preserve"> i.e., ‘a brief interruption in </w:t>
      </w:r>
      <w:r w:rsidR="00343B2E" w:rsidRPr="00894FA2">
        <w:rPr>
          <w:color w:val="000080"/>
        </w:rPr>
        <w:t>consciousness or conscious control associated with staring or</w:t>
      </w:r>
      <w:r w:rsidR="00894FA2">
        <w:rPr>
          <w:color w:val="000080"/>
        </w:rPr>
        <w:t>...</w:t>
      </w:r>
      <w:r w:rsidR="00343B2E" w:rsidRPr="00894FA2">
        <w:rPr>
          <w:color w:val="000080"/>
        </w:rPr>
        <w:t xml:space="preserve">’  </w:t>
      </w:r>
      <w:r w:rsidR="00AD246C" w:rsidRPr="00894FA2">
        <w:rPr>
          <w:color w:val="000080"/>
        </w:rPr>
        <w:t xml:space="preserve">Since the VA examiner did not classify the events as seizures or quantify them, the entries in the service treatment record (STR) </w:t>
      </w:r>
      <w:r w:rsidRPr="00894FA2">
        <w:rPr>
          <w:color w:val="000080"/>
        </w:rPr>
        <w:t xml:space="preserve">are the only reliable source for the Board’s rating recommendation.  </w:t>
      </w:r>
      <w:r w:rsidR="00C51125" w:rsidRPr="00894FA2">
        <w:rPr>
          <w:color w:val="000080"/>
        </w:rPr>
        <w:t xml:space="preserve">The Board attempted to obtain information from the CI’s home health provider after discharge, but was informed she was under the care of her family and no provider notes were obtainable.  </w:t>
      </w:r>
      <w:r w:rsidRPr="00894FA2">
        <w:rPr>
          <w:color w:val="000080"/>
        </w:rPr>
        <w:t xml:space="preserve">The only quantified entries in </w:t>
      </w:r>
      <w:r w:rsidR="00C51125" w:rsidRPr="00894FA2">
        <w:rPr>
          <w:color w:val="000080"/>
        </w:rPr>
        <w:t>the STR</w:t>
      </w:r>
      <w:r w:rsidRPr="00894FA2">
        <w:rPr>
          <w:color w:val="000080"/>
        </w:rPr>
        <w:t xml:space="preserve"> are the NARSUM, noting ‘2 to 3 times a week’, and an outpatient note over a year prior to separation stating </w:t>
      </w:r>
      <w:r w:rsidR="0068300A" w:rsidRPr="00894FA2">
        <w:rPr>
          <w:color w:val="000080"/>
        </w:rPr>
        <w:t>‘</w:t>
      </w:r>
      <w:r w:rsidR="00C51125" w:rsidRPr="00894FA2">
        <w:rPr>
          <w:color w:val="000080"/>
        </w:rPr>
        <w:t>&lt;1 per month</w:t>
      </w:r>
      <w:r w:rsidR="0068300A" w:rsidRPr="00894FA2">
        <w:rPr>
          <w:color w:val="000080"/>
        </w:rPr>
        <w:t>’</w:t>
      </w:r>
      <w:r w:rsidR="00C51125" w:rsidRPr="00894FA2">
        <w:rPr>
          <w:color w:val="000080"/>
        </w:rPr>
        <w:t>.  The neurology addendum stated ‘several times per week’ a</w:t>
      </w:r>
      <w:r w:rsidR="009E4469">
        <w:rPr>
          <w:color w:val="000080"/>
        </w:rPr>
        <w:t xml:space="preserve">nd, like the NARSUM, was dated three </w:t>
      </w:r>
      <w:r w:rsidR="00C51125" w:rsidRPr="00894FA2">
        <w:rPr>
          <w:color w:val="000080"/>
        </w:rPr>
        <w:t xml:space="preserve">months prior to separation.  </w:t>
      </w:r>
      <w:r w:rsidR="00F24028" w:rsidRPr="00894FA2">
        <w:rPr>
          <w:color w:val="000080"/>
        </w:rPr>
        <w:t xml:space="preserve">The Board defers to the NARSUM entry as the most reliable and confers reasonable doubt to the CI as counting all of the events as equivalent to minor seizures.  This easily meets the §4.124a threshold of at least </w:t>
      </w:r>
      <w:r w:rsidR="009E4469">
        <w:rPr>
          <w:color w:val="000080"/>
        </w:rPr>
        <w:t>two</w:t>
      </w:r>
      <w:r w:rsidR="00C430A9">
        <w:rPr>
          <w:color w:val="000080"/>
        </w:rPr>
        <w:t> </w:t>
      </w:r>
      <w:r w:rsidR="00F24028" w:rsidRPr="00894FA2">
        <w:rPr>
          <w:color w:val="000080"/>
        </w:rPr>
        <w:t xml:space="preserve">minor seizures in the last </w:t>
      </w:r>
      <w:r w:rsidR="009E4469">
        <w:rPr>
          <w:color w:val="000080"/>
        </w:rPr>
        <w:t>six</w:t>
      </w:r>
      <w:r w:rsidR="00F24028" w:rsidRPr="00894FA2">
        <w:rPr>
          <w:color w:val="000080"/>
        </w:rPr>
        <w:t xml:space="preserve"> months for a 20% rating, but not for the next higher rating of 40% which requires ‘at least 5-8 minor seizures </w:t>
      </w:r>
      <w:r w:rsidR="00F47250" w:rsidRPr="00894FA2">
        <w:rPr>
          <w:color w:val="000080"/>
        </w:rPr>
        <w:t>weekly’.  The Board deliberated if the middle ground between the ratings should defer to the higher rating, but decided that the frequency was closer to the 20% threshold than the 40% one.  It was noted that reasonable doubt had already been conferred in arriving at the frequency and characteri</w:t>
      </w:r>
      <w:r w:rsidR="00C430A9">
        <w:rPr>
          <w:color w:val="000080"/>
        </w:rPr>
        <w:t xml:space="preserve">zing the nature of the events. </w:t>
      </w:r>
      <w:r w:rsidR="00F47250" w:rsidRPr="00894FA2">
        <w:rPr>
          <w:color w:val="000080"/>
        </w:rPr>
        <w:t>All evidence considered</w:t>
      </w:r>
      <w:r w:rsidR="00162DCA" w:rsidRPr="00894FA2">
        <w:rPr>
          <w:color w:val="000080"/>
        </w:rPr>
        <w:t>,</w:t>
      </w:r>
      <w:r w:rsidR="00F47250" w:rsidRPr="00894FA2">
        <w:rPr>
          <w:color w:val="000080"/>
        </w:rPr>
        <w:t xml:space="preserve"> </w:t>
      </w:r>
      <w:r w:rsidR="00162DCA" w:rsidRPr="00894FA2">
        <w:rPr>
          <w:color w:val="000080"/>
        </w:rPr>
        <w:t>the Board recommends</w:t>
      </w:r>
      <w:r w:rsidR="00F47250" w:rsidRPr="00894FA2">
        <w:rPr>
          <w:color w:val="000080"/>
        </w:rPr>
        <w:t xml:space="preserve"> a separation rating of </w:t>
      </w:r>
      <w:r w:rsidR="00162DCA" w:rsidRPr="00894FA2">
        <w:rPr>
          <w:color w:val="000080"/>
        </w:rPr>
        <w:t>2</w:t>
      </w:r>
      <w:r w:rsidR="00F47250" w:rsidRPr="00894FA2">
        <w:rPr>
          <w:color w:val="000080"/>
        </w:rPr>
        <w:t xml:space="preserve">0% for the </w:t>
      </w:r>
      <w:proofErr w:type="spellStart"/>
      <w:r w:rsidR="00162DCA" w:rsidRPr="00894FA2">
        <w:rPr>
          <w:color w:val="000080"/>
        </w:rPr>
        <w:t>nonepileptic</w:t>
      </w:r>
      <w:proofErr w:type="spellEnd"/>
      <w:r w:rsidR="00162DCA" w:rsidRPr="00894FA2">
        <w:rPr>
          <w:color w:val="000080"/>
        </w:rPr>
        <w:t xml:space="preserve"> seizure</w:t>
      </w:r>
      <w:r w:rsidR="00F47250" w:rsidRPr="00894FA2">
        <w:rPr>
          <w:color w:val="000080"/>
        </w:rPr>
        <w:t xml:space="preserve"> condition.</w:t>
      </w:r>
    </w:p>
    <w:p w:rsidR="00162DCA" w:rsidRPr="00894FA2" w:rsidRDefault="00162DCA" w:rsidP="00894FA2">
      <w:pPr>
        <w:tabs>
          <w:tab w:val="left" w:pos="288"/>
          <w:tab w:val="left" w:pos="4752"/>
        </w:tabs>
        <w:spacing w:line="240" w:lineRule="exact"/>
        <w:jc w:val="both"/>
        <w:rPr>
          <w:color w:val="000080"/>
        </w:rPr>
      </w:pPr>
    </w:p>
    <w:p w:rsidR="00F41ADA" w:rsidRPr="00894FA2" w:rsidRDefault="00162DCA" w:rsidP="00894FA2">
      <w:pPr>
        <w:tabs>
          <w:tab w:val="left" w:pos="288"/>
          <w:tab w:val="left" w:pos="4752"/>
        </w:tabs>
        <w:spacing w:line="240" w:lineRule="exact"/>
        <w:jc w:val="both"/>
        <w:rPr>
          <w:color w:val="000080"/>
        </w:rPr>
      </w:pPr>
      <w:r w:rsidRPr="00894FA2">
        <w:rPr>
          <w:color w:val="000080"/>
          <w:u w:val="single"/>
        </w:rPr>
        <w:t xml:space="preserve">Other DA </w:t>
      </w:r>
      <w:r w:rsidR="009E4469">
        <w:rPr>
          <w:color w:val="000080"/>
          <w:u w:val="single"/>
        </w:rPr>
        <w:t xml:space="preserve">Form </w:t>
      </w:r>
      <w:r w:rsidRPr="00894FA2">
        <w:rPr>
          <w:color w:val="000080"/>
          <w:u w:val="single"/>
        </w:rPr>
        <w:t>3947</w:t>
      </w:r>
      <w:r w:rsidR="0006431E" w:rsidRPr="00894FA2">
        <w:rPr>
          <w:color w:val="000080"/>
          <w:u w:val="single"/>
        </w:rPr>
        <w:t xml:space="preserve"> Condition</w:t>
      </w:r>
      <w:r w:rsidRPr="00894FA2">
        <w:rPr>
          <w:color w:val="000080"/>
          <w:u w:val="single"/>
        </w:rPr>
        <w:t>s (Left Wrist, Adjustment Disorder)</w:t>
      </w:r>
      <w:r w:rsidR="0006431E" w:rsidRPr="00894FA2">
        <w:rPr>
          <w:color w:val="000080"/>
        </w:rPr>
        <w:t xml:space="preserve">.  </w:t>
      </w:r>
      <w:r w:rsidR="00F07052" w:rsidRPr="00894FA2">
        <w:rPr>
          <w:color w:val="000080"/>
        </w:rPr>
        <w:t xml:space="preserve">The </w:t>
      </w:r>
      <w:r w:rsidR="00B71503" w:rsidRPr="00894FA2">
        <w:rPr>
          <w:color w:val="000080"/>
        </w:rPr>
        <w:t xml:space="preserve">NARSUM addressed a left </w:t>
      </w:r>
      <w:r w:rsidR="0068300A" w:rsidRPr="00894FA2">
        <w:rPr>
          <w:color w:val="000080"/>
        </w:rPr>
        <w:t xml:space="preserve">wrist </w:t>
      </w:r>
      <w:r w:rsidR="00B71503" w:rsidRPr="00894FA2">
        <w:rPr>
          <w:color w:val="000080"/>
        </w:rPr>
        <w:t xml:space="preserve">condition from a previous injury, diagnosed as </w:t>
      </w:r>
      <w:proofErr w:type="spellStart"/>
      <w:r w:rsidR="00B71503" w:rsidRPr="00894FA2">
        <w:rPr>
          <w:color w:val="000080"/>
        </w:rPr>
        <w:t>tenosynovitis</w:t>
      </w:r>
      <w:proofErr w:type="spellEnd"/>
      <w:r w:rsidR="00B71503" w:rsidRPr="00894FA2">
        <w:rPr>
          <w:color w:val="000080"/>
        </w:rPr>
        <w:t>.  It characterized it as ‘not a problem except with overuse’ and judged it to be within AR 40-501 standards.  It had not required surgery and was not under treatment at the time of separation.  It was not mentioned in the Commander’s statement, although that document was devoid of any useful information relevant to fitness recommendation</w:t>
      </w:r>
      <w:r w:rsidR="0068300A" w:rsidRPr="00894FA2">
        <w:rPr>
          <w:color w:val="000080"/>
        </w:rPr>
        <w:t>s</w:t>
      </w:r>
      <w:r w:rsidR="00B71503" w:rsidRPr="00894FA2">
        <w:rPr>
          <w:color w:val="000080"/>
        </w:rPr>
        <w:t>.</w:t>
      </w:r>
      <w:r w:rsidR="00F41ADA" w:rsidRPr="00894FA2">
        <w:rPr>
          <w:color w:val="000080"/>
        </w:rPr>
        <w:t xml:space="preserve">  The physical profile was U2 and did not impose any </w:t>
      </w:r>
      <w:r w:rsidR="00C430A9">
        <w:rPr>
          <w:color w:val="000080"/>
        </w:rPr>
        <w:t>military occupational specialty (MOS)-</w:t>
      </w:r>
      <w:r w:rsidR="00133F6E">
        <w:rPr>
          <w:color w:val="000080"/>
        </w:rPr>
        <w:t xml:space="preserve">critical </w:t>
      </w:r>
      <w:r w:rsidR="00F41ADA" w:rsidRPr="00894FA2">
        <w:rPr>
          <w:color w:val="000080"/>
        </w:rPr>
        <w:t xml:space="preserve">limitations referable to the wrist.  The psychiatric diagnosis of adjustment disorder was evidenced in a brief memorandum from psychiatry to the PEB </w:t>
      </w:r>
      <w:r w:rsidR="0068300A" w:rsidRPr="00894FA2">
        <w:rPr>
          <w:color w:val="000080"/>
        </w:rPr>
        <w:t>which</w:t>
      </w:r>
      <w:r w:rsidR="00F41ADA" w:rsidRPr="00894FA2">
        <w:rPr>
          <w:color w:val="000080"/>
        </w:rPr>
        <w:t xml:space="preserve"> stated, ‘This diagnosis does not warrant an addendum, as it is </w:t>
      </w:r>
      <w:r w:rsidR="00F41ADA" w:rsidRPr="00894FA2">
        <w:rPr>
          <w:color w:val="000080"/>
        </w:rPr>
        <w:lastRenderedPageBreak/>
        <w:t xml:space="preserve">not a medical board-able condition.’  </w:t>
      </w:r>
      <w:r w:rsidR="00C430A9">
        <w:rPr>
          <w:color w:val="000080"/>
        </w:rPr>
        <w:t>Although the action o</w:t>
      </w:r>
      <w:r w:rsidR="00F41ADA" w:rsidRPr="00894FA2">
        <w:rPr>
          <w:color w:val="000080"/>
        </w:rPr>
        <w:t xml:space="preserve">fficer </w:t>
      </w:r>
      <w:r w:rsidR="0068300A" w:rsidRPr="00894FA2">
        <w:rPr>
          <w:color w:val="000080"/>
        </w:rPr>
        <w:t>believe</w:t>
      </w:r>
      <w:r w:rsidR="00F41ADA" w:rsidRPr="00894FA2">
        <w:rPr>
          <w:color w:val="000080"/>
        </w:rPr>
        <w:t xml:space="preserve">s that the CI would have benefitted from more aggressive psychiatric evaluation and intervention, there is nothing in evidence supporting a recommendation that she was unfit on a psychiatric basis.  She was not under active psychiatric care, on no psychiatric medications and carried no psychiatric profile.  </w:t>
      </w:r>
      <w:r w:rsidR="00592754" w:rsidRPr="00894FA2">
        <w:rPr>
          <w:color w:val="000080"/>
        </w:rPr>
        <w:t xml:space="preserve">The VA did not determine that there was any ratable psychiatric disorder.  </w:t>
      </w:r>
      <w:r w:rsidR="00F41ADA" w:rsidRPr="00894FA2">
        <w:rPr>
          <w:color w:val="000080"/>
        </w:rPr>
        <w:t>All evidence considered</w:t>
      </w:r>
      <w:proofErr w:type="gramStart"/>
      <w:r w:rsidR="00F41ADA" w:rsidRPr="00894FA2">
        <w:rPr>
          <w:color w:val="000080"/>
        </w:rPr>
        <w:t>,</w:t>
      </w:r>
      <w:proofErr w:type="gramEnd"/>
      <w:r w:rsidR="00F41ADA" w:rsidRPr="00894FA2">
        <w:rPr>
          <w:color w:val="000080"/>
        </w:rPr>
        <w:t xml:space="preserve"> there is not reasonable doubt in the CI’s favor supporting </w:t>
      </w:r>
      <w:proofErr w:type="spellStart"/>
      <w:r w:rsidR="00F41ADA" w:rsidRPr="00894FA2">
        <w:rPr>
          <w:color w:val="000080"/>
        </w:rPr>
        <w:t>recharacterization</w:t>
      </w:r>
      <w:proofErr w:type="spellEnd"/>
      <w:r w:rsidR="00F41ADA" w:rsidRPr="00894FA2">
        <w:rPr>
          <w:color w:val="000080"/>
        </w:rPr>
        <w:t xml:space="preserve"> of the PEB fitness adjudication</w:t>
      </w:r>
      <w:r w:rsidR="0068300A" w:rsidRPr="00894FA2">
        <w:rPr>
          <w:color w:val="000080"/>
        </w:rPr>
        <w:t>s</w:t>
      </w:r>
      <w:r w:rsidR="00F41ADA" w:rsidRPr="00894FA2">
        <w:rPr>
          <w:color w:val="000080"/>
        </w:rPr>
        <w:t xml:space="preserve"> for the left wrist condition or adjustment disorder.</w:t>
      </w:r>
    </w:p>
    <w:p w:rsidR="00F07052" w:rsidRPr="00894FA2" w:rsidRDefault="00F07052" w:rsidP="00894FA2">
      <w:pPr>
        <w:tabs>
          <w:tab w:val="left" w:pos="288"/>
          <w:tab w:val="left" w:pos="4752"/>
        </w:tabs>
        <w:spacing w:line="240" w:lineRule="exact"/>
        <w:jc w:val="both"/>
        <w:rPr>
          <w:color w:val="000080"/>
        </w:rPr>
      </w:pPr>
    </w:p>
    <w:p w:rsidR="00592754" w:rsidRPr="00894FA2" w:rsidRDefault="002C6E5B" w:rsidP="00894FA2">
      <w:pPr>
        <w:tabs>
          <w:tab w:val="left" w:pos="288"/>
          <w:tab w:val="left" w:pos="4752"/>
        </w:tabs>
        <w:spacing w:line="240" w:lineRule="exact"/>
        <w:jc w:val="both"/>
        <w:rPr>
          <w:color w:val="000080"/>
        </w:rPr>
      </w:pPr>
      <w:proofErr w:type="gramStart"/>
      <w:r w:rsidRPr="00894FA2">
        <w:rPr>
          <w:color w:val="000080"/>
          <w:u w:val="single"/>
        </w:rPr>
        <w:t>Other Conditions</w:t>
      </w:r>
      <w:r w:rsidRPr="00894FA2">
        <w:rPr>
          <w:color w:val="000080"/>
        </w:rPr>
        <w:t>.</w:t>
      </w:r>
      <w:proofErr w:type="gramEnd"/>
      <w:r w:rsidRPr="00894FA2">
        <w:rPr>
          <w:color w:val="000080"/>
        </w:rPr>
        <w:t xml:space="preserve">  </w:t>
      </w:r>
      <w:r w:rsidR="00592754" w:rsidRPr="00894FA2">
        <w:rPr>
          <w:color w:val="000080"/>
        </w:rPr>
        <w:t xml:space="preserve">There were no additional medical conditions identified in the </w:t>
      </w:r>
      <w:r w:rsidR="00C430A9">
        <w:rPr>
          <w:color w:val="000080"/>
        </w:rPr>
        <w:t>Disability Evaluation System (</w:t>
      </w:r>
      <w:r w:rsidR="00592754" w:rsidRPr="00894FA2">
        <w:rPr>
          <w:color w:val="000080"/>
        </w:rPr>
        <w:t>DES</w:t>
      </w:r>
      <w:r w:rsidR="00C430A9">
        <w:rPr>
          <w:color w:val="000080"/>
        </w:rPr>
        <w:t>)</w:t>
      </w:r>
      <w:r w:rsidR="00592754" w:rsidRPr="00894FA2">
        <w:rPr>
          <w:color w:val="000080"/>
        </w:rPr>
        <w:t xml:space="preserve"> packet or STR which are relevant for Board consideration as potentially unfitting.  The CI went through two uncomplicated pregnancies and there were some minor episodic care entries.  </w:t>
      </w:r>
      <w:r w:rsidR="00F827D1" w:rsidRPr="00894FA2">
        <w:rPr>
          <w:color w:val="000080"/>
        </w:rPr>
        <w:t>Other than vision correction and trouble sleeping, all positive responses by the CI on her</w:t>
      </w:r>
      <w:r w:rsidR="00592754" w:rsidRPr="00894FA2">
        <w:rPr>
          <w:color w:val="000080"/>
        </w:rPr>
        <w:t xml:space="preserve"> MEB physical </w:t>
      </w:r>
      <w:r w:rsidR="00F827D1" w:rsidRPr="00894FA2">
        <w:rPr>
          <w:color w:val="000080"/>
        </w:rPr>
        <w:t xml:space="preserve">were referable to the history related above.  </w:t>
      </w:r>
      <w:r w:rsidR="00592754" w:rsidRPr="00894FA2">
        <w:rPr>
          <w:color w:val="000080"/>
        </w:rPr>
        <w:t>The VA did not code for any other conditions.  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C032B2" w:rsidRPr="00894FA2" w:rsidRDefault="00C56FC8" w:rsidP="00894FA2">
      <w:pPr>
        <w:tabs>
          <w:tab w:val="left" w:pos="288"/>
          <w:tab w:val="left" w:pos="4752"/>
        </w:tabs>
        <w:spacing w:line="240" w:lineRule="exact"/>
        <w:jc w:val="both"/>
        <w:rPr>
          <w:color w:val="000080"/>
        </w:rPr>
      </w:pPr>
      <w:r w:rsidRPr="00894FA2">
        <w:rPr>
          <w:color w:val="000080"/>
          <w:u w:val="single"/>
        </w:rPr>
        <w:t>BOARD FINDINGS</w:t>
      </w:r>
      <w:r w:rsidRPr="00894FA2">
        <w:rPr>
          <w:color w:val="000080"/>
        </w:rPr>
        <w:t xml:space="preserve">:  IAW </w:t>
      </w:r>
      <w:proofErr w:type="spellStart"/>
      <w:r w:rsidRPr="00894FA2">
        <w:rPr>
          <w:color w:val="000080"/>
        </w:rPr>
        <w:t>DoDI</w:t>
      </w:r>
      <w:proofErr w:type="spellEnd"/>
      <w:r w:rsidRPr="00894FA2">
        <w:rPr>
          <w:color w:val="000080"/>
        </w:rPr>
        <w:t xml:space="preserve"> 6040.44, provisions of </w:t>
      </w:r>
      <w:proofErr w:type="spellStart"/>
      <w:r w:rsidRPr="00894FA2">
        <w:rPr>
          <w:color w:val="000080"/>
        </w:rPr>
        <w:t>DoD</w:t>
      </w:r>
      <w:proofErr w:type="spellEnd"/>
      <w:r w:rsidRPr="00894FA2">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894FA2">
        <w:rPr>
          <w:color w:val="000080"/>
        </w:rPr>
        <w:t xml:space="preserve"> </w:t>
      </w:r>
      <w:r w:rsidR="00F827D1" w:rsidRPr="00894FA2">
        <w:rPr>
          <w:color w:val="000080"/>
        </w:rPr>
        <w:t xml:space="preserve">The Board did not surmise from the record or PEB ruling in this case that any prerogatives outside the VASRD were exercised.  In the matter of the </w:t>
      </w:r>
      <w:proofErr w:type="spellStart"/>
      <w:r w:rsidR="00F827D1" w:rsidRPr="00894FA2">
        <w:rPr>
          <w:color w:val="000080"/>
        </w:rPr>
        <w:t>nonepileptic</w:t>
      </w:r>
      <w:proofErr w:type="spellEnd"/>
      <w:r w:rsidR="00F827D1" w:rsidRPr="00894FA2">
        <w:rPr>
          <w:color w:val="000080"/>
        </w:rPr>
        <w:t xml:space="preserve"> seizure condition, the Board unanimously recommends a rating of 20% coded 8999-8911 IAW VASRD §4.124a.  In the matter of the </w:t>
      </w:r>
      <w:r w:rsidR="00C032B2" w:rsidRPr="00894FA2">
        <w:rPr>
          <w:color w:val="000080"/>
        </w:rPr>
        <w:t xml:space="preserve">left wrist </w:t>
      </w:r>
      <w:r w:rsidR="00F827D1" w:rsidRPr="00894FA2">
        <w:rPr>
          <w:color w:val="000080"/>
        </w:rPr>
        <w:t>condition</w:t>
      </w:r>
      <w:r w:rsidR="00C032B2" w:rsidRPr="00894FA2">
        <w:rPr>
          <w:color w:val="000080"/>
        </w:rPr>
        <w:t xml:space="preserve"> and adjustment disorder</w:t>
      </w:r>
      <w:r w:rsidR="00F827D1" w:rsidRPr="00894FA2">
        <w:rPr>
          <w:color w:val="000080"/>
        </w:rPr>
        <w:t xml:space="preserve">, the Board unanimously recommends no </w:t>
      </w:r>
      <w:proofErr w:type="spellStart"/>
      <w:r w:rsidR="00F827D1" w:rsidRPr="00894FA2">
        <w:rPr>
          <w:color w:val="000080"/>
        </w:rPr>
        <w:t>recharacterization</w:t>
      </w:r>
      <w:proofErr w:type="spellEnd"/>
      <w:r w:rsidR="00F827D1" w:rsidRPr="00894FA2">
        <w:rPr>
          <w:color w:val="000080"/>
        </w:rPr>
        <w:t xml:space="preserve"> of the PEB adjudication</w:t>
      </w:r>
      <w:r w:rsidR="00C032B2" w:rsidRPr="00894FA2">
        <w:rPr>
          <w:color w:val="000080"/>
        </w:rPr>
        <w:t>s</w:t>
      </w:r>
      <w:r w:rsidR="00F827D1" w:rsidRPr="00894FA2">
        <w:rPr>
          <w:color w:val="000080"/>
        </w:rPr>
        <w:t xml:space="preserve"> as not unfitting.</w:t>
      </w:r>
      <w:r w:rsidR="00C032B2" w:rsidRPr="00894FA2">
        <w:rPr>
          <w:color w:val="000080"/>
        </w:rPr>
        <w:t xml:space="preserve">  The Board unanimously agrees that there were no other conditions in evidence relevant for consideration as additionally unfitting.</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C032B2" w:rsidRPr="00894FA2" w:rsidRDefault="00C56FC8" w:rsidP="006646D2">
      <w:pPr>
        <w:jc w:val="both"/>
        <w:rPr>
          <w:rFonts w:asciiTheme="minorHAnsi" w:hAnsiTheme="minorHAnsi"/>
          <w:color w:val="000080"/>
          <w:szCs w:val="24"/>
          <w:u w:val="single"/>
        </w:rPr>
      </w:pPr>
      <w:r w:rsidRPr="00894FA2">
        <w:rPr>
          <w:color w:val="000080"/>
          <w:u w:val="single"/>
        </w:rPr>
        <w:t>RECOMMENDATION</w:t>
      </w:r>
      <w:r w:rsidRPr="00894FA2">
        <w:rPr>
          <w:color w:val="000080"/>
        </w:rPr>
        <w:t xml:space="preserve">: </w:t>
      </w:r>
      <w:r w:rsidR="00C032B2" w:rsidRPr="00894FA2">
        <w:rPr>
          <w:color w:val="000080"/>
        </w:rPr>
        <w:t>Board recommends that the CI’s prior determination be modified as follows, effective as of the date of her prior medical separation.</w:t>
      </w:r>
    </w:p>
    <w:p w:rsidR="004101B2" w:rsidRDefault="004101B2" w:rsidP="004101B2">
      <w:pPr>
        <w:tabs>
          <w:tab w:val="left" w:pos="288"/>
          <w:tab w:val="left" w:pos="4752"/>
        </w:tabs>
        <w:spacing w:line="240" w:lineRule="exact"/>
        <w:jc w:val="both"/>
        <w:rPr>
          <w:color w:val="000080"/>
        </w:rPr>
      </w:pPr>
    </w:p>
    <w:tbl>
      <w:tblPr>
        <w:tblW w:w="0" w:type="auto"/>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0"/>
        <w:gridCol w:w="1706"/>
        <w:gridCol w:w="1084"/>
      </w:tblGrid>
      <w:tr w:rsidR="004101B2" w:rsidRPr="00533FB5" w:rsidTr="00C032B2">
        <w:trPr>
          <w:trHeight w:val="287"/>
        </w:trPr>
        <w:tc>
          <w:tcPr>
            <w:tcW w:w="459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C032B2">
        <w:tc>
          <w:tcPr>
            <w:tcW w:w="4590" w:type="dxa"/>
          </w:tcPr>
          <w:p w:rsidR="004101B2" w:rsidRPr="00A867F0" w:rsidRDefault="00C032B2" w:rsidP="00896683">
            <w:pPr>
              <w:tabs>
                <w:tab w:val="left" w:pos="288"/>
                <w:tab w:val="left" w:pos="4752"/>
              </w:tabs>
              <w:spacing w:before="20" w:after="20" w:line="240" w:lineRule="exact"/>
              <w:rPr>
                <w:color w:val="000080"/>
                <w:szCs w:val="24"/>
              </w:rPr>
            </w:pPr>
            <w:proofErr w:type="spellStart"/>
            <w:r>
              <w:rPr>
                <w:color w:val="000080"/>
                <w:szCs w:val="24"/>
              </w:rPr>
              <w:t>Nonepileptic</w:t>
            </w:r>
            <w:proofErr w:type="spellEnd"/>
            <w:r>
              <w:rPr>
                <w:color w:val="000080"/>
                <w:szCs w:val="24"/>
              </w:rPr>
              <w:t xml:space="preserve"> Seizure Condition</w:t>
            </w:r>
          </w:p>
        </w:tc>
        <w:tc>
          <w:tcPr>
            <w:tcW w:w="1706" w:type="dxa"/>
          </w:tcPr>
          <w:p w:rsidR="004101B2" w:rsidRPr="00A867F0" w:rsidRDefault="00C032B2" w:rsidP="00F533F9">
            <w:pPr>
              <w:tabs>
                <w:tab w:val="left" w:pos="288"/>
                <w:tab w:val="left" w:pos="4752"/>
              </w:tabs>
              <w:spacing w:line="240" w:lineRule="exact"/>
              <w:jc w:val="center"/>
              <w:rPr>
                <w:color w:val="000080"/>
                <w:szCs w:val="24"/>
              </w:rPr>
            </w:pPr>
            <w:r>
              <w:rPr>
                <w:color w:val="000080"/>
                <w:szCs w:val="24"/>
              </w:rPr>
              <w:t>8999-8911</w:t>
            </w:r>
          </w:p>
        </w:tc>
        <w:tc>
          <w:tcPr>
            <w:tcW w:w="1084" w:type="dxa"/>
          </w:tcPr>
          <w:p w:rsidR="004101B2" w:rsidRPr="00A867F0" w:rsidRDefault="00C032B2" w:rsidP="00F533F9">
            <w:pPr>
              <w:tabs>
                <w:tab w:val="left" w:pos="288"/>
                <w:tab w:val="left" w:pos="4752"/>
              </w:tabs>
              <w:spacing w:line="240" w:lineRule="exact"/>
              <w:jc w:val="center"/>
              <w:rPr>
                <w:color w:val="000080"/>
                <w:szCs w:val="24"/>
              </w:rPr>
            </w:pPr>
            <w:r>
              <w:rPr>
                <w:color w:val="000080"/>
                <w:szCs w:val="24"/>
              </w:rPr>
              <w:t>20</w:t>
            </w:r>
            <w:r w:rsidR="00182A4C">
              <w:rPr>
                <w:color w:val="000080"/>
                <w:szCs w:val="24"/>
              </w:rPr>
              <w:t>%</w:t>
            </w:r>
          </w:p>
        </w:tc>
      </w:tr>
      <w:tr w:rsidR="004101B2" w:rsidRPr="00533FB5" w:rsidTr="00C032B2">
        <w:tblPrEx>
          <w:tblLook w:val="0000"/>
        </w:tblPrEx>
        <w:trPr>
          <w:gridBefore w:val="1"/>
          <w:wBefore w:w="4590" w:type="dxa"/>
          <w:trHeight w:val="287"/>
        </w:trPr>
        <w:tc>
          <w:tcPr>
            <w:tcW w:w="1706" w:type="dxa"/>
            <w:tcBorders>
              <w:left w:val="single" w:sz="4" w:space="0" w:color="auto"/>
              <w:bottom w:val="single" w:sz="4" w:space="0" w:color="000000"/>
            </w:tcBorders>
            <w:shd w:val="clear" w:color="auto" w:fill="D9D9D9" w:themeFill="background1" w:themeFillShade="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4101B2" w:rsidRPr="005A258C" w:rsidRDefault="00C032B2" w:rsidP="00F533F9">
            <w:pPr>
              <w:tabs>
                <w:tab w:val="left" w:pos="288"/>
                <w:tab w:val="left" w:pos="4752"/>
              </w:tabs>
              <w:spacing w:before="40" w:line="240" w:lineRule="exact"/>
              <w:jc w:val="center"/>
              <w:rPr>
                <w:b/>
                <w:color w:val="000080"/>
                <w:szCs w:val="24"/>
              </w:rPr>
            </w:pPr>
            <w:r>
              <w:rPr>
                <w:b/>
                <w:color w:val="000080"/>
                <w:szCs w:val="24"/>
              </w:rPr>
              <w:t>20</w:t>
            </w:r>
            <w:r w:rsidR="004101B2"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894FA2" w:rsidRDefault="00894FA2">
      <w:pPr>
        <w:rPr>
          <w:color w:val="000080"/>
        </w:rPr>
      </w:pPr>
      <w:r>
        <w:rPr>
          <w:color w:val="000080"/>
        </w:rPr>
        <w:br w:type="page"/>
      </w: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69265A">
        <w:rPr>
          <w:color w:val="000080"/>
        </w:rPr>
        <w:t>0102</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3E0BF6" w:rsidRDefault="003E0BF6">
      <w:pPr>
        <w:rPr>
          <w:color w:val="000080"/>
        </w:rPr>
      </w:pPr>
      <w:r>
        <w:rPr>
          <w:color w:val="000080"/>
        </w:rPr>
        <w:br w:type="page"/>
      </w:r>
    </w:p>
    <w:p w:rsidR="003E0BF6" w:rsidRDefault="003E0BF6" w:rsidP="003E0BF6">
      <w:pPr>
        <w:pStyle w:val="Default"/>
        <w:framePr w:w="19249"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114F20" w:rsidRPr="00D91DA6" w:rsidRDefault="00114F20" w:rsidP="00875F2D">
      <w:pPr>
        <w:tabs>
          <w:tab w:val="left" w:pos="288"/>
          <w:tab w:val="left" w:pos="4752"/>
        </w:tabs>
        <w:spacing w:line="240" w:lineRule="exact"/>
        <w:jc w:val="both"/>
        <w:rPr>
          <w:color w:val="000080"/>
        </w:rPr>
      </w:pPr>
    </w:p>
    <w:sectPr w:rsidR="00114F20" w:rsidRPr="00D91DA6" w:rsidSect="006418C9">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82" w:rsidRDefault="00F97082">
      <w:r>
        <w:separator/>
      </w:r>
    </w:p>
  </w:endnote>
  <w:endnote w:type="continuationSeparator" w:id="0">
    <w:p w:rsidR="00F97082" w:rsidRDefault="00F97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A27F4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A27F40">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3E0BF6">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69265A">
      <w:rPr>
        <w:caps/>
        <w:color w:val="000080"/>
      </w:rPr>
      <w:t>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82" w:rsidRDefault="00F97082">
      <w:r>
        <w:separator/>
      </w:r>
    </w:p>
  </w:footnote>
  <w:footnote w:type="continuationSeparator" w:id="0">
    <w:p w:rsidR="00F97082" w:rsidRDefault="00F97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2605"/>
    <w:multiLevelType w:val="multilevel"/>
    <w:tmpl w:val="7FC2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36975"/>
    <w:multiLevelType w:val="multilevel"/>
    <w:tmpl w:val="E8F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61260"/>
    <w:multiLevelType w:val="multilevel"/>
    <w:tmpl w:val="5B96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246EE"/>
    <w:multiLevelType w:val="multilevel"/>
    <w:tmpl w:val="7318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50361"/>
    <w:multiLevelType w:val="multilevel"/>
    <w:tmpl w:val="830C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111DD"/>
    <w:multiLevelType w:val="multilevel"/>
    <w:tmpl w:val="21D6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1665"/>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23D43"/>
    <w:rsid w:val="000344E6"/>
    <w:rsid w:val="00035C3A"/>
    <w:rsid w:val="000379D0"/>
    <w:rsid w:val="00040FC4"/>
    <w:rsid w:val="000416F8"/>
    <w:rsid w:val="00051622"/>
    <w:rsid w:val="00053D7C"/>
    <w:rsid w:val="0006431E"/>
    <w:rsid w:val="00072433"/>
    <w:rsid w:val="0008708B"/>
    <w:rsid w:val="00092DDC"/>
    <w:rsid w:val="00094E4F"/>
    <w:rsid w:val="000A2BCE"/>
    <w:rsid w:val="000A41E3"/>
    <w:rsid w:val="000A4BBA"/>
    <w:rsid w:val="000A5071"/>
    <w:rsid w:val="000C3C13"/>
    <w:rsid w:val="000C5813"/>
    <w:rsid w:val="000C68D2"/>
    <w:rsid w:val="000C7DE4"/>
    <w:rsid w:val="000D0396"/>
    <w:rsid w:val="000D15E7"/>
    <w:rsid w:val="000D21C7"/>
    <w:rsid w:val="000D248A"/>
    <w:rsid w:val="000D43F9"/>
    <w:rsid w:val="000D4717"/>
    <w:rsid w:val="000D6457"/>
    <w:rsid w:val="000D7D55"/>
    <w:rsid w:val="000E0993"/>
    <w:rsid w:val="000F02BE"/>
    <w:rsid w:val="000F427B"/>
    <w:rsid w:val="00103CCF"/>
    <w:rsid w:val="0010417F"/>
    <w:rsid w:val="001042D2"/>
    <w:rsid w:val="0010530E"/>
    <w:rsid w:val="001103CD"/>
    <w:rsid w:val="00114F20"/>
    <w:rsid w:val="001219DF"/>
    <w:rsid w:val="001231DC"/>
    <w:rsid w:val="001315DD"/>
    <w:rsid w:val="00133F6E"/>
    <w:rsid w:val="00135385"/>
    <w:rsid w:val="001364D1"/>
    <w:rsid w:val="001541C5"/>
    <w:rsid w:val="0015623F"/>
    <w:rsid w:val="00162DCA"/>
    <w:rsid w:val="00177659"/>
    <w:rsid w:val="001779E5"/>
    <w:rsid w:val="00182A4C"/>
    <w:rsid w:val="00183F77"/>
    <w:rsid w:val="00185ECB"/>
    <w:rsid w:val="001914F0"/>
    <w:rsid w:val="0019273F"/>
    <w:rsid w:val="00194930"/>
    <w:rsid w:val="001A7538"/>
    <w:rsid w:val="001B5B59"/>
    <w:rsid w:val="001C181A"/>
    <w:rsid w:val="001C2053"/>
    <w:rsid w:val="001C28D1"/>
    <w:rsid w:val="001C5CFC"/>
    <w:rsid w:val="001C7418"/>
    <w:rsid w:val="001D0051"/>
    <w:rsid w:val="001D2224"/>
    <w:rsid w:val="001D68CF"/>
    <w:rsid w:val="001D6A8C"/>
    <w:rsid w:val="001D7A56"/>
    <w:rsid w:val="001E18E0"/>
    <w:rsid w:val="001E18E2"/>
    <w:rsid w:val="002060B6"/>
    <w:rsid w:val="00216049"/>
    <w:rsid w:val="00217C09"/>
    <w:rsid w:val="00217ED4"/>
    <w:rsid w:val="00225196"/>
    <w:rsid w:val="00225CB4"/>
    <w:rsid w:val="00232C9B"/>
    <w:rsid w:val="00232F09"/>
    <w:rsid w:val="002338CA"/>
    <w:rsid w:val="0024174E"/>
    <w:rsid w:val="0024227D"/>
    <w:rsid w:val="00242990"/>
    <w:rsid w:val="00246860"/>
    <w:rsid w:val="00246DFF"/>
    <w:rsid w:val="00246E89"/>
    <w:rsid w:val="0025183C"/>
    <w:rsid w:val="00252CE3"/>
    <w:rsid w:val="00255049"/>
    <w:rsid w:val="0026318D"/>
    <w:rsid w:val="00270864"/>
    <w:rsid w:val="0027159C"/>
    <w:rsid w:val="00274549"/>
    <w:rsid w:val="00274E46"/>
    <w:rsid w:val="00276C86"/>
    <w:rsid w:val="00281408"/>
    <w:rsid w:val="002859E0"/>
    <w:rsid w:val="00291270"/>
    <w:rsid w:val="002A3237"/>
    <w:rsid w:val="002A72C7"/>
    <w:rsid w:val="002B03B2"/>
    <w:rsid w:val="002B0749"/>
    <w:rsid w:val="002C6E5B"/>
    <w:rsid w:val="002D18B4"/>
    <w:rsid w:val="002E1877"/>
    <w:rsid w:val="002E1C31"/>
    <w:rsid w:val="002E333A"/>
    <w:rsid w:val="002E3474"/>
    <w:rsid w:val="002E7570"/>
    <w:rsid w:val="002E764B"/>
    <w:rsid w:val="002F0E28"/>
    <w:rsid w:val="002F287E"/>
    <w:rsid w:val="002F2D63"/>
    <w:rsid w:val="002F7F81"/>
    <w:rsid w:val="0030678B"/>
    <w:rsid w:val="00310CD7"/>
    <w:rsid w:val="003206E6"/>
    <w:rsid w:val="00323E70"/>
    <w:rsid w:val="003320E8"/>
    <w:rsid w:val="0033555E"/>
    <w:rsid w:val="00337351"/>
    <w:rsid w:val="00341A54"/>
    <w:rsid w:val="00343B2E"/>
    <w:rsid w:val="00351498"/>
    <w:rsid w:val="0035786A"/>
    <w:rsid w:val="0036319E"/>
    <w:rsid w:val="00363362"/>
    <w:rsid w:val="00370C33"/>
    <w:rsid w:val="0037520D"/>
    <w:rsid w:val="0037628C"/>
    <w:rsid w:val="00377BD2"/>
    <w:rsid w:val="00384866"/>
    <w:rsid w:val="003857D4"/>
    <w:rsid w:val="00385D6F"/>
    <w:rsid w:val="00387095"/>
    <w:rsid w:val="00390092"/>
    <w:rsid w:val="00393651"/>
    <w:rsid w:val="003A41BA"/>
    <w:rsid w:val="003A6A99"/>
    <w:rsid w:val="003A73C0"/>
    <w:rsid w:val="003B227A"/>
    <w:rsid w:val="003D2BA3"/>
    <w:rsid w:val="003D7089"/>
    <w:rsid w:val="003D70BD"/>
    <w:rsid w:val="003D7DDB"/>
    <w:rsid w:val="003E02C7"/>
    <w:rsid w:val="003E0543"/>
    <w:rsid w:val="003E0BF6"/>
    <w:rsid w:val="003E31E3"/>
    <w:rsid w:val="003F58B0"/>
    <w:rsid w:val="004007E9"/>
    <w:rsid w:val="00401825"/>
    <w:rsid w:val="00401BBC"/>
    <w:rsid w:val="00403BFB"/>
    <w:rsid w:val="00404B45"/>
    <w:rsid w:val="00406CC5"/>
    <w:rsid w:val="004074A4"/>
    <w:rsid w:val="004101B2"/>
    <w:rsid w:val="004123D7"/>
    <w:rsid w:val="004137D1"/>
    <w:rsid w:val="004172DB"/>
    <w:rsid w:val="00422B75"/>
    <w:rsid w:val="00433F36"/>
    <w:rsid w:val="0043503A"/>
    <w:rsid w:val="0044384F"/>
    <w:rsid w:val="004543BC"/>
    <w:rsid w:val="0045645D"/>
    <w:rsid w:val="004574C6"/>
    <w:rsid w:val="00457BCF"/>
    <w:rsid w:val="004718E7"/>
    <w:rsid w:val="004761CC"/>
    <w:rsid w:val="00481DA1"/>
    <w:rsid w:val="00495350"/>
    <w:rsid w:val="00497E97"/>
    <w:rsid w:val="004A24D2"/>
    <w:rsid w:val="004A4136"/>
    <w:rsid w:val="004A417B"/>
    <w:rsid w:val="004B03F3"/>
    <w:rsid w:val="004B715E"/>
    <w:rsid w:val="004B7169"/>
    <w:rsid w:val="004B79C9"/>
    <w:rsid w:val="004C1FB9"/>
    <w:rsid w:val="004C5E33"/>
    <w:rsid w:val="004C6CDA"/>
    <w:rsid w:val="004D10D4"/>
    <w:rsid w:val="004D6F2B"/>
    <w:rsid w:val="004E0248"/>
    <w:rsid w:val="004E32EA"/>
    <w:rsid w:val="004F3BFA"/>
    <w:rsid w:val="00510588"/>
    <w:rsid w:val="0051146C"/>
    <w:rsid w:val="005222E7"/>
    <w:rsid w:val="00523E04"/>
    <w:rsid w:val="0052590B"/>
    <w:rsid w:val="00526591"/>
    <w:rsid w:val="005350A5"/>
    <w:rsid w:val="00536379"/>
    <w:rsid w:val="00540BEF"/>
    <w:rsid w:val="005436C2"/>
    <w:rsid w:val="00543862"/>
    <w:rsid w:val="0055288D"/>
    <w:rsid w:val="00554E1C"/>
    <w:rsid w:val="00560D57"/>
    <w:rsid w:val="00562A94"/>
    <w:rsid w:val="0057172E"/>
    <w:rsid w:val="00590E54"/>
    <w:rsid w:val="00592754"/>
    <w:rsid w:val="00593043"/>
    <w:rsid w:val="005A258C"/>
    <w:rsid w:val="005A3560"/>
    <w:rsid w:val="005A6C99"/>
    <w:rsid w:val="005B011A"/>
    <w:rsid w:val="005B1D8F"/>
    <w:rsid w:val="005F1115"/>
    <w:rsid w:val="005F27F2"/>
    <w:rsid w:val="005F424D"/>
    <w:rsid w:val="00606BEB"/>
    <w:rsid w:val="00613E26"/>
    <w:rsid w:val="00615641"/>
    <w:rsid w:val="00624D0C"/>
    <w:rsid w:val="006307BA"/>
    <w:rsid w:val="00634C4A"/>
    <w:rsid w:val="006418C9"/>
    <w:rsid w:val="00645046"/>
    <w:rsid w:val="00660674"/>
    <w:rsid w:val="00662F08"/>
    <w:rsid w:val="00663589"/>
    <w:rsid w:val="006646D2"/>
    <w:rsid w:val="00670DDC"/>
    <w:rsid w:val="0067443B"/>
    <w:rsid w:val="0068300A"/>
    <w:rsid w:val="00684E2B"/>
    <w:rsid w:val="00690FDA"/>
    <w:rsid w:val="0069265A"/>
    <w:rsid w:val="00694EEA"/>
    <w:rsid w:val="006955B4"/>
    <w:rsid w:val="00696476"/>
    <w:rsid w:val="006A10FA"/>
    <w:rsid w:val="006A40E6"/>
    <w:rsid w:val="006A5C07"/>
    <w:rsid w:val="006A75FA"/>
    <w:rsid w:val="006B07D5"/>
    <w:rsid w:val="006B1309"/>
    <w:rsid w:val="006B5923"/>
    <w:rsid w:val="006B6C14"/>
    <w:rsid w:val="006C3A68"/>
    <w:rsid w:val="006C6AB1"/>
    <w:rsid w:val="006D2D39"/>
    <w:rsid w:val="006E06D1"/>
    <w:rsid w:val="006E2DC8"/>
    <w:rsid w:val="006E7356"/>
    <w:rsid w:val="006E77C8"/>
    <w:rsid w:val="006F149D"/>
    <w:rsid w:val="006F1A46"/>
    <w:rsid w:val="00706BEF"/>
    <w:rsid w:val="007116BC"/>
    <w:rsid w:val="007165CE"/>
    <w:rsid w:val="00720968"/>
    <w:rsid w:val="00721D12"/>
    <w:rsid w:val="00721F8B"/>
    <w:rsid w:val="00736A49"/>
    <w:rsid w:val="00743C2D"/>
    <w:rsid w:val="00744EBB"/>
    <w:rsid w:val="00746AE2"/>
    <w:rsid w:val="00750C82"/>
    <w:rsid w:val="0076100C"/>
    <w:rsid w:val="007651ED"/>
    <w:rsid w:val="00766C87"/>
    <w:rsid w:val="00781BD4"/>
    <w:rsid w:val="00784832"/>
    <w:rsid w:val="00785D77"/>
    <w:rsid w:val="00791F1E"/>
    <w:rsid w:val="00793DBA"/>
    <w:rsid w:val="00794F3D"/>
    <w:rsid w:val="007A0B39"/>
    <w:rsid w:val="007A14A4"/>
    <w:rsid w:val="007A168F"/>
    <w:rsid w:val="007A28E4"/>
    <w:rsid w:val="007A3BB3"/>
    <w:rsid w:val="007A5AD1"/>
    <w:rsid w:val="007A5B7B"/>
    <w:rsid w:val="007A72E3"/>
    <w:rsid w:val="007B0A06"/>
    <w:rsid w:val="007B5C5C"/>
    <w:rsid w:val="007B7C41"/>
    <w:rsid w:val="007C433E"/>
    <w:rsid w:val="007D0292"/>
    <w:rsid w:val="007D21AC"/>
    <w:rsid w:val="007D568A"/>
    <w:rsid w:val="007D574E"/>
    <w:rsid w:val="007E2046"/>
    <w:rsid w:val="007E4FBB"/>
    <w:rsid w:val="007E55BF"/>
    <w:rsid w:val="007E7B4E"/>
    <w:rsid w:val="007F0CE2"/>
    <w:rsid w:val="007F0EFF"/>
    <w:rsid w:val="007F1375"/>
    <w:rsid w:val="00805AFD"/>
    <w:rsid w:val="00811D5B"/>
    <w:rsid w:val="00812F39"/>
    <w:rsid w:val="00817713"/>
    <w:rsid w:val="00830999"/>
    <w:rsid w:val="00830D5E"/>
    <w:rsid w:val="00830F69"/>
    <w:rsid w:val="00834458"/>
    <w:rsid w:val="00837465"/>
    <w:rsid w:val="00841457"/>
    <w:rsid w:val="0084374E"/>
    <w:rsid w:val="00844842"/>
    <w:rsid w:val="0085206E"/>
    <w:rsid w:val="00852AD4"/>
    <w:rsid w:val="00852BA8"/>
    <w:rsid w:val="00853718"/>
    <w:rsid w:val="008541EF"/>
    <w:rsid w:val="0086162B"/>
    <w:rsid w:val="00865207"/>
    <w:rsid w:val="008656A7"/>
    <w:rsid w:val="00866B68"/>
    <w:rsid w:val="00871262"/>
    <w:rsid w:val="00871D4E"/>
    <w:rsid w:val="00875B51"/>
    <w:rsid w:val="00875F2D"/>
    <w:rsid w:val="008764DC"/>
    <w:rsid w:val="00883930"/>
    <w:rsid w:val="00894FA2"/>
    <w:rsid w:val="00896683"/>
    <w:rsid w:val="008A63A9"/>
    <w:rsid w:val="008B04DB"/>
    <w:rsid w:val="008B5D31"/>
    <w:rsid w:val="008B6705"/>
    <w:rsid w:val="008C261C"/>
    <w:rsid w:val="008D7B07"/>
    <w:rsid w:val="008E2D99"/>
    <w:rsid w:val="008E4A60"/>
    <w:rsid w:val="009026E8"/>
    <w:rsid w:val="009102BF"/>
    <w:rsid w:val="00914ADB"/>
    <w:rsid w:val="00923B25"/>
    <w:rsid w:val="00934627"/>
    <w:rsid w:val="00942645"/>
    <w:rsid w:val="00950A3A"/>
    <w:rsid w:val="0095340A"/>
    <w:rsid w:val="00954581"/>
    <w:rsid w:val="0095466C"/>
    <w:rsid w:val="00960667"/>
    <w:rsid w:val="0096168C"/>
    <w:rsid w:val="00962F2D"/>
    <w:rsid w:val="009672CD"/>
    <w:rsid w:val="009732B8"/>
    <w:rsid w:val="00976869"/>
    <w:rsid w:val="00977740"/>
    <w:rsid w:val="00977CB4"/>
    <w:rsid w:val="00985099"/>
    <w:rsid w:val="009A0DE3"/>
    <w:rsid w:val="009A79BA"/>
    <w:rsid w:val="009B1534"/>
    <w:rsid w:val="009B69D3"/>
    <w:rsid w:val="009B7BA7"/>
    <w:rsid w:val="009C0938"/>
    <w:rsid w:val="009C3F82"/>
    <w:rsid w:val="009C7DF5"/>
    <w:rsid w:val="009D056C"/>
    <w:rsid w:val="009D060F"/>
    <w:rsid w:val="009D1ADE"/>
    <w:rsid w:val="009E1283"/>
    <w:rsid w:val="009E4469"/>
    <w:rsid w:val="00A00D14"/>
    <w:rsid w:val="00A01408"/>
    <w:rsid w:val="00A02457"/>
    <w:rsid w:val="00A0404B"/>
    <w:rsid w:val="00A1105B"/>
    <w:rsid w:val="00A15B6B"/>
    <w:rsid w:val="00A16876"/>
    <w:rsid w:val="00A200AA"/>
    <w:rsid w:val="00A2186F"/>
    <w:rsid w:val="00A2270B"/>
    <w:rsid w:val="00A2496E"/>
    <w:rsid w:val="00A258B7"/>
    <w:rsid w:val="00A27F40"/>
    <w:rsid w:val="00A414A9"/>
    <w:rsid w:val="00A47CF1"/>
    <w:rsid w:val="00A50418"/>
    <w:rsid w:val="00A56D26"/>
    <w:rsid w:val="00A608FB"/>
    <w:rsid w:val="00A65C78"/>
    <w:rsid w:val="00A70E7B"/>
    <w:rsid w:val="00A73B84"/>
    <w:rsid w:val="00A76094"/>
    <w:rsid w:val="00A82C52"/>
    <w:rsid w:val="00A86CB6"/>
    <w:rsid w:val="00A90D55"/>
    <w:rsid w:val="00A961EE"/>
    <w:rsid w:val="00AA04B3"/>
    <w:rsid w:val="00AA493E"/>
    <w:rsid w:val="00AA4CF4"/>
    <w:rsid w:val="00AB1754"/>
    <w:rsid w:val="00AC439D"/>
    <w:rsid w:val="00AD067E"/>
    <w:rsid w:val="00AD246C"/>
    <w:rsid w:val="00AD68C5"/>
    <w:rsid w:val="00AE2D29"/>
    <w:rsid w:val="00AE4624"/>
    <w:rsid w:val="00AE5E14"/>
    <w:rsid w:val="00AF4FA5"/>
    <w:rsid w:val="00B15D30"/>
    <w:rsid w:val="00B23436"/>
    <w:rsid w:val="00B23D67"/>
    <w:rsid w:val="00B32179"/>
    <w:rsid w:val="00B40A3E"/>
    <w:rsid w:val="00B50227"/>
    <w:rsid w:val="00B522CD"/>
    <w:rsid w:val="00B55917"/>
    <w:rsid w:val="00B71503"/>
    <w:rsid w:val="00B72303"/>
    <w:rsid w:val="00B82277"/>
    <w:rsid w:val="00B95833"/>
    <w:rsid w:val="00BA2D98"/>
    <w:rsid w:val="00BA30D1"/>
    <w:rsid w:val="00BA4609"/>
    <w:rsid w:val="00BA5BE2"/>
    <w:rsid w:val="00BA7F46"/>
    <w:rsid w:val="00BB0A0A"/>
    <w:rsid w:val="00BB6064"/>
    <w:rsid w:val="00BC09D1"/>
    <w:rsid w:val="00BD6806"/>
    <w:rsid w:val="00BD7831"/>
    <w:rsid w:val="00BD7C10"/>
    <w:rsid w:val="00BE0DEB"/>
    <w:rsid w:val="00BE2FC1"/>
    <w:rsid w:val="00BE4F76"/>
    <w:rsid w:val="00BE6365"/>
    <w:rsid w:val="00BF0B7F"/>
    <w:rsid w:val="00BF4720"/>
    <w:rsid w:val="00C032B2"/>
    <w:rsid w:val="00C038EC"/>
    <w:rsid w:val="00C13B34"/>
    <w:rsid w:val="00C1713D"/>
    <w:rsid w:val="00C177F1"/>
    <w:rsid w:val="00C25978"/>
    <w:rsid w:val="00C261C6"/>
    <w:rsid w:val="00C30A97"/>
    <w:rsid w:val="00C31DDC"/>
    <w:rsid w:val="00C34326"/>
    <w:rsid w:val="00C36201"/>
    <w:rsid w:val="00C368E8"/>
    <w:rsid w:val="00C42CBA"/>
    <w:rsid w:val="00C430A9"/>
    <w:rsid w:val="00C46E85"/>
    <w:rsid w:val="00C5019E"/>
    <w:rsid w:val="00C51125"/>
    <w:rsid w:val="00C53E8A"/>
    <w:rsid w:val="00C54DF3"/>
    <w:rsid w:val="00C560A7"/>
    <w:rsid w:val="00C56FC8"/>
    <w:rsid w:val="00C62EB2"/>
    <w:rsid w:val="00C71BEC"/>
    <w:rsid w:val="00C80511"/>
    <w:rsid w:val="00C826F5"/>
    <w:rsid w:val="00C83740"/>
    <w:rsid w:val="00C84AD1"/>
    <w:rsid w:val="00C85579"/>
    <w:rsid w:val="00C931FC"/>
    <w:rsid w:val="00C9650E"/>
    <w:rsid w:val="00CA068D"/>
    <w:rsid w:val="00CA282D"/>
    <w:rsid w:val="00CA4670"/>
    <w:rsid w:val="00CA6B1A"/>
    <w:rsid w:val="00CB23DC"/>
    <w:rsid w:val="00CB28E2"/>
    <w:rsid w:val="00CB55D2"/>
    <w:rsid w:val="00CB7FF7"/>
    <w:rsid w:val="00CC19B3"/>
    <w:rsid w:val="00CC2044"/>
    <w:rsid w:val="00CC69EC"/>
    <w:rsid w:val="00CD34C7"/>
    <w:rsid w:val="00CD63C8"/>
    <w:rsid w:val="00CF158D"/>
    <w:rsid w:val="00CF4394"/>
    <w:rsid w:val="00D10203"/>
    <w:rsid w:val="00D14BAE"/>
    <w:rsid w:val="00D1648B"/>
    <w:rsid w:val="00D16819"/>
    <w:rsid w:val="00D20AC0"/>
    <w:rsid w:val="00D336C8"/>
    <w:rsid w:val="00D339E8"/>
    <w:rsid w:val="00D40B1F"/>
    <w:rsid w:val="00D50C8C"/>
    <w:rsid w:val="00D52393"/>
    <w:rsid w:val="00D53F14"/>
    <w:rsid w:val="00D54BE4"/>
    <w:rsid w:val="00D60483"/>
    <w:rsid w:val="00D63577"/>
    <w:rsid w:val="00D74261"/>
    <w:rsid w:val="00D76AB2"/>
    <w:rsid w:val="00D829AD"/>
    <w:rsid w:val="00D82EE2"/>
    <w:rsid w:val="00D87788"/>
    <w:rsid w:val="00D877C8"/>
    <w:rsid w:val="00D910C2"/>
    <w:rsid w:val="00D9168C"/>
    <w:rsid w:val="00D9189B"/>
    <w:rsid w:val="00D91DA6"/>
    <w:rsid w:val="00D972D4"/>
    <w:rsid w:val="00DA195B"/>
    <w:rsid w:val="00DB0015"/>
    <w:rsid w:val="00DB2AAD"/>
    <w:rsid w:val="00DB6365"/>
    <w:rsid w:val="00DC0BF1"/>
    <w:rsid w:val="00DC41C3"/>
    <w:rsid w:val="00DD3593"/>
    <w:rsid w:val="00DE0F29"/>
    <w:rsid w:val="00DE6952"/>
    <w:rsid w:val="00DE7E74"/>
    <w:rsid w:val="00E00A69"/>
    <w:rsid w:val="00E017F0"/>
    <w:rsid w:val="00E041E4"/>
    <w:rsid w:val="00E1085B"/>
    <w:rsid w:val="00E14581"/>
    <w:rsid w:val="00E15539"/>
    <w:rsid w:val="00E16541"/>
    <w:rsid w:val="00E2632B"/>
    <w:rsid w:val="00E405EA"/>
    <w:rsid w:val="00E408B7"/>
    <w:rsid w:val="00E42789"/>
    <w:rsid w:val="00E464F0"/>
    <w:rsid w:val="00E50BEB"/>
    <w:rsid w:val="00E54050"/>
    <w:rsid w:val="00E6092F"/>
    <w:rsid w:val="00E629DA"/>
    <w:rsid w:val="00E738CB"/>
    <w:rsid w:val="00E81C3E"/>
    <w:rsid w:val="00E82B6D"/>
    <w:rsid w:val="00E90E3E"/>
    <w:rsid w:val="00EA1177"/>
    <w:rsid w:val="00EA11B6"/>
    <w:rsid w:val="00EA2DD8"/>
    <w:rsid w:val="00EA681F"/>
    <w:rsid w:val="00EB36FD"/>
    <w:rsid w:val="00EB3823"/>
    <w:rsid w:val="00EB47D8"/>
    <w:rsid w:val="00EB76E4"/>
    <w:rsid w:val="00EC0E65"/>
    <w:rsid w:val="00EC50C9"/>
    <w:rsid w:val="00EC5BB2"/>
    <w:rsid w:val="00ED664B"/>
    <w:rsid w:val="00EE0B44"/>
    <w:rsid w:val="00EE2362"/>
    <w:rsid w:val="00EE5DA0"/>
    <w:rsid w:val="00EF5268"/>
    <w:rsid w:val="00EF608E"/>
    <w:rsid w:val="00F05807"/>
    <w:rsid w:val="00F07052"/>
    <w:rsid w:val="00F0706C"/>
    <w:rsid w:val="00F11EBE"/>
    <w:rsid w:val="00F1516A"/>
    <w:rsid w:val="00F22A26"/>
    <w:rsid w:val="00F24028"/>
    <w:rsid w:val="00F24072"/>
    <w:rsid w:val="00F250FE"/>
    <w:rsid w:val="00F26432"/>
    <w:rsid w:val="00F3197A"/>
    <w:rsid w:val="00F32139"/>
    <w:rsid w:val="00F34E08"/>
    <w:rsid w:val="00F41ADA"/>
    <w:rsid w:val="00F41D91"/>
    <w:rsid w:val="00F42363"/>
    <w:rsid w:val="00F46964"/>
    <w:rsid w:val="00F47250"/>
    <w:rsid w:val="00F5126A"/>
    <w:rsid w:val="00F63E1B"/>
    <w:rsid w:val="00F718A8"/>
    <w:rsid w:val="00F72183"/>
    <w:rsid w:val="00F827D1"/>
    <w:rsid w:val="00F82981"/>
    <w:rsid w:val="00F8311F"/>
    <w:rsid w:val="00F83248"/>
    <w:rsid w:val="00F845A6"/>
    <w:rsid w:val="00F853AE"/>
    <w:rsid w:val="00F90DD5"/>
    <w:rsid w:val="00F93DCC"/>
    <w:rsid w:val="00F9435D"/>
    <w:rsid w:val="00F97082"/>
    <w:rsid w:val="00FB593A"/>
    <w:rsid w:val="00FB6E82"/>
    <w:rsid w:val="00FC4576"/>
    <w:rsid w:val="00FC4B1D"/>
    <w:rsid w:val="00FC7DBC"/>
    <w:rsid w:val="00FD076A"/>
    <w:rsid w:val="00FD1D5A"/>
    <w:rsid w:val="00FD3AEF"/>
    <w:rsid w:val="00FD5059"/>
    <w:rsid w:val="00FD554D"/>
    <w:rsid w:val="00FF0FBE"/>
    <w:rsid w:val="00FF0FF7"/>
    <w:rsid w:val="00FF1924"/>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FF0FBE"/>
    <w:rPr>
      <w:color w:val="008080"/>
      <w:sz w:val="24"/>
    </w:rPr>
  </w:style>
  <w:style w:type="paragraph" w:customStyle="1" w:styleId="Default">
    <w:name w:val="Default"/>
    <w:rsid w:val="003E0BF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CD5A-5650-4BC6-BB53-8ABF3F2E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1740</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10</cp:revision>
  <cp:lastPrinted>2010-03-08T15:58:00Z</cp:lastPrinted>
  <dcterms:created xsi:type="dcterms:W3CDTF">2010-03-04T19:54:00Z</dcterms:created>
  <dcterms:modified xsi:type="dcterms:W3CDTF">2012-01-24T16:55:00Z</dcterms:modified>
</cp:coreProperties>
</file>