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553" w:rsidRPr="009B3815" w:rsidRDefault="00C54553" w:rsidP="00803591">
      <w:pPr>
        <w:tabs>
          <w:tab w:val="left" w:pos="288"/>
          <w:tab w:val="left" w:pos="4752"/>
        </w:tabs>
        <w:spacing w:line="240" w:lineRule="exact"/>
        <w:jc w:val="center"/>
        <w:rPr>
          <w:color w:val="auto"/>
        </w:rPr>
      </w:pPr>
      <w:r w:rsidRPr="009B3815">
        <w:rPr>
          <w:color w:val="auto"/>
        </w:rPr>
        <w:t>RECORD OF PROCEEDINGS</w:t>
      </w:r>
    </w:p>
    <w:p w:rsidR="00C54553" w:rsidRPr="009B3815" w:rsidRDefault="00C54553" w:rsidP="00803591">
      <w:pPr>
        <w:tabs>
          <w:tab w:val="left" w:pos="288"/>
          <w:tab w:val="left" w:pos="4752"/>
        </w:tabs>
        <w:spacing w:line="240" w:lineRule="exact"/>
        <w:jc w:val="center"/>
        <w:rPr>
          <w:color w:val="auto"/>
        </w:rPr>
      </w:pPr>
      <w:r w:rsidRPr="009B3815">
        <w:rPr>
          <w:color w:val="auto"/>
        </w:rPr>
        <w:t>PHYSICAL DISABILITY BOARD OF REVIEW</w:t>
      </w:r>
    </w:p>
    <w:p w:rsidR="00C54553" w:rsidRPr="009B3815" w:rsidRDefault="00C54553" w:rsidP="00C54553">
      <w:pPr>
        <w:tabs>
          <w:tab w:val="left" w:pos="288"/>
          <w:tab w:val="left" w:pos="4752"/>
        </w:tabs>
        <w:spacing w:line="240" w:lineRule="exact"/>
        <w:jc w:val="both"/>
        <w:rPr>
          <w:color w:val="auto"/>
        </w:rPr>
      </w:pPr>
    </w:p>
    <w:p w:rsidR="002D190C" w:rsidRPr="00B866C3" w:rsidRDefault="002D190C" w:rsidP="002D190C">
      <w:pPr>
        <w:tabs>
          <w:tab w:val="left" w:pos="288"/>
          <w:tab w:val="left" w:pos="4752"/>
        </w:tabs>
        <w:spacing w:line="240" w:lineRule="exact"/>
        <w:jc w:val="both"/>
        <w:rPr>
          <w:color w:val="auto"/>
        </w:rPr>
      </w:pPr>
      <w:r w:rsidRPr="00B866C3">
        <w:rPr>
          <w:color w:val="auto"/>
        </w:rPr>
        <w:t>NAME:</w:t>
      </w:r>
      <w:r w:rsidRPr="00B866C3">
        <w:rPr>
          <w:color w:val="auto"/>
        </w:rPr>
        <w:tab/>
      </w:r>
      <w:r w:rsidRPr="00B866C3">
        <w:rPr>
          <w:color w:val="auto"/>
        </w:rPr>
        <w:tab/>
        <w:t>BRANCH OF SERVICE: ARMY</w:t>
      </w:r>
    </w:p>
    <w:p w:rsidR="00B866C3" w:rsidRPr="00B866C3" w:rsidRDefault="002D190C" w:rsidP="002D190C">
      <w:pPr>
        <w:tabs>
          <w:tab w:val="left" w:pos="288"/>
          <w:tab w:val="left" w:pos="4752"/>
        </w:tabs>
        <w:spacing w:line="240" w:lineRule="exact"/>
        <w:jc w:val="both"/>
        <w:rPr>
          <w:color w:val="auto"/>
        </w:rPr>
      </w:pPr>
      <w:r w:rsidRPr="00B866C3">
        <w:rPr>
          <w:color w:val="auto"/>
        </w:rPr>
        <w:t>CASE NUMBER:  PD0900106</w:t>
      </w:r>
      <w:r w:rsidRPr="00B866C3">
        <w:rPr>
          <w:color w:val="auto"/>
        </w:rPr>
        <w:tab/>
      </w:r>
      <w:r w:rsidRPr="00B866C3">
        <w:rPr>
          <w:color w:val="auto"/>
        </w:rPr>
        <w:tab/>
        <w:t>BOARD DATE: 2010</w:t>
      </w:r>
      <w:r w:rsidR="00B866C3" w:rsidRPr="00B866C3">
        <w:rPr>
          <w:color w:val="auto"/>
        </w:rPr>
        <w:t>0804</w:t>
      </w:r>
    </w:p>
    <w:p w:rsidR="002D190C" w:rsidRPr="00B866C3" w:rsidRDefault="002D190C" w:rsidP="002D190C">
      <w:pPr>
        <w:tabs>
          <w:tab w:val="left" w:pos="288"/>
          <w:tab w:val="left" w:pos="4752"/>
        </w:tabs>
        <w:spacing w:line="240" w:lineRule="exact"/>
        <w:jc w:val="both"/>
        <w:rPr>
          <w:color w:val="auto"/>
        </w:rPr>
      </w:pPr>
      <w:r w:rsidRPr="00B866C3">
        <w:rPr>
          <w:color w:val="auto"/>
        </w:rPr>
        <w:t xml:space="preserve">SEPARATION DATE: </w:t>
      </w:r>
      <w:r w:rsidR="009B3815" w:rsidRPr="00B866C3">
        <w:rPr>
          <w:color w:val="auto"/>
        </w:rPr>
        <w:t>20070107</w:t>
      </w:r>
    </w:p>
    <w:p w:rsidR="00540BEF" w:rsidRPr="00B20C00" w:rsidRDefault="00540BEF" w:rsidP="00540BEF">
      <w:pPr>
        <w:tabs>
          <w:tab w:val="left" w:pos="288"/>
          <w:tab w:val="left" w:pos="4752"/>
        </w:tabs>
        <w:spacing w:line="240" w:lineRule="exact"/>
        <w:jc w:val="both"/>
        <w:rPr>
          <w:color w:val="auto"/>
          <w:u w:val="single"/>
        </w:rPr>
      </w:pPr>
      <w:r w:rsidRPr="00B20C00">
        <w:rPr>
          <w:color w:val="auto"/>
          <w:u w:val="single"/>
        </w:rPr>
        <w:t>________________________________________________________________</w:t>
      </w:r>
    </w:p>
    <w:p w:rsidR="00B522CD" w:rsidRPr="00C54553" w:rsidRDefault="00B522CD" w:rsidP="00875F2D">
      <w:pPr>
        <w:tabs>
          <w:tab w:val="left" w:pos="288"/>
          <w:tab w:val="left" w:pos="4752"/>
        </w:tabs>
        <w:spacing w:line="240" w:lineRule="exact"/>
        <w:jc w:val="both"/>
        <w:rPr>
          <w:color w:val="auto"/>
        </w:rPr>
      </w:pPr>
    </w:p>
    <w:p w:rsidR="00410AE7" w:rsidRPr="0087648C" w:rsidRDefault="002C6E5B" w:rsidP="00023910">
      <w:pPr>
        <w:tabs>
          <w:tab w:val="left" w:pos="288"/>
          <w:tab w:val="left" w:pos="4752"/>
        </w:tabs>
        <w:spacing w:line="240" w:lineRule="exact"/>
        <w:jc w:val="both"/>
        <w:rPr>
          <w:color w:val="auto"/>
        </w:rPr>
      </w:pPr>
      <w:r w:rsidRPr="0087648C">
        <w:rPr>
          <w:color w:val="auto"/>
          <w:u w:val="single"/>
        </w:rPr>
        <w:t>SUMMARY OF CASE</w:t>
      </w:r>
      <w:r w:rsidRPr="0087648C">
        <w:rPr>
          <w:color w:val="auto"/>
        </w:rPr>
        <w:t xml:space="preserve">:  </w:t>
      </w:r>
      <w:r w:rsidR="00932586" w:rsidRPr="0087648C">
        <w:rPr>
          <w:color w:val="auto"/>
        </w:rPr>
        <w:t xml:space="preserve">This covered individual (CI) was a </w:t>
      </w:r>
      <w:r w:rsidR="002D190C" w:rsidRPr="0087648C">
        <w:rPr>
          <w:color w:val="auto"/>
        </w:rPr>
        <w:t>SSG (MOS</w:t>
      </w:r>
      <w:r w:rsidR="00410AE7" w:rsidRPr="0087648C">
        <w:rPr>
          <w:color w:val="auto"/>
        </w:rPr>
        <w:t xml:space="preserve"> 11B, Infantry</w:t>
      </w:r>
      <w:r w:rsidR="002D190C" w:rsidRPr="0087648C">
        <w:rPr>
          <w:color w:val="auto"/>
        </w:rPr>
        <w:t xml:space="preserve">) medically separated from the Army Reserve in 2007 after 3.5 years </w:t>
      </w:r>
      <w:r w:rsidR="00043C05" w:rsidRPr="0087648C">
        <w:rPr>
          <w:color w:val="auto"/>
        </w:rPr>
        <w:t xml:space="preserve">active and </w:t>
      </w:r>
      <w:r w:rsidR="00094000" w:rsidRPr="0087648C">
        <w:rPr>
          <w:color w:val="auto"/>
        </w:rPr>
        <w:t xml:space="preserve">more than </w:t>
      </w:r>
      <w:r w:rsidR="00685F6F" w:rsidRPr="0087648C">
        <w:rPr>
          <w:color w:val="auto"/>
        </w:rPr>
        <w:t>11</w:t>
      </w:r>
      <w:r w:rsidR="00043C05" w:rsidRPr="0087648C">
        <w:rPr>
          <w:color w:val="auto"/>
        </w:rPr>
        <w:t xml:space="preserve"> years </w:t>
      </w:r>
      <w:r w:rsidR="002D190C" w:rsidRPr="0087648C">
        <w:rPr>
          <w:color w:val="auto"/>
        </w:rPr>
        <w:t>of combined service</w:t>
      </w:r>
      <w:r w:rsidR="001E0464">
        <w:rPr>
          <w:color w:val="auto"/>
        </w:rPr>
        <w:t>.</w:t>
      </w:r>
      <w:r w:rsidR="002D190C" w:rsidRPr="0087648C">
        <w:rPr>
          <w:color w:val="auto"/>
        </w:rPr>
        <w:t xml:space="preserve">  The medical basis for the separation was Post Traumatic Stress Disorder (PTSD), chronic right shoulder</w:t>
      </w:r>
      <w:r w:rsidR="00720B88" w:rsidRPr="0087648C">
        <w:rPr>
          <w:color w:val="auto"/>
        </w:rPr>
        <w:t xml:space="preserve"> and knee</w:t>
      </w:r>
      <w:r w:rsidR="002D190C" w:rsidRPr="0087648C">
        <w:rPr>
          <w:color w:val="auto"/>
        </w:rPr>
        <w:t xml:space="preserve"> pain, and chronic low back pain (LBP).</w:t>
      </w:r>
      <w:r w:rsidR="006019FE" w:rsidRPr="0087648C">
        <w:rPr>
          <w:color w:val="auto"/>
        </w:rPr>
        <w:t xml:space="preserve">  </w:t>
      </w:r>
      <w:r w:rsidR="00EC593D" w:rsidRPr="0087648C">
        <w:rPr>
          <w:color w:val="auto"/>
        </w:rPr>
        <w:t xml:space="preserve">The CI fell during combat patrol in Iraq and injured his right shoulder, back, neck and right knee in April 2005 with </w:t>
      </w:r>
      <w:r w:rsidR="006019FE" w:rsidRPr="0087648C">
        <w:rPr>
          <w:color w:val="auto"/>
        </w:rPr>
        <w:t xml:space="preserve">subsequent </w:t>
      </w:r>
      <w:r w:rsidR="00EC593D" w:rsidRPr="0087648C">
        <w:rPr>
          <w:color w:val="auto"/>
        </w:rPr>
        <w:t>chronic pain</w:t>
      </w:r>
      <w:r w:rsidR="006019FE" w:rsidRPr="0087648C">
        <w:rPr>
          <w:color w:val="auto"/>
        </w:rPr>
        <w:t xml:space="preserve"> in those areas.</w:t>
      </w:r>
      <w:r w:rsidR="00EC593D" w:rsidRPr="0087648C">
        <w:rPr>
          <w:color w:val="auto"/>
        </w:rPr>
        <w:t xml:space="preserve"> </w:t>
      </w:r>
      <w:r w:rsidR="00892347" w:rsidRPr="0087648C">
        <w:rPr>
          <w:color w:val="auto"/>
        </w:rPr>
        <w:t xml:space="preserve"> He had </w:t>
      </w:r>
      <w:r w:rsidR="006019FE" w:rsidRPr="0087648C">
        <w:rPr>
          <w:color w:val="auto"/>
        </w:rPr>
        <w:t xml:space="preserve">two </w:t>
      </w:r>
      <w:r w:rsidR="00892347" w:rsidRPr="0087648C">
        <w:rPr>
          <w:color w:val="auto"/>
        </w:rPr>
        <w:t xml:space="preserve">right shoulder </w:t>
      </w:r>
      <w:r w:rsidR="006019FE" w:rsidRPr="0087648C">
        <w:rPr>
          <w:color w:val="auto"/>
        </w:rPr>
        <w:t xml:space="preserve">surgeries for a </w:t>
      </w:r>
      <w:r w:rsidR="00892347" w:rsidRPr="0087648C">
        <w:rPr>
          <w:color w:val="auto"/>
        </w:rPr>
        <w:t>rotator cuff tear</w:t>
      </w:r>
      <w:r w:rsidR="00D7439F" w:rsidRPr="0087648C">
        <w:rPr>
          <w:color w:val="auto"/>
        </w:rPr>
        <w:t>, and a noted congenital shoulder defect</w:t>
      </w:r>
      <w:r w:rsidR="005C5346" w:rsidRPr="0087648C">
        <w:rPr>
          <w:color w:val="auto"/>
        </w:rPr>
        <w:t xml:space="preserve">.  </w:t>
      </w:r>
      <w:r w:rsidR="00D7439F" w:rsidRPr="0087648C">
        <w:rPr>
          <w:color w:val="auto"/>
        </w:rPr>
        <w:t>Despite therapies, the s</w:t>
      </w:r>
      <w:r w:rsidR="005C5346" w:rsidRPr="0087648C">
        <w:rPr>
          <w:color w:val="auto"/>
        </w:rPr>
        <w:t xml:space="preserve">houlder pain </w:t>
      </w:r>
      <w:r w:rsidR="00D7439F" w:rsidRPr="0087648C">
        <w:rPr>
          <w:color w:val="auto"/>
        </w:rPr>
        <w:t xml:space="preserve">continued to be duty limiting and </w:t>
      </w:r>
      <w:proofErr w:type="gramStart"/>
      <w:r w:rsidR="005C5346" w:rsidRPr="0087648C">
        <w:rPr>
          <w:color w:val="auto"/>
        </w:rPr>
        <w:t>was</w:t>
      </w:r>
      <w:proofErr w:type="gramEnd"/>
      <w:r w:rsidR="005C5346" w:rsidRPr="0087648C">
        <w:rPr>
          <w:color w:val="auto"/>
        </w:rPr>
        <w:t xml:space="preserve"> noted to interact wi</w:t>
      </w:r>
      <w:r w:rsidR="001E0464">
        <w:rPr>
          <w:color w:val="auto"/>
        </w:rPr>
        <w:t>th his mental health diagnoses.</w:t>
      </w:r>
      <w:r w:rsidR="005C5346" w:rsidRPr="0087648C">
        <w:rPr>
          <w:color w:val="auto"/>
        </w:rPr>
        <w:t xml:space="preserve"> </w:t>
      </w:r>
      <w:r w:rsidR="006019FE" w:rsidRPr="0087648C">
        <w:rPr>
          <w:color w:val="auto"/>
        </w:rPr>
        <w:t xml:space="preserve"> </w:t>
      </w:r>
      <w:r w:rsidR="00D7439F" w:rsidRPr="0087648C">
        <w:rPr>
          <w:color w:val="auto"/>
        </w:rPr>
        <w:t xml:space="preserve">The knee and back pain were duty limiting despite therapy and rehabilitation was complicated by the CI’s shoulder limitations and pain.  </w:t>
      </w:r>
      <w:r w:rsidR="0081719B" w:rsidRPr="0087648C">
        <w:rPr>
          <w:color w:val="auto"/>
        </w:rPr>
        <w:t xml:space="preserve">The CI sought mental health treatment in Jan 2006 with diagnoses leading to PTSD from Criteria </w:t>
      </w:r>
      <w:proofErr w:type="gramStart"/>
      <w:r w:rsidR="0081719B" w:rsidRPr="0087648C">
        <w:rPr>
          <w:color w:val="auto"/>
        </w:rPr>
        <w:t>A</w:t>
      </w:r>
      <w:proofErr w:type="gramEnd"/>
      <w:r w:rsidR="0081719B" w:rsidRPr="0087648C">
        <w:rPr>
          <w:color w:val="auto"/>
        </w:rPr>
        <w:t xml:space="preserve"> stressors from his deployment to Iraq in Feb 05-Jan 06.  He was psychiatrically hospitalized twice</w:t>
      </w:r>
      <w:r w:rsidR="0087648C" w:rsidRPr="0087648C">
        <w:rPr>
          <w:color w:val="auto"/>
        </w:rPr>
        <w:t xml:space="preserve"> [as noted by the Physical Evaluation Board (PEB)]</w:t>
      </w:r>
      <w:r w:rsidR="0081719B" w:rsidRPr="0087648C">
        <w:rPr>
          <w:color w:val="auto"/>
        </w:rPr>
        <w:t xml:space="preserve">.  The second hospitalization was for ‘thoughts of self harm.’  </w:t>
      </w:r>
      <w:r w:rsidR="00D7439F" w:rsidRPr="0087648C">
        <w:rPr>
          <w:color w:val="auto"/>
        </w:rPr>
        <w:t>He had additional mental health diagnoses of M</w:t>
      </w:r>
      <w:r w:rsidR="00410AE7" w:rsidRPr="0087648C">
        <w:rPr>
          <w:color w:val="auto"/>
        </w:rPr>
        <w:t xml:space="preserve">ajor </w:t>
      </w:r>
      <w:r w:rsidR="00D7439F" w:rsidRPr="0087648C">
        <w:rPr>
          <w:color w:val="auto"/>
        </w:rPr>
        <w:t>D</w:t>
      </w:r>
      <w:r w:rsidR="00410AE7" w:rsidRPr="0087648C">
        <w:rPr>
          <w:color w:val="auto"/>
        </w:rPr>
        <w:t xml:space="preserve">epressive </w:t>
      </w:r>
      <w:r w:rsidR="00D7439F" w:rsidRPr="0087648C">
        <w:rPr>
          <w:color w:val="auto"/>
        </w:rPr>
        <w:t>D</w:t>
      </w:r>
      <w:r w:rsidR="00410AE7" w:rsidRPr="0087648C">
        <w:rPr>
          <w:color w:val="auto"/>
        </w:rPr>
        <w:t xml:space="preserve">isorder </w:t>
      </w:r>
      <w:r w:rsidR="00D7439F" w:rsidRPr="0087648C">
        <w:rPr>
          <w:color w:val="auto"/>
        </w:rPr>
        <w:t xml:space="preserve">(MDD) and Psychological Factors Affecting a General Medical Condition.  Despite </w:t>
      </w:r>
      <w:r w:rsidR="00410AE7" w:rsidRPr="0087648C">
        <w:rPr>
          <w:color w:val="auto"/>
        </w:rPr>
        <w:t xml:space="preserve">psychotherapy, medication, and reduction in alcohol use, </w:t>
      </w:r>
      <w:r w:rsidR="00D7439F" w:rsidRPr="0087648C">
        <w:rPr>
          <w:color w:val="auto"/>
        </w:rPr>
        <w:t xml:space="preserve">the CI was </w:t>
      </w:r>
      <w:r w:rsidR="00720B88" w:rsidRPr="0087648C">
        <w:rPr>
          <w:color w:val="auto"/>
        </w:rPr>
        <w:t xml:space="preserve">unable to fulfill the physical </w:t>
      </w:r>
      <w:r w:rsidR="00D7439F" w:rsidRPr="0087648C">
        <w:rPr>
          <w:color w:val="auto"/>
        </w:rPr>
        <w:t xml:space="preserve">and psychiatric </w:t>
      </w:r>
      <w:r w:rsidR="00720B88" w:rsidRPr="0087648C">
        <w:rPr>
          <w:color w:val="auto"/>
        </w:rPr>
        <w:t xml:space="preserve">requirements of his military occupation specialty (MOS), was placed on a permanent </w:t>
      </w:r>
      <w:r w:rsidR="00D7439F" w:rsidRPr="0087648C">
        <w:rPr>
          <w:color w:val="auto"/>
        </w:rPr>
        <w:t xml:space="preserve">U-3, L-3, S-3 </w:t>
      </w:r>
      <w:r w:rsidR="00720B88" w:rsidRPr="0087648C">
        <w:rPr>
          <w:color w:val="auto"/>
        </w:rPr>
        <w:t xml:space="preserve">profile and referred for a Medical Evaluation Board (MEB).  The MEB forwarded the PTSD, </w:t>
      </w:r>
      <w:r w:rsidR="00D7439F" w:rsidRPr="0087648C">
        <w:rPr>
          <w:color w:val="auto"/>
        </w:rPr>
        <w:t>MDD</w:t>
      </w:r>
      <w:r w:rsidR="00720B88" w:rsidRPr="0087648C">
        <w:rPr>
          <w:color w:val="auto"/>
        </w:rPr>
        <w:t xml:space="preserve">, </w:t>
      </w:r>
      <w:r w:rsidR="00081545" w:rsidRPr="0087648C">
        <w:rPr>
          <w:color w:val="auto"/>
        </w:rPr>
        <w:t xml:space="preserve">Psychological Factors Affecting a General Medical Condition, </w:t>
      </w:r>
      <w:r w:rsidR="00720B88" w:rsidRPr="0087648C">
        <w:rPr>
          <w:color w:val="auto"/>
        </w:rPr>
        <w:t xml:space="preserve">Right shoulder pain, LBP, neck pain, and right knee pain conditions to the PEB as medically unacceptable IAW AR 40-501.  </w:t>
      </w:r>
      <w:r w:rsidR="006019FE" w:rsidRPr="0087648C">
        <w:rPr>
          <w:color w:val="auto"/>
        </w:rPr>
        <w:t xml:space="preserve">Hearing loss, Positive PPD (skin test for reactivity to tuberculosis), elevated liver function tests, and trace </w:t>
      </w:r>
      <w:proofErr w:type="spellStart"/>
      <w:r w:rsidR="00311B09" w:rsidRPr="0087648C">
        <w:rPr>
          <w:color w:val="auto"/>
        </w:rPr>
        <w:t>Hematuria</w:t>
      </w:r>
      <w:proofErr w:type="spellEnd"/>
      <w:r w:rsidR="00311B09" w:rsidRPr="0087648C">
        <w:rPr>
          <w:color w:val="auto"/>
        </w:rPr>
        <w:t xml:space="preserve"> (blood </w:t>
      </w:r>
      <w:r w:rsidR="006019FE" w:rsidRPr="0087648C">
        <w:rPr>
          <w:color w:val="auto"/>
        </w:rPr>
        <w:t xml:space="preserve">in </w:t>
      </w:r>
      <w:r w:rsidR="00311B09" w:rsidRPr="0087648C">
        <w:rPr>
          <w:color w:val="auto"/>
        </w:rPr>
        <w:t xml:space="preserve">the urine), all determined to be medically acceptable, were the only other condition forwarded on the DA Form 3947.  </w:t>
      </w:r>
      <w:r w:rsidR="00EC593D" w:rsidRPr="0087648C">
        <w:rPr>
          <w:color w:val="auto"/>
        </w:rPr>
        <w:t xml:space="preserve">The informal PEB adjudicated the PTSD, ‘Chronic Right Shoulder &amp; Knee Pain’ and Chronic LBP as unfitting, rated 10%, 10% and 0% each; with application of </w:t>
      </w:r>
      <w:proofErr w:type="spellStart"/>
      <w:r w:rsidR="00EC593D" w:rsidRPr="0087648C">
        <w:rPr>
          <w:color w:val="auto"/>
        </w:rPr>
        <w:t>DoDI</w:t>
      </w:r>
      <w:proofErr w:type="spellEnd"/>
      <w:r w:rsidR="00EC593D" w:rsidRPr="0087648C">
        <w:rPr>
          <w:color w:val="auto"/>
        </w:rPr>
        <w:t xml:space="preserve"> 1332.39 (E2.A1.5) for PTSD</w:t>
      </w:r>
      <w:r w:rsidR="0087648C">
        <w:rPr>
          <w:color w:val="auto"/>
        </w:rPr>
        <w:t>,</w:t>
      </w:r>
      <w:r w:rsidR="00EC593D" w:rsidRPr="0087648C">
        <w:rPr>
          <w:color w:val="auto"/>
        </w:rPr>
        <w:t xml:space="preserve"> and the US Army Physical Disability Agency (USAPDA) pain policy for the other diagnoses.  The CI did not appeal for a formal PEB and was thus medically separated with a 20% combined disability rating.   </w:t>
      </w:r>
    </w:p>
    <w:p w:rsidR="00B20C00" w:rsidRPr="00B20C00" w:rsidRDefault="00B20C00" w:rsidP="00023910">
      <w:pPr>
        <w:tabs>
          <w:tab w:val="left" w:pos="288"/>
          <w:tab w:val="left" w:pos="4752"/>
        </w:tabs>
        <w:spacing w:line="240" w:lineRule="exact"/>
        <w:jc w:val="both"/>
        <w:rPr>
          <w:color w:val="auto"/>
          <w:u w:val="single"/>
        </w:rPr>
      </w:pPr>
      <w:r w:rsidRPr="00B20C00">
        <w:rPr>
          <w:color w:val="auto"/>
          <w:u w:val="single"/>
        </w:rPr>
        <w:t>________________________________________________________________</w:t>
      </w:r>
    </w:p>
    <w:p w:rsidR="00923B25" w:rsidRPr="0087648C" w:rsidRDefault="00923B25" w:rsidP="00023910">
      <w:pPr>
        <w:tabs>
          <w:tab w:val="left" w:pos="288"/>
          <w:tab w:val="left" w:pos="4752"/>
        </w:tabs>
        <w:spacing w:line="240" w:lineRule="exact"/>
        <w:jc w:val="both"/>
        <w:rPr>
          <w:color w:val="auto"/>
        </w:rPr>
      </w:pPr>
    </w:p>
    <w:p w:rsidR="0087648C" w:rsidRDefault="0087648C">
      <w:pPr>
        <w:rPr>
          <w:color w:val="auto"/>
          <w:u w:val="single"/>
        </w:rPr>
      </w:pPr>
      <w:r>
        <w:rPr>
          <w:color w:val="auto"/>
          <w:u w:val="single"/>
        </w:rPr>
        <w:br w:type="page"/>
      </w:r>
    </w:p>
    <w:p w:rsidR="00043C05" w:rsidRPr="0087648C" w:rsidRDefault="002C6E5B" w:rsidP="00023910">
      <w:pPr>
        <w:tabs>
          <w:tab w:val="left" w:pos="288"/>
          <w:tab w:val="left" w:pos="4752"/>
        </w:tabs>
        <w:spacing w:line="240" w:lineRule="exact"/>
        <w:jc w:val="both"/>
        <w:rPr>
          <w:color w:val="auto"/>
          <w:szCs w:val="24"/>
        </w:rPr>
      </w:pPr>
      <w:r w:rsidRPr="0087648C">
        <w:rPr>
          <w:color w:val="auto"/>
          <w:u w:val="single"/>
        </w:rPr>
        <w:lastRenderedPageBreak/>
        <w:t>CI CONTENTION</w:t>
      </w:r>
      <w:r w:rsidRPr="0087648C">
        <w:rPr>
          <w:color w:val="auto"/>
        </w:rPr>
        <w:t xml:space="preserve">:  </w:t>
      </w:r>
      <w:r w:rsidR="0007609A" w:rsidRPr="0087648C">
        <w:rPr>
          <w:color w:val="auto"/>
        </w:rPr>
        <w:t xml:space="preserve">The CI states: </w:t>
      </w:r>
      <w:r w:rsidR="002D190C" w:rsidRPr="0087648C">
        <w:rPr>
          <w:color w:val="auto"/>
        </w:rPr>
        <w:t xml:space="preserve">‘I disagree with findings by PEB (see attachment)’ and attaches portions of the DES file, </w:t>
      </w:r>
      <w:r w:rsidR="00F35193" w:rsidRPr="0087648C">
        <w:rPr>
          <w:color w:val="auto"/>
        </w:rPr>
        <w:t xml:space="preserve">military </w:t>
      </w:r>
      <w:r w:rsidR="002D190C" w:rsidRPr="0087648C">
        <w:rPr>
          <w:color w:val="auto"/>
        </w:rPr>
        <w:t xml:space="preserve">and VA documents.  Following initial PDBR application, the CI opted into the </w:t>
      </w:r>
      <w:r w:rsidR="00AE6C1A" w:rsidRPr="0087648C">
        <w:rPr>
          <w:i/>
          <w:color w:val="auto"/>
        </w:rPr>
        <w:t>Sabo et al v. United States</w:t>
      </w:r>
      <w:r w:rsidR="00AE6C1A" w:rsidRPr="0087648C">
        <w:rPr>
          <w:color w:val="auto"/>
        </w:rPr>
        <w:t xml:space="preserve"> class action suit.</w:t>
      </w:r>
      <w:r w:rsidR="00043C05" w:rsidRPr="0087648C">
        <w:rPr>
          <w:color w:val="auto"/>
        </w:rPr>
        <w:t xml:space="preserve">  </w:t>
      </w:r>
      <w:r w:rsidR="00043C05" w:rsidRPr="0087648C">
        <w:rPr>
          <w:color w:val="auto"/>
          <w:szCs w:val="24"/>
        </w:rPr>
        <w:t>All service conditions are reviewed by the Board as a matter of policy.</w:t>
      </w:r>
      <w:r w:rsidR="00D17A26" w:rsidRPr="0087648C">
        <w:rPr>
          <w:color w:val="auto"/>
          <w:szCs w:val="24"/>
        </w:rPr>
        <w:t xml:space="preserve">  </w:t>
      </w:r>
    </w:p>
    <w:p w:rsidR="00B20C00" w:rsidRPr="00B20C00" w:rsidRDefault="00B20C00" w:rsidP="00B20C00">
      <w:pPr>
        <w:tabs>
          <w:tab w:val="left" w:pos="288"/>
          <w:tab w:val="left" w:pos="4752"/>
        </w:tabs>
        <w:spacing w:line="240" w:lineRule="exact"/>
        <w:jc w:val="both"/>
        <w:rPr>
          <w:color w:val="auto"/>
          <w:u w:val="single"/>
        </w:rPr>
      </w:pPr>
      <w:r w:rsidRPr="00B20C00">
        <w:rPr>
          <w:color w:val="auto"/>
          <w:u w:val="single"/>
        </w:rPr>
        <w:t>________________________________________________________________</w:t>
      </w:r>
    </w:p>
    <w:p w:rsidR="003D2407" w:rsidRDefault="003D2407" w:rsidP="00875F2D">
      <w:pPr>
        <w:tabs>
          <w:tab w:val="left" w:pos="288"/>
          <w:tab w:val="left" w:pos="4752"/>
        </w:tabs>
        <w:spacing w:line="240" w:lineRule="exact"/>
        <w:jc w:val="both"/>
        <w:rPr>
          <w:rFonts w:ascii="Calibri" w:hAnsi="Calibri"/>
          <w:color w:val="auto"/>
          <w:u w:val="single"/>
        </w:rPr>
      </w:pPr>
    </w:p>
    <w:p w:rsidR="002338CA" w:rsidRPr="0087648C" w:rsidRDefault="002C6E5B" w:rsidP="00EC593D">
      <w:pPr>
        <w:tabs>
          <w:tab w:val="left" w:pos="288"/>
          <w:tab w:val="left" w:pos="4752"/>
        </w:tabs>
        <w:spacing w:line="240" w:lineRule="exact"/>
        <w:rPr>
          <w:color w:val="auto"/>
          <w:u w:val="single"/>
        </w:rPr>
      </w:pPr>
      <w:r w:rsidRPr="0087648C">
        <w:rPr>
          <w:color w:val="auto"/>
          <w:u w:val="single"/>
        </w:rPr>
        <w:t>RATING COMPARISON</w:t>
      </w:r>
      <w:r w:rsidRPr="0087648C">
        <w:rPr>
          <w:color w:val="auto"/>
        </w:rPr>
        <w:t>:</w:t>
      </w:r>
      <w:r w:rsidR="00316C85" w:rsidRPr="0087648C">
        <w:rPr>
          <w:color w:val="auto"/>
        </w:rPr>
        <w:t xml:space="preserve"> </w:t>
      </w:r>
    </w:p>
    <w:p w:rsidR="00F6367C" w:rsidRPr="003D2407" w:rsidRDefault="00F6367C" w:rsidP="00875F2D">
      <w:pPr>
        <w:tabs>
          <w:tab w:val="left" w:pos="288"/>
          <w:tab w:val="left" w:pos="4752"/>
        </w:tabs>
        <w:spacing w:line="240" w:lineRule="exact"/>
        <w:jc w:val="both"/>
        <w:rPr>
          <w:color w:val="auto"/>
        </w:rPr>
      </w:pPr>
    </w:p>
    <w:tbl>
      <w:tblPr>
        <w:tblStyle w:val="TableGrid"/>
        <w:tblW w:w="9270" w:type="dxa"/>
        <w:tblInd w:w="108" w:type="dxa"/>
        <w:tblLayout w:type="fixed"/>
        <w:tblLook w:val="04A0"/>
      </w:tblPr>
      <w:tblGrid>
        <w:gridCol w:w="2160"/>
        <w:gridCol w:w="1080"/>
        <w:gridCol w:w="810"/>
        <w:gridCol w:w="2340"/>
        <w:gridCol w:w="360"/>
        <w:gridCol w:w="90"/>
        <w:gridCol w:w="630"/>
        <w:gridCol w:w="810"/>
        <w:gridCol w:w="990"/>
      </w:tblGrid>
      <w:tr w:rsidR="00684E2B" w:rsidRPr="005B2B6E" w:rsidTr="004069CD">
        <w:trPr>
          <w:trHeight w:val="233"/>
        </w:trPr>
        <w:tc>
          <w:tcPr>
            <w:tcW w:w="4050" w:type="dxa"/>
            <w:gridSpan w:val="3"/>
            <w:tcBorders>
              <w:right w:val="thinThickThinSmallGap" w:sz="24" w:space="0" w:color="auto"/>
            </w:tcBorders>
            <w:shd w:val="clear" w:color="auto" w:fill="DDD9C3" w:themeFill="background2" w:themeFillShade="E6"/>
          </w:tcPr>
          <w:p w:rsidR="00684E2B" w:rsidRPr="00537F12" w:rsidRDefault="00684E2B" w:rsidP="002D190C">
            <w:pPr>
              <w:pStyle w:val="ListParagraph"/>
              <w:spacing w:after="0" w:line="240" w:lineRule="auto"/>
              <w:ind w:left="0"/>
              <w:jc w:val="center"/>
              <w:rPr>
                <w:rFonts w:cs="Times New Roman"/>
                <w:b/>
                <w:sz w:val="20"/>
                <w:szCs w:val="20"/>
              </w:rPr>
            </w:pPr>
            <w:r w:rsidRPr="00537F12">
              <w:rPr>
                <w:rFonts w:cs="Times New Roman"/>
                <w:b/>
                <w:sz w:val="20"/>
                <w:szCs w:val="20"/>
              </w:rPr>
              <w:t>Service PEB</w:t>
            </w:r>
            <w:r w:rsidR="002B2645" w:rsidRPr="00537F12">
              <w:rPr>
                <w:rFonts w:cs="Times New Roman"/>
                <w:b/>
                <w:sz w:val="20"/>
                <w:szCs w:val="20"/>
              </w:rPr>
              <w:t xml:space="preserve"> – Dated </w:t>
            </w:r>
            <w:r w:rsidR="00BF4C3B" w:rsidRPr="00537F12">
              <w:rPr>
                <w:rFonts w:cs="Times New Roman"/>
                <w:b/>
                <w:sz w:val="20"/>
                <w:szCs w:val="20"/>
              </w:rPr>
              <w:t>200</w:t>
            </w:r>
            <w:r w:rsidR="002D190C">
              <w:rPr>
                <w:rFonts w:cs="Times New Roman"/>
                <w:b/>
                <w:sz w:val="20"/>
                <w:szCs w:val="20"/>
              </w:rPr>
              <w:t>61127</w:t>
            </w:r>
          </w:p>
        </w:tc>
        <w:tc>
          <w:tcPr>
            <w:tcW w:w="5220" w:type="dxa"/>
            <w:gridSpan w:val="6"/>
            <w:tcBorders>
              <w:left w:val="thinThickThinSmallGap" w:sz="24" w:space="0" w:color="auto"/>
            </w:tcBorders>
            <w:shd w:val="clear" w:color="auto" w:fill="DDD9C3" w:themeFill="background2" w:themeFillShade="E6"/>
          </w:tcPr>
          <w:p w:rsidR="00684E2B" w:rsidRPr="0087648C" w:rsidRDefault="00684E2B" w:rsidP="0087648C">
            <w:pPr>
              <w:pStyle w:val="ListParagraph"/>
              <w:spacing w:after="0" w:line="240" w:lineRule="auto"/>
              <w:ind w:left="0"/>
              <w:jc w:val="center"/>
              <w:rPr>
                <w:rFonts w:cs="Times New Roman"/>
                <w:b/>
                <w:color w:val="FF0000"/>
                <w:sz w:val="20"/>
                <w:szCs w:val="20"/>
              </w:rPr>
            </w:pPr>
            <w:r w:rsidRPr="0087648C">
              <w:rPr>
                <w:rFonts w:cs="Times New Roman"/>
                <w:b/>
                <w:sz w:val="20"/>
                <w:szCs w:val="20"/>
              </w:rPr>
              <w:t>VA (</w:t>
            </w:r>
            <w:r w:rsidR="000C68F3" w:rsidRPr="0087648C">
              <w:rPr>
                <w:rFonts w:cs="Times New Roman"/>
                <w:b/>
                <w:sz w:val="20"/>
                <w:szCs w:val="20"/>
              </w:rPr>
              <w:t>4</w:t>
            </w:r>
            <w:r w:rsidR="0087648C">
              <w:rPr>
                <w:rFonts w:cs="Times New Roman"/>
                <w:b/>
                <w:sz w:val="20"/>
                <w:szCs w:val="20"/>
              </w:rPr>
              <w:t xml:space="preserve"> &amp; 2</w:t>
            </w:r>
            <w:r w:rsidRPr="0087648C">
              <w:rPr>
                <w:rFonts w:cs="Times New Roman"/>
                <w:b/>
                <w:sz w:val="20"/>
                <w:szCs w:val="20"/>
              </w:rPr>
              <w:t xml:space="preserve"> Mo. after Separation)</w:t>
            </w:r>
            <w:r w:rsidR="000C3C13" w:rsidRPr="0087648C">
              <w:rPr>
                <w:rFonts w:cs="Times New Roman"/>
                <w:b/>
                <w:sz w:val="20"/>
                <w:szCs w:val="20"/>
              </w:rPr>
              <w:t xml:space="preserve"> – All Effective </w:t>
            </w:r>
            <w:r w:rsidR="00236931" w:rsidRPr="0087648C">
              <w:rPr>
                <w:rFonts w:cs="Times New Roman"/>
                <w:b/>
                <w:sz w:val="20"/>
                <w:szCs w:val="20"/>
              </w:rPr>
              <w:t>200</w:t>
            </w:r>
            <w:r w:rsidR="00F35193" w:rsidRPr="0087648C">
              <w:rPr>
                <w:rFonts w:cs="Times New Roman"/>
                <w:b/>
                <w:sz w:val="20"/>
                <w:szCs w:val="20"/>
              </w:rPr>
              <w:t>70108</w:t>
            </w:r>
          </w:p>
        </w:tc>
      </w:tr>
      <w:tr w:rsidR="002B2645" w:rsidRPr="005B2B6E" w:rsidTr="004069CD">
        <w:trPr>
          <w:trHeight w:val="233"/>
        </w:trPr>
        <w:tc>
          <w:tcPr>
            <w:tcW w:w="2160" w:type="dxa"/>
            <w:tcBorders>
              <w:bottom w:val="single" w:sz="4" w:space="0" w:color="000000" w:themeColor="text1"/>
            </w:tcBorders>
            <w:shd w:val="clear" w:color="auto" w:fill="DDD9C3" w:themeFill="background2" w:themeFillShade="E6"/>
          </w:tcPr>
          <w:p w:rsidR="002B2645" w:rsidRPr="00F418C9" w:rsidRDefault="002B2645" w:rsidP="00C76D81">
            <w:pPr>
              <w:pStyle w:val="ListParagraph"/>
              <w:spacing w:after="0" w:line="240" w:lineRule="auto"/>
              <w:ind w:left="0"/>
              <w:jc w:val="center"/>
              <w:rPr>
                <w:rFonts w:cs="Times New Roman"/>
                <w:b/>
                <w:sz w:val="20"/>
                <w:szCs w:val="20"/>
              </w:rPr>
            </w:pPr>
            <w:r w:rsidRPr="00F418C9">
              <w:rPr>
                <w:rFonts w:cs="Times New Roman"/>
                <w:b/>
                <w:sz w:val="20"/>
                <w:szCs w:val="20"/>
              </w:rPr>
              <w:t>Condition</w:t>
            </w:r>
          </w:p>
        </w:tc>
        <w:tc>
          <w:tcPr>
            <w:tcW w:w="1080" w:type="dxa"/>
            <w:tcBorders>
              <w:bottom w:val="single" w:sz="4" w:space="0" w:color="000000" w:themeColor="text1"/>
            </w:tcBorders>
            <w:shd w:val="clear" w:color="auto" w:fill="DDD9C3" w:themeFill="background2" w:themeFillShade="E6"/>
          </w:tcPr>
          <w:p w:rsidR="002B2645" w:rsidRPr="00F418C9" w:rsidRDefault="002B2645" w:rsidP="00C76D81">
            <w:pPr>
              <w:pStyle w:val="ListParagraph"/>
              <w:spacing w:after="0" w:line="240" w:lineRule="auto"/>
              <w:ind w:left="0"/>
              <w:jc w:val="center"/>
              <w:rPr>
                <w:rFonts w:cs="Times New Roman"/>
                <w:b/>
                <w:sz w:val="20"/>
                <w:szCs w:val="20"/>
              </w:rPr>
            </w:pPr>
            <w:r w:rsidRPr="00F418C9">
              <w:rPr>
                <w:rFonts w:cs="Times New Roman"/>
                <w:b/>
                <w:sz w:val="20"/>
                <w:szCs w:val="20"/>
              </w:rPr>
              <w:t>Code</w:t>
            </w:r>
          </w:p>
        </w:tc>
        <w:tc>
          <w:tcPr>
            <w:tcW w:w="810" w:type="dxa"/>
            <w:tcBorders>
              <w:bottom w:val="single" w:sz="4" w:space="0" w:color="000000" w:themeColor="text1"/>
              <w:right w:val="thinThickThinSmallGap" w:sz="24" w:space="0" w:color="auto"/>
            </w:tcBorders>
            <w:shd w:val="clear" w:color="auto" w:fill="DDD9C3" w:themeFill="background2" w:themeFillShade="E6"/>
          </w:tcPr>
          <w:p w:rsidR="002B2645" w:rsidRPr="00F418C9" w:rsidRDefault="002B2645" w:rsidP="00C76D81">
            <w:pPr>
              <w:pStyle w:val="ListParagraph"/>
              <w:spacing w:after="0" w:line="240" w:lineRule="auto"/>
              <w:ind w:left="0"/>
              <w:jc w:val="center"/>
              <w:rPr>
                <w:rFonts w:cs="Times New Roman"/>
                <w:b/>
                <w:sz w:val="20"/>
                <w:szCs w:val="20"/>
              </w:rPr>
            </w:pPr>
            <w:r w:rsidRPr="00F418C9">
              <w:rPr>
                <w:rFonts w:cs="Times New Roman"/>
                <w:b/>
                <w:sz w:val="20"/>
                <w:szCs w:val="20"/>
              </w:rPr>
              <w:t>Rating</w:t>
            </w:r>
          </w:p>
        </w:tc>
        <w:tc>
          <w:tcPr>
            <w:tcW w:w="2700" w:type="dxa"/>
            <w:gridSpan w:val="2"/>
            <w:tcBorders>
              <w:left w:val="thinThickThinSmallGap" w:sz="24" w:space="0" w:color="auto"/>
              <w:bottom w:val="single" w:sz="4" w:space="0" w:color="000000" w:themeColor="text1"/>
            </w:tcBorders>
            <w:shd w:val="clear" w:color="auto" w:fill="DDD9C3" w:themeFill="background2" w:themeFillShade="E6"/>
          </w:tcPr>
          <w:p w:rsidR="002B2645" w:rsidRPr="0087648C" w:rsidRDefault="002B2645" w:rsidP="00C76D81">
            <w:pPr>
              <w:pStyle w:val="ListParagraph"/>
              <w:spacing w:after="0" w:line="240" w:lineRule="auto"/>
              <w:ind w:left="0"/>
              <w:jc w:val="center"/>
              <w:rPr>
                <w:rFonts w:cs="Times New Roman"/>
                <w:b/>
                <w:sz w:val="20"/>
                <w:szCs w:val="20"/>
              </w:rPr>
            </w:pPr>
            <w:r w:rsidRPr="0087648C">
              <w:rPr>
                <w:rFonts w:cs="Times New Roman"/>
                <w:b/>
                <w:sz w:val="20"/>
                <w:szCs w:val="20"/>
              </w:rPr>
              <w:t>Condition</w:t>
            </w:r>
          </w:p>
        </w:tc>
        <w:tc>
          <w:tcPr>
            <w:tcW w:w="720" w:type="dxa"/>
            <w:gridSpan w:val="2"/>
            <w:tcBorders>
              <w:bottom w:val="single" w:sz="4" w:space="0" w:color="000000" w:themeColor="text1"/>
            </w:tcBorders>
            <w:shd w:val="clear" w:color="auto" w:fill="DDD9C3" w:themeFill="background2" w:themeFillShade="E6"/>
          </w:tcPr>
          <w:p w:rsidR="002B2645" w:rsidRPr="0087648C" w:rsidRDefault="002B2645" w:rsidP="00C76D81">
            <w:pPr>
              <w:pStyle w:val="ListParagraph"/>
              <w:spacing w:after="0" w:line="240" w:lineRule="auto"/>
              <w:ind w:left="0"/>
              <w:jc w:val="center"/>
              <w:rPr>
                <w:rFonts w:cs="Times New Roman"/>
                <w:b/>
                <w:sz w:val="20"/>
                <w:szCs w:val="20"/>
              </w:rPr>
            </w:pPr>
            <w:r w:rsidRPr="0087648C">
              <w:rPr>
                <w:rFonts w:cs="Times New Roman"/>
                <w:b/>
                <w:sz w:val="20"/>
                <w:szCs w:val="20"/>
              </w:rPr>
              <w:t>Code</w:t>
            </w:r>
          </w:p>
        </w:tc>
        <w:tc>
          <w:tcPr>
            <w:tcW w:w="810" w:type="dxa"/>
            <w:tcBorders>
              <w:bottom w:val="single" w:sz="4" w:space="0" w:color="000000" w:themeColor="text1"/>
            </w:tcBorders>
            <w:shd w:val="clear" w:color="auto" w:fill="DDD9C3" w:themeFill="background2" w:themeFillShade="E6"/>
          </w:tcPr>
          <w:p w:rsidR="002B2645" w:rsidRPr="0087648C" w:rsidRDefault="002B2645" w:rsidP="00C76D81">
            <w:pPr>
              <w:pStyle w:val="ListParagraph"/>
              <w:spacing w:after="0" w:line="240" w:lineRule="auto"/>
              <w:ind w:left="0"/>
              <w:jc w:val="center"/>
              <w:rPr>
                <w:rFonts w:cs="Times New Roman"/>
                <w:b/>
                <w:sz w:val="20"/>
                <w:szCs w:val="20"/>
              </w:rPr>
            </w:pPr>
            <w:r w:rsidRPr="0087648C">
              <w:rPr>
                <w:rFonts w:cs="Times New Roman"/>
                <w:b/>
                <w:sz w:val="20"/>
                <w:szCs w:val="20"/>
              </w:rPr>
              <w:t>Rating</w:t>
            </w:r>
          </w:p>
        </w:tc>
        <w:tc>
          <w:tcPr>
            <w:tcW w:w="990" w:type="dxa"/>
            <w:tcBorders>
              <w:bottom w:val="single" w:sz="4" w:space="0" w:color="000000" w:themeColor="text1"/>
            </w:tcBorders>
            <w:shd w:val="clear" w:color="auto" w:fill="DDD9C3" w:themeFill="background2" w:themeFillShade="E6"/>
          </w:tcPr>
          <w:p w:rsidR="002B2645" w:rsidRPr="0087648C" w:rsidRDefault="002B2645" w:rsidP="00C76D81">
            <w:pPr>
              <w:pStyle w:val="ListParagraph"/>
              <w:spacing w:after="0" w:line="240" w:lineRule="auto"/>
              <w:ind w:left="0"/>
              <w:jc w:val="center"/>
              <w:rPr>
                <w:rFonts w:cs="Times New Roman"/>
                <w:b/>
                <w:sz w:val="20"/>
                <w:szCs w:val="20"/>
              </w:rPr>
            </w:pPr>
            <w:r w:rsidRPr="0087648C">
              <w:rPr>
                <w:rFonts w:cs="Times New Roman"/>
                <w:b/>
                <w:sz w:val="20"/>
                <w:szCs w:val="20"/>
              </w:rPr>
              <w:t>Exam</w:t>
            </w:r>
          </w:p>
        </w:tc>
      </w:tr>
      <w:tr w:rsidR="001F50E3" w:rsidRPr="005B2B6E" w:rsidTr="0033306C">
        <w:trPr>
          <w:trHeight w:val="152"/>
        </w:trPr>
        <w:tc>
          <w:tcPr>
            <w:tcW w:w="2160" w:type="dxa"/>
            <w:shd w:val="clear" w:color="auto" w:fill="FFFFFF" w:themeFill="background1"/>
          </w:tcPr>
          <w:p w:rsidR="001F50E3" w:rsidRPr="00473D5C" w:rsidRDefault="001F50E3" w:rsidP="00636269">
            <w:pPr>
              <w:pStyle w:val="ListParagraph"/>
              <w:spacing w:after="0" w:line="240" w:lineRule="auto"/>
              <w:ind w:left="0"/>
              <w:rPr>
                <w:rFonts w:cs="Times New Roman"/>
                <w:sz w:val="18"/>
                <w:szCs w:val="18"/>
              </w:rPr>
            </w:pPr>
            <w:r>
              <w:rPr>
                <w:rFonts w:cs="Times New Roman"/>
                <w:sz w:val="18"/>
                <w:szCs w:val="18"/>
              </w:rPr>
              <w:t>PTSD with MDD</w:t>
            </w:r>
          </w:p>
        </w:tc>
        <w:tc>
          <w:tcPr>
            <w:tcW w:w="1080" w:type="dxa"/>
            <w:shd w:val="clear" w:color="auto" w:fill="FFFFFF" w:themeFill="background1"/>
          </w:tcPr>
          <w:p w:rsidR="001F50E3" w:rsidRPr="00473D5C" w:rsidRDefault="001F50E3" w:rsidP="00636269">
            <w:pPr>
              <w:pStyle w:val="ListParagraph"/>
              <w:spacing w:after="0" w:line="240" w:lineRule="auto"/>
              <w:ind w:left="0"/>
              <w:jc w:val="center"/>
              <w:rPr>
                <w:rFonts w:cs="Times New Roman"/>
                <w:sz w:val="18"/>
                <w:szCs w:val="18"/>
              </w:rPr>
            </w:pPr>
            <w:r>
              <w:rPr>
                <w:rFonts w:cs="Times New Roman"/>
                <w:sz w:val="18"/>
                <w:szCs w:val="18"/>
              </w:rPr>
              <w:t>9411</w:t>
            </w:r>
          </w:p>
        </w:tc>
        <w:tc>
          <w:tcPr>
            <w:tcW w:w="810" w:type="dxa"/>
            <w:tcBorders>
              <w:right w:val="thinThickThinSmallGap" w:sz="24" w:space="0" w:color="auto"/>
            </w:tcBorders>
            <w:shd w:val="clear" w:color="auto" w:fill="FFFFFF" w:themeFill="background1"/>
          </w:tcPr>
          <w:p w:rsidR="001F50E3" w:rsidRPr="00473D5C" w:rsidRDefault="001F50E3" w:rsidP="00636269">
            <w:pPr>
              <w:pStyle w:val="ListParagraph"/>
              <w:spacing w:after="0" w:line="240" w:lineRule="auto"/>
              <w:ind w:left="0"/>
              <w:jc w:val="center"/>
              <w:rPr>
                <w:rFonts w:cs="Times New Roman"/>
                <w:sz w:val="18"/>
                <w:szCs w:val="18"/>
              </w:rPr>
            </w:pPr>
            <w:r>
              <w:rPr>
                <w:rFonts w:cs="Times New Roman"/>
                <w:sz w:val="18"/>
                <w:szCs w:val="18"/>
              </w:rPr>
              <w:t>10%</w:t>
            </w:r>
          </w:p>
        </w:tc>
        <w:tc>
          <w:tcPr>
            <w:tcW w:w="2700" w:type="dxa"/>
            <w:gridSpan w:val="2"/>
            <w:vMerge w:val="restart"/>
            <w:tcBorders>
              <w:left w:val="thinThickThinSmallGap" w:sz="24" w:space="0" w:color="auto"/>
            </w:tcBorders>
            <w:shd w:val="clear" w:color="auto" w:fill="FFFFFF" w:themeFill="background1"/>
          </w:tcPr>
          <w:p w:rsidR="001F50E3" w:rsidRPr="0087648C" w:rsidRDefault="001F50E3" w:rsidP="00636269">
            <w:pPr>
              <w:pStyle w:val="ListParagraph"/>
              <w:spacing w:after="0" w:line="240" w:lineRule="auto"/>
              <w:ind w:left="0"/>
              <w:rPr>
                <w:rFonts w:cs="Times New Roman"/>
                <w:sz w:val="18"/>
                <w:szCs w:val="18"/>
              </w:rPr>
            </w:pPr>
            <w:r w:rsidRPr="0087648C">
              <w:rPr>
                <w:rFonts w:cs="Times New Roman"/>
                <w:sz w:val="18"/>
                <w:szCs w:val="18"/>
              </w:rPr>
              <w:t>PTSD</w:t>
            </w:r>
          </w:p>
        </w:tc>
        <w:tc>
          <w:tcPr>
            <w:tcW w:w="720" w:type="dxa"/>
            <w:gridSpan w:val="2"/>
            <w:vMerge w:val="restart"/>
            <w:shd w:val="clear" w:color="auto" w:fill="FFFFFF" w:themeFill="background1"/>
          </w:tcPr>
          <w:p w:rsidR="001F50E3" w:rsidRPr="0087648C" w:rsidRDefault="001F50E3" w:rsidP="00636269">
            <w:pPr>
              <w:pStyle w:val="ListParagraph"/>
              <w:spacing w:after="0" w:line="240" w:lineRule="auto"/>
              <w:ind w:left="0"/>
              <w:jc w:val="center"/>
              <w:rPr>
                <w:rFonts w:cs="Times New Roman"/>
                <w:sz w:val="18"/>
                <w:szCs w:val="18"/>
              </w:rPr>
            </w:pPr>
            <w:r w:rsidRPr="0087648C">
              <w:rPr>
                <w:rFonts w:cs="Times New Roman"/>
                <w:sz w:val="18"/>
                <w:szCs w:val="18"/>
              </w:rPr>
              <w:t>9411</w:t>
            </w:r>
          </w:p>
        </w:tc>
        <w:tc>
          <w:tcPr>
            <w:tcW w:w="810" w:type="dxa"/>
            <w:vMerge w:val="restart"/>
            <w:shd w:val="clear" w:color="auto" w:fill="FFFFFF" w:themeFill="background1"/>
          </w:tcPr>
          <w:p w:rsidR="001F50E3" w:rsidRPr="0087648C" w:rsidRDefault="001F50E3" w:rsidP="00636269">
            <w:pPr>
              <w:pStyle w:val="ListParagraph"/>
              <w:spacing w:after="0" w:line="240" w:lineRule="auto"/>
              <w:ind w:left="0"/>
              <w:jc w:val="center"/>
              <w:rPr>
                <w:rFonts w:cs="Times New Roman"/>
                <w:sz w:val="18"/>
                <w:szCs w:val="18"/>
              </w:rPr>
            </w:pPr>
            <w:r w:rsidRPr="0087648C">
              <w:rPr>
                <w:rFonts w:cs="Times New Roman"/>
                <w:sz w:val="18"/>
                <w:szCs w:val="18"/>
              </w:rPr>
              <w:t>50%</w:t>
            </w:r>
          </w:p>
        </w:tc>
        <w:tc>
          <w:tcPr>
            <w:tcW w:w="990" w:type="dxa"/>
            <w:vMerge w:val="restart"/>
            <w:shd w:val="clear" w:color="auto" w:fill="FFFFFF" w:themeFill="background1"/>
          </w:tcPr>
          <w:p w:rsidR="001F50E3" w:rsidRPr="0087648C" w:rsidRDefault="001F50E3" w:rsidP="00F35193">
            <w:pPr>
              <w:pStyle w:val="ListParagraph"/>
              <w:spacing w:after="0" w:line="240" w:lineRule="auto"/>
              <w:ind w:left="0"/>
              <w:jc w:val="center"/>
              <w:rPr>
                <w:rFonts w:cs="Times New Roman"/>
                <w:sz w:val="18"/>
                <w:szCs w:val="18"/>
              </w:rPr>
            </w:pPr>
            <w:r w:rsidRPr="0087648C">
              <w:rPr>
                <w:rFonts w:cs="Times New Roman"/>
                <w:sz w:val="18"/>
                <w:szCs w:val="18"/>
              </w:rPr>
              <w:t>20070509</w:t>
            </w:r>
          </w:p>
        </w:tc>
      </w:tr>
      <w:tr w:rsidR="001F50E3" w:rsidRPr="005B2B6E" w:rsidTr="0033306C">
        <w:trPr>
          <w:trHeight w:val="152"/>
        </w:trPr>
        <w:tc>
          <w:tcPr>
            <w:tcW w:w="2160" w:type="dxa"/>
            <w:shd w:val="clear" w:color="auto" w:fill="FFFFFF" w:themeFill="background1"/>
          </w:tcPr>
          <w:p w:rsidR="001F50E3" w:rsidRDefault="001F50E3" w:rsidP="00636269">
            <w:pPr>
              <w:pStyle w:val="ListParagraph"/>
              <w:spacing w:after="0" w:line="240" w:lineRule="auto"/>
              <w:ind w:left="0"/>
              <w:rPr>
                <w:rFonts w:cs="Times New Roman"/>
                <w:sz w:val="18"/>
                <w:szCs w:val="18"/>
              </w:rPr>
            </w:pPr>
            <w:r>
              <w:rPr>
                <w:rFonts w:cs="Times New Roman"/>
                <w:sz w:val="18"/>
                <w:szCs w:val="18"/>
              </w:rPr>
              <w:t>Psychological factors …</w:t>
            </w:r>
          </w:p>
        </w:tc>
        <w:tc>
          <w:tcPr>
            <w:tcW w:w="1890" w:type="dxa"/>
            <w:gridSpan w:val="2"/>
            <w:tcBorders>
              <w:right w:val="thinThickThinSmallGap" w:sz="24" w:space="0" w:color="auto"/>
            </w:tcBorders>
            <w:shd w:val="clear" w:color="auto" w:fill="FFFFFF" w:themeFill="background1"/>
          </w:tcPr>
          <w:p w:rsidR="001F50E3" w:rsidRDefault="001F50E3" w:rsidP="00636269">
            <w:pPr>
              <w:pStyle w:val="ListParagraph"/>
              <w:spacing w:after="0" w:line="240" w:lineRule="auto"/>
              <w:ind w:left="0"/>
              <w:jc w:val="center"/>
              <w:rPr>
                <w:rFonts w:cs="Times New Roman"/>
                <w:sz w:val="18"/>
                <w:szCs w:val="18"/>
              </w:rPr>
            </w:pPr>
            <w:r>
              <w:rPr>
                <w:rFonts w:cs="Times New Roman"/>
                <w:sz w:val="18"/>
                <w:szCs w:val="18"/>
              </w:rPr>
              <w:t>Not Unfitting</w:t>
            </w:r>
          </w:p>
        </w:tc>
        <w:tc>
          <w:tcPr>
            <w:tcW w:w="2700" w:type="dxa"/>
            <w:gridSpan w:val="2"/>
            <w:vMerge/>
            <w:tcBorders>
              <w:left w:val="thinThickThinSmallGap" w:sz="24" w:space="0" w:color="auto"/>
            </w:tcBorders>
            <w:shd w:val="clear" w:color="auto" w:fill="FFFFFF" w:themeFill="background1"/>
          </w:tcPr>
          <w:p w:rsidR="001F50E3" w:rsidRDefault="001F50E3" w:rsidP="00636269">
            <w:pPr>
              <w:pStyle w:val="ListParagraph"/>
              <w:spacing w:after="0" w:line="240" w:lineRule="auto"/>
              <w:ind w:left="0"/>
              <w:rPr>
                <w:rFonts w:cs="Times New Roman"/>
                <w:sz w:val="18"/>
                <w:szCs w:val="18"/>
              </w:rPr>
            </w:pPr>
          </w:p>
        </w:tc>
        <w:tc>
          <w:tcPr>
            <w:tcW w:w="720" w:type="dxa"/>
            <w:gridSpan w:val="2"/>
            <w:vMerge/>
            <w:shd w:val="clear" w:color="auto" w:fill="FFFFFF" w:themeFill="background1"/>
          </w:tcPr>
          <w:p w:rsidR="001F50E3" w:rsidRDefault="001F50E3" w:rsidP="00636269">
            <w:pPr>
              <w:pStyle w:val="ListParagraph"/>
              <w:spacing w:after="0" w:line="240" w:lineRule="auto"/>
              <w:ind w:left="0"/>
              <w:jc w:val="center"/>
              <w:rPr>
                <w:rFonts w:cs="Times New Roman"/>
                <w:sz w:val="18"/>
                <w:szCs w:val="18"/>
              </w:rPr>
            </w:pPr>
          </w:p>
        </w:tc>
        <w:tc>
          <w:tcPr>
            <w:tcW w:w="810" w:type="dxa"/>
            <w:vMerge/>
            <w:shd w:val="clear" w:color="auto" w:fill="FFFFFF" w:themeFill="background1"/>
          </w:tcPr>
          <w:p w:rsidR="001F50E3" w:rsidRDefault="001F50E3" w:rsidP="00636269">
            <w:pPr>
              <w:pStyle w:val="ListParagraph"/>
              <w:spacing w:after="0" w:line="240" w:lineRule="auto"/>
              <w:ind w:left="0"/>
              <w:jc w:val="center"/>
              <w:rPr>
                <w:rFonts w:cs="Times New Roman"/>
                <w:sz w:val="18"/>
                <w:szCs w:val="18"/>
              </w:rPr>
            </w:pPr>
          </w:p>
        </w:tc>
        <w:tc>
          <w:tcPr>
            <w:tcW w:w="990" w:type="dxa"/>
            <w:vMerge/>
            <w:shd w:val="clear" w:color="auto" w:fill="FFFFFF" w:themeFill="background1"/>
          </w:tcPr>
          <w:p w:rsidR="001F50E3" w:rsidRDefault="001F50E3" w:rsidP="00F35193">
            <w:pPr>
              <w:pStyle w:val="ListParagraph"/>
              <w:spacing w:after="0" w:line="240" w:lineRule="auto"/>
              <w:ind w:left="0"/>
              <w:jc w:val="center"/>
              <w:rPr>
                <w:rFonts w:cs="Times New Roman"/>
                <w:sz w:val="18"/>
                <w:szCs w:val="18"/>
              </w:rPr>
            </w:pPr>
          </w:p>
        </w:tc>
      </w:tr>
      <w:tr w:rsidR="0016090D" w:rsidRPr="005B2B6E" w:rsidTr="0016090D">
        <w:trPr>
          <w:trHeight w:val="125"/>
        </w:trPr>
        <w:tc>
          <w:tcPr>
            <w:tcW w:w="2160" w:type="dxa"/>
            <w:vMerge w:val="restart"/>
            <w:shd w:val="clear" w:color="auto" w:fill="FFFFFF" w:themeFill="background1"/>
          </w:tcPr>
          <w:p w:rsidR="0016090D" w:rsidRPr="00473D5C" w:rsidRDefault="0016090D" w:rsidP="00892347">
            <w:pPr>
              <w:pStyle w:val="ListParagraph"/>
              <w:spacing w:after="0" w:line="240" w:lineRule="auto"/>
              <w:ind w:left="0"/>
              <w:rPr>
                <w:rFonts w:cs="Times New Roman"/>
                <w:sz w:val="18"/>
                <w:szCs w:val="18"/>
              </w:rPr>
            </w:pPr>
            <w:r>
              <w:rPr>
                <w:rFonts w:cs="Times New Roman"/>
                <w:sz w:val="18"/>
                <w:szCs w:val="18"/>
              </w:rPr>
              <w:t>Right Shoulder &amp;</w:t>
            </w:r>
            <w:r w:rsidR="00892347">
              <w:rPr>
                <w:rFonts w:cs="Times New Roman"/>
                <w:sz w:val="18"/>
                <w:szCs w:val="18"/>
              </w:rPr>
              <w:t xml:space="preserve"> (Right) </w:t>
            </w:r>
            <w:r>
              <w:rPr>
                <w:rFonts w:cs="Times New Roman"/>
                <w:sz w:val="18"/>
                <w:szCs w:val="18"/>
              </w:rPr>
              <w:t>Knee Pain</w:t>
            </w:r>
            <w:r w:rsidR="00892347">
              <w:rPr>
                <w:rFonts w:cs="Times New Roman"/>
                <w:sz w:val="18"/>
                <w:szCs w:val="18"/>
              </w:rPr>
              <w:t xml:space="preserve"> </w:t>
            </w:r>
            <w:r w:rsidR="001F50E3">
              <w:rPr>
                <w:rFonts w:cs="Times New Roman"/>
                <w:sz w:val="18"/>
                <w:szCs w:val="18"/>
              </w:rPr>
              <w:t>…</w:t>
            </w:r>
          </w:p>
        </w:tc>
        <w:tc>
          <w:tcPr>
            <w:tcW w:w="1080" w:type="dxa"/>
            <w:vMerge w:val="restart"/>
            <w:shd w:val="clear" w:color="auto" w:fill="FFFFFF" w:themeFill="background1"/>
          </w:tcPr>
          <w:p w:rsidR="0016090D" w:rsidRPr="00473D5C" w:rsidRDefault="0016090D" w:rsidP="00F35193">
            <w:pPr>
              <w:pStyle w:val="ListParagraph"/>
              <w:spacing w:after="0" w:line="240" w:lineRule="auto"/>
              <w:ind w:left="0"/>
              <w:jc w:val="center"/>
              <w:rPr>
                <w:rFonts w:cs="Times New Roman"/>
                <w:sz w:val="18"/>
                <w:szCs w:val="18"/>
              </w:rPr>
            </w:pPr>
            <w:r>
              <w:rPr>
                <w:rFonts w:cs="Times New Roman"/>
                <w:sz w:val="18"/>
                <w:szCs w:val="18"/>
              </w:rPr>
              <w:t>5099-5003</w:t>
            </w:r>
          </w:p>
        </w:tc>
        <w:tc>
          <w:tcPr>
            <w:tcW w:w="810" w:type="dxa"/>
            <w:vMerge w:val="restart"/>
            <w:tcBorders>
              <w:right w:val="thinThickThinSmallGap" w:sz="24" w:space="0" w:color="auto"/>
            </w:tcBorders>
            <w:shd w:val="clear" w:color="auto" w:fill="FFFFFF" w:themeFill="background1"/>
          </w:tcPr>
          <w:p w:rsidR="0016090D" w:rsidRPr="00473D5C" w:rsidRDefault="0016090D" w:rsidP="00636269">
            <w:pPr>
              <w:pStyle w:val="ListParagraph"/>
              <w:spacing w:after="0" w:line="240" w:lineRule="auto"/>
              <w:ind w:left="0"/>
              <w:jc w:val="center"/>
              <w:rPr>
                <w:rFonts w:cs="Times New Roman"/>
                <w:sz w:val="18"/>
                <w:szCs w:val="18"/>
              </w:rPr>
            </w:pPr>
            <w:r>
              <w:rPr>
                <w:rFonts w:cs="Times New Roman"/>
                <w:sz w:val="18"/>
                <w:szCs w:val="18"/>
              </w:rPr>
              <w:t>10%</w:t>
            </w:r>
          </w:p>
        </w:tc>
        <w:tc>
          <w:tcPr>
            <w:tcW w:w="2340" w:type="dxa"/>
            <w:tcBorders>
              <w:left w:val="thinThickThinSmallGap" w:sz="24" w:space="0" w:color="auto"/>
            </w:tcBorders>
            <w:shd w:val="clear" w:color="auto" w:fill="FFFFFF" w:themeFill="background1"/>
          </w:tcPr>
          <w:p w:rsidR="0016090D" w:rsidRPr="00473D5C" w:rsidRDefault="0016090D" w:rsidP="00636269">
            <w:pPr>
              <w:pStyle w:val="ListParagraph"/>
              <w:spacing w:after="0" w:line="240" w:lineRule="auto"/>
              <w:ind w:left="0"/>
              <w:rPr>
                <w:rFonts w:cs="Times New Roman"/>
                <w:sz w:val="18"/>
                <w:szCs w:val="18"/>
              </w:rPr>
            </w:pPr>
            <w:r w:rsidRPr="00D670D4">
              <w:rPr>
                <w:sz w:val="18"/>
                <w:szCs w:val="18"/>
              </w:rPr>
              <w:t>Right Shoulder</w:t>
            </w:r>
            <w:r>
              <w:rPr>
                <w:sz w:val="18"/>
                <w:szCs w:val="18"/>
              </w:rPr>
              <w:t xml:space="preserve"> …</w:t>
            </w:r>
          </w:p>
        </w:tc>
        <w:tc>
          <w:tcPr>
            <w:tcW w:w="1080" w:type="dxa"/>
            <w:gridSpan w:val="3"/>
            <w:tcBorders>
              <w:right w:val="single" w:sz="4" w:space="0" w:color="auto"/>
            </w:tcBorders>
            <w:shd w:val="clear" w:color="auto" w:fill="FFFFFF" w:themeFill="background1"/>
          </w:tcPr>
          <w:p w:rsidR="0016090D" w:rsidRPr="00473D5C" w:rsidRDefault="0016090D" w:rsidP="00F35193">
            <w:pPr>
              <w:pStyle w:val="ListParagraph"/>
              <w:spacing w:after="0" w:line="240" w:lineRule="auto"/>
              <w:ind w:left="0"/>
              <w:jc w:val="center"/>
              <w:rPr>
                <w:rFonts w:cs="Times New Roman"/>
                <w:sz w:val="18"/>
                <w:szCs w:val="18"/>
              </w:rPr>
            </w:pPr>
            <w:r>
              <w:rPr>
                <w:rFonts w:cs="Times New Roman"/>
                <w:sz w:val="18"/>
                <w:szCs w:val="18"/>
              </w:rPr>
              <w:t>5010-5201</w:t>
            </w:r>
          </w:p>
        </w:tc>
        <w:tc>
          <w:tcPr>
            <w:tcW w:w="810" w:type="dxa"/>
            <w:tcBorders>
              <w:left w:val="single" w:sz="4" w:space="0" w:color="auto"/>
            </w:tcBorders>
            <w:shd w:val="clear" w:color="auto" w:fill="FFFFFF" w:themeFill="background1"/>
          </w:tcPr>
          <w:p w:rsidR="0016090D" w:rsidRPr="00473D5C" w:rsidRDefault="0016090D" w:rsidP="00636269">
            <w:pPr>
              <w:pStyle w:val="ListParagraph"/>
              <w:spacing w:after="0" w:line="240" w:lineRule="auto"/>
              <w:ind w:left="0"/>
              <w:jc w:val="center"/>
              <w:rPr>
                <w:rFonts w:cs="Times New Roman"/>
                <w:sz w:val="18"/>
                <w:szCs w:val="18"/>
              </w:rPr>
            </w:pPr>
            <w:r>
              <w:rPr>
                <w:rFonts w:cs="Times New Roman"/>
                <w:sz w:val="18"/>
                <w:szCs w:val="18"/>
              </w:rPr>
              <w:t>20%</w:t>
            </w:r>
          </w:p>
        </w:tc>
        <w:tc>
          <w:tcPr>
            <w:tcW w:w="990" w:type="dxa"/>
            <w:shd w:val="clear" w:color="auto" w:fill="FFFFFF" w:themeFill="background1"/>
          </w:tcPr>
          <w:p w:rsidR="0016090D" w:rsidRPr="00473D5C" w:rsidRDefault="0016090D" w:rsidP="00F35193">
            <w:pPr>
              <w:pStyle w:val="ListParagraph"/>
              <w:spacing w:after="0" w:line="240" w:lineRule="auto"/>
              <w:ind w:left="0"/>
              <w:jc w:val="center"/>
              <w:rPr>
                <w:rFonts w:cs="Times New Roman"/>
                <w:sz w:val="18"/>
                <w:szCs w:val="18"/>
              </w:rPr>
            </w:pPr>
            <w:r>
              <w:rPr>
                <w:rFonts w:cs="Times New Roman"/>
                <w:sz w:val="18"/>
                <w:szCs w:val="18"/>
              </w:rPr>
              <w:t>20070315</w:t>
            </w:r>
          </w:p>
        </w:tc>
      </w:tr>
      <w:tr w:rsidR="0016090D" w:rsidRPr="005B2B6E" w:rsidTr="0016090D">
        <w:trPr>
          <w:trHeight w:val="125"/>
        </w:trPr>
        <w:tc>
          <w:tcPr>
            <w:tcW w:w="2160" w:type="dxa"/>
            <w:vMerge/>
            <w:shd w:val="clear" w:color="auto" w:fill="FFFFFF" w:themeFill="background1"/>
          </w:tcPr>
          <w:p w:rsidR="0016090D" w:rsidRPr="00473D5C" w:rsidRDefault="0016090D" w:rsidP="00636269">
            <w:pPr>
              <w:pStyle w:val="ListParagraph"/>
              <w:spacing w:after="0" w:line="240" w:lineRule="auto"/>
              <w:ind w:left="0"/>
              <w:rPr>
                <w:rFonts w:cs="Times New Roman"/>
                <w:sz w:val="18"/>
                <w:szCs w:val="18"/>
              </w:rPr>
            </w:pPr>
          </w:p>
        </w:tc>
        <w:tc>
          <w:tcPr>
            <w:tcW w:w="1080" w:type="dxa"/>
            <w:vMerge/>
            <w:shd w:val="clear" w:color="auto" w:fill="FFFFFF" w:themeFill="background1"/>
          </w:tcPr>
          <w:p w:rsidR="0016090D" w:rsidRPr="00473D5C" w:rsidRDefault="0016090D" w:rsidP="00636269">
            <w:pPr>
              <w:pStyle w:val="ListParagraph"/>
              <w:spacing w:after="0" w:line="240" w:lineRule="auto"/>
              <w:ind w:left="0"/>
              <w:jc w:val="center"/>
              <w:rPr>
                <w:rFonts w:cs="Times New Roman"/>
                <w:sz w:val="18"/>
                <w:szCs w:val="18"/>
              </w:rPr>
            </w:pPr>
          </w:p>
        </w:tc>
        <w:tc>
          <w:tcPr>
            <w:tcW w:w="810" w:type="dxa"/>
            <w:vMerge/>
            <w:tcBorders>
              <w:right w:val="thinThickThinSmallGap" w:sz="24" w:space="0" w:color="auto"/>
            </w:tcBorders>
            <w:shd w:val="clear" w:color="auto" w:fill="FFFFFF" w:themeFill="background1"/>
          </w:tcPr>
          <w:p w:rsidR="0016090D" w:rsidRPr="00473D5C" w:rsidRDefault="0016090D" w:rsidP="00636269">
            <w:pPr>
              <w:pStyle w:val="ListParagraph"/>
              <w:spacing w:after="0" w:line="240" w:lineRule="auto"/>
              <w:ind w:left="0"/>
              <w:jc w:val="center"/>
              <w:rPr>
                <w:rFonts w:cs="Times New Roman"/>
                <w:sz w:val="18"/>
                <w:szCs w:val="18"/>
              </w:rPr>
            </w:pPr>
          </w:p>
        </w:tc>
        <w:tc>
          <w:tcPr>
            <w:tcW w:w="2340" w:type="dxa"/>
            <w:tcBorders>
              <w:left w:val="thinThickThinSmallGap" w:sz="24" w:space="0" w:color="auto"/>
            </w:tcBorders>
            <w:shd w:val="clear" w:color="auto" w:fill="FFFFFF" w:themeFill="background1"/>
          </w:tcPr>
          <w:p w:rsidR="0016090D" w:rsidRPr="00D670D4" w:rsidRDefault="0016090D" w:rsidP="00636269">
            <w:pPr>
              <w:pStyle w:val="ListParagraph"/>
              <w:spacing w:after="0" w:line="240" w:lineRule="auto"/>
              <w:ind w:left="0"/>
              <w:rPr>
                <w:rFonts w:cs="Times New Roman"/>
                <w:sz w:val="18"/>
                <w:szCs w:val="18"/>
              </w:rPr>
            </w:pPr>
            <w:r w:rsidRPr="00D670D4">
              <w:rPr>
                <w:sz w:val="18"/>
                <w:szCs w:val="18"/>
              </w:rPr>
              <w:t>Right Knee</w:t>
            </w:r>
            <w:r>
              <w:rPr>
                <w:sz w:val="18"/>
                <w:szCs w:val="18"/>
              </w:rPr>
              <w:t xml:space="preserve"> …</w:t>
            </w:r>
          </w:p>
        </w:tc>
        <w:tc>
          <w:tcPr>
            <w:tcW w:w="1080" w:type="dxa"/>
            <w:gridSpan w:val="3"/>
            <w:tcBorders>
              <w:right w:val="single" w:sz="4" w:space="0" w:color="auto"/>
            </w:tcBorders>
            <w:shd w:val="clear" w:color="auto" w:fill="FFFFFF" w:themeFill="background1"/>
          </w:tcPr>
          <w:p w:rsidR="0016090D" w:rsidRPr="00473D5C" w:rsidRDefault="0016090D" w:rsidP="00F35193">
            <w:pPr>
              <w:pStyle w:val="ListParagraph"/>
              <w:spacing w:after="0" w:line="240" w:lineRule="auto"/>
              <w:ind w:left="0"/>
              <w:jc w:val="center"/>
              <w:rPr>
                <w:rFonts w:cs="Times New Roman"/>
                <w:sz w:val="18"/>
                <w:szCs w:val="18"/>
              </w:rPr>
            </w:pPr>
            <w:r>
              <w:rPr>
                <w:rFonts w:cs="Times New Roman"/>
                <w:sz w:val="18"/>
                <w:szCs w:val="18"/>
              </w:rPr>
              <w:t>5010-5260</w:t>
            </w:r>
          </w:p>
        </w:tc>
        <w:tc>
          <w:tcPr>
            <w:tcW w:w="810" w:type="dxa"/>
            <w:tcBorders>
              <w:left w:val="single" w:sz="4" w:space="0" w:color="auto"/>
            </w:tcBorders>
            <w:shd w:val="clear" w:color="auto" w:fill="FFFFFF" w:themeFill="background1"/>
          </w:tcPr>
          <w:p w:rsidR="0016090D" w:rsidRPr="00473D5C" w:rsidRDefault="0016090D" w:rsidP="00636269">
            <w:pPr>
              <w:pStyle w:val="ListParagraph"/>
              <w:spacing w:after="0" w:line="240" w:lineRule="auto"/>
              <w:ind w:left="0"/>
              <w:jc w:val="center"/>
              <w:rPr>
                <w:rFonts w:cs="Times New Roman"/>
                <w:sz w:val="18"/>
                <w:szCs w:val="18"/>
              </w:rPr>
            </w:pPr>
            <w:r>
              <w:rPr>
                <w:rFonts w:cs="Times New Roman"/>
                <w:sz w:val="18"/>
                <w:szCs w:val="18"/>
              </w:rPr>
              <w:t>10%</w:t>
            </w:r>
          </w:p>
        </w:tc>
        <w:tc>
          <w:tcPr>
            <w:tcW w:w="990" w:type="dxa"/>
            <w:shd w:val="clear" w:color="auto" w:fill="FFFFFF" w:themeFill="background1"/>
          </w:tcPr>
          <w:p w:rsidR="0016090D" w:rsidRPr="005F636D" w:rsidRDefault="0016090D" w:rsidP="00F35193">
            <w:pPr>
              <w:jc w:val="center"/>
              <w:rPr>
                <w:color w:val="auto"/>
              </w:rPr>
            </w:pPr>
            <w:r w:rsidRPr="005F636D">
              <w:rPr>
                <w:rFonts w:cs="Times New Roman"/>
                <w:color w:val="auto"/>
                <w:sz w:val="18"/>
                <w:szCs w:val="18"/>
              </w:rPr>
              <w:t>20070315</w:t>
            </w:r>
          </w:p>
        </w:tc>
      </w:tr>
      <w:tr w:rsidR="0016090D" w:rsidRPr="005B2B6E" w:rsidTr="0016090D">
        <w:trPr>
          <w:trHeight w:val="125"/>
        </w:trPr>
        <w:tc>
          <w:tcPr>
            <w:tcW w:w="2160" w:type="dxa"/>
            <w:shd w:val="clear" w:color="auto" w:fill="FFFFFF" w:themeFill="background1"/>
          </w:tcPr>
          <w:p w:rsidR="0016090D" w:rsidRPr="00473D5C" w:rsidRDefault="0016090D" w:rsidP="00636269">
            <w:pPr>
              <w:pStyle w:val="ListParagraph"/>
              <w:spacing w:after="0" w:line="240" w:lineRule="auto"/>
              <w:ind w:left="0"/>
              <w:rPr>
                <w:rFonts w:cs="Times New Roman"/>
                <w:sz w:val="18"/>
                <w:szCs w:val="18"/>
              </w:rPr>
            </w:pPr>
            <w:r>
              <w:rPr>
                <w:rFonts w:cs="Times New Roman"/>
                <w:sz w:val="18"/>
                <w:szCs w:val="18"/>
              </w:rPr>
              <w:t>Low Back Pain</w:t>
            </w:r>
            <w:r w:rsidR="001F50E3">
              <w:rPr>
                <w:rFonts w:cs="Times New Roman"/>
                <w:sz w:val="18"/>
                <w:szCs w:val="18"/>
              </w:rPr>
              <w:t xml:space="preserve"> …</w:t>
            </w:r>
          </w:p>
        </w:tc>
        <w:tc>
          <w:tcPr>
            <w:tcW w:w="1080" w:type="dxa"/>
            <w:shd w:val="clear" w:color="auto" w:fill="FFFFFF" w:themeFill="background1"/>
          </w:tcPr>
          <w:p w:rsidR="0016090D" w:rsidRPr="00473D5C" w:rsidRDefault="0016090D" w:rsidP="00F35193">
            <w:pPr>
              <w:pStyle w:val="ListParagraph"/>
              <w:spacing w:after="0" w:line="240" w:lineRule="auto"/>
              <w:ind w:left="0"/>
              <w:jc w:val="center"/>
              <w:rPr>
                <w:rFonts w:cs="Times New Roman"/>
                <w:sz w:val="18"/>
                <w:szCs w:val="18"/>
              </w:rPr>
            </w:pPr>
            <w:r>
              <w:rPr>
                <w:rFonts w:cs="Times New Roman"/>
                <w:sz w:val="18"/>
                <w:szCs w:val="18"/>
              </w:rPr>
              <w:t>5299-5237</w:t>
            </w:r>
          </w:p>
        </w:tc>
        <w:tc>
          <w:tcPr>
            <w:tcW w:w="810" w:type="dxa"/>
            <w:tcBorders>
              <w:right w:val="thinThickThinSmallGap" w:sz="24" w:space="0" w:color="auto"/>
            </w:tcBorders>
            <w:shd w:val="clear" w:color="auto" w:fill="FFFFFF" w:themeFill="background1"/>
          </w:tcPr>
          <w:p w:rsidR="0016090D" w:rsidRPr="00473D5C" w:rsidRDefault="0016090D" w:rsidP="00636269">
            <w:pPr>
              <w:pStyle w:val="ListParagraph"/>
              <w:spacing w:after="0" w:line="240" w:lineRule="auto"/>
              <w:ind w:left="0"/>
              <w:jc w:val="center"/>
              <w:rPr>
                <w:rFonts w:cs="Times New Roman"/>
                <w:sz w:val="18"/>
                <w:szCs w:val="18"/>
              </w:rPr>
            </w:pPr>
            <w:r>
              <w:rPr>
                <w:rFonts w:cs="Times New Roman"/>
                <w:sz w:val="18"/>
                <w:szCs w:val="18"/>
              </w:rPr>
              <w:t>0%</w:t>
            </w:r>
          </w:p>
        </w:tc>
        <w:tc>
          <w:tcPr>
            <w:tcW w:w="2340" w:type="dxa"/>
            <w:tcBorders>
              <w:left w:val="thinThickThinSmallGap" w:sz="24" w:space="0" w:color="auto"/>
            </w:tcBorders>
            <w:shd w:val="clear" w:color="auto" w:fill="FFFFFF" w:themeFill="background1"/>
          </w:tcPr>
          <w:p w:rsidR="0016090D" w:rsidRPr="00674A4F" w:rsidRDefault="0016090D" w:rsidP="00636269">
            <w:pPr>
              <w:pStyle w:val="ListParagraph"/>
              <w:spacing w:after="0" w:line="240" w:lineRule="auto"/>
              <w:ind w:left="0"/>
              <w:rPr>
                <w:rFonts w:cs="Times New Roman"/>
                <w:sz w:val="18"/>
                <w:szCs w:val="18"/>
              </w:rPr>
            </w:pPr>
            <w:r w:rsidRPr="00674A4F">
              <w:rPr>
                <w:sz w:val="18"/>
                <w:szCs w:val="18"/>
              </w:rPr>
              <w:t>Lumbar Spine</w:t>
            </w:r>
            <w:r>
              <w:rPr>
                <w:sz w:val="18"/>
                <w:szCs w:val="18"/>
              </w:rPr>
              <w:t xml:space="preserve"> …</w:t>
            </w:r>
          </w:p>
        </w:tc>
        <w:tc>
          <w:tcPr>
            <w:tcW w:w="1080" w:type="dxa"/>
            <w:gridSpan w:val="3"/>
            <w:tcBorders>
              <w:right w:val="single" w:sz="4" w:space="0" w:color="auto"/>
            </w:tcBorders>
            <w:shd w:val="clear" w:color="auto" w:fill="FFFFFF" w:themeFill="background1"/>
          </w:tcPr>
          <w:p w:rsidR="0016090D" w:rsidRPr="00473D5C" w:rsidRDefault="0016090D" w:rsidP="00F35193">
            <w:pPr>
              <w:pStyle w:val="ListParagraph"/>
              <w:spacing w:after="0" w:line="240" w:lineRule="auto"/>
              <w:ind w:left="0"/>
              <w:jc w:val="center"/>
              <w:rPr>
                <w:rFonts w:cs="Times New Roman"/>
                <w:sz w:val="18"/>
                <w:szCs w:val="18"/>
              </w:rPr>
            </w:pPr>
            <w:r>
              <w:rPr>
                <w:rFonts w:cs="Times New Roman"/>
                <w:sz w:val="18"/>
                <w:szCs w:val="18"/>
              </w:rPr>
              <w:t>5010-5237</w:t>
            </w:r>
          </w:p>
        </w:tc>
        <w:tc>
          <w:tcPr>
            <w:tcW w:w="810" w:type="dxa"/>
            <w:tcBorders>
              <w:left w:val="single" w:sz="4" w:space="0" w:color="auto"/>
            </w:tcBorders>
            <w:shd w:val="clear" w:color="auto" w:fill="FFFFFF" w:themeFill="background1"/>
          </w:tcPr>
          <w:p w:rsidR="0016090D" w:rsidRPr="00473D5C" w:rsidRDefault="0016090D" w:rsidP="0016090D">
            <w:pPr>
              <w:pStyle w:val="ListParagraph"/>
              <w:tabs>
                <w:tab w:val="center" w:pos="297"/>
              </w:tabs>
              <w:spacing w:after="0" w:line="240" w:lineRule="auto"/>
              <w:ind w:left="0"/>
              <w:rPr>
                <w:rFonts w:cs="Times New Roman"/>
                <w:sz w:val="18"/>
                <w:szCs w:val="18"/>
              </w:rPr>
            </w:pPr>
            <w:r>
              <w:rPr>
                <w:rFonts w:cs="Times New Roman"/>
                <w:sz w:val="18"/>
                <w:szCs w:val="18"/>
              </w:rPr>
              <w:tab/>
              <w:t>20%</w:t>
            </w:r>
          </w:p>
        </w:tc>
        <w:tc>
          <w:tcPr>
            <w:tcW w:w="990" w:type="dxa"/>
            <w:shd w:val="clear" w:color="auto" w:fill="FFFFFF" w:themeFill="background1"/>
          </w:tcPr>
          <w:p w:rsidR="0016090D" w:rsidRPr="00473D5C" w:rsidRDefault="0016090D" w:rsidP="00F35193">
            <w:pPr>
              <w:pStyle w:val="ListParagraph"/>
              <w:spacing w:after="0" w:line="240" w:lineRule="auto"/>
              <w:ind w:left="0"/>
              <w:jc w:val="center"/>
              <w:rPr>
                <w:rFonts w:cs="Times New Roman"/>
                <w:sz w:val="18"/>
                <w:szCs w:val="18"/>
              </w:rPr>
            </w:pPr>
            <w:r w:rsidRPr="005F636D">
              <w:rPr>
                <w:rFonts w:cs="Times New Roman"/>
                <w:sz w:val="18"/>
                <w:szCs w:val="18"/>
              </w:rPr>
              <w:t>20070315</w:t>
            </w:r>
          </w:p>
        </w:tc>
      </w:tr>
      <w:tr w:rsidR="001F50E3" w:rsidRPr="005B2B6E" w:rsidTr="0003399C">
        <w:trPr>
          <w:trHeight w:val="125"/>
        </w:trPr>
        <w:tc>
          <w:tcPr>
            <w:tcW w:w="2160" w:type="dxa"/>
            <w:shd w:val="clear" w:color="auto" w:fill="FFFFFF" w:themeFill="background1"/>
          </w:tcPr>
          <w:p w:rsidR="001F50E3" w:rsidRDefault="001F50E3" w:rsidP="00636269">
            <w:pPr>
              <w:pStyle w:val="ListParagraph"/>
              <w:spacing w:after="0" w:line="240" w:lineRule="auto"/>
              <w:ind w:left="0"/>
              <w:rPr>
                <w:rFonts w:cs="Times New Roman"/>
                <w:sz w:val="18"/>
                <w:szCs w:val="18"/>
              </w:rPr>
            </w:pPr>
            <w:r>
              <w:rPr>
                <w:rFonts w:cs="Times New Roman"/>
                <w:sz w:val="18"/>
                <w:szCs w:val="18"/>
              </w:rPr>
              <w:t>Neck Pain</w:t>
            </w:r>
          </w:p>
        </w:tc>
        <w:tc>
          <w:tcPr>
            <w:tcW w:w="1890" w:type="dxa"/>
            <w:gridSpan w:val="2"/>
            <w:tcBorders>
              <w:right w:val="thinThickThinSmallGap" w:sz="24" w:space="0" w:color="auto"/>
            </w:tcBorders>
            <w:shd w:val="clear" w:color="auto" w:fill="FFFFFF" w:themeFill="background1"/>
          </w:tcPr>
          <w:p w:rsidR="001F50E3" w:rsidRDefault="001F50E3" w:rsidP="00636269">
            <w:pPr>
              <w:pStyle w:val="ListParagraph"/>
              <w:spacing w:after="0" w:line="240" w:lineRule="auto"/>
              <w:ind w:left="0"/>
              <w:jc w:val="center"/>
              <w:rPr>
                <w:rFonts w:cs="Times New Roman"/>
                <w:sz w:val="18"/>
                <w:szCs w:val="18"/>
              </w:rPr>
            </w:pPr>
            <w:r>
              <w:rPr>
                <w:rFonts w:cs="Times New Roman"/>
                <w:sz w:val="18"/>
                <w:szCs w:val="18"/>
              </w:rPr>
              <w:t>Not Unfitting</w:t>
            </w:r>
          </w:p>
        </w:tc>
        <w:tc>
          <w:tcPr>
            <w:tcW w:w="2340" w:type="dxa"/>
            <w:tcBorders>
              <w:left w:val="thinThickThinSmallGap" w:sz="24" w:space="0" w:color="auto"/>
            </w:tcBorders>
            <w:shd w:val="clear" w:color="auto" w:fill="FFFFFF" w:themeFill="background1"/>
          </w:tcPr>
          <w:p w:rsidR="001F50E3" w:rsidRPr="00674A4F" w:rsidRDefault="001F50E3" w:rsidP="00B815C0">
            <w:pPr>
              <w:pStyle w:val="ListParagraph"/>
              <w:spacing w:after="0" w:line="240" w:lineRule="auto"/>
              <w:ind w:left="0"/>
              <w:rPr>
                <w:rFonts w:cs="Times New Roman"/>
                <w:sz w:val="18"/>
                <w:szCs w:val="18"/>
              </w:rPr>
            </w:pPr>
            <w:r w:rsidRPr="00674A4F">
              <w:rPr>
                <w:sz w:val="18"/>
                <w:szCs w:val="18"/>
              </w:rPr>
              <w:t>Cervical Spine</w:t>
            </w:r>
            <w:r>
              <w:rPr>
                <w:sz w:val="18"/>
                <w:szCs w:val="18"/>
              </w:rPr>
              <w:t xml:space="preserve"> …</w:t>
            </w:r>
          </w:p>
        </w:tc>
        <w:tc>
          <w:tcPr>
            <w:tcW w:w="1080" w:type="dxa"/>
            <w:gridSpan w:val="3"/>
            <w:tcBorders>
              <w:right w:val="single" w:sz="4" w:space="0" w:color="auto"/>
            </w:tcBorders>
            <w:shd w:val="clear" w:color="auto" w:fill="FFFFFF" w:themeFill="background1"/>
          </w:tcPr>
          <w:p w:rsidR="001F50E3" w:rsidRPr="00473D5C" w:rsidRDefault="001F50E3" w:rsidP="00B815C0">
            <w:pPr>
              <w:pStyle w:val="ListParagraph"/>
              <w:spacing w:after="0" w:line="240" w:lineRule="auto"/>
              <w:ind w:left="0"/>
              <w:jc w:val="center"/>
              <w:rPr>
                <w:rFonts w:cs="Times New Roman"/>
                <w:sz w:val="18"/>
                <w:szCs w:val="18"/>
              </w:rPr>
            </w:pPr>
            <w:r>
              <w:rPr>
                <w:rFonts w:cs="Times New Roman"/>
                <w:sz w:val="18"/>
                <w:szCs w:val="18"/>
              </w:rPr>
              <w:t>5010-5237</w:t>
            </w:r>
          </w:p>
        </w:tc>
        <w:tc>
          <w:tcPr>
            <w:tcW w:w="810" w:type="dxa"/>
            <w:tcBorders>
              <w:left w:val="single" w:sz="4" w:space="0" w:color="auto"/>
            </w:tcBorders>
            <w:shd w:val="clear" w:color="auto" w:fill="FFFFFF" w:themeFill="background1"/>
          </w:tcPr>
          <w:p w:rsidR="001F50E3" w:rsidRPr="00473D5C" w:rsidRDefault="001F50E3" w:rsidP="00B815C0">
            <w:pPr>
              <w:pStyle w:val="ListParagraph"/>
              <w:spacing w:after="0" w:line="240" w:lineRule="auto"/>
              <w:ind w:left="0"/>
              <w:jc w:val="center"/>
              <w:rPr>
                <w:rFonts w:cs="Times New Roman"/>
                <w:sz w:val="18"/>
                <w:szCs w:val="18"/>
              </w:rPr>
            </w:pPr>
            <w:r>
              <w:rPr>
                <w:rFonts w:cs="Times New Roman"/>
                <w:sz w:val="18"/>
                <w:szCs w:val="18"/>
              </w:rPr>
              <w:t>20%</w:t>
            </w:r>
          </w:p>
        </w:tc>
        <w:tc>
          <w:tcPr>
            <w:tcW w:w="990" w:type="dxa"/>
            <w:shd w:val="clear" w:color="auto" w:fill="FFFFFF" w:themeFill="background1"/>
          </w:tcPr>
          <w:p w:rsidR="001F50E3" w:rsidRDefault="001F50E3" w:rsidP="00B815C0">
            <w:pPr>
              <w:jc w:val="center"/>
            </w:pPr>
            <w:r w:rsidRPr="00A1040E">
              <w:rPr>
                <w:rFonts w:cs="Times New Roman"/>
                <w:color w:val="auto"/>
                <w:sz w:val="18"/>
                <w:szCs w:val="18"/>
              </w:rPr>
              <w:t>20070315</w:t>
            </w:r>
          </w:p>
        </w:tc>
      </w:tr>
      <w:tr w:rsidR="0033306C" w:rsidRPr="005B2B6E" w:rsidTr="0033306C">
        <w:trPr>
          <w:trHeight w:val="125"/>
        </w:trPr>
        <w:tc>
          <w:tcPr>
            <w:tcW w:w="2160" w:type="dxa"/>
            <w:shd w:val="clear" w:color="auto" w:fill="FFFFFF" w:themeFill="background1"/>
          </w:tcPr>
          <w:p w:rsidR="0033306C" w:rsidRDefault="0033306C" w:rsidP="00636269">
            <w:pPr>
              <w:pStyle w:val="ListParagraph"/>
              <w:spacing w:after="0" w:line="240" w:lineRule="auto"/>
              <w:ind w:left="0"/>
              <w:rPr>
                <w:rFonts w:cs="Times New Roman"/>
                <w:sz w:val="18"/>
                <w:szCs w:val="18"/>
              </w:rPr>
            </w:pPr>
            <w:r>
              <w:rPr>
                <w:rFonts w:cs="Times New Roman"/>
                <w:sz w:val="18"/>
                <w:szCs w:val="18"/>
              </w:rPr>
              <w:t>Hearing Loss</w:t>
            </w:r>
          </w:p>
        </w:tc>
        <w:tc>
          <w:tcPr>
            <w:tcW w:w="1890" w:type="dxa"/>
            <w:gridSpan w:val="2"/>
            <w:tcBorders>
              <w:bottom w:val="single" w:sz="4" w:space="0" w:color="000000" w:themeColor="text1"/>
              <w:right w:val="thinThickThinSmallGap" w:sz="24" w:space="0" w:color="auto"/>
            </w:tcBorders>
            <w:shd w:val="clear" w:color="auto" w:fill="FFFFFF" w:themeFill="background1"/>
          </w:tcPr>
          <w:p w:rsidR="0033306C" w:rsidRDefault="0033306C" w:rsidP="00636269">
            <w:pPr>
              <w:pStyle w:val="ListParagraph"/>
              <w:spacing w:after="0" w:line="240" w:lineRule="auto"/>
              <w:ind w:left="0"/>
              <w:jc w:val="center"/>
              <w:rPr>
                <w:rFonts w:cs="Times New Roman"/>
                <w:sz w:val="18"/>
                <w:szCs w:val="18"/>
              </w:rPr>
            </w:pPr>
            <w:r>
              <w:rPr>
                <w:rFonts w:cs="Times New Roman"/>
                <w:sz w:val="18"/>
                <w:szCs w:val="18"/>
              </w:rPr>
              <w:t>Not Unfitting</w:t>
            </w:r>
          </w:p>
        </w:tc>
        <w:tc>
          <w:tcPr>
            <w:tcW w:w="2700" w:type="dxa"/>
            <w:gridSpan w:val="2"/>
            <w:tcBorders>
              <w:left w:val="thinThickThinSmallGap" w:sz="24" w:space="0" w:color="auto"/>
            </w:tcBorders>
            <w:shd w:val="clear" w:color="auto" w:fill="FFFFFF" w:themeFill="background1"/>
          </w:tcPr>
          <w:p w:rsidR="0033306C" w:rsidRPr="00674A4F" w:rsidRDefault="0033306C" w:rsidP="00636269">
            <w:pPr>
              <w:pStyle w:val="ListParagraph"/>
              <w:spacing w:after="0" w:line="240" w:lineRule="auto"/>
              <w:ind w:left="0"/>
              <w:rPr>
                <w:sz w:val="18"/>
                <w:szCs w:val="18"/>
              </w:rPr>
            </w:pPr>
            <w:r>
              <w:rPr>
                <w:rFonts w:cs="Times New Roman"/>
                <w:sz w:val="18"/>
                <w:szCs w:val="18"/>
              </w:rPr>
              <w:t>Hearing Loss</w:t>
            </w:r>
          </w:p>
        </w:tc>
        <w:tc>
          <w:tcPr>
            <w:tcW w:w="720" w:type="dxa"/>
            <w:gridSpan w:val="2"/>
            <w:tcBorders>
              <w:right w:val="single" w:sz="4" w:space="0" w:color="auto"/>
            </w:tcBorders>
            <w:shd w:val="clear" w:color="auto" w:fill="FFFFFF" w:themeFill="background1"/>
          </w:tcPr>
          <w:p w:rsidR="0033306C" w:rsidRDefault="0033306C" w:rsidP="00F35193">
            <w:pPr>
              <w:pStyle w:val="ListParagraph"/>
              <w:spacing w:after="0" w:line="240" w:lineRule="auto"/>
              <w:ind w:left="0"/>
              <w:jc w:val="center"/>
              <w:rPr>
                <w:rFonts w:cs="Times New Roman"/>
                <w:sz w:val="18"/>
                <w:szCs w:val="18"/>
              </w:rPr>
            </w:pPr>
            <w:r>
              <w:rPr>
                <w:rFonts w:cs="Times New Roman"/>
                <w:sz w:val="18"/>
                <w:szCs w:val="18"/>
              </w:rPr>
              <w:t>6100</w:t>
            </w:r>
          </w:p>
        </w:tc>
        <w:tc>
          <w:tcPr>
            <w:tcW w:w="810" w:type="dxa"/>
            <w:tcBorders>
              <w:left w:val="single" w:sz="4" w:space="0" w:color="auto"/>
            </w:tcBorders>
            <w:shd w:val="clear" w:color="auto" w:fill="FFFFFF" w:themeFill="background1"/>
          </w:tcPr>
          <w:p w:rsidR="0033306C" w:rsidRDefault="0033306C" w:rsidP="0033306C">
            <w:pPr>
              <w:pStyle w:val="ListParagraph"/>
              <w:tabs>
                <w:tab w:val="center" w:pos="297"/>
              </w:tabs>
              <w:spacing w:after="0" w:line="240" w:lineRule="auto"/>
              <w:ind w:left="0"/>
              <w:jc w:val="center"/>
              <w:rPr>
                <w:rFonts w:cs="Times New Roman"/>
                <w:sz w:val="18"/>
                <w:szCs w:val="18"/>
              </w:rPr>
            </w:pPr>
            <w:r>
              <w:rPr>
                <w:rFonts w:cs="Times New Roman"/>
                <w:sz w:val="18"/>
                <w:szCs w:val="18"/>
              </w:rPr>
              <w:t>NSC</w:t>
            </w:r>
          </w:p>
        </w:tc>
        <w:tc>
          <w:tcPr>
            <w:tcW w:w="990" w:type="dxa"/>
            <w:shd w:val="clear" w:color="auto" w:fill="FFFFFF" w:themeFill="background1"/>
          </w:tcPr>
          <w:p w:rsidR="0033306C" w:rsidRPr="005F636D" w:rsidRDefault="0033306C" w:rsidP="00F35193">
            <w:pPr>
              <w:pStyle w:val="ListParagraph"/>
              <w:spacing w:after="0" w:line="240" w:lineRule="auto"/>
              <w:ind w:left="0"/>
              <w:jc w:val="center"/>
              <w:rPr>
                <w:rFonts w:cs="Times New Roman"/>
                <w:sz w:val="18"/>
                <w:szCs w:val="18"/>
              </w:rPr>
            </w:pPr>
            <w:r w:rsidRPr="00A1040E">
              <w:rPr>
                <w:rFonts w:cs="Times New Roman"/>
                <w:sz w:val="18"/>
                <w:szCs w:val="18"/>
              </w:rPr>
              <w:t>20070315</w:t>
            </w:r>
          </w:p>
        </w:tc>
      </w:tr>
      <w:tr w:rsidR="0033306C" w:rsidRPr="005B2B6E" w:rsidTr="00B866C3">
        <w:trPr>
          <w:trHeight w:val="125"/>
        </w:trPr>
        <w:tc>
          <w:tcPr>
            <w:tcW w:w="2160" w:type="dxa"/>
            <w:shd w:val="clear" w:color="auto" w:fill="FFFFFF" w:themeFill="background1"/>
          </w:tcPr>
          <w:p w:rsidR="0033306C" w:rsidRDefault="0033306C" w:rsidP="0033306C">
            <w:pPr>
              <w:pStyle w:val="ListParagraph"/>
              <w:spacing w:after="0" w:line="240" w:lineRule="auto"/>
              <w:ind w:left="0"/>
              <w:rPr>
                <w:rFonts w:cs="Times New Roman"/>
                <w:sz w:val="18"/>
                <w:szCs w:val="18"/>
              </w:rPr>
            </w:pPr>
            <w:r>
              <w:rPr>
                <w:rFonts w:cs="Times New Roman"/>
                <w:sz w:val="18"/>
                <w:szCs w:val="18"/>
              </w:rPr>
              <w:t xml:space="preserve">PPD, Liver test, </w:t>
            </w:r>
            <w:proofErr w:type="spellStart"/>
            <w:r>
              <w:rPr>
                <w:rFonts w:cs="Times New Roman"/>
                <w:sz w:val="18"/>
                <w:szCs w:val="18"/>
              </w:rPr>
              <w:t>Hematuria</w:t>
            </w:r>
            <w:proofErr w:type="spellEnd"/>
          </w:p>
        </w:tc>
        <w:tc>
          <w:tcPr>
            <w:tcW w:w="1890" w:type="dxa"/>
            <w:gridSpan w:val="2"/>
            <w:tcBorders>
              <w:right w:val="thinThickThinSmallGap" w:sz="24" w:space="0" w:color="auto"/>
            </w:tcBorders>
            <w:shd w:val="clear" w:color="auto" w:fill="FFFFFF" w:themeFill="background1"/>
          </w:tcPr>
          <w:p w:rsidR="0033306C" w:rsidRDefault="0033306C" w:rsidP="00636269">
            <w:pPr>
              <w:pStyle w:val="ListParagraph"/>
              <w:spacing w:after="0" w:line="240" w:lineRule="auto"/>
              <w:ind w:left="0"/>
              <w:jc w:val="center"/>
              <w:rPr>
                <w:rFonts w:cs="Times New Roman"/>
                <w:sz w:val="18"/>
                <w:szCs w:val="18"/>
              </w:rPr>
            </w:pPr>
            <w:r>
              <w:rPr>
                <w:rFonts w:cs="Times New Roman"/>
                <w:sz w:val="18"/>
                <w:szCs w:val="18"/>
              </w:rPr>
              <w:t>Not Unfitting</w:t>
            </w:r>
          </w:p>
        </w:tc>
        <w:tc>
          <w:tcPr>
            <w:tcW w:w="2700" w:type="dxa"/>
            <w:gridSpan w:val="2"/>
            <w:tcBorders>
              <w:left w:val="thinThickThinSmallGap" w:sz="24" w:space="0" w:color="auto"/>
            </w:tcBorders>
            <w:shd w:val="clear" w:color="auto" w:fill="FFFFFF" w:themeFill="background1"/>
          </w:tcPr>
          <w:p w:rsidR="0033306C" w:rsidRPr="00674A4F" w:rsidRDefault="0033306C" w:rsidP="00636269">
            <w:pPr>
              <w:pStyle w:val="ListParagraph"/>
              <w:spacing w:after="0" w:line="240" w:lineRule="auto"/>
              <w:ind w:left="0"/>
              <w:rPr>
                <w:sz w:val="18"/>
                <w:szCs w:val="18"/>
              </w:rPr>
            </w:pPr>
            <w:r>
              <w:rPr>
                <w:sz w:val="18"/>
                <w:szCs w:val="18"/>
              </w:rPr>
              <w:t xml:space="preserve">PPD </w:t>
            </w:r>
          </w:p>
        </w:tc>
        <w:tc>
          <w:tcPr>
            <w:tcW w:w="1530" w:type="dxa"/>
            <w:gridSpan w:val="3"/>
            <w:shd w:val="clear" w:color="auto" w:fill="FFFFFF" w:themeFill="background1"/>
          </w:tcPr>
          <w:p w:rsidR="0033306C" w:rsidRDefault="0033306C" w:rsidP="0033306C">
            <w:pPr>
              <w:pStyle w:val="ListParagraph"/>
              <w:tabs>
                <w:tab w:val="center" w:pos="297"/>
              </w:tabs>
              <w:spacing w:after="0" w:line="240" w:lineRule="auto"/>
              <w:ind w:left="0"/>
              <w:jc w:val="center"/>
              <w:rPr>
                <w:rFonts w:cs="Times New Roman"/>
                <w:sz w:val="18"/>
                <w:szCs w:val="18"/>
              </w:rPr>
            </w:pPr>
            <w:r>
              <w:rPr>
                <w:rFonts w:cs="Times New Roman"/>
                <w:sz w:val="18"/>
                <w:szCs w:val="18"/>
              </w:rPr>
              <w:t>NSC</w:t>
            </w:r>
          </w:p>
        </w:tc>
        <w:tc>
          <w:tcPr>
            <w:tcW w:w="990" w:type="dxa"/>
            <w:shd w:val="clear" w:color="auto" w:fill="FFFFFF" w:themeFill="background1"/>
          </w:tcPr>
          <w:p w:rsidR="0033306C" w:rsidRPr="005F636D" w:rsidRDefault="0033306C" w:rsidP="00F35193">
            <w:pPr>
              <w:pStyle w:val="ListParagraph"/>
              <w:spacing w:after="0" w:line="240" w:lineRule="auto"/>
              <w:ind w:left="0"/>
              <w:jc w:val="center"/>
              <w:rPr>
                <w:rFonts w:cs="Times New Roman"/>
                <w:sz w:val="18"/>
                <w:szCs w:val="18"/>
              </w:rPr>
            </w:pPr>
            <w:r w:rsidRPr="00A1040E">
              <w:rPr>
                <w:rFonts w:cs="Times New Roman"/>
                <w:sz w:val="18"/>
                <w:szCs w:val="18"/>
              </w:rPr>
              <w:t>20070315</w:t>
            </w:r>
          </w:p>
        </w:tc>
      </w:tr>
      <w:tr w:rsidR="00F35193" w:rsidRPr="005B2B6E" w:rsidTr="0016090D">
        <w:trPr>
          <w:trHeight w:val="125"/>
        </w:trPr>
        <w:tc>
          <w:tcPr>
            <w:tcW w:w="4050" w:type="dxa"/>
            <w:gridSpan w:val="3"/>
            <w:vMerge w:val="restart"/>
            <w:tcBorders>
              <w:right w:val="thinThickThinSmallGap" w:sz="24" w:space="0" w:color="auto"/>
            </w:tcBorders>
            <w:shd w:val="clear" w:color="auto" w:fill="FFFFFF" w:themeFill="background1"/>
          </w:tcPr>
          <w:p w:rsidR="00F35193" w:rsidRDefault="00F35193" w:rsidP="00F35193">
            <w:pPr>
              <w:pStyle w:val="ListParagraph"/>
              <w:ind w:left="0"/>
              <w:jc w:val="center"/>
              <w:rPr>
                <w:rFonts w:cs="Times New Roman"/>
                <w:sz w:val="18"/>
                <w:szCs w:val="18"/>
              </w:rPr>
            </w:pPr>
            <w:r w:rsidRPr="001E5671">
              <w:rPr>
                <w:rFonts w:cs="Times New Roman"/>
                <w:sz w:val="18"/>
                <w:szCs w:val="18"/>
              </w:rPr>
              <w:t xml:space="preserve">↓No Additional DA </w:t>
            </w:r>
            <w:r>
              <w:rPr>
                <w:rFonts w:cs="Times New Roman"/>
                <w:sz w:val="18"/>
                <w:szCs w:val="18"/>
              </w:rPr>
              <w:t xml:space="preserve">Form </w:t>
            </w:r>
            <w:r w:rsidRPr="001E5671">
              <w:rPr>
                <w:rFonts w:cs="Times New Roman"/>
                <w:sz w:val="18"/>
                <w:szCs w:val="18"/>
              </w:rPr>
              <w:t>3947 Entries↓</w:t>
            </w:r>
          </w:p>
        </w:tc>
        <w:tc>
          <w:tcPr>
            <w:tcW w:w="2790" w:type="dxa"/>
            <w:gridSpan w:val="3"/>
            <w:tcBorders>
              <w:left w:val="thinThickThinSmallGap" w:sz="24" w:space="0" w:color="auto"/>
            </w:tcBorders>
            <w:shd w:val="clear" w:color="auto" w:fill="FFFFFF" w:themeFill="background1"/>
          </w:tcPr>
          <w:p w:rsidR="00F35193" w:rsidRPr="00473D5C" w:rsidRDefault="00F35193" w:rsidP="00636269">
            <w:pPr>
              <w:pStyle w:val="ListParagraph"/>
              <w:spacing w:after="0" w:line="240" w:lineRule="auto"/>
              <w:ind w:left="0"/>
              <w:rPr>
                <w:rFonts w:cs="Times New Roman"/>
                <w:sz w:val="18"/>
                <w:szCs w:val="18"/>
              </w:rPr>
            </w:pPr>
            <w:r>
              <w:rPr>
                <w:rFonts w:cs="Times New Roman"/>
                <w:sz w:val="18"/>
                <w:szCs w:val="18"/>
              </w:rPr>
              <w:t>Sleep Apnea</w:t>
            </w:r>
          </w:p>
        </w:tc>
        <w:tc>
          <w:tcPr>
            <w:tcW w:w="630" w:type="dxa"/>
            <w:tcBorders>
              <w:right w:val="single" w:sz="4" w:space="0" w:color="auto"/>
            </w:tcBorders>
            <w:shd w:val="clear" w:color="auto" w:fill="FFFFFF" w:themeFill="background1"/>
          </w:tcPr>
          <w:p w:rsidR="00F35193" w:rsidRPr="00473D5C" w:rsidRDefault="00F35193" w:rsidP="00636269">
            <w:pPr>
              <w:pStyle w:val="ListParagraph"/>
              <w:spacing w:after="0" w:line="240" w:lineRule="auto"/>
              <w:ind w:left="0"/>
              <w:jc w:val="center"/>
              <w:rPr>
                <w:rFonts w:cs="Times New Roman"/>
                <w:sz w:val="18"/>
                <w:szCs w:val="18"/>
              </w:rPr>
            </w:pPr>
            <w:r>
              <w:rPr>
                <w:rFonts w:cs="Times New Roman"/>
                <w:sz w:val="18"/>
                <w:szCs w:val="18"/>
              </w:rPr>
              <w:t>6847</w:t>
            </w:r>
          </w:p>
        </w:tc>
        <w:tc>
          <w:tcPr>
            <w:tcW w:w="810" w:type="dxa"/>
            <w:tcBorders>
              <w:left w:val="single" w:sz="4" w:space="0" w:color="auto"/>
            </w:tcBorders>
            <w:shd w:val="clear" w:color="auto" w:fill="FFFFFF" w:themeFill="background1"/>
          </w:tcPr>
          <w:p w:rsidR="00F35193" w:rsidRPr="00473D5C" w:rsidRDefault="00F35193" w:rsidP="00636269">
            <w:pPr>
              <w:pStyle w:val="ListParagraph"/>
              <w:spacing w:after="0" w:line="240" w:lineRule="auto"/>
              <w:ind w:left="0"/>
              <w:jc w:val="center"/>
              <w:rPr>
                <w:rFonts w:cs="Times New Roman"/>
                <w:sz w:val="18"/>
                <w:szCs w:val="18"/>
              </w:rPr>
            </w:pPr>
            <w:r>
              <w:rPr>
                <w:rFonts w:cs="Times New Roman"/>
                <w:sz w:val="18"/>
                <w:szCs w:val="18"/>
              </w:rPr>
              <w:t>30%</w:t>
            </w:r>
          </w:p>
        </w:tc>
        <w:tc>
          <w:tcPr>
            <w:tcW w:w="990" w:type="dxa"/>
            <w:shd w:val="clear" w:color="auto" w:fill="FFFFFF" w:themeFill="background1"/>
          </w:tcPr>
          <w:p w:rsidR="00F35193" w:rsidRDefault="00F35193" w:rsidP="00F35193">
            <w:pPr>
              <w:jc w:val="center"/>
            </w:pPr>
            <w:r w:rsidRPr="00A1040E">
              <w:rPr>
                <w:rFonts w:cs="Times New Roman"/>
                <w:color w:val="auto"/>
                <w:sz w:val="18"/>
                <w:szCs w:val="18"/>
              </w:rPr>
              <w:t>20070315</w:t>
            </w:r>
          </w:p>
        </w:tc>
      </w:tr>
      <w:tr w:rsidR="0033306C" w:rsidRPr="005B2B6E" w:rsidTr="0033306C">
        <w:trPr>
          <w:trHeight w:val="233"/>
        </w:trPr>
        <w:tc>
          <w:tcPr>
            <w:tcW w:w="4050" w:type="dxa"/>
            <w:gridSpan w:val="3"/>
            <w:vMerge/>
            <w:tcBorders>
              <w:right w:val="thinThickThinSmallGap" w:sz="24" w:space="0" w:color="auto"/>
            </w:tcBorders>
            <w:shd w:val="clear" w:color="auto" w:fill="FFFFFF" w:themeFill="background1"/>
          </w:tcPr>
          <w:p w:rsidR="0033306C" w:rsidRDefault="0033306C" w:rsidP="001E5671">
            <w:pPr>
              <w:pStyle w:val="ListParagraph"/>
              <w:ind w:left="0"/>
              <w:jc w:val="center"/>
              <w:rPr>
                <w:rFonts w:cs="Times New Roman"/>
                <w:sz w:val="18"/>
                <w:szCs w:val="18"/>
              </w:rPr>
            </w:pPr>
          </w:p>
        </w:tc>
        <w:tc>
          <w:tcPr>
            <w:tcW w:w="2790" w:type="dxa"/>
            <w:gridSpan w:val="3"/>
            <w:tcBorders>
              <w:left w:val="thinThickThinSmallGap" w:sz="24" w:space="0" w:color="auto"/>
            </w:tcBorders>
            <w:shd w:val="clear" w:color="auto" w:fill="FFFFFF" w:themeFill="background1"/>
          </w:tcPr>
          <w:p w:rsidR="0033306C" w:rsidRPr="00D670D4" w:rsidRDefault="0033306C" w:rsidP="0016090D">
            <w:pPr>
              <w:pStyle w:val="ListParagraph"/>
              <w:spacing w:after="0" w:line="240" w:lineRule="auto"/>
              <w:ind w:left="0"/>
              <w:rPr>
                <w:rFonts w:cs="Times New Roman"/>
                <w:sz w:val="18"/>
                <w:szCs w:val="18"/>
              </w:rPr>
            </w:pPr>
            <w:r w:rsidRPr="00D670D4">
              <w:rPr>
                <w:sz w:val="18"/>
                <w:szCs w:val="18"/>
              </w:rPr>
              <w:t>Sc</w:t>
            </w:r>
            <w:r>
              <w:rPr>
                <w:sz w:val="18"/>
                <w:szCs w:val="18"/>
              </w:rPr>
              <w:t xml:space="preserve">ars, L. Arm, R. Shoulder, &amp; </w:t>
            </w:r>
            <w:r w:rsidRPr="00D670D4">
              <w:rPr>
                <w:sz w:val="18"/>
                <w:szCs w:val="18"/>
              </w:rPr>
              <w:t>L</w:t>
            </w:r>
            <w:r>
              <w:rPr>
                <w:sz w:val="18"/>
                <w:szCs w:val="18"/>
              </w:rPr>
              <w:t xml:space="preserve">. </w:t>
            </w:r>
            <w:r w:rsidRPr="00D670D4">
              <w:rPr>
                <w:sz w:val="18"/>
                <w:szCs w:val="18"/>
              </w:rPr>
              <w:t>Leg</w:t>
            </w:r>
          </w:p>
        </w:tc>
        <w:tc>
          <w:tcPr>
            <w:tcW w:w="630" w:type="dxa"/>
            <w:tcBorders>
              <w:right w:val="single" w:sz="4" w:space="0" w:color="auto"/>
            </w:tcBorders>
            <w:shd w:val="clear" w:color="auto" w:fill="FFFFFF" w:themeFill="background1"/>
          </w:tcPr>
          <w:p w:rsidR="0033306C" w:rsidRPr="00473D5C" w:rsidRDefault="0033306C" w:rsidP="00636269">
            <w:pPr>
              <w:pStyle w:val="ListParagraph"/>
              <w:spacing w:after="0" w:line="240" w:lineRule="auto"/>
              <w:ind w:left="0"/>
              <w:jc w:val="center"/>
              <w:rPr>
                <w:rFonts w:cs="Times New Roman"/>
                <w:sz w:val="18"/>
                <w:szCs w:val="18"/>
              </w:rPr>
            </w:pPr>
            <w:r>
              <w:rPr>
                <w:rFonts w:cs="Times New Roman"/>
                <w:sz w:val="18"/>
                <w:szCs w:val="18"/>
              </w:rPr>
              <w:t>7804</w:t>
            </w:r>
          </w:p>
        </w:tc>
        <w:tc>
          <w:tcPr>
            <w:tcW w:w="810" w:type="dxa"/>
            <w:tcBorders>
              <w:left w:val="single" w:sz="4" w:space="0" w:color="auto"/>
            </w:tcBorders>
            <w:shd w:val="clear" w:color="auto" w:fill="FFFFFF" w:themeFill="background1"/>
          </w:tcPr>
          <w:p w:rsidR="0033306C" w:rsidRPr="00473D5C" w:rsidRDefault="0033306C" w:rsidP="00636269">
            <w:pPr>
              <w:pStyle w:val="ListParagraph"/>
              <w:spacing w:after="0" w:line="240" w:lineRule="auto"/>
              <w:ind w:left="0"/>
              <w:jc w:val="center"/>
              <w:rPr>
                <w:rFonts w:cs="Times New Roman"/>
                <w:sz w:val="18"/>
                <w:szCs w:val="18"/>
              </w:rPr>
            </w:pPr>
            <w:r>
              <w:rPr>
                <w:rFonts w:cs="Times New Roman"/>
                <w:sz w:val="18"/>
                <w:szCs w:val="18"/>
              </w:rPr>
              <w:t>0%</w:t>
            </w:r>
          </w:p>
        </w:tc>
        <w:tc>
          <w:tcPr>
            <w:tcW w:w="990" w:type="dxa"/>
            <w:shd w:val="clear" w:color="auto" w:fill="FFFFFF" w:themeFill="background1"/>
          </w:tcPr>
          <w:p w:rsidR="0033306C" w:rsidRPr="005F636D" w:rsidRDefault="0033306C" w:rsidP="00F35193">
            <w:pPr>
              <w:jc w:val="center"/>
              <w:rPr>
                <w:color w:val="auto"/>
              </w:rPr>
            </w:pPr>
            <w:r w:rsidRPr="005F636D">
              <w:rPr>
                <w:rFonts w:cs="Times New Roman"/>
                <w:color w:val="auto"/>
                <w:sz w:val="18"/>
                <w:szCs w:val="18"/>
              </w:rPr>
              <w:t>20070315</w:t>
            </w:r>
          </w:p>
        </w:tc>
      </w:tr>
      <w:tr w:rsidR="00F35193" w:rsidRPr="005B2B6E" w:rsidTr="0016090D">
        <w:trPr>
          <w:trHeight w:val="125"/>
        </w:trPr>
        <w:tc>
          <w:tcPr>
            <w:tcW w:w="4050" w:type="dxa"/>
            <w:gridSpan w:val="3"/>
            <w:vMerge/>
            <w:tcBorders>
              <w:right w:val="thinThickThinSmallGap" w:sz="24" w:space="0" w:color="auto"/>
            </w:tcBorders>
            <w:shd w:val="clear" w:color="auto" w:fill="FFFFFF" w:themeFill="background1"/>
          </w:tcPr>
          <w:p w:rsidR="00F35193" w:rsidRDefault="00F35193" w:rsidP="001E5671">
            <w:pPr>
              <w:pStyle w:val="ListParagraph"/>
              <w:ind w:left="0"/>
              <w:jc w:val="center"/>
              <w:rPr>
                <w:rFonts w:cs="Times New Roman"/>
                <w:sz w:val="18"/>
                <w:szCs w:val="18"/>
              </w:rPr>
            </w:pPr>
          </w:p>
        </w:tc>
        <w:tc>
          <w:tcPr>
            <w:tcW w:w="2790" w:type="dxa"/>
            <w:gridSpan w:val="3"/>
            <w:tcBorders>
              <w:left w:val="thinThickThinSmallGap" w:sz="24" w:space="0" w:color="auto"/>
            </w:tcBorders>
            <w:shd w:val="clear" w:color="auto" w:fill="FFFFFF" w:themeFill="background1"/>
          </w:tcPr>
          <w:p w:rsidR="00F35193" w:rsidRPr="00473D5C" w:rsidRDefault="00F35193" w:rsidP="00636269">
            <w:pPr>
              <w:pStyle w:val="ListParagraph"/>
              <w:spacing w:after="0" w:line="240" w:lineRule="auto"/>
              <w:ind w:left="0"/>
              <w:rPr>
                <w:rFonts w:cs="Times New Roman"/>
                <w:sz w:val="18"/>
                <w:szCs w:val="18"/>
              </w:rPr>
            </w:pPr>
            <w:r>
              <w:rPr>
                <w:rFonts w:cs="Times New Roman"/>
                <w:sz w:val="18"/>
                <w:szCs w:val="18"/>
              </w:rPr>
              <w:t>Tinnitus</w:t>
            </w:r>
          </w:p>
        </w:tc>
        <w:tc>
          <w:tcPr>
            <w:tcW w:w="630" w:type="dxa"/>
            <w:tcBorders>
              <w:right w:val="single" w:sz="4" w:space="0" w:color="auto"/>
            </w:tcBorders>
            <w:shd w:val="clear" w:color="auto" w:fill="FFFFFF" w:themeFill="background1"/>
          </w:tcPr>
          <w:p w:rsidR="00F35193" w:rsidRPr="00473D5C" w:rsidRDefault="00F35193" w:rsidP="00636269">
            <w:pPr>
              <w:pStyle w:val="ListParagraph"/>
              <w:spacing w:after="0" w:line="240" w:lineRule="auto"/>
              <w:ind w:left="0"/>
              <w:jc w:val="center"/>
              <w:rPr>
                <w:rFonts w:cs="Times New Roman"/>
                <w:sz w:val="18"/>
                <w:szCs w:val="18"/>
              </w:rPr>
            </w:pPr>
            <w:r>
              <w:rPr>
                <w:rFonts w:cs="Times New Roman"/>
                <w:sz w:val="18"/>
                <w:szCs w:val="18"/>
              </w:rPr>
              <w:t>6260</w:t>
            </w:r>
          </w:p>
        </w:tc>
        <w:tc>
          <w:tcPr>
            <w:tcW w:w="810" w:type="dxa"/>
            <w:tcBorders>
              <w:left w:val="single" w:sz="4" w:space="0" w:color="auto"/>
            </w:tcBorders>
            <w:shd w:val="clear" w:color="auto" w:fill="FFFFFF" w:themeFill="background1"/>
          </w:tcPr>
          <w:p w:rsidR="00F35193" w:rsidRPr="00473D5C" w:rsidRDefault="00F35193" w:rsidP="00636269">
            <w:pPr>
              <w:pStyle w:val="ListParagraph"/>
              <w:spacing w:after="0" w:line="240" w:lineRule="auto"/>
              <w:ind w:left="0"/>
              <w:jc w:val="center"/>
              <w:rPr>
                <w:rFonts w:cs="Times New Roman"/>
                <w:sz w:val="18"/>
                <w:szCs w:val="18"/>
              </w:rPr>
            </w:pPr>
            <w:r>
              <w:rPr>
                <w:rFonts w:cs="Times New Roman"/>
                <w:sz w:val="18"/>
                <w:szCs w:val="18"/>
              </w:rPr>
              <w:t>10%</w:t>
            </w:r>
          </w:p>
        </w:tc>
        <w:tc>
          <w:tcPr>
            <w:tcW w:w="990" w:type="dxa"/>
            <w:shd w:val="clear" w:color="auto" w:fill="FFFFFF" w:themeFill="background1"/>
          </w:tcPr>
          <w:p w:rsidR="00F35193" w:rsidRDefault="00F35193" w:rsidP="00F35193">
            <w:pPr>
              <w:jc w:val="center"/>
            </w:pPr>
            <w:r w:rsidRPr="00A1040E">
              <w:rPr>
                <w:rFonts w:cs="Times New Roman"/>
                <w:color w:val="auto"/>
                <w:sz w:val="18"/>
                <w:szCs w:val="18"/>
              </w:rPr>
              <w:t>20070315</w:t>
            </w:r>
          </w:p>
        </w:tc>
      </w:tr>
      <w:tr w:rsidR="00F35193" w:rsidRPr="005B2B6E" w:rsidTr="003D30C5">
        <w:trPr>
          <w:trHeight w:val="206"/>
        </w:trPr>
        <w:tc>
          <w:tcPr>
            <w:tcW w:w="4050" w:type="dxa"/>
            <w:gridSpan w:val="3"/>
            <w:vMerge/>
            <w:tcBorders>
              <w:right w:val="thinThickThinSmallGap" w:sz="24" w:space="0" w:color="auto"/>
            </w:tcBorders>
            <w:shd w:val="clear" w:color="auto" w:fill="FFFFFF" w:themeFill="background1"/>
          </w:tcPr>
          <w:p w:rsidR="00F35193" w:rsidRDefault="00F35193" w:rsidP="001E5671">
            <w:pPr>
              <w:pStyle w:val="ListParagraph"/>
              <w:ind w:left="0"/>
              <w:jc w:val="center"/>
              <w:rPr>
                <w:rFonts w:cs="Times New Roman"/>
                <w:sz w:val="18"/>
                <w:szCs w:val="18"/>
              </w:rPr>
            </w:pPr>
          </w:p>
        </w:tc>
        <w:tc>
          <w:tcPr>
            <w:tcW w:w="5220" w:type="dxa"/>
            <w:gridSpan w:val="6"/>
            <w:tcBorders>
              <w:left w:val="thinThickThinSmallGap" w:sz="24" w:space="0" w:color="auto"/>
            </w:tcBorders>
            <w:shd w:val="clear" w:color="auto" w:fill="FFFFFF" w:themeFill="background1"/>
            <w:vAlign w:val="bottom"/>
          </w:tcPr>
          <w:p w:rsidR="00F35193" w:rsidRPr="00943DDA" w:rsidRDefault="003D30C5" w:rsidP="003D30C5">
            <w:pPr>
              <w:pStyle w:val="ListParagraph"/>
              <w:ind w:left="0"/>
              <w:jc w:val="center"/>
            </w:pPr>
            <w:r>
              <w:rPr>
                <w:rFonts w:cs="Times New Roman"/>
                <w:sz w:val="18"/>
                <w:szCs w:val="18"/>
              </w:rPr>
              <w:t xml:space="preserve">Multiple </w:t>
            </w:r>
            <w:r w:rsidR="00F35193">
              <w:rPr>
                <w:rFonts w:cs="Times New Roman"/>
                <w:sz w:val="18"/>
                <w:szCs w:val="18"/>
              </w:rPr>
              <w:t>NSC</w:t>
            </w:r>
          </w:p>
        </w:tc>
      </w:tr>
      <w:tr w:rsidR="00236931" w:rsidRPr="005B2B6E" w:rsidTr="004069CD">
        <w:trPr>
          <w:trHeight w:val="242"/>
        </w:trPr>
        <w:tc>
          <w:tcPr>
            <w:tcW w:w="4050" w:type="dxa"/>
            <w:gridSpan w:val="3"/>
            <w:tcBorders>
              <w:right w:val="thinThickThinSmallGap" w:sz="24" w:space="0" w:color="auto"/>
            </w:tcBorders>
            <w:shd w:val="clear" w:color="auto" w:fill="DDD9C3" w:themeFill="background2" w:themeFillShade="E6"/>
          </w:tcPr>
          <w:p w:rsidR="00236931" w:rsidRPr="00C54553" w:rsidRDefault="003D30C5" w:rsidP="00C76D81">
            <w:pPr>
              <w:pStyle w:val="ListParagraph"/>
              <w:spacing w:after="0" w:line="240" w:lineRule="auto"/>
              <w:ind w:left="0"/>
              <w:jc w:val="center"/>
              <w:rPr>
                <w:rFonts w:cs="Times New Roman"/>
                <w:b/>
                <w:sz w:val="20"/>
                <w:szCs w:val="20"/>
              </w:rPr>
            </w:pPr>
            <w:r>
              <w:rPr>
                <w:rFonts w:cs="Times New Roman"/>
                <w:b/>
                <w:sz w:val="20"/>
                <w:szCs w:val="20"/>
              </w:rPr>
              <w:t xml:space="preserve">TOTAL Combined: </w:t>
            </w:r>
            <w:r w:rsidR="00537F12">
              <w:rPr>
                <w:rFonts w:cs="Times New Roman"/>
                <w:b/>
                <w:sz w:val="20"/>
                <w:szCs w:val="20"/>
              </w:rPr>
              <w:t>2</w:t>
            </w:r>
            <w:r w:rsidR="00236931" w:rsidRPr="00C54553">
              <w:rPr>
                <w:rFonts w:cs="Times New Roman"/>
                <w:b/>
                <w:sz w:val="20"/>
                <w:szCs w:val="20"/>
              </w:rPr>
              <w:t>0%</w:t>
            </w:r>
          </w:p>
        </w:tc>
        <w:tc>
          <w:tcPr>
            <w:tcW w:w="5220" w:type="dxa"/>
            <w:gridSpan w:val="6"/>
            <w:tcBorders>
              <w:left w:val="thinThickThinSmallGap" w:sz="24" w:space="0" w:color="auto"/>
            </w:tcBorders>
            <w:shd w:val="clear" w:color="auto" w:fill="DDD9C3" w:themeFill="background2" w:themeFillShade="E6"/>
          </w:tcPr>
          <w:p w:rsidR="00236931" w:rsidRPr="00C54553" w:rsidRDefault="00236931" w:rsidP="00F35193">
            <w:pPr>
              <w:pStyle w:val="ListParagraph"/>
              <w:spacing w:after="0" w:line="240" w:lineRule="auto"/>
              <w:ind w:left="0"/>
              <w:jc w:val="center"/>
              <w:rPr>
                <w:rFonts w:cs="Times New Roman"/>
                <w:b/>
                <w:sz w:val="20"/>
                <w:szCs w:val="20"/>
              </w:rPr>
            </w:pPr>
            <w:r w:rsidRPr="00C54553">
              <w:rPr>
                <w:rFonts w:cs="Times New Roman"/>
                <w:b/>
                <w:sz w:val="20"/>
                <w:szCs w:val="20"/>
              </w:rPr>
              <w:t>TOTAL Combined (</w:t>
            </w:r>
            <w:r w:rsidRPr="00C54553">
              <w:rPr>
                <w:rFonts w:cs="Times New Roman"/>
                <w:b/>
                <w:i/>
                <w:sz w:val="20"/>
                <w:szCs w:val="20"/>
              </w:rPr>
              <w:t>Includes Non-PEB Conditions</w:t>
            </w:r>
            <w:r w:rsidRPr="00C54553">
              <w:rPr>
                <w:rFonts w:cs="Times New Roman"/>
                <w:b/>
                <w:sz w:val="20"/>
                <w:szCs w:val="20"/>
              </w:rPr>
              <w:t xml:space="preserve">): </w:t>
            </w:r>
            <w:r w:rsidR="00F35193">
              <w:rPr>
                <w:rFonts w:cs="Times New Roman"/>
                <w:b/>
                <w:sz w:val="20"/>
                <w:szCs w:val="20"/>
              </w:rPr>
              <w:t>9</w:t>
            </w:r>
            <w:r w:rsidRPr="00C54553">
              <w:rPr>
                <w:rFonts w:cs="Times New Roman"/>
                <w:b/>
                <w:sz w:val="20"/>
                <w:szCs w:val="20"/>
              </w:rPr>
              <w:t xml:space="preserve">0%                                                                         </w:t>
            </w:r>
            <w:r w:rsidRPr="00C54553">
              <w:rPr>
                <w:rFonts w:cs="Times New Roman"/>
                <w:sz w:val="20"/>
                <w:szCs w:val="20"/>
              </w:rPr>
              <w:t xml:space="preserve"> </w:t>
            </w:r>
          </w:p>
        </w:tc>
      </w:tr>
    </w:tbl>
    <w:p w:rsidR="00B20C00" w:rsidRPr="00B20C00" w:rsidRDefault="00B20C00" w:rsidP="00B20C00">
      <w:pPr>
        <w:tabs>
          <w:tab w:val="left" w:pos="288"/>
          <w:tab w:val="left" w:pos="4752"/>
        </w:tabs>
        <w:spacing w:line="240" w:lineRule="exact"/>
        <w:jc w:val="both"/>
        <w:rPr>
          <w:color w:val="auto"/>
          <w:u w:val="single"/>
        </w:rPr>
      </w:pPr>
      <w:r w:rsidRPr="00B20C00">
        <w:rPr>
          <w:color w:val="auto"/>
          <w:u w:val="single"/>
        </w:rPr>
        <w:t>________________________________________________________________</w:t>
      </w:r>
    </w:p>
    <w:p w:rsidR="00A90D55" w:rsidRPr="00B0240D" w:rsidRDefault="00A90D55" w:rsidP="00875F2D">
      <w:pPr>
        <w:tabs>
          <w:tab w:val="left" w:pos="288"/>
          <w:tab w:val="left" w:pos="4752"/>
        </w:tabs>
        <w:spacing w:line="240" w:lineRule="exact"/>
        <w:jc w:val="both"/>
        <w:rPr>
          <w:color w:val="auto"/>
        </w:rPr>
      </w:pPr>
    </w:p>
    <w:p w:rsidR="002C6E5B" w:rsidRPr="00CE6AA0" w:rsidRDefault="002C6E5B" w:rsidP="002C6E5B">
      <w:pPr>
        <w:tabs>
          <w:tab w:val="left" w:pos="288"/>
          <w:tab w:val="left" w:pos="4752"/>
        </w:tabs>
        <w:spacing w:line="240" w:lineRule="exact"/>
        <w:jc w:val="both"/>
        <w:rPr>
          <w:color w:val="auto"/>
        </w:rPr>
      </w:pPr>
      <w:r w:rsidRPr="00CE6AA0">
        <w:rPr>
          <w:color w:val="auto"/>
          <w:u w:val="single"/>
        </w:rPr>
        <w:t>ANALYSIS SUMMARY</w:t>
      </w:r>
      <w:r w:rsidRPr="00CE6AA0">
        <w:rPr>
          <w:color w:val="auto"/>
        </w:rPr>
        <w:t>:</w:t>
      </w:r>
    </w:p>
    <w:p w:rsidR="00EC593D" w:rsidRPr="00CE6AA0" w:rsidRDefault="00EC593D" w:rsidP="002C6E5B">
      <w:pPr>
        <w:tabs>
          <w:tab w:val="left" w:pos="288"/>
          <w:tab w:val="left" w:pos="4752"/>
        </w:tabs>
        <w:spacing w:line="240" w:lineRule="exact"/>
        <w:jc w:val="both"/>
        <w:rPr>
          <w:color w:val="auto"/>
        </w:rPr>
      </w:pPr>
    </w:p>
    <w:p w:rsidR="00EC593D" w:rsidRPr="00CE6AA0" w:rsidRDefault="00EC593D" w:rsidP="00023910">
      <w:pPr>
        <w:autoSpaceDE w:val="0"/>
        <w:autoSpaceDN w:val="0"/>
        <w:adjustRightInd w:val="0"/>
        <w:spacing w:line="240" w:lineRule="exact"/>
        <w:jc w:val="both"/>
        <w:rPr>
          <w:color w:val="auto"/>
          <w:highlight w:val="cyan"/>
        </w:rPr>
      </w:pPr>
      <w:proofErr w:type="gramStart"/>
      <w:r w:rsidRPr="00CE6AA0">
        <w:rPr>
          <w:color w:val="auto"/>
          <w:u w:val="single"/>
        </w:rPr>
        <w:t>PTSD Rating Recommendation</w:t>
      </w:r>
      <w:r w:rsidRPr="00CE6AA0">
        <w:rPr>
          <w:color w:val="auto"/>
        </w:rPr>
        <w:t>.</w:t>
      </w:r>
      <w:proofErr w:type="gramEnd"/>
      <w:r w:rsidRPr="00CE6AA0">
        <w:rPr>
          <w:color w:val="auto"/>
        </w:rPr>
        <w:t xml:space="preserve">  The PEB rating, as noted above, was derived from </w:t>
      </w:r>
      <w:proofErr w:type="spellStart"/>
      <w:r w:rsidRPr="00CE6AA0">
        <w:rPr>
          <w:color w:val="auto"/>
        </w:rPr>
        <w:t>DoDI</w:t>
      </w:r>
      <w:proofErr w:type="spellEnd"/>
      <w:r w:rsidRPr="00CE6AA0">
        <w:rPr>
          <w:color w:val="auto"/>
        </w:rPr>
        <w:t xml:space="preserve"> 1332.39 and preceded the promulgation of the National Defense Authorization Act (NDAA) 2008 mandate for DOD adherence to </w:t>
      </w:r>
      <w:r w:rsidR="00B50753">
        <w:rPr>
          <w:color w:val="auto"/>
        </w:rPr>
        <w:t>Veterans Administration Schedule for Rating Disabilities (</w:t>
      </w:r>
      <w:r w:rsidRPr="00CE6AA0">
        <w:rPr>
          <w:color w:val="auto"/>
        </w:rPr>
        <w:t>VASRD</w:t>
      </w:r>
      <w:r w:rsidR="00B50753">
        <w:rPr>
          <w:color w:val="auto"/>
        </w:rPr>
        <w:t>)</w:t>
      </w:r>
      <w:r w:rsidRPr="00CE6AA0">
        <w:rPr>
          <w:color w:val="auto"/>
        </w:rPr>
        <w:t xml:space="preserve"> §4.129.  IAW </w:t>
      </w:r>
      <w:proofErr w:type="spellStart"/>
      <w:r w:rsidRPr="00CE6AA0">
        <w:rPr>
          <w:color w:val="auto"/>
        </w:rPr>
        <w:t>DoDI</w:t>
      </w:r>
      <w:proofErr w:type="spellEnd"/>
      <w:r w:rsidRPr="00CE6AA0">
        <w:rPr>
          <w:color w:val="auto"/>
        </w:rPr>
        <w:t xml:space="preserve"> 6040.44 and DOD guidance (which applies current VASRD §4.129 to all Board cases), the Board is obligated to recommend a minimum 50% PTSD rating for a retroactive six month period of Temporary Disability Retired List (TDRL).  The Board must then determine the most appropriate fit with VASRD §4.130 criteria at six months for its permanent rating recommendation.  The MEB psychiatric evaluation, under §4.130 criteria, would rate no higher than 50% and the minimum TDRL rating of 50% applies.  The most proximate source of comprehensive evidence on which to base the permanent rating recommendation in this case is the VA psychiatric rating evaluation </w:t>
      </w:r>
      <w:r w:rsidR="00D17A26" w:rsidRPr="00CE6AA0">
        <w:rPr>
          <w:color w:val="auto"/>
        </w:rPr>
        <w:t>4</w:t>
      </w:r>
      <w:r w:rsidRPr="00CE6AA0">
        <w:rPr>
          <w:color w:val="auto"/>
        </w:rPr>
        <w:t xml:space="preserve"> months after separation.  </w:t>
      </w:r>
      <w:r w:rsidR="003D30C5" w:rsidRPr="00CE6AA0">
        <w:rPr>
          <w:color w:val="auto"/>
        </w:rPr>
        <w:t>T</w:t>
      </w:r>
      <w:r w:rsidRPr="00CE6AA0">
        <w:rPr>
          <w:color w:val="auto"/>
        </w:rPr>
        <w:t xml:space="preserve">hat exam was fairly close to the </w:t>
      </w:r>
      <w:r w:rsidR="00B50753">
        <w:rPr>
          <w:color w:val="auto"/>
        </w:rPr>
        <w:t>6</w:t>
      </w:r>
      <w:r w:rsidRPr="00CE6AA0">
        <w:rPr>
          <w:color w:val="auto"/>
        </w:rPr>
        <w:t xml:space="preserve"> month post-separation rating period, and treatment notes indicated </w:t>
      </w:r>
      <w:r w:rsidR="00D17A26" w:rsidRPr="00CE6AA0">
        <w:rPr>
          <w:color w:val="auto"/>
        </w:rPr>
        <w:t xml:space="preserve">no </w:t>
      </w:r>
      <w:r w:rsidRPr="00CE6AA0">
        <w:rPr>
          <w:color w:val="auto"/>
        </w:rPr>
        <w:t xml:space="preserve">significant </w:t>
      </w:r>
      <w:r w:rsidR="00D17A26" w:rsidRPr="00CE6AA0">
        <w:rPr>
          <w:color w:val="auto"/>
        </w:rPr>
        <w:t xml:space="preserve">improvements during </w:t>
      </w:r>
      <w:r w:rsidR="003D30C5" w:rsidRPr="00CE6AA0">
        <w:rPr>
          <w:color w:val="auto"/>
        </w:rPr>
        <w:t>th</w:t>
      </w:r>
      <w:r w:rsidR="00D17A26" w:rsidRPr="00CE6AA0">
        <w:rPr>
          <w:color w:val="auto"/>
        </w:rPr>
        <w:t>e year after separation</w:t>
      </w:r>
      <w:r w:rsidR="00233C5B" w:rsidRPr="00CE6AA0">
        <w:rPr>
          <w:color w:val="auto"/>
        </w:rPr>
        <w:t xml:space="preserve">.  It therefore </w:t>
      </w:r>
      <w:r w:rsidRPr="00CE6AA0">
        <w:rPr>
          <w:color w:val="auto"/>
        </w:rPr>
        <w:t>serves as the primary basis for the Board’s permanent rating recommendation</w:t>
      </w:r>
      <w:r w:rsidR="00233C5B" w:rsidRPr="00CE6AA0">
        <w:rPr>
          <w:color w:val="auto"/>
        </w:rPr>
        <w:t xml:space="preserve"> under §4.130</w:t>
      </w:r>
      <w:r w:rsidRPr="00CE6AA0">
        <w:rPr>
          <w:color w:val="auto"/>
        </w:rPr>
        <w:t xml:space="preserve">.  Although the CI had </w:t>
      </w:r>
      <w:r w:rsidR="003D30C5" w:rsidRPr="00CE6AA0">
        <w:rPr>
          <w:color w:val="auto"/>
        </w:rPr>
        <w:t>some alcohol abuse issues</w:t>
      </w:r>
      <w:r w:rsidRPr="00CE6AA0">
        <w:rPr>
          <w:color w:val="auto"/>
        </w:rPr>
        <w:t xml:space="preserve">, this </w:t>
      </w:r>
      <w:r w:rsidR="003D30C5" w:rsidRPr="00CE6AA0">
        <w:rPr>
          <w:color w:val="auto"/>
        </w:rPr>
        <w:t xml:space="preserve">appeared to </w:t>
      </w:r>
      <w:r w:rsidR="00007B31" w:rsidRPr="00CE6AA0">
        <w:rPr>
          <w:color w:val="auto"/>
        </w:rPr>
        <w:t>be secondary to his PTSD</w:t>
      </w:r>
      <w:r w:rsidRPr="00CE6AA0">
        <w:rPr>
          <w:color w:val="auto"/>
        </w:rPr>
        <w:t xml:space="preserve">.  </w:t>
      </w:r>
      <w:r w:rsidR="00007B31" w:rsidRPr="00CE6AA0">
        <w:rPr>
          <w:color w:val="auto"/>
        </w:rPr>
        <w:t xml:space="preserve">The CI’s MDD was considered inclusive with the CI’s PTSD for disability rating.  All </w:t>
      </w:r>
      <w:r w:rsidRPr="00CE6AA0">
        <w:rPr>
          <w:color w:val="auto"/>
        </w:rPr>
        <w:t xml:space="preserve">of the CI’s mental health impairment was therefore considered to be service </w:t>
      </w:r>
      <w:r w:rsidRPr="00CE6AA0">
        <w:rPr>
          <w:color w:val="auto"/>
        </w:rPr>
        <w:lastRenderedPageBreak/>
        <w:t xml:space="preserve">connected and ratable under the PTSD code.  </w:t>
      </w:r>
      <w:r w:rsidR="00233C5B" w:rsidRPr="00CE6AA0">
        <w:rPr>
          <w:color w:val="auto"/>
        </w:rPr>
        <w:t>A</w:t>
      </w:r>
      <w:r w:rsidRPr="00CE6AA0">
        <w:rPr>
          <w:color w:val="auto"/>
        </w:rPr>
        <w:t xml:space="preserve">t the time of the VA rating exam, </w:t>
      </w:r>
      <w:r w:rsidR="00233C5B" w:rsidRPr="00CE6AA0">
        <w:rPr>
          <w:color w:val="auto"/>
        </w:rPr>
        <w:t xml:space="preserve">the CI </w:t>
      </w:r>
      <w:r w:rsidR="00AA59E0" w:rsidRPr="00CE6AA0">
        <w:rPr>
          <w:color w:val="auto"/>
        </w:rPr>
        <w:t>had been</w:t>
      </w:r>
      <w:r w:rsidR="00233C5B" w:rsidRPr="00CE6AA0">
        <w:rPr>
          <w:color w:val="auto"/>
        </w:rPr>
        <w:t xml:space="preserve"> employed for 1 month, and was having occupational difficulties at work related to his PTSD symptoms.  </w:t>
      </w:r>
      <w:r w:rsidR="00310FA8" w:rsidRPr="00CE6AA0">
        <w:rPr>
          <w:color w:val="auto"/>
        </w:rPr>
        <w:t>He</w:t>
      </w:r>
      <w:r w:rsidR="000B3736" w:rsidRPr="00CE6AA0">
        <w:rPr>
          <w:color w:val="auto"/>
        </w:rPr>
        <w:t xml:space="preserve"> </w:t>
      </w:r>
      <w:r w:rsidR="00310FA8" w:rsidRPr="00CE6AA0">
        <w:rPr>
          <w:color w:val="auto"/>
        </w:rPr>
        <w:t xml:space="preserve">was not undergoing therapy and </w:t>
      </w:r>
      <w:r w:rsidR="000B3736" w:rsidRPr="00CE6AA0">
        <w:rPr>
          <w:color w:val="auto"/>
        </w:rPr>
        <w:t>reported almost daily intrusive memories, nightmares, irritability, anger problems, difficulty with falling and staying sleep, exaggerated sta</w:t>
      </w:r>
      <w:r w:rsidR="00310FA8" w:rsidRPr="00CE6AA0">
        <w:rPr>
          <w:color w:val="auto"/>
        </w:rPr>
        <w:t>rt</w:t>
      </w:r>
      <w:r w:rsidR="000B3736" w:rsidRPr="00CE6AA0">
        <w:rPr>
          <w:color w:val="auto"/>
        </w:rPr>
        <w:t xml:space="preserve">le response, flashbacks, </w:t>
      </w:r>
      <w:proofErr w:type="spellStart"/>
      <w:r w:rsidR="000B3736" w:rsidRPr="00CE6AA0">
        <w:rPr>
          <w:color w:val="auto"/>
        </w:rPr>
        <w:t>hypervigilance</w:t>
      </w:r>
      <w:proofErr w:type="spellEnd"/>
      <w:r w:rsidR="000B3736" w:rsidRPr="00CE6AA0">
        <w:rPr>
          <w:color w:val="auto"/>
        </w:rPr>
        <w:t xml:space="preserve">, arousal symptoms, avoidance, numbing symptoms, low self esteem, and feelings of worthlessness. </w:t>
      </w:r>
      <w:r w:rsidR="00310FA8" w:rsidRPr="00CE6AA0">
        <w:rPr>
          <w:color w:val="auto"/>
        </w:rPr>
        <w:t xml:space="preserve">He reported social isolation, and symptoms of depression.  There was a linkage made to the CI’s shoulder and back pain to increased PTSD symptoms.  The examiner noted </w:t>
      </w:r>
      <w:r w:rsidR="000B3736" w:rsidRPr="00CE6AA0">
        <w:rPr>
          <w:color w:val="auto"/>
        </w:rPr>
        <w:t xml:space="preserve">speech was clear and coherent, but dull and monotone; </w:t>
      </w:r>
      <w:r w:rsidR="00310FA8" w:rsidRPr="00CE6AA0">
        <w:rPr>
          <w:color w:val="auto"/>
        </w:rPr>
        <w:t>affect was constricted with depr</w:t>
      </w:r>
      <w:r w:rsidR="00D17A26" w:rsidRPr="00CE6AA0">
        <w:rPr>
          <w:color w:val="auto"/>
        </w:rPr>
        <w:t>essed mood</w:t>
      </w:r>
      <w:r w:rsidR="00310FA8" w:rsidRPr="00CE6AA0">
        <w:rPr>
          <w:color w:val="auto"/>
        </w:rPr>
        <w:t xml:space="preserve">.  The CI </w:t>
      </w:r>
      <w:r w:rsidR="000B3736" w:rsidRPr="00CE6AA0">
        <w:rPr>
          <w:color w:val="auto"/>
        </w:rPr>
        <w:t xml:space="preserve">admitted frequent suicidal ideation, but denied current plan or intent; thought processes were </w:t>
      </w:r>
      <w:r w:rsidR="00310FA8" w:rsidRPr="00CE6AA0">
        <w:rPr>
          <w:color w:val="auto"/>
        </w:rPr>
        <w:t>l</w:t>
      </w:r>
      <w:r w:rsidR="000B3736" w:rsidRPr="00CE6AA0">
        <w:rPr>
          <w:color w:val="auto"/>
        </w:rPr>
        <w:t>ogica</w:t>
      </w:r>
      <w:r w:rsidR="00310FA8" w:rsidRPr="00CE6AA0">
        <w:rPr>
          <w:color w:val="auto"/>
        </w:rPr>
        <w:t>l</w:t>
      </w:r>
      <w:r w:rsidR="000B3736" w:rsidRPr="00CE6AA0">
        <w:rPr>
          <w:color w:val="auto"/>
        </w:rPr>
        <w:t xml:space="preserve"> and goal directed</w:t>
      </w:r>
      <w:r w:rsidR="00310FA8" w:rsidRPr="00CE6AA0">
        <w:rPr>
          <w:color w:val="auto"/>
        </w:rPr>
        <w:t xml:space="preserve">.  The examiner stated ‘He reported that intrusive symptoms may often have a hallucinatory quality of vividness. Insight and judgment were limited.’  ‘Suicidal or homicidal thoughts - Veteran reports frequent thoughts that his family would be better off without him, and have suicidal ideation. Has not progress to planning or serious intent.’ </w:t>
      </w:r>
      <w:r w:rsidR="00D120E1" w:rsidRPr="00CE6AA0">
        <w:rPr>
          <w:color w:val="auto"/>
        </w:rPr>
        <w:t>T</w:t>
      </w:r>
      <w:r w:rsidR="000B3736" w:rsidRPr="00CE6AA0">
        <w:rPr>
          <w:color w:val="auto"/>
        </w:rPr>
        <w:t xml:space="preserve">here was no impairment of thought process; communication was </w:t>
      </w:r>
      <w:r w:rsidR="00D120E1" w:rsidRPr="00CE6AA0">
        <w:rPr>
          <w:color w:val="auto"/>
        </w:rPr>
        <w:t>‘</w:t>
      </w:r>
      <w:r w:rsidR="000B3736" w:rsidRPr="00CE6AA0">
        <w:rPr>
          <w:color w:val="auto"/>
        </w:rPr>
        <w:t>seriously impaired by irritability and anger</w:t>
      </w:r>
      <w:r w:rsidR="00D120E1" w:rsidRPr="00CE6AA0">
        <w:rPr>
          <w:color w:val="auto"/>
        </w:rPr>
        <w:t>’,</w:t>
      </w:r>
      <w:r w:rsidR="000B3736" w:rsidRPr="00CE6AA0">
        <w:rPr>
          <w:color w:val="auto"/>
        </w:rPr>
        <w:t xml:space="preserve"> there was no evidence of obsessive behaviors, panic attacks, or anxiety symptoms.</w:t>
      </w:r>
      <w:r w:rsidR="00D120E1" w:rsidRPr="00CE6AA0">
        <w:rPr>
          <w:color w:val="auto"/>
        </w:rPr>
        <w:t xml:space="preserve">  </w:t>
      </w:r>
      <w:r w:rsidRPr="00CE6AA0">
        <w:rPr>
          <w:color w:val="auto"/>
        </w:rPr>
        <w:t xml:space="preserve">Global functioning </w:t>
      </w:r>
      <w:r w:rsidR="00B50753">
        <w:rPr>
          <w:color w:val="auto"/>
        </w:rPr>
        <w:t xml:space="preserve">(GAF) </w:t>
      </w:r>
      <w:r w:rsidRPr="00CE6AA0">
        <w:rPr>
          <w:color w:val="auto"/>
        </w:rPr>
        <w:t>was assessed in the range of serious impairment</w:t>
      </w:r>
      <w:r w:rsidR="000B3736" w:rsidRPr="00CE6AA0">
        <w:rPr>
          <w:color w:val="auto"/>
        </w:rPr>
        <w:t xml:space="preserve"> (GAF=</w:t>
      </w:r>
      <w:r w:rsidR="00233C5B" w:rsidRPr="00CE6AA0">
        <w:rPr>
          <w:color w:val="auto"/>
        </w:rPr>
        <w:t>45</w:t>
      </w:r>
      <w:r w:rsidR="000B3736" w:rsidRPr="00CE6AA0">
        <w:rPr>
          <w:color w:val="auto"/>
        </w:rPr>
        <w:t xml:space="preserve">; vice 60 at MEB evaluation, and 50 on VA evaluation at </w:t>
      </w:r>
      <w:r w:rsidR="006108EC" w:rsidRPr="00CE6AA0">
        <w:rPr>
          <w:color w:val="auto"/>
        </w:rPr>
        <w:t>32 months</w:t>
      </w:r>
      <w:r w:rsidRPr="00CE6AA0">
        <w:rPr>
          <w:color w:val="auto"/>
        </w:rPr>
        <w:t xml:space="preserve">).  </w:t>
      </w:r>
      <w:r w:rsidR="001E0F51" w:rsidRPr="00CE6AA0">
        <w:rPr>
          <w:color w:val="auto"/>
        </w:rPr>
        <w:t>The examiner did not indicate MDD or Psychological Factors as AXI</w:t>
      </w:r>
      <w:r w:rsidR="00F52975">
        <w:rPr>
          <w:color w:val="auto"/>
        </w:rPr>
        <w:t>S</w:t>
      </w:r>
      <w:r w:rsidR="001E0F51" w:rsidRPr="00CE6AA0">
        <w:rPr>
          <w:color w:val="auto"/>
        </w:rPr>
        <w:t xml:space="preserve"> I diagnoses.  </w:t>
      </w:r>
      <w:r w:rsidR="00D120E1" w:rsidRPr="00CE6AA0">
        <w:rPr>
          <w:color w:val="auto"/>
        </w:rPr>
        <w:t>The VA rated this exam as 50% by criteria of §4.130 (not §4.129)</w:t>
      </w:r>
      <w:r w:rsidR="001E0F51" w:rsidRPr="00CE6AA0">
        <w:rPr>
          <w:color w:val="auto"/>
        </w:rPr>
        <w:t xml:space="preserve">.  </w:t>
      </w:r>
      <w:r w:rsidR="00AA59E0" w:rsidRPr="00CE6AA0">
        <w:rPr>
          <w:color w:val="auto"/>
        </w:rPr>
        <w:t xml:space="preserve">The VA </w:t>
      </w:r>
      <w:r w:rsidR="00B50753">
        <w:rPr>
          <w:color w:val="auto"/>
        </w:rPr>
        <w:t>Compensation and Pension (</w:t>
      </w:r>
      <w:r w:rsidR="00AA59E0" w:rsidRPr="00CE6AA0">
        <w:rPr>
          <w:color w:val="auto"/>
        </w:rPr>
        <w:t>C&amp;P</w:t>
      </w:r>
      <w:r w:rsidR="00B50753">
        <w:rPr>
          <w:color w:val="auto"/>
        </w:rPr>
        <w:t>)</w:t>
      </w:r>
      <w:r w:rsidR="00AA59E0" w:rsidRPr="00CE6AA0">
        <w:rPr>
          <w:color w:val="auto"/>
        </w:rPr>
        <w:t xml:space="preserve"> eval</w:t>
      </w:r>
      <w:r w:rsidR="00850584" w:rsidRPr="00CE6AA0">
        <w:rPr>
          <w:color w:val="auto"/>
        </w:rPr>
        <w:t>uation</w:t>
      </w:r>
      <w:r w:rsidR="00AA59E0" w:rsidRPr="00CE6AA0">
        <w:rPr>
          <w:color w:val="auto"/>
        </w:rPr>
        <w:t xml:space="preserve"> of 32 months after separation </w:t>
      </w:r>
      <w:r w:rsidR="00850584" w:rsidRPr="00CE6AA0">
        <w:rPr>
          <w:color w:val="auto"/>
        </w:rPr>
        <w:t xml:space="preserve">is beyond the 12 month special attention window for the Board, but provides useful historical information about the </w:t>
      </w:r>
      <w:r w:rsidR="006108EC" w:rsidRPr="00CE6AA0">
        <w:rPr>
          <w:color w:val="auto"/>
        </w:rPr>
        <w:t>CI’s stable PTSD symptoms</w:t>
      </w:r>
      <w:r w:rsidR="0087648C" w:rsidRPr="00CE6AA0">
        <w:rPr>
          <w:color w:val="auto"/>
        </w:rPr>
        <w:t>, and was accomplished by the same examiner as the VA’s earlier initial PTSD evaluation</w:t>
      </w:r>
      <w:r w:rsidR="006108EC" w:rsidRPr="00CE6AA0">
        <w:rPr>
          <w:color w:val="auto"/>
        </w:rPr>
        <w:t>.  Th</w:t>
      </w:r>
      <w:r w:rsidR="0087648C" w:rsidRPr="00CE6AA0">
        <w:rPr>
          <w:color w:val="auto"/>
        </w:rPr>
        <w:t>e</w:t>
      </w:r>
      <w:r w:rsidR="006108EC" w:rsidRPr="00CE6AA0">
        <w:rPr>
          <w:color w:val="auto"/>
        </w:rPr>
        <w:t xml:space="preserve"> </w:t>
      </w:r>
      <w:r w:rsidR="00AA59E0" w:rsidRPr="00CE6AA0">
        <w:rPr>
          <w:color w:val="auto"/>
        </w:rPr>
        <w:t>examiner stated ‘reported complaints essentially the same as when last seen 2</w:t>
      </w:r>
      <w:r w:rsidR="00B50753">
        <w:rPr>
          <w:color w:val="auto"/>
        </w:rPr>
        <w:t xml:space="preserve"> </w:t>
      </w:r>
      <w:r w:rsidR="00AA59E0" w:rsidRPr="00CE6AA0">
        <w:rPr>
          <w:color w:val="auto"/>
        </w:rPr>
        <w:t>years ago</w:t>
      </w:r>
      <w:r w:rsidR="006108EC" w:rsidRPr="00CE6AA0">
        <w:rPr>
          <w:color w:val="auto"/>
        </w:rPr>
        <w:t>.</w:t>
      </w:r>
      <w:r w:rsidR="00AA59E0" w:rsidRPr="00CE6AA0">
        <w:rPr>
          <w:color w:val="auto"/>
        </w:rPr>
        <w:t xml:space="preserve">’ </w:t>
      </w:r>
      <w:r w:rsidR="006108EC" w:rsidRPr="00CE6AA0">
        <w:rPr>
          <w:color w:val="auto"/>
        </w:rPr>
        <w:t xml:space="preserve"> T</w:t>
      </w:r>
      <w:r w:rsidR="00850584" w:rsidRPr="00CE6AA0">
        <w:rPr>
          <w:color w:val="auto"/>
        </w:rPr>
        <w:t>he CI was still employed and continued with work and family difficulties, alcohol abuse and a GAF of 50.</w:t>
      </w:r>
      <w:r w:rsidR="00850584" w:rsidRPr="00CE6AA0">
        <w:rPr>
          <w:color w:val="auto"/>
          <w:sz w:val="20"/>
        </w:rPr>
        <w:t xml:space="preserve"> </w:t>
      </w:r>
      <w:r w:rsidR="006108EC" w:rsidRPr="00CE6AA0">
        <w:rPr>
          <w:color w:val="auto"/>
          <w:sz w:val="20"/>
        </w:rPr>
        <w:t xml:space="preserve"> </w:t>
      </w:r>
      <w:r w:rsidR="00850584" w:rsidRPr="00CE6AA0">
        <w:rPr>
          <w:color w:val="auto"/>
        </w:rPr>
        <w:t xml:space="preserve">The examiner’s assessment was ‘There is a direct link between PTSD symptoms, particularly arousal and numbing, and psychosocial impairment in almost all areas of his life, and a notable decrease in quality of life.’  </w:t>
      </w:r>
      <w:r w:rsidRPr="00CE6AA0">
        <w:rPr>
          <w:color w:val="auto"/>
        </w:rPr>
        <w:t xml:space="preserve">All Board members agreed that reasonable doubt was insufficient to support a </w:t>
      </w:r>
      <w:r w:rsidR="00D120E1" w:rsidRPr="00CE6AA0">
        <w:rPr>
          <w:color w:val="auto"/>
        </w:rPr>
        <w:t>10</w:t>
      </w:r>
      <w:r w:rsidRPr="00CE6AA0">
        <w:rPr>
          <w:color w:val="auto"/>
        </w:rPr>
        <w:t xml:space="preserve">0% rating under §4.130 based on this evaluation, and that the </w:t>
      </w:r>
      <w:r w:rsidR="00D120E1" w:rsidRPr="00CE6AA0">
        <w:rPr>
          <w:color w:val="auto"/>
        </w:rPr>
        <w:t>3</w:t>
      </w:r>
      <w:r w:rsidRPr="00CE6AA0">
        <w:rPr>
          <w:color w:val="auto"/>
        </w:rPr>
        <w:t xml:space="preserve">0% threshold was well exceeded.  The Board deliberated therefore primarily between </w:t>
      </w:r>
      <w:r w:rsidR="00D120E1" w:rsidRPr="00CE6AA0">
        <w:rPr>
          <w:color w:val="auto"/>
        </w:rPr>
        <w:t>7</w:t>
      </w:r>
      <w:r w:rsidRPr="00CE6AA0">
        <w:rPr>
          <w:color w:val="auto"/>
        </w:rPr>
        <w:t xml:space="preserve">0% vs. </w:t>
      </w:r>
      <w:r w:rsidR="00D120E1" w:rsidRPr="00CE6AA0">
        <w:rPr>
          <w:color w:val="auto"/>
        </w:rPr>
        <w:t>5</w:t>
      </w:r>
      <w:r w:rsidRPr="00CE6AA0">
        <w:rPr>
          <w:color w:val="auto"/>
        </w:rPr>
        <w:t xml:space="preserve">0% as the permanent rating recommendation IAW §4.130.  The general description for a 50% rating states, ‘occupational and social impairment with reduced reliability and productivity’.  </w:t>
      </w:r>
      <w:r w:rsidR="001E0F51" w:rsidRPr="00CE6AA0">
        <w:rPr>
          <w:color w:val="auto"/>
        </w:rPr>
        <w:t xml:space="preserve">Although </w:t>
      </w:r>
      <w:r w:rsidR="0087648C" w:rsidRPr="00CE6AA0">
        <w:rPr>
          <w:color w:val="auto"/>
        </w:rPr>
        <w:t xml:space="preserve">at 32 months after separation </w:t>
      </w:r>
      <w:r w:rsidR="001E0F51" w:rsidRPr="00CE6AA0">
        <w:rPr>
          <w:color w:val="auto"/>
        </w:rPr>
        <w:t xml:space="preserve">the examiner stated ‘In summary, veteran has shown continued impairments in functioning since his return from Iraq in almost all life areas, including self-care, social and family relations, physical health and health behaviors and </w:t>
      </w:r>
      <w:r w:rsidR="0087648C" w:rsidRPr="00CE6AA0">
        <w:rPr>
          <w:color w:val="auto"/>
        </w:rPr>
        <w:t>recreational/leisure activities,</w:t>
      </w:r>
      <w:r w:rsidR="001E0F51" w:rsidRPr="00CE6AA0">
        <w:rPr>
          <w:color w:val="auto"/>
        </w:rPr>
        <w:t xml:space="preserve">’ there was no deficit in thought or judgment. </w:t>
      </w:r>
      <w:r w:rsidRPr="00CE6AA0">
        <w:rPr>
          <w:color w:val="auto"/>
        </w:rPr>
        <w:t xml:space="preserve"> </w:t>
      </w:r>
      <w:r w:rsidR="0087648C" w:rsidRPr="00CE6AA0">
        <w:rPr>
          <w:color w:val="auto"/>
        </w:rPr>
        <w:t xml:space="preserve">There appeared to have been some worsening of symptoms since the 4 month post separation </w:t>
      </w:r>
      <w:r w:rsidR="0087648C" w:rsidRPr="00CE6AA0">
        <w:rPr>
          <w:color w:val="auto"/>
        </w:rPr>
        <w:lastRenderedPageBreak/>
        <w:t xml:space="preserve">evaluation, despite a slightly higher GAF.  </w:t>
      </w:r>
      <w:r w:rsidRPr="00CE6AA0">
        <w:rPr>
          <w:color w:val="auto"/>
        </w:rPr>
        <w:t>In addition to the general description of occupational and social impairment, the §4.130 general formula fleshes out each rating description with a list of features or symptoms as example</w:t>
      </w:r>
      <w:r w:rsidR="0087648C" w:rsidRPr="00CE6AA0">
        <w:rPr>
          <w:color w:val="auto"/>
        </w:rPr>
        <w:t>s for this level of impairment.</w:t>
      </w:r>
      <w:r w:rsidRPr="00CE6AA0">
        <w:rPr>
          <w:color w:val="auto"/>
        </w:rPr>
        <w:t xml:space="preserve">  This helps to determine a potential level of psychiatric impairment regardless of how well or poorly the veteran is actually faring with work and social activities at the time.  Of nine such descriptors under the </w:t>
      </w:r>
      <w:r w:rsidR="00D120E1" w:rsidRPr="00CE6AA0">
        <w:rPr>
          <w:color w:val="auto"/>
        </w:rPr>
        <w:t>7</w:t>
      </w:r>
      <w:r w:rsidRPr="00CE6AA0">
        <w:rPr>
          <w:color w:val="auto"/>
        </w:rPr>
        <w:t xml:space="preserve">0% rating, three were likely manifest at six months.  Of the </w:t>
      </w:r>
      <w:r w:rsidR="00D120E1" w:rsidRPr="00CE6AA0">
        <w:rPr>
          <w:color w:val="auto"/>
        </w:rPr>
        <w:t>nine</w:t>
      </w:r>
      <w:r w:rsidRPr="00CE6AA0">
        <w:rPr>
          <w:color w:val="auto"/>
        </w:rPr>
        <w:t xml:space="preserve"> descriptors listed for the </w:t>
      </w:r>
      <w:r w:rsidR="00D120E1" w:rsidRPr="00CE6AA0">
        <w:rPr>
          <w:color w:val="auto"/>
        </w:rPr>
        <w:t>5</w:t>
      </w:r>
      <w:r w:rsidRPr="00CE6AA0">
        <w:rPr>
          <w:color w:val="auto"/>
        </w:rPr>
        <w:t xml:space="preserve">0% rating, </w:t>
      </w:r>
      <w:r w:rsidR="0087648C" w:rsidRPr="00CE6AA0">
        <w:rPr>
          <w:color w:val="auto"/>
        </w:rPr>
        <w:t>three</w:t>
      </w:r>
      <w:r w:rsidRPr="00CE6AA0">
        <w:rPr>
          <w:color w:val="auto"/>
        </w:rPr>
        <w:t xml:space="preserve"> were likely manifest at six months. </w:t>
      </w:r>
      <w:r w:rsidR="00D120E1" w:rsidRPr="00CE6AA0">
        <w:rPr>
          <w:color w:val="auto"/>
        </w:rPr>
        <w:t xml:space="preserve"> </w:t>
      </w:r>
      <w:r w:rsidRPr="00CE6AA0">
        <w:rPr>
          <w:color w:val="auto"/>
        </w:rPr>
        <w:t xml:space="preserve">After due deliberation, the Board agreed that a permanent PTSD rating of </w:t>
      </w:r>
      <w:r w:rsidR="00007B31" w:rsidRPr="00CE6AA0">
        <w:rPr>
          <w:color w:val="auto"/>
        </w:rPr>
        <w:t>5</w:t>
      </w:r>
      <w:r w:rsidRPr="00CE6AA0">
        <w:rPr>
          <w:color w:val="auto"/>
        </w:rPr>
        <w:t>0% is the most representative of impairment and a fair recommendation in this case.</w:t>
      </w:r>
    </w:p>
    <w:p w:rsidR="00EC593D" w:rsidRPr="00CE6AA0" w:rsidRDefault="00EC593D" w:rsidP="002C6E5B">
      <w:pPr>
        <w:tabs>
          <w:tab w:val="left" w:pos="288"/>
          <w:tab w:val="left" w:pos="4752"/>
        </w:tabs>
        <w:spacing w:line="240" w:lineRule="exact"/>
        <w:jc w:val="both"/>
        <w:rPr>
          <w:color w:val="auto"/>
        </w:rPr>
      </w:pPr>
    </w:p>
    <w:p w:rsidR="00043C05" w:rsidRPr="00F52975" w:rsidRDefault="00892347" w:rsidP="002C6E5B">
      <w:pPr>
        <w:tabs>
          <w:tab w:val="left" w:pos="288"/>
          <w:tab w:val="left" w:pos="4752"/>
        </w:tabs>
        <w:spacing w:line="240" w:lineRule="exact"/>
        <w:jc w:val="both"/>
        <w:rPr>
          <w:color w:val="auto"/>
        </w:rPr>
      </w:pPr>
      <w:proofErr w:type="gramStart"/>
      <w:r w:rsidRPr="00CE6AA0">
        <w:rPr>
          <w:color w:val="auto"/>
          <w:u w:val="single"/>
        </w:rPr>
        <w:t>Chronic Right Shoulder &amp; Knee Pain Conditions</w:t>
      </w:r>
      <w:r w:rsidRPr="00CE6AA0">
        <w:rPr>
          <w:color w:val="auto"/>
        </w:rPr>
        <w:t>.</w:t>
      </w:r>
      <w:proofErr w:type="gramEnd"/>
      <w:r w:rsidRPr="00CE6AA0">
        <w:rPr>
          <w:color w:val="auto"/>
        </w:rPr>
        <w:t xml:space="preserve">  The PEB </w:t>
      </w:r>
      <w:r w:rsidR="00043C05" w:rsidRPr="00CE6AA0">
        <w:rPr>
          <w:color w:val="auto"/>
        </w:rPr>
        <w:t xml:space="preserve">combined the right shoulder and </w:t>
      </w:r>
      <w:r w:rsidR="00311638" w:rsidRPr="00CE6AA0">
        <w:rPr>
          <w:color w:val="auto"/>
        </w:rPr>
        <w:t xml:space="preserve">right </w:t>
      </w:r>
      <w:r w:rsidR="00043C05" w:rsidRPr="00CE6AA0">
        <w:rPr>
          <w:color w:val="auto"/>
        </w:rPr>
        <w:t xml:space="preserve">knee into a single rating IAW the USAPDA Pain Policy.  IAW </w:t>
      </w:r>
      <w:r w:rsidR="001E0F51" w:rsidRPr="00CE6AA0">
        <w:rPr>
          <w:color w:val="auto"/>
        </w:rPr>
        <w:t>the VASRD</w:t>
      </w:r>
      <w:r w:rsidR="00311638" w:rsidRPr="00CE6AA0">
        <w:rPr>
          <w:color w:val="auto"/>
        </w:rPr>
        <w:t xml:space="preserve"> alone</w:t>
      </w:r>
      <w:r w:rsidR="001E0F51" w:rsidRPr="00CE6AA0">
        <w:rPr>
          <w:color w:val="auto"/>
        </w:rPr>
        <w:t xml:space="preserve">, these conditions will </w:t>
      </w:r>
      <w:r w:rsidR="001E0F51" w:rsidRPr="00F52975">
        <w:rPr>
          <w:color w:val="auto"/>
        </w:rPr>
        <w:t xml:space="preserve">be discussed and rated separately.  </w:t>
      </w:r>
      <w:r w:rsidR="00043C05" w:rsidRPr="00F52975">
        <w:rPr>
          <w:color w:val="auto"/>
        </w:rPr>
        <w:t xml:space="preserve"> </w:t>
      </w:r>
    </w:p>
    <w:p w:rsidR="00EC593D" w:rsidRPr="00F52975" w:rsidRDefault="00892347" w:rsidP="002C6E5B">
      <w:pPr>
        <w:tabs>
          <w:tab w:val="left" w:pos="288"/>
          <w:tab w:val="left" w:pos="4752"/>
        </w:tabs>
        <w:spacing w:line="240" w:lineRule="exact"/>
        <w:jc w:val="both"/>
        <w:rPr>
          <w:color w:val="auto"/>
        </w:rPr>
      </w:pPr>
      <w:r w:rsidRPr="00F52975">
        <w:rPr>
          <w:color w:val="auto"/>
        </w:rPr>
        <w:t xml:space="preserve">    </w:t>
      </w:r>
    </w:p>
    <w:p w:rsidR="00311638" w:rsidRPr="00F52975" w:rsidRDefault="00311B09" w:rsidP="00023910">
      <w:pPr>
        <w:tabs>
          <w:tab w:val="left" w:pos="288"/>
          <w:tab w:val="left" w:pos="4752"/>
        </w:tabs>
        <w:spacing w:line="240" w:lineRule="exact"/>
        <w:jc w:val="both"/>
        <w:rPr>
          <w:color w:val="auto"/>
          <w:szCs w:val="24"/>
        </w:rPr>
      </w:pPr>
      <w:r w:rsidRPr="00F52975">
        <w:rPr>
          <w:color w:val="auto"/>
          <w:u w:val="single"/>
        </w:rPr>
        <w:t xml:space="preserve">Right Shoulder </w:t>
      </w:r>
      <w:r w:rsidR="00043C05" w:rsidRPr="00F52975">
        <w:rPr>
          <w:color w:val="auto"/>
          <w:u w:val="single"/>
        </w:rPr>
        <w:t>C</w:t>
      </w:r>
      <w:r w:rsidRPr="00F52975">
        <w:rPr>
          <w:color w:val="auto"/>
          <w:u w:val="single"/>
        </w:rPr>
        <w:t>ondition</w:t>
      </w:r>
      <w:r w:rsidRPr="00F52975">
        <w:rPr>
          <w:color w:val="auto"/>
        </w:rPr>
        <w:t>:  The</w:t>
      </w:r>
      <w:r w:rsidR="00E130A8" w:rsidRPr="00F52975">
        <w:rPr>
          <w:color w:val="auto"/>
        </w:rPr>
        <w:t xml:space="preserve"> right handed </w:t>
      </w:r>
      <w:r w:rsidRPr="00F52975">
        <w:rPr>
          <w:color w:val="auto"/>
        </w:rPr>
        <w:t xml:space="preserve">CI was diagnosed with right shoulder rotator cuff </w:t>
      </w:r>
      <w:proofErr w:type="gramStart"/>
      <w:r w:rsidRPr="00F52975">
        <w:rPr>
          <w:color w:val="auto"/>
        </w:rPr>
        <w:t>tear</w:t>
      </w:r>
      <w:proofErr w:type="gramEnd"/>
      <w:r w:rsidRPr="00F52975">
        <w:rPr>
          <w:color w:val="auto"/>
        </w:rPr>
        <w:t xml:space="preserve"> by </w:t>
      </w:r>
      <w:r w:rsidR="00B50753">
        <w:rPr>
          <w:color w:val="auto"/>
        </w:rPr>
        <w:t>Magnetic Resonance Imaging (</w:t>
      </w:r>
      <w:r w:rsidRPr="00F52975">
        <w:rPr>
          <w:color w:val="auto"/>
        </w:rPr>
        <w:t>MRI</w:t>
      </w:r>
      <w:r w:rsidR="00B50753">
        <w:rPr>
          <w:color w:val="auto"/>
        </w:rPr>
        <w:t>)</w:t>
      </w:r>
      <w:r w:rsidRPr="00F52975">
        <w:rPr>
          <w:color w:val="auto"/>
        </w:rPr>
        <w:t xml:space="preserve"> and underwent two surgeries with ‘some improvement.’  He was noted to have ‘a painless, congenital shoulder condition: absence of the right </w:t>
      </w:r>
      <w:proofErr w:type="spellStart"/>
      <w:r w:rsidRPr="00F52975">
        <w:rPr>
          <w:color w:val="auto"/>
        </w:rPr>
        <w:t>serratus</w:t>
      </w:r>
      <w:proofErr w:type="spellEnd"/>
      <w:r w:rsidRPr="00F52975">
        <w:rPr>
          <w:color w:val="auto"/>
        </w:rPr>
        <w:t xml:space="preserve"> anterior and </w:t>
      </w:r>
      <w:proofErr w:type="spellStart"/>
      <w:r w:rsidRPr="00F52975">
        <w:rPr>
          <w:color w:val="auto"/>
        </w:rPr>
        <w:t>pectoralis</w:t>
      </w:r>
      <w:proofErr w:type="spellEnd"/>
      <w:r w:rsidRPr="00F52975">
        <w:rPr>
          <w:color w:val="auto"/>
        </w:rPr>
        <w:t xml:space="preserve"> minor muscles consistent with Poland syndrome</w:t>
      </w:r>
      <w:r w:rsidR="00F52975">
        <w:rPr>
          <w:color w:val="auto"/>
        </w:rPr>
        <w:t>’</w:t>
      </w:r>
      <w:r w:rsidRPr="00F52975">
        <w:rPr>
          <w:color w:val="auto"/>
        </w:rPr>
        <w:t xml:space="preserve"> that indicated a poor prognosis for recovery to the level o</w:t>
      </w:r>
      <w:r w:rsidR="00F52975">
        <w:rPr>
          <w:color w:val="auto"/>
        </w:rPr>
        <w:t>f being able to perform duties.</w:t>
      </w:r>
      <w:r w:rsidRPr="00F52975">
        <w:rPr>
          <w:color w:val="auto"/>
        </w:rPr>
        <w:t xml:space="preserve">  The provider noted that the </w:t>
      </w:r>
      <w:r w:rsidR="00043C05" w:rsidRPr="00F52975">
        <w:rPr>
          <w:color w:val="auto"/>
        </w:rPr>
        <w:t xml:space="preserve">limitations attributed to his </w:t>
      </w:r>
      <w:r w:rsidRPr="00F52975">
        <w:rPr>
          <w:color w:val="auto"/>
        </w:rPr>
        <w:t xml:space="preserve">shoulder </w:t>
      </w:r>
      <w:r w:rsidR="00043C05" w:rsidRPr="00F52975">
        <w:rPr>
          <w:color w:val="auto"/>
        </w:rPr>
        <w:t xml:space="preserve">(and knee) </w:t>
      </w:r>
      <w:r w:rsidRPr="00F52975">
        <w:rPr>
          <w:color w:val="auto"/>
        </w:rPr>
        <w:t xml:space="preserve">condition limited the CI’s ability to recover sufficiently from his </w:t>
      </w:r>
      <w:r w:rsidR="00311638" w:rsidRPr="00F52975">
        <w:rPr>
          <w:color w:val="auto"/>
        </w:rPr>
        <w:t>neck and LBP conditions.</w:t>
      </w:r>
      <w:r w:rsidRPr="00F52975">
        <w:rPr>
          <w:color w:val="auto"/>
        </w:rPr>
        <w:t xml:space="preserve">  </w:t>
      </w:r>
      <w:r w:rsidR="00311638" w:rsidRPr="00F52975">
        <w:rPr>
          <w:color w:val="auto"/>
          <w:szCs w:val="24"/>
        </w:rPr>
        <w:t>There were two goniometric range-of-motion (ROM) evaluations in evidence which the Board weighed in arriving at its rating recommendation. The MEB exam noted flexion and abduction limited to less than 30° by pain.  The VA noted flexion and abduction limited to 90°</w:t>
      </w:r>
      <w:r w:rsidR="00E130A8" w:rsidRPr="00F52975">
        <w:rPr>
          <w:color w:val="auto"/>
          <w:szCs w:val="24"/>
        </w:rPr>
        <w:t>.</w:t>
      </w:r>
      <w:r w:rsidR="00311638" w:rsidRPr="00F52975">
        <w:rPr>
          <w:color w:val="auto"/>
          <w:szCs w:val="24"/>
        </w:rPr>
        <w:t xml:space="preserve">  The military ROM appeared to be from 20060</w:t>
      </w:r>
      <w:r w:rsidR="00E130A8" w:rsidRPr="00F52975">
        <w:rPr>
          <w:color w:val="auto"/>
          <w:szCs w:val="24"/>
        </w:rPr>
        <w:t>706</w:t>
      </w:r>
      <w:r w:rsidR="00311638" w:rsidRPr="00F52975">
        <w:rPr>
          <w:color w:val="auto"/>
          <w:szCs w:val="24"/>
        </w:rPr>
        <w:t xml:space="preserve"> (referenced physical exam) or at latest 20060920 (MEB); however, the CI underwent right shoulder surgeries on 20060301 and 20060808 </w:t>
      </w:r>
      <w:r w:rsidR="00E130A8" w:rsidRPr="00F52975">
        <w:rPr>
          <w:color w:val="auto"/>
          <w:szCs w:val="24"/>
        </w:rPr>
        <w:t xml:space="preserve">so that the military ROMs do not indicate full healing following surgery.  The VA exam was </w:t>
      </w:r>
      <w:r w:rsidR="001631B0" w:rsidRPr="00F52975">
        <w:rPr>
          <w:color w:val="auto"/>
          <w:szCs w:val="24"/>
        </w:rPr>
        <w:t>2</w:t>
      </w:r>
      <w:r w:rsidR="00E130A8" w:rsidRPr="00F52975">
        <w:rPr>
          <w:color w:val="auto"/>
          <w:szCs w:val="24"/>
        </w:rPr>
        <w:t xml:space="preserve"> months after separation and is opined to have a higher probative value for the CI’s permanent right shoulder rating.  The Board determined that the rating for the right shoulder for entry into TDRL </w:t>
      </w:r>
      <w:r w:rsidR="00294496" w:rsidRPr="00F52975">
        <w:rPr>
          <w:color w:val="auto"/>
          <w:szCs w:val="24"/>
        </w:rPr>
        <w:t>should be</w:t>
      </w:r>
      <w:r w:rsidR="00E130A8" w:rsidRPr="00F52975">
        <w:rPr>
          <w:color w:val="auto"/>
          <w:szCs w:val="24"/>
        </w:rPr>
        <w:t xml:space="preserve"> </w:t>
      </w:r>
      <w:r w:rsidR="00D44260" w:rsidRPr="00F52975">
        <w:rPr>
          <w:color w:val="auto"/>
          <w:szCs w:val="24"/>
        </w:rPr>
        <w:t xml:space="preserve">appropriated coded </w:t>
      </w:r>
      <w:r w:rsidR="00E130A8" w:rsidRPr="00F52975">
        <w:rPr>
          <w:color w:val="auto"/>
          <w:szCs w:val="24"/>
        </w:rPr>
        <w:t xml:space="preserve">Right Shoulder arthritis </w:t>
      </w:r>
      <w:r w:rsidR="00294496" w:rsidRPr="00F52975">
        <w:rPr>
          <w:color w:val="auto"/>
          <w:szCs w:val="24"/>
        </w:rPr>
        <w:t xml:space="preserve">due to trauma </w:t>
      </w:r>
      <w:r w:rsidR="00E130A8" w:rsidRPr="00F52975">
        <w:rPr>
          <w:color w:val="auto"/>
          <w:szCs w:val="24"/>
        </w:rPr>
        <w:t>5010-5201 at 30% for Arm, limitation of motion Midway between side and shoulder level</w:t>
      </w:r>
      <w:r w:rsidR="00D44260" w:rsidRPr="00F52975">
        <w:rPr>
          <w:color w:val="auto"/>
          <w:szCs w:val="24"/>
        </w:rPr>
        <w:t>;</w:t>
      </w:r>
      <w:r w:rsidR="00E130A8" w:rsidRPr="00F52975">
        <w:rPr>
          <w:color w:val="auto"/>
          <w:szCs w:val="24"/>
        </w:rPr>
        <w:t xml:space="preserve"> and then a new </w:t>
      </w:r>
      <w:r w:rsidR="00F52975" w:rsidRPr="00F52975">
        <w:rPr>
          <w:color w:val="auto"/>
          <w:szCs w:val="24"/>
        </w:rPr>
        <w:t xml:space="preserve">permanent </w:t>
      </w:r>
      <w:r w:rsidR="00E130A8" w:rsidRPr="00F52975">
        <w:rPr>
          <w:color w:val="auto"/>
          <w:szCs w:val="24"/>
        </w:rPr>
        <w:t xml:space="preserve">rating at the end of the </w:t>
      </w:r>
      <w:r w:rsidR="00F52975" w:rsidRPr="00F52975">
        <w:rPr>
          <w:color w:val="auto"/>
          <w:szCs w:val="24"/>
        </w:rPr>
        <w:t xml:space="preserve">constructive </w:t>
      </w:r>
      <w:r w:rsidR="00B50753">
        <w:rPr>
          <w:color w:val="auto"/>
          <w:szCs w:val="24"/>
        </w:rPr>
        <w:t>6</w:t>
      </w:r>
      <w:r w:rsidR="00E130A8" w:rsidRPr="00F52975">
        <w:rPr>
          <w:color w:val="auto"/>
          <w:szCs w:val="24"/>
        </w:rPr>
        <w:t xml:space="preserve"> month TDRL period (for PTSD) as Right Shoulder arthritis 5010-5201 at 20%</w:t>
      </w:r>
      <w:r w:rsidR="00311638" w:rsidRPr="00F52975">
        <w:rPr>
          <w:color w:val="auto"/>
          <w:szCs w:val="24"/>
        </w:rPr>
        <w:t xml:space="preserve"> </w:t>
      </w:r>
      <w:r w:rsidR="00E130A8" w:rsidRPr="00F52975">
        <w:rPr>
          <w:color w:val="auto"/>
          <w:szCs w:val="24"/>
        </w:rPr>
        <w:t xml:space="preserve">for Arm, limitation of motion at shoulder level.  </w:t>
      </w:r>
    </w:p>
    <w:p w:rsidR="00CE6AA0" w:rsidRPr="00F52975" w:rsidRDefault="00CE6AA0" w:rsidP="00023910">
      <w:pPr>
        <w:spacing w:line="240" w:lineRule="exact"/>
        <w:jc w:val="both"/>
        <w:rPr>
          <w:color w:val="auto"/>
          <w:u w:val="single"/>
        </w:rPr>
      </w:pPr>
    </w:p>
    <w:p w:rsidR="00EC593D" w:rsidRPr="00F52975" w:rsidRDefault="00043C05" w:rsidP="00023910">
      <w:pPr>
        <w:spacing w:line="240" w:lineRule="exact"/>
        <w:jc w:val="both"/>
        <w:rPr>
          <w:rFonts w:eastAsia="Calibri"/>
          <w:sz w:val="18"/>
          <w:szCs w:val="18"/>
        </w:rPr>
      </w:pPr>
      <w:r w:rsidRPr="00F52975">
        <w:rPr>
          <w:color w:val="auto"/>
          <w:u w:val="single"/>
        </w:rPr>
        <w:t>Right Knee Condition</w:t>
      </w:r>
      <w:r w:rsidR="00D44260" w:rsidRPr="00F52975">
        <w:rPr>
          <w:color w:val="auto"/>
        </w:rPr>
        <w:t>:  There were two goniometric ROM evaluations in evidence which the Board weighed in arriving at its rating recommendation.  Neither exam demonstrated limited ROM to the level of rating for limitation of flexion or extension; however</w:t>
      </w:r>
      <w:r w:rsidR="00F52975">
        <w:rPr>
          <w:color w:val="auto"/>
        </w:rPr>
        <w:t>,</w:t>
      </w:r>
      <w:r w:rsidR="00D44260" w:rsidRPr="00F52975">
        <w:rPr>
          <w:color w:val="auto"/>
        </w:rPr>
        <w:t xml:space="preserve"> both exams demonstrated pain-limited motion short of the VA normal range of 0-140</w:t>
      </w:r>
      <w:r w:rsidR="00D44260" w:rsidRPr="00F52975">
        <w:rPr>
          <w:color w:val="auto"/>
          <w:szCs w:val="24"/>
        </w:rPr>
        <w:t xml:space="preserve">° by at least 10°.  </w:t>
      </w:r>
      <w:r w:rsidR="00D44260" w:rsidRPr="00F52975">
        <w:rPr>
          <w:color w:val="auto"/>
          <w:szCs w:val="24"/>
        </w:rPr>
        <w:lastRenderedPageBreak/>
        <w:t xml:space="preserve">Therefore IAW VASRD </w:t>
      </w:r>
      <w:r w:rsidR="00D44260" w:rsidRPr="00F52975">
        <w:rPr>
          <w:color w:val="auto"/>
        </w:rPr>
        <w:t>§</w:t>
      </w:r>
      <w:r w:rsidR="00D44260" w:rsidRPr="00F52975">
        <w:rPr>
          <w:color w:val="auto"/>
          <w:szCs w:val="24"/>
        </w:rPr>
        <w:t>4.59 Painful motion, the right knee should be rated as 50</w:t>
      </w:r>
      <w:r w:rsidR="00294496" w:rsidRPr="00F52975">
        <w:rPr>
          <w:color w:val="auto"/>
          <w:szCs w:val="24"/>
        </w:rPr>
        <w:t>10</w:t>
      </w:r>
      <w:r w:rsidR="00D44260" w:rsidRPr="00F52975">
        <w:rPr>
          <w:color w:val="auto"/>
          <w:szCs w:val="24"/>
        </w:rPr>
        <w:t>-5003 at 10%.</w:t>
      </w:r>
      <w:r w:rsidR="00F52975">
        <w:rPr>
          <w:color w:val="auto"/>
          <w:szCs w:val="24"/>
        </w:rPr>
        <w:t xml:space="preserve"> </w:t>
      </w:r>
    </w:p>
    <w:p w:rsidR="00311B09" w:rsidRPr="00F52975" w:rsidRDefault="00311B09" w:rsidP="00023910">
      <w:pPr>
        <w:jc w:val="both"/>
        <w:rPr>
          <w:rFonts w:eastAsia="Calibri"/>
          <w:sz w:val="18"/>
          <w:szCs w:val="18"/>
        </w:rPr>
      </w:pPr>
    </w:p>
    <w:p w:rsidR="00892347" w:rsidRPr="00F52975" w:rsidRDefault="00892347" w:rsidP="00023910">
      <w:pPr>
        <w:tabs>
          <w:tab w:val="left" w:pos="288"/>
          <w:tab w:val="left" w:pos="4752"/>
        </w:tabs>
        <w:spacing w:line="240" w:lineRule="exact"/>
        <w:jc w:val="both"/>
        <w:rPr>
          <w:color w:val="auto"/>
        </w:rPr>
      </w:pPr>
      <w:proofErr w:type="gramStart"/>
      <w:r w:rsidRPr="00F52975">
        <w:rPr>
          <w:color w:val="auto"/>
          <w:u w:val="single"/>
        </w:rPr>
        <w:t>LBP Condition</w:t>
      </w:r>
      <w:r w:rsidR="009B3815" w:rsidRPr="00F52975">
        <w:rPr>
          <w:color w:val="auto"/>
        </w:rPr>
        <w:t>.</w:t>
      </w:r>
      <w:proofErr w:type="gramEnd"/>
      <w:r w:rsidRPr="00F52975">
        <w:rPr>
          <w:color w:val="auto"/>
        </w:rPr>
        <w:t xml:space="preserve">  </w:t>
      </w:r>
      <w:r w:rsidR="00D44260" w:rsidRPr="00F52975">
        <w:rPr>
          <w:color w:val="auto"/>
        </w:rPr>
        <w:t xml:space="preserve">There were two goniometric ROM evaluations in evidence which the Board weighed in arriving at its rating recommendation.  </w:t>
      </w:r>
      <w:r w:rsidR="00833685" w:rsidRPr="00F52975">
        <w:rPr>
          <w:color w:val="auto"/>
        </w:rPr>
        <w:t>Both of these exams are summarized in the chart below.</w:t>
      </w:r>
      <w:r w:rsidR="009B3815" w:rsidRPr="00F52975">
        <w:rPr>
          <w:color w:val="auto"/>
        </w:rPr>
        <w:t xml:space="preserve">  There were no ratable radiating nerve symptoms.   </w:t>
      </w:r>
    </w:p>
    <w:p w:rsidR="00833685" w:rsidRPr="00D44260" w:rsidRDefault="00833685" w:rsidP="002C6E5B">
      <w:pPr>
        <w:tabs>
          <w:tab w:val="left" w:pos="288"/>
          <w:tab w:val="left" w:pos="4752"/>
        </w:tabs>
        <w:spacing w:line="240" w:lineRule="exact"/>
        <w:jc w:val="both"/>
        <w:rPr>
          <w:rFonts w:asciiTheme="minorHAnsi" w:hAnsiTheme="minorHAnsi"/>
          <w:color w:val="auto"/>
        </w:rPr>
      </w:pPr>
    </w:p>
    <w:tbl>
      <w:tblPr>
        <w:tblW w:w="5850" w:type="dxa"/>
        <w:tblInd w:w="1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60"/>
        <w:gridCol w:w="1890"/>
        <w:gridCol w:w="1800"/>
      </w:tblGrid>
      <w:tr w:rsidR="00833685" w:rsidRPr="00EC593D" w:rsidTr="004069CD">
        <w:tc>
          <w:tcPr>
            <w:tcW w:w="2160" w:type="dxa"/>
            <w:shd w:val="clear" w:color="auto" w:fill="DDD9C3" w:themeFill="background2" w:themeFillShade="E6"/>
          </w:tcPr>
          <w:p w:rsidR="00833685" w:rsidRPr="00833685" w:rsidRDefault="00833685" w:rsidP="00B815C0">
            <w:pPr>
              <w:pStyle w:val="ListParagraph"/>
              <w:spacing w:after="0" w:line="240" w:lineRule="exact"/>
              <w:ind w:left="0"/>
              <w:jc w:val="center"/>
              <w:rPr>
                <w:rFonts w:ascii="Calibri" w:eastAsia="Calibri" w:hAnsi="Calibri" w:cs="Times New Roman"/>
              </w:rPr>
            </w:pPr>
            <w:proofErr w:type="spellStart"/>
            <w:r w:rsidRPr="00833685">
              <w:rPr>
                <w:rFonts w:ascii="Calibri" w:eastAsia="Calibri" w:hAnsi="Calibri" w:cs="Times New Roman"/>
              </w:rPr>
              <w:t>Thoracolumbar</w:t>
            </w:r>
            <w:proofErr w:type="spellEnd"/>
            <w:r w:rsidRPr="00833685">
              <w:rPr>
                <w:rFonts w:ascii="Calibri" w:eastAsia="Calibri" w:hAnsi="Calibri" w:cs="Times New Roman"/>
              </w:rPr>
              <w:t xml:space="preserve"> ROM</w:t>
            </w:r>
          </w:p>
        </w:tc>
        <w:tc>
          <w:tcPr>
            <w:tcW w:w="1890" w:type="dxa"/>
            <w:shd w:val="clear" w:color="auto" w:fill="DDD9C3" w:themeFill="background2" w:themeFillShade="E6"/>
          </w:tcPr>
          <w:p w:rsidR="00833685" w:rsidRPr="00833685" w:rsidRDefault="00833685" w:rsidP="00B815C0">
            <w:pPr>
              <w:pStyle w:val="ListParagraph"/>
              <w:spacing w:after="0" w:line="240" w:lineRule="exact"/>
              <w:ind w:left="0"/>
              <w:jc w:val="center"/>
              <w:rPr>
                <w:rFonts w:ascii="Calibri" w:eastAsia="Calibri" w:hAnsi="Calibri" w:cs="Times New Roman"/>
              </w:rPr>
            </w:pPr>
            <w:r w:rsidRPr="00833685">
              <w:rPr>
                <w:rFonts w:ascii="Calibri" w:eastAsia="Calibri" w:hAnsi="Calibri" w:cs="Times New Roman"/>
              </w:rPr>
              <w:t xml:space="preserve">MEB – 20061023 </w:t>
            </w:r>
          </w:p>
        </w:tc>
        <w:tc>
          <w:tcPr>
            <w:tcW w:w="1800" w:type="dxa"/>
            <w:shd w:val="clear" w:color="auto" w:fill="DDD9C3" w:themeFill="background2" w:themeFillShade="E6"/>
          </w:tcPr>
          <w:p w:rsidR="00833685" w:rsidRPr="00833685" w:rsidRDefault="00833685" w:rsidP="00B815C0">
            <w:pPr>
              <w:pStyle w:val="ListParagraph"/>
              <w:spacing w:after="0" w:line="240" w:lineRule="exact"/>
              <w:ind w:left="0"/>
              <w:jc w:val="center"/>
              <w:rPr>
                <w:rFonts w:ascii="Calibri" w:eastAsia="Calibri" w:hAnsi="Calibri" w:cs="Times New Roman"/>
              </w:rPr>
            </w:pPr>
            <w:r w:rsidRPr="00833685">
              <w:rPr>
                <w:rFonts w:ascii="Calibri" w:eastAsia="Calibri" w:hAnsi="Calibri" w:cs="Times New Roman"/>
              </w:rPr>
              <w:t>VA – 20070315</w:t>
            </w:r>
          </w:p>
        </w:tc>
      </w:tr>
      <w:tr w:rsidR="00833685" w:rsidRPr="00EC593D" w:rsidTr="00B815C0">
        <w:tc>
          <w:tcPr>
            <w:tcW w:w="2160" w:type="dxa"/>
          </w:tcPr>
          <w:p w:rsidR="00833685" w:rsidRPr="00833685" w:rsidRDefault="00833685" w:rsidP="00B815C0">
            <w:pPr>
              <w:pStyle w:val="ListParagraph"/>
              <w:spacing w:after="0" w:line="240" w:lineRule="exact"/>
              <w:ind w:left="0"/>
              <w:rPr>
                <w:rFonts w:ascii="Calibri" w:eastAsia="Calibri" w:hAnsi="Calibri" w:cs="Times New Roman"/>
              </w:rPr>
            </w:pPr>
            <w:r w:rsidRPr="00833685">
              <w:rPr>
                <w:rFonts w:ascii="Calibri" w:eastAsia="Calibri" w:hAnsi="Calibri" w:cs="Times New Roman"/>
              </w:rPr>
              <w:t>Flexion</w:t>
            </w:r>
          </w:p>
        </w:tc>
        <w:tc>
          <w:tcPr>
            <w:tcW w:w="1890" w:type="dxa"/>
          </w:tcPr>
          <w:p w:rsidR="00833685" w:rsidRPr="00833685" w:rsidRDefault="00833685" w:rsidP="00B815C0">
            <w:pPr>
              <w:pStyle w:val="ListParagraph"/>
              <w:spacing w:after="0" w:line="240" w:lineRule="exact"/>
              <w:ind w:left="0"/>
              <w:jc w:val="center"/>
              <w:rPr>
                <w:rFonts w:ascii="Calibri" w:eastAsia="Calibri" w:hAnsi="Calibri" w:cs="Times New Roman"/>
              </w:rPr>
            </w:pPr>
            <w:r w:rsidRPr="00CE6AA0">
              <w:rPr>
                <w:rFonts w:ascii="Calibri" w:eastAsia="Calibri" w:hAnsi="Calibri" w:cs="Times New Roman"/>
              </w:rPr>
              <w:t>35</w:t>
            </w:r>
            <w:r w:rsidR="00CE6AA0" w:rsidRPr="00CE6AA0">
              <w:rPr>
                <w:rFonts w:ascii="Calibri" w:eastAsia="Calibri" w:hAnsi="Calibri" w:cs="Times New Roman"/>
              </w:rPr>
              <w:t>⁰</w:t>
            </w:r>
            <w:r w:rsidRPr="00CE6AA0">
              <w:rPr>
                <w:rFonts w:ascii="Calibri" w:eastAsia="Calibri" w:hAnsi="Calibri" w:cs="Times New Roman"/>
              </w:rPr>
              <w:t>, 37</w:t>
            </w:r>
            <w:r w:rsidR="00CE6AA0" w:rsidRPr="00CE6AA0">
              <w:rPr>
                <w:rFonts w:ascii="Calibri" w:eastAsia="Calibri" w:hAnsi="Calibri" w:cs="Times New Roman"/>
              </w:rPr>
              <w:t>⁰</w:t>
            </w:r>
            <w:r w:rsidRPr="00CE6AA0">
              <w:rPr>
                <w:rFonts w:ascii="Calibri" w:eastAsia="Calibri" w:hAnsi="Calibri" w:cs="Times New Roman"/>
              </w:rPr>
              <w:t>, 30⁰</w:t>
            </w:r>
          </w:p>
        </w:tc>
        <w:tc>
          <w:tcPr>
            <w:tcW w:w="1800" w:type="dxa"/>
          </w:tcPr>
          <w:p w:rsidR="00833685" w:rsidRPr="00833685" w:rsidRDefault="00833685" w:rsidP="00B815C0">
            <w:pPr>
              <w:pStyle w:val="ListParagraph"/>
              <w:spacing w:after="0" w:line="240" w:lineRule="exact"/>
              <w:ind w:left="0"/>
              <w:jc w:val="center"/>
              <w:rPr>
                <w:rFonts w:ascii="Calibri" w:eastAsia="Calibri" w:hAnsi="Calibri" w:cs="Times New Roman"/>
              </w:rPr>
            </w:pPr>
            <w:r w:rsidRPr="00833685">
              <w:rPr>
                <w:rFonts w:ascii="Calibri" w:eastAsia="Calibri" w:hAnsi="Calibri" w:cs="Times New Roman"/>
              </w:rPr>
              <w:t>50⁰</w:t>
            </w:r>
          </w:p>
        </w:tc>
      </w:tr>
      <w:tr w:rsidR="00833685" w:rsidRPr="00EC593D" w:rsidTr="00B815C0">
        <w:tc>
          <w:tcPr>
            <w:tcW w:w="2160" w:type="dxa"/>
          </w:tcPr>
          <w:p w:rsidR="00833685" w:rsidRPr="00833685" w:rsidRDefault="00833685" w:rsidP="00B815C0">
            <w:pPr>
              <w:pStyle w:val="ListParagraph"/>
              <w:spacing w:after="0" w:line="240" w:lineRule="exact"/>
              <w:ind w:left="0"/>
              <w:rPr>
                <w:rFonts w:ascii="Calibri" w:eastAsia="Calibri" w:hAnsi="Calibri" w:cs="Times New Roman"/>
              </w:rPr>
            </w:pPr>
            <w:r w:rsidRPr="00833685">
              <w:rPr>
                <w:rFonts w:ascii="Calibri" w:eastAsia="Calibri" w:hAnsi="Calibri" w:cs="Times New Roman"/>
              </w:rPr>
              <w:t>Combined</w:t>
            </w:r>
          </w:p>
        </w:tc>
        <w:tc>
          <w:tcPr>
            <w:tcW w:w="1890" w:type="dxa"/>
          </w:tcPr>
          <w:p w:rsidR="00833685" w:rsidRPr="00833685" w:rsidRDefault="00833685" w:rsidP="00B815C0">
            <w:pPr>
              <w:pStyle w:val="ListParagraph"/>
              <w:spacing w:after="0" w:line="240" w:lineRule="exact"/>
              <w:ind w:left="0"/>
              <w:jc w:val="center"/>
              <w:rPr>
                <w:rFonts w:ascii="Calibri" w:eastAsia="Calibri" w:hAnsi="Calibri" w:cs="Times New Roman"/>
              </w:rPr>
            </w:pPr>
            <w:r w:rsidRPr="00833685">
              <w:rPr>
                <w:rFonts w:ascii="Calibri" w:eastAsia="Calibri" w:hAnsi="Calibri" w:cs="Times New Roman"/>
              </w:rPr>
              <w:t xml:space="preserve">80⁰ </w:t>
            </w:r>
          </w:p>
        </w:tc>
        <w:tc>
          <w:tcPr>
            <w:tcW w:w="1800" w:type="dxa"/>
          </w:tcPr>
          <w:p w:rsidR="00833685" w:rsidRPr="00833685" w:rsidRDefault="00833685" w:rsidP="00B815C0">
            <w:pPr>
              <w:pStyle w:val="ListParagraph"/>
              <w:spacing w:after="0" w:line="240" w:lineRule="exact"/>
              <w:ind w:left="0"/>
              <w:jc w:val="center"/>
              <w:rPr>
                <w:rFonts w:ascii="Calibri" w:eastAsia="Calibri" w:hAnsi="Calibri" w:cs="Times New Roman"/>
              </w:rPr>
            </w:pPr>
            <w:r w:rsidRPr="00833685">
              <w:rPr>
                <w:rFonts w:ascii="Calibri" w:eastAsia="Calibri" w:hAnsi="Calibri" w:cs="Times New Roman"/>
              </w:rPr>
              <w:t>145⁰</w:t>
            </w:r>
          </w:p>
        </w:tc>
      </w:tr>
      <w:tr w:rsidR="00833685" w:rsidRPr="00EC593D" w:rsidTr="00B815C0">
        <w:tc>
          <w:tcPr>
            <w:tcW w:w="2160" w:type="dxa"/>
          </w:tcPr>
          <w:p w:rsidR="00833685" w:rsidRPr="00EC593D" w:rsidRDefault="00833685" w:rsidP="00B815C0">
            <w:pPr>
              <w:tabs>
                <w:tab w:val="left" w:pos="288"/>
                <w:tab w:val="left" w:pos="4752"/>
              </w:tabs>
              <w:spacing w:line="240" w:lineRule="exact"/>
              <w:rPr>
                <w:rFonts w:asciiTheme="minorHAnsi" w:eastAsiaTheme="minorHAnsi" w:hAnsiTheme="minorHAnsi"/>
                <w:color w:val="auto"/>
                <w:sz w:val="22"/>
                <w:szCs w:val="22"/>
                <w:highlight w:val="cyan"/>
              </w:rPr>
            </w:pPr>
            <w:r w:rsidRPr="00833685">
              <w:rPr>
                <w:rFonts w:asciiTheme="minorHAnsi" w:eastAsiaTheme="minorHAnsi" w:hAnsiTheme="minorHAnsi"/>
                <w:color w:val="auto"/>
                <w:sz w:val="22"/>
                <w:szCs w:val="22"/>
              </w:rPr>
              <w:t>§4.71a Rating</w:t>
            </w:r>
          </w:p>
        </w:tc>
        <w:tc>
          <w:tcPr>
            <w:tcW w:w="1890" w:type="dxa"/>
          </w:tcPr>
          <w:p w:rsidR="00833685" w:rsidRPr="00CE6AA0" w:rsidRDefault="005A21F9" w:rsidP="005A21F9">
            <w:pPr>
              <w:tabs>
                <w:tab w:val="left" w:pos="288"/>
                <w:tab w:val="left" w:pos="4752"/>
              </w:tabs>
              <w:spacing w:line="240" w:lineRule="exact"/>
              <w:jc w:val="center"/>
              <w:rPr>
                <w:rFonts w:asciiTheme="minorHAnsi" w:eastAsiaTheme="minorHAnsi" w:hAnsiTheme="minorHAnsi"/>
                <w:color w:val="auto"/>
                <w:sz w:val="22"/>
                <w:szCs w:val="22"/>
              </w:rPr>
            </w:pPr>
            <w:r w:rsidRPr="00CE6AA0">
              <w:rPr>
                <w:rFonts w:asciiTheme="minorHAnsi" w:eastAsiaTheme="minorHAnsi" w:hAnsiTheme="minorHAnsi"/>
                <w:color w:val="auto"/>
                <w:sz w:val="22"/>
                <w:szCs w:val="22"/>
              </w:rPr>
              <w:t>40%</w:t>
            </w:r>
          </w:p>
        </w:tc>
        <w:tc>
          <w:tcPr>
            <w:tcW w:w="1800" w:type="dxa"/>
          </w:tcPr>
          <w:p w:rsidR="00833685" w:rsidRPr="00CE6AA0" w:rsidRDefault="00833685" w:rsidP="00B815C0">
            <w:pPr>
              <w:tabs>
                <w:tab w:val="left" w:pos="288"/>
                <w:tab w:val="left" w:pos="4752"/>
              </w:tabs>
              <w:spacing w:line="240" w:lineRule="exact"/>
              <w:jc w:val="center"/>
              <w:rPr>
                <w:rFonts w:asciiTheme="minorHAnsi" w:eastAsiaTheme="minorHAnsi" w:hAnsiTheme="minorHAnsi"/>
                <w:color w:val="auto"/>
                <w:sz w:val="22"/>
                <w:szCs w:val="22"/>
              </w:rPr>
            </w:pPr>
            <w:r w:rsidRPr="00CE6AA0">
              <w:rPr>
                <w:rFonts w:asciiTheme="minorHAnsi" w:eastAsiaTheme="minorHAnsi" w:hAnsiTheme="minorHAnsi"/>
                <w:color w:val="auto"/>
                <w:sz w:val="22"/>
                <w:szCs w:val="22"/>
              </w:rPr>
              <w:t>20%</w:t>
            </w:r>
          </w:p>
        </w:tc>
      </w:tr>
    </w:tbl>
    <w:p w:rsidR="00833685" w:rsidRPr="00F52975" w:rsidRDefault="00833685" w:rsidP="009B3815">
      <w:pPr>
        <w:tabs>
          <w:tab w:val="left" w:pos="288"/>
          <w:tab w:val="left" w:pos="4752"/>
        </w:tabs>
        <w:spacing w:line="240" w:lineRule="exact"/>
        <w:jc w:val="both"/>
        <w:rPr>
          <w:color w:val="auto"/>
        </w:rPr>
      </w:pPr>
    </w:p>
    <w:p w:rsidR="00CE6AA0" w:rsidRPr="00F52975" w:rsidRDefault="00833685" w:rsidP="00CE6AA0">
      <w:pPr>
        <w:tabs>
          <w:tab w:val="left" w:pos="288"/>
          <w:tab w:val="left" w:pos="4752"/>
        </w:tabs>
        <w:spacing w:line="240" w:lineRule="exact"/>
        <w:jc w:val="both"/>
        <w:rPr>
          <w:color w:val="auto"/>
        </w:rPr>
      </w:pPr>
      <w:r w:rsidRPr="00F52975">
        <w:rPr>
          <w:color w:val="auto"/>
        </w:rPr>
        <w:t xml:space="preserve">The military exam noted abnormal gait, and pain limited </w:t>
      </w:r>
      <w:proofErr w:type="spellStart"/>
      <w:r w:rsidR="009B3815" w:rsidRPr="00F52975">
        <w:rPr>
          <w:color w:val="auto"/>
        </w:rPr>
        <w:t>thoracolumbar</w:t>
      </w:r>
      <w:proofErr w:type="spellEnd"/>
      <w:r w:rsidR="009B3815" w:rsidRPr="00F52975">
        <w:rPr>
          <w:color w:val="auto"/>
        </w:rPr>
        <w:t xml:space="preserve"> </w:t>
      </w:r>
      <w:r w:rsidRPr="00F52975">
        <w:rPr>
          <w:color w:val="auto"/>
        </w:rPr>
        <w:t xml:space="preserve">flexion </w:t>
      </w:r>
      <w:r w:rsidR="009B3815" w:rsidRPr="00F52975">
        <w:rPr>
          <w:color w:val="auto"/>
        </w:rPr>
        <w:t xml:space="preserve">of </w:t>
      </w:r>
      <w:r w:rsidRPr="00F52975">
        <w:rPr>
          <w:color w:val="auto"/>
        </w:rPr>
        <w:t xml:space="preserve">35°, 37°, and </w:t>
      </w:r>
      <w:r w:rsidR="00CE6AA0" w:rsidRPr="00F52975">
        <w:rPr>
          <w:color w:val="auto"/>
        </w:rPr>
        <w:t xml:space="preserve">a </w:t>
      </w:r>
      <w:r w:rsidRPr="00F52975">
        <w:rPr>
          <w:color w:val="auto"/>
        </w:rPr>
        <w:t xml:space="preserve">30° on </w:t>
      </w:r>
      <w:r w:rsidR="00CE6AA0" w:rsidRPr="00F52975">
        <w:rPr>
          <w:color w:val="auto"/>
        </w:rPr>
        <w:t xml:space="preserve">the third </w:t>
      </w:r>
      <w:r w:rsidRPr="00F52975">
        <w:rPr>
          <w:color w:val="auto"/>
        </w:rPr>
        <w:t xml:space="preserve">repetition </w:t>
      </w:r>
      <w:r w:rsidR="00CE6AA0" w:rsidRPr="00F52975">
        <w:rPr>
          <w:color w:val="auto"/>
        </w:rPr>
        <w:t xml:space="preserve">with a </w:t>
      </w:r>
      <w:r w:rsidRPr="00F52975">
        <w:rPr>
          <w:color w:val="auto"/>
        </w:rPr>
        <w:t>combined ROM of 80°.  The VA exam noted flexion limited to 50° and combined ROM of 145°.  The Board determined that the military exam</w:t>
      </w:r>
      <w:r w:rsidR="00CE6AA0" w:rsidRPr="00F52975">
        <w:rPr>
          <w:color w:val="auto"/>
        </w:rPr>
        <w:t xml:space="preserve"> (2.5 months prior to separation), indicating 30</w:t>
      </w:r>
      <w:r w:rsidR="00F52975" w:rsidRPr="00F52975">
        <w:rPr>
          <w:color w:val="auto"/>
        </w:rPr>
        <w:t>°</w:t>
      </w:r>
      <w:r w:rsidR="00CE6AA0" w:rsidRPr="00F52975">
        <w:rPr>
          <w:color w:val="auto"/>
        </w:rPr>
        <w:t xml:space="preserve"> limitation due to pain, as the last of three repetitions,</w:t>
      </w:r>
      <w:r w:rsidRPr="00F52975">
        <w:rPr>
          <w:color w:val="auto"/>
        </w:rPr>
        <w:t xml:space="preserve"> met the VASRD 40% criteria of ‘</w:t>
      </w:r>
      <w:r w:rsidR="001631B0" w:rsidRPr="00F52975">
        <w:rPr>
          <w:color w:val="auto"/>
        </w:rPr>
        <w:t xml:space="preserve">forward flexion </w:t>
      </w:r>
      <w:r w:rsidRPr="00F52975">
        <w:rPr>
          <w:color w:val="auto"/>
        </w:rPr>
        <w:t xml:space="preserve">of the </w:t>
      </w:r>
      <w:proofErr w:type="spellStart"/>
      <w:r w:rsidRPr="00F52975">
        <w:rPr>
          <w:color w:val="auto"/>
        </w:rPr>
        <w:t>thoracolumbar</w:t>
      </w:r>
      <w:proofErr w:type="spellEnd"/>
      <w:r w:rsidRPr="00F52975">
        <w:rPr>
          <w:color w:val="auto"/>
        </w:rPr>
        <w:t xml:space="preserve"> spine 30 degrees or less</w:t>
      </w:r>
      <w:r w:rsidR="00CE6AA0" w:rsidRPr="00F52975">
        <w:rPr>
          <w:color w:val="auto"/>
        </w:rPr>
        <w:t>.</w:t>
      </w:r>
      <w:r w:rsidRPr="00F52975">
        <w:rPr>
          <w:color w:val="auto"/>
        </w:rPr>
        <w:t xml:space="preserve">’ </w:t>
      </w:r>
      <w:r w:rsidR="00CE6AA0" w:rsidRPr="00F52975">
        <w:rPr>
          <w:color w:val="auto"/>
        </w:rPr>
        <w:t xml:space="preserve"> The </w:t>
      </w:r>
      <w:r w:rsidR="009B3815" w:rsidRPr="00F52975">
        <w:rPr>
          <w:color w:val="auto"/>
        </w:rPr>
        <w:t>remainder of the record</w:t>
      </w:r>
      <w:r w:rsidR="001631B0" w:rsidRPr="00F52975">
        <w:rPr>
          <w:color w:val="auto"/>
        </w:rPr>
        <w:t>, and the VA exam 2 months after separation</w:t>
      </w:r>
      <w:r w:rsidR="00CE6AA0" w:rsidRPr="00F52975">
        <w:rPr>
          <w:color w:val="auto"/>
        </w:rPr>
        <w:t xml:space="preserve"> demonstrated </w:t>
      </w:r>
      <w:r w:rsidR="00F52975" w:rsidRPr="00F52975">
        <w:rPr>
          <w:color w:val="auto"/>
        </w:rPr>
        <w:t xml:space="preserve">some </w:t>
      </w:r>
      <w:r w:rsidR="00CE6AA0" w:rsidRPr="00F52975">
        <w:rPr>
          <w:color w:val="auto"/>
        </w:rPr>
        <w:t xml:space="preserve">improvement of the back condition.  </w:t>
      </w:r>
      <w:r w:rsidR="009B3815" w:rsidRPr="00F52975">
        <w:rPr>
          <w:color w:val="auto"/>
        </w:rPr>
        <w:t xml:space="preserve">After due deliberation, the Board agreed that the most appropriate </w:t>
      </w:r>
      <w:r w:rsidR="00CE6AA0" w:rsidRPr="00F52975">
        <w:rPr>
          <w:color w:val="auto"/>
          <w:szCs w:val="24"/>
        </w:rPr>
        <w:t xml:space="preserve">rating for the back condition for entry into TDRL should be </w:t>
      </w:r>
      <w:r w:rsidR="00CE6AA0" w:rsidRPr="00F52975">
        <w:rPr>
          <w:color w:val="auto"/>
        </w:rPr>
        <w:t xml:space="preserve">Lumbar spine degenerative changes due to trauma rated as 5010-5237 at 40%; and </w:t>
      </w:r>
      <w:r w:rsidR="00CE6AA0" w:rsidRPr="00F52975">
        <w:rPr>
          <w:color w:val="auto"/>
          <w:szCs w:val="24"/>
        </w:rPr>
        <w:t xml:space="preserve"> then a new </w:t>
      </w:r>
      <w:r w:rsidR="00F52975" w:rsidRPr="00F52975">
        <w:rPr>
          <w:color w:val="auto"/>
          <w:szCs w:val="24"/>
        </w:rPr>
        <w:t xml:space="preserve">permanent </w:t>
      </w:r>
      <w:r w:rsidR="00CE6AA0" w:rsidRPr="00F52975">
        <w:rPr>
          <w:color w:val="auto"/>
          <w:szCs w:val="24"/>
        </w:rPr>
        <w:t xml:space="preserve">rating at the end of the constructive </w:t>
      </w:r>
      <w:r w:rsidR="00B50753">
        <w:rPr>
          <w:color w:val="auto"/>
          <w:szCs w:val="24"/>
        </w:rPr>
        <w:t>6</w:t>
      </w:r>
      <w:r w:rsidR="00CE6AA0" w:rsidRPr="00F52975">
        <w:rPr>
          <w:color w:val="auto"/>
          <w:szCs w:val="24"/>
        </w:rPr>
        <w:t xml:space="preserve"> month TDRL period (for PTSD) as </w:t>
      </w:r>
      <w:r w:rsidR="00CE6AA0" w:rsidRPr="00F52975">
        <w:rPr>
          <w:color w:val="auto"/>
        </w:rPr>
        <w:t>5010-5237 at 20%</w:t>
      </w:r>
      <w:r w:rsidR="00F52975">
        <w:rPr>
          <w:color w:val="auto"/>
          <w:szCs w:val="24"/>
        </w:rPr>
        <w:t xml:space="preserve">. </w:t>
      </w:r>
    </w:p>
    <w:p w:rsidR="00CE6AA0" w:rsidRPr="00F52975" w:rsidRDefault="00CE6AA0" w:rsidP="00023910">
      <w:pPr>
        <w:tabs>
          <w:tab w:val="left" w:pos="288"/>
          <w:tab w:val="left" w:pos="4752"/>
        </w:tabs>
        <w:spacing w:line="240" w:lineRule="exact"/>
        <w:jc w:val="both"/>
        <w:rPr>
          <w:color w:val="auto"/>
        </w:rPr>
      </w:pPr>
    </w:p>
    <w:p w:rsidR="00EA737F" w:rsidRPr="00F52975" w:rsidRDefault="00EC593D" w:rsidP="00023910">
      <w:pPr>
        <w:tabs>
          <w:tab w:val="left" w:pos="288"/>
          <w:tab w:val="left" w:pos="4752"/>
        </w:tabs>
        <w:spacing w:line="240" w:lineRule="exact"/>
        <w:jc w:val="both"/>
        <w:rPr>
          <w:color w:val="auto"/>
          <w:szCs w:val="24"/>
        </w:rPr>
      </w:pPr>
      <w:proofErr w:type="gramStart"/>
      <w:r w:rsidRPr="00F52975">
        <w:rPr>
          <w:color w:val="auto"/>
          <w:szCs w:val="24"/>
          <w:u w:val="single"/>
        </w:rPr>
        <w:t>Other Conditions</w:t>
      </w:r>
      <w:r w:rsidRPr="00F52975">
        <w:rPr>
          <w:color w:val="auto"/>
          <w:szCs w:val="24"/>
        </w:rPr>
        <w:t>.</w:t>
      </w:r>
      <w:proofErr w:type="gramEnd"/>
      <w:r w:rsidRPr="00F52975">
        <w:rPr>
          <w:color w:val="auto"/>
          <w:szCs w:val="24"/>
        </w:rPr>
        <w:t xml:space="preserve">  </w:t>
      </w:r>
      <w:r w:rsidR="001F50E3" w:rsidRPr="00F52975">
        <w:rPr>
          <w:color w:val="auto"/>
          <w:szCs w:val="24"/>
        </w:rPr>
        <w:t xml:space="preserve">By inference, the CI contends for every </w:t>
      </w:r>
      <w:r w:rsidR="009B3815" w:rsidRPr="00F52975">
        <w:rPr>
          <w:color w:val="auto"/>
          <w:szCs w:val="24"/>
        </w:rPr>
        <w:t xml:space="preserve">MEB </w:t>
      </w:r>
      <w:r w:rsidR="001F50E3" w:rsidRPr="00F52975">
        <w:rPr>
          <w:color w:val="auto"/>
          <w:szCs w:val="24"/>
        </w:rPr>
        <w:t xml:space="preserve">condition </w:t>
      </w:r>
      <w:r w:rsidR="009B3815" w:rsidRPr="00F52975">
        <w:rPr>
          <w:color w:val="auto"/>
          <w:szCs w:val="24"/>
        </w:rPr>
        <w:t>and all those rated</w:t>
      </w:r>
      <w:r w:rsidR="001F50E3" w:rsidRPr="00F52975">
        <w:rPr>
          <w:color w:val="auto"/>
          <w:szCs w:val="24"/>
        </w:rPr>
        <w:t xml:space="preserve"> on the post-separation VARD.  </w:t>
      </w:r>
      <w:r w:rsidR="00C13BFC" w:rsidRPr="00F52975">
        <w:rPr>
          <w:color w:val="auto"/>
          <w:szCs w:val="24"/>
        </w:rPr>
        <w:t xml:space="preserve">Neck condition, Hearing Loss, Positive PPD, Abnormal Liver function tests, </w:t>
      </w:r>
      <w:proofErr w:type="spellStart"/>
      <w:r w:rsidR="00C13BFC" w:rsidRPr="00F52975">
        <w:rPr>
          <w:color w:val="auto"/>
          <w:szCs w:val="24"/>
        </w:rPr>
        <w:t>Hematuria</w:t>
      </w:r>
      <w:proofErr w:type="spellEnd"/>
      <w:r w:rsidR="00C13BFC" w:rsidRPr="00F52975">
        <w:rPr>
          <w:color w:val="auto"/>
          <w:szCs w:val="24"/>
        </w:rPr>
        <w:t xml:space="preserve">, </w:t>
      </w:r>
      <w:r w:rsidRPr="00F52975">
        <w:rPr>
          <w:color w:val="auto"/>
          <w:szCs w:val="24"/>
        </w:rPr>
        <w:t xml:space="preserve">Tinnitus, and </w:t>
      </w:r>
      <w:r w:rsidR="00C13BFC" w:rsidRPr="00F52975">
        <w:rPr>
          <w:color w:val="auto"/>
          <w:szCs w:val="24"/>
        </w:rPr>
        <w:t>multiple</w:t>
      </w:r>
      <w:r w:rsidRPr="00F52975">
        <w:rPr>
          <w:color w:val="auto"/>
          <w:szCs w:val="24"/>
        </w:rPr>
        <w:t xml:space="preserve"> other non-service connected conditions</w:t>
      </w:r>
      <w:r w:rsidR="00C13BFC" w:rsidRPr="00F52975">
        <w:rPr>
          <w:color w:val="auto"/>
          <w:szCs w:val="24"/>
        </w:rPr>
        <w:t xml:space="preserve">.  </w:t>
      </w:r>
      <w:r w:rsidRPr="00F52975">
        <w:rPr>
          <w:color w:val="auto"/>
          <w:szCs w:val="24"/>
        </w:rPr>
        <w:t xml:space="preserve"> </w:t>
      </w:r>
      <w:r w:rsidR="00C13BFC" w:rsidRPr="00F52975">
        <w:rPr>
          <w:color w:val="auto"/>
          <w:szCs w:val="24"/>
        </w:rPr>
        <w:t>A</w:t>
      </w:r>
      <w:r w:rsidR="001F50E3" w:rsidRPr="00F52975">
        <w:rPr>
          <w:color w:val="auto"/>
          <w:szCs w:val="24"/>
        </w:rPr>
        <w:t xml:space="preserve">ll </w:t>
      </w:r>
      <w:r w:rsidR="00C13BFC" w:rsidRPr="00F52975">
        <w:rPr>
          <w:color w:val="auto"/>
          <w:szCs w:val="24"/>
        </w:rPr>
        <w:t xml:space="preserve">of these conditions are </w:t>
      </w:r>
      <w:r w:rsidR="001F50E3" w:rsidRPr="00F52975">
        <w:rPr>
          <w:color w:val="auto"/>
          <w:szCs w:val="24"/>
        </w:rPr>
        <w:t>mentione</w:t>
      </w:r>
      <w:r w:rsidR="00C13BFC" w:rsidRPr="00F52975">
        <w:rPr>
          <w:color w:val="auto"/>
          <w:szCs w:val="24"/>
        </w:rPr>
        <w:t xml:space="preserve">d in the DES file.  The </w:t>
      </w:r>
      <w:r w:rsidR="004D61BC">
        <w:rPr>
          <w:color w:val="auto"/>
          <w:szCs w:val="24"/>
        </w:rPr>
        <w:t>Disability Evaluation System (DES)</w:t>
      </w:r>
      <w:r w:rsidRPr="00F52975">
        <w:rPr>
          <w:color w:val="auto"/>
          <w:szCs w:val="24"/>
        </w:rPr>
        <w:t xml:space="preserve"> conditions</w:t>
      </w:r>
      <w:r w:rsidR="00C13BFC" w:rsidRPr="00F52975">
        <w:rPr>
          <w:color w:val="auto"/>
          <w:szCs w:val="24"/>
        </w:rPr>
        <w:t xml:space="preserve"> of</w:t>
      </w:r>
      <w:r w:rsidRPr="00F52975">
        <w:rPr>
          <w:color w:val="auto"/>
          <w:szCs w:val="24"/>
        </w:rPr>
        <w:t xml:space="preserve"> </w:t>
      </w:r>
      <w:r w:rsidR="00C13BFC" w:rsidRPr="00F52975">
        <w:rPr>
          <w:color w:val="auto"/>
          <w:szCs w:val="24"/>
        </w:rPr>
        <w:t xml:space="preserve">Neck condition, Hearing Loss, Positive PPD, Abnormal Liver function tests, </w:t>
      </w:r>
      <w:r w:rsidR="00FE0695" w:rsidRPr="00F52975">
        <w:rPr>
          <w:color w:val="auto"/>
          <w:szCs w:val="24"/>
        </w:rPr>
        <w:t xml:space="preserve">and </w:t>
      </w:r>
      <w:proofErr w:type="spellStart"/>
      <w:r w:rsidR="00C13BFC" w:rsidRPr="00F52975">
        <w:rPr>
          <w:color w:val="auto"/>
          <w:szCs w:val="24"/>
        </w:rPr>
        <w:t>Hematuria</w:t>
      </w:r>
      <w:proofErr w:type="spellEnd"/>
      <w:r w:rsidR="00C13BFC" w:rsidRPr="00F52975">
        <w:rPr>
          <w:color w:val="auto"/>
          <w:szCs w:val="24"/>
        </w:rPr>
        <w:t xml:space="preserve"> all met standards and were adjudicated by the PEB as not unfitting. </w:t>
      </w:r>
      <w:r w:rsidR="00EA737F" w:rsidRPr="00F52975">
        <w:rPr>
          <w:color w:val="auto"/>
          <w:szCs w:val="24"/>
        </w:rPr>
        <w:t xml:space="preserve"> </w:t>
      </w:r>
      <w:r w:rsidR="00FE0695" w:rsidRPr="00F52975">
        <w:rPr>
          <w:color w:val="auto"/>
          <w:szCs w:val="24"/>
        </w:rPr>
        <w:t xml:space="preserve">There was no evidence that the neck or hearing conditions interfered with duty.  The Positive PPD, Abnormal Liver function tests, and </w:t>
      </w:r>
      <w:proofErr w:type="spellStart"/>
      <w:r w:rsidR="00FE0695" w:rsidRPr="00F52975">
        <w:rPr>
          <w:color w:val="auto"/>
          <w:szCs w:val="24"/>
        </w:rPr>
        <w:t>Hematuria</w:t>
      </w:r>
      <w:proofErr w:type="spellEnd"/>
      <w:r w:rsidR="00F52975">
        <w:rPr>
          <w:color w:val="auto"/>
          <w:szCs w:val="24"/>
        </w:rPr>
        <w:t xml:space="preserve"> are ’</w:t>
      </w:r>
      <w:r w:rsidR="00FE0695" w:rsidRPr="00F52975">
        <w:rPr>
          <w:color w:val="auto"/>
          <w:szCs w:val="24"/>
        </w:rPr>
        <w:t xml:space="preserve">abnormal tests’ and do not constitute a physical disability.  </w:t>
      </w:r>
      <w:r w:rsidR="00C13BFC" w:rsidRPr="00F52975">
        <w:rPr>
          <w:color w:val="auto"/>
          <w:szCs w:val="24"/>
        </w:rPr>
        <w:t>In regards to Tinnitus, there is no indication that it interfered with performance of duty.</w:t>
      </w:r>
      <w:r w:rsidR="00EA737F" w:rsidRPr="00F52975">
        <w:rPr>
          <w:color w:val="auto"/>
          <w:szCs w:val="24"/>
        </w:rPr>
        <w:t xml:space="preserve">  No other conditions t</w:t>
      </w:r>
      <w:r w:rsidR="00FE0695" w:rsidRPr="00F52975">
        <w:rPr>
          <w:color w:val="auto"/>
          <w:szCs w:val="24"/>
        </w:rPr>
        <w:t xml:space="preserve">han those addressed by the PEB </w:t>
      </w:r>
      <w:r w:rsidR="00EA737F" w:rsidRPr="00F52975">
        <w:rPr>
          <w:color w:val="auto"/>
          <w:szCs w:val="24"/>
        </w:rPr>
        <w:t xml:space="preserve">as unfitting had sufficient limitation by profile, Commander’s statement or indication in the record that they </w:t>
      </w:r>
      <w:r w:rsidR="00FE0695" w:rsidRPr="00F52975">
        <w:rPr>
          <w:color w:val="auto"/>
          <w:szCs w:val="24"/>
        </w:rPr>
        <w:t>approached</w:t>
      </w:r>
      <w:r w:rsidR="00EA737F" w:rsidRPr="00F52975">
        <w:rPr>
          <w:color w:val="auto"/>
          <w:szCs w:val="24"/>
        </w:rPr>
        <w:t xml:space="preserve"> the level of interfering with the performance of duty.  </w:t>
      </w:r>
      <w:r w:rsidR="00C13BFC" w:rsidRPr="00F52975">
        <w:rPr>
          <w:color w:val="auto"/>
          <w:szCs w:val="24"/>
        </w:rPr>
        <w:t xml:space="preserve">Sleep Apnea and Bilateral Tympanic Membrane Perforation </w:t>
      </w:r>
      <w:r w:rsidR="00EA737F" w:rsidRPr="00F52975">
        <w:rPr>
          <w:color w:val="auto"/>
        </w:rPr>
        <w:t xml:space="preserve">were not mentioned in the DES file.  The Board does not have the authority under </w:t>
      </w:r>
      <w:proofErr w:type="spellStart"/>
      <w:r w:rsidR="00EA737F" w:rsidRPr="00F52975">
        <w:rPr>
          <w:color w:val="auto"/>
        </w:rPr>
        <w:t>DoDI</w:t>
      </w:r>
      <w:proofErr w:type="spellEnd"/>
      <w:r w:rsidR="00EA737F" w:rsidRPr="00F52975">
        <w:rPr>
          <w:color w:val="auto"/>
        </w:rPr>
        <w:t xml:space="preserve"> 6040.44 to render fitness or rating recommendations for any conditions not considered by the DES.  The </w:t>
      </w:r>
      <w:r w:rsidR="00EA737F" w:rsidRPr="00F52975">
        <w:rPr>
          <w:color w:val="auto"/>
          <w:szCs w:val="24"/>
        </w:rPr>
        <w:t xml:space="preserve">Sleep Apnea and Bilateral Tympanic Membrane Perforation </w:t>
      </w:r>
      <w:r w:rsidR="00EA737F" w:rsidRPr="00F52975">
        <w:rPr>
          <w:color w:val="auto"/>
        </w:rPr>
        <w:t xml:space="preserve">and any contended conditions not covered </w:t>
      </w:r>
      <w:r w:rsidR="00EA737F" w:rsidRPr="00F52975">
        <w:rPr>
          <w:color w:val="auto"/>
        </w:rPr>
        <w:lastRenderedPageBreak/>
        <w:t xml:space="preserve">above remain eligible for </w:t>
      </w:r>
      <w:r w:rsidR="004D61BC">
        <w:rPr>
          <w:color w:val="auto"/>
        </w:rPr>
        <w:t>Army Board for Correction of Military Records (</w:t>
      </w:r>
      <w:r w:rsidR="00EA737F" w:rsidRPr="00F52975">
        <w:rPr>
          <w:color w:val="auto"/>
        </w:rPr>
        <w:t>ABCMR</w:t>
      </w:r>
      <w:r w:rsidR="004D61BC">
        <w:rPr>
          <w:color w:val="auto"/>
        </w:rPr>
        <w:t>)</w:t>
      </w:r>
      <w:r w:rsidR="00EA737F" w:rsidRPr="00F52975">
        <w:rPr>
          <w:color w:val="auto"/>
        </w:rPr>
        <w:t xml:space="preserve"> consideration.  </w:t>
      </w:r>
      <w:r w:rsidR="00EA737F" w:rsidRPr="00F52975">
        <w:rPr>
          <w:color w:val="auto"/>
          <w:szCs w:val="24"/>
        </w:rPr>
        <w:t xml:space="preserve">The Board can make no recommendation for any additionally unfitting conditions.  </w:t>
      </w:r>
    </w:p>
    <w:p w:rsidR="00B20C00" w:rsidRPr="00B20C00" w:rsidRDefault="00B20C00" w:rsidP="00023910">
      <w:pPr>
        <w:tabs>
          <w:tab w:val="left" w:pos="288"/>
          <w:tab w:val="left" w:pos="4752"/>
        </w:tabs>
        <w:spacing w:line="240" w:lineRule="exact"/>
        <w:jc w:val="both"/>
        <w:rPr>
          <w:color w:val="auto"/>
          <w:u w:val="single"/>
        </w:rPr>
      </w:pPr>
      <w:r w:rsidRPr="00B20C00">
        <w:rPr>
          <w:color w:val="auto"/>
          <w:u w:val="single"/>
        </w:rPr>
        <w:t>________________________________________________________________</w:t>
      </w:r>
    </w:p>
    <w:p w:rsidR="00A90D55" w:rsidRPr="00E44D10" w:rsidRDefault="00A90D55" w:rsidP="00023910">
      <w:pPr>
        <w:tabs>
          <w:tab w:val="left" w:pos="288"/>
          <w:tab w:val="left" w:pos="4752"/>
        </w:tabs>
        <w:spacing w:line="240" w:lineRule="exact"/>
        <w:jc w:val="both"/>
        <w:rPr>
          <w:rFonts w:asciiTheme="minorHAnsi" w:hAnsiTheme="minorHAnsi"/>
          <w:color w:val="auto"/>
        </w:rPr>
      </w:pPr>
    </w:p>
    <w:p w:rsidR="000B4E88" w:rsidRPr="00F52975" w:rsidRDefault="00C56FC8" w:rsidP="00023910">
      <w:pPr>
        <w:tabs>
          <w:tab w:val="left" w:pos="288"/>
          <w:tab w:val="left" w:pos="4770"/>
        </w:tabs>
        <w:spacing w:line="240" w:lineRule="exact"/>
        <w:jc w:val="both"/>
        <w:rPr>
          <w:color w:val="auto"/>
        </w:rPr>
      </w:pPr>
      <w:r w:rsidRPr="00F52975">
        <w:rPr>
          <w:color w:val="auto"/>
          <w:u w:val="single"/>
        </w:rPr>
        <w:t>BOARD FINDINGS</w:t>
      </w:r>
      <w:r w:rsidRPr="00F52975">
        <w:rPr>
          <w:color w:val="auto"/>
        </w:rPr>
        <w:t xml:space="preserve">:  IAW </w:t>
      </w:r>
      <w:proofErr w:type="spellStart"/>
      <w:r w:rsidRPr="00F52975">
        <w:rPr>
          <w:color w:val="auto"/>
        </w:rPr>
        <w:t>DoDI</w:t>
      </w:r>
      <w:proofErr w:type="spellEnd"/>
      <w:r w:rsidRPr="00F52975">
        <w:rPr>
          <w:color w:val="auto"/>
        </w:rPr>
        <w:t xml:space="preserve"> 6040.44, provisions of </w:t>
      </w:r>
      <w:proofErr w:type="spellStart"/>
      <w:r w:rsidRPr="00F52975">
        <w:rPr>
          <w:color w:val="auto"/>
        </w:rPr>
        <w:t>DoD</w:t>
      </w:r>
      <w:proofErr w:type="spellEnd"/>
      <w:r w:rsidRPr="00F52975">
        <w:rPr>
          <w:color w:val="auto"/>
        </w:rPr>
        <w:t xml:space="preserve"> or Military Department regulations or guidelines relied upon by the PEB will not be considered by the Board to the extent they were inconsistent with the VASRD in effect at the time of the adjudication. </w:t>
      </w:r>
      <w:r w:rsidR="001D68CF" w:rsidRPr="00F52975">
        <w:rPr>
          <w:color w:val="auto"/>
        </w:rPr>
        <w:t xml:space="preserve"> </w:t>
      </w:r>
      <w:r w:rsidR="00E05DEA" w:rsidRPr="00F52975">
        <w:rPr>
          <w:color w:val="auto"/>
        </w:rPr>
        <w:t xml:space="preserve">As discussed above, PEB reliance on the USAPDA pain policy for rating the </w:t>
      </w:r>
      <w:r w:rsidR="00EA737F" w:rsidRPr="00F52975">
        <w:rPr>
          <w:color w:val="auto"/>
        </w:rPr>
        <w:t>Right Shoulder</w:t>
      </w:r>
      <w:r w:rsidR="00294496" w:rsidRPr="00F52975">
        <w:rPr>
          <w:color w:val="auto"/>
        </w:rPr>
        <w:t xml:space="preserve"> and Right</w:t>
      </w:r>
      <w:r w:rsidR="00EA737F" w:rsidRPr="00F52975">
        <w:rPr>
          <w:color w:val="auto"/>
        </w:rPr>
        <w:t xml:space="preserve"> Knee and </w:t>
      </w:r>
      <w:r w:rsidR="00C879CE" w:rsidRPr="00F52975">
        <w:rPr>
          <w:color w:val="auto"/>
        </w:rPr>
        <w:t>lower back</w:t>
      </w:r>
      <w:r w:rsidR="00E05DEA" w:rsidRPr="00F52975">
        <w:rPr>
          <w:color w:val="auto"/>
        </w:rPr>
        <w:t xml:space="preserve"> condition</w:t>
      </w:r>
      <w:r w:rsidR="00EA737F" w:rsidRPr="00F52975">
        <w:rPr>
          <w:color w:val="auto"/>
        </w:rPr>
        <w:t>s</w:t>
      </w:r>
      <w:r w:rsidR="00E05DEA" w:rsidRPr="00F52975">
        <w:rPr>
          <w:color w:val="auto"/>
        </w:rPr>
        <w:t xml:space="preserve"> and on </w:t>
      </w:r>
      <w:proofErr w:type="spellStart"/>
      <w:r w:rsidR="00E05DEA" w:rsidRPr="00F52975">
        <w:rPr>
          <w:color w:val="auto"/>
        </w:rPr>
        <w:t>DoDI</w:t>
      </w:r>
      <w:proofErr w:type="spellEnd"/>
      <w:r w:rsidR="00E05DEA" w:rsidRPr="00F52975">
        <w:rPr>
          <w:color w:val="auto"/>
        </w:rPr>
        <w:t xml:space="preserve"> 1332.39 for rating PTSD were operant in this case and the conditions were adjudicated independently of that policy and instruction by the Board.</w:t>
      </w:r>
      <w:r w:rsidR="00936BA5" w:rsidRPr="00F52975">
        <w:rPr>
          <w:color w:val="auto"/>
        </w:rPr>
        <w:t xml:space="preserve">  In the matter of the post-traumatic stress disorder condition, the Board unanimously recommends an initial TDRL rating of 50% in retroactive compliance with VASRD §4.129 as DOD directed; and a 50% permanent rating at 6 months IAW VASRD §4.130</w:t>
      </w:r>
      <w:r w:rsidR="00BB278D" w:rsidRPr="00F52975">
        <w:rPr>
          <w:color w:val="auto"/>
        </w:rPr>
        <w:t xml:space="preserve"> coded 9411</w:t>
      </w:r>
      <w:r w:rsidR="00936BA5" w:rsidRPr="00F52975">
        <w:rPr>
          <w:color w:val="auto"/>
        </w:rPr>
        <w:t xml:space="preserve">.  </w:t>
      </w:r>
      <w:r w:rsidR="00294496" w:rsidRPr="00F52975">
        <w:rPr>
          <w:rFonts w:eastAsiaTheme="minorHAnsi"/>
          <w:color w:val="auto"/>
          <w:szCs w:val="24"/>
        </w:rPr>
        <w:t xml:space="preserve">In the matter of the Chronic Right Shoulder &amp; Knee Pain condition, the Board unanimously recommends that it be rated for two separate unfitting conditions of Right Shoulder and Right Knee:  </w:t>
      </w:r>
      <w:r w:rsidR="00294496" w:rsidRPr="00F52975">
        <w:rPr>
          <w:color w:val="auto"/>
        </w:rPr>
        <w:t>T</w:t>
      </w:r>
      <w:r w:rsidR="00B00D98" w:rsidRPr="00F52975">
        <w:rPr>
          <w:color w:val="auto"/>
        </w:rPr>
        <w:t xml:space="preserve">he </w:t>
      </w:r>
      <w:r w:rsidR="00936BA5" w:rsidRPr="00F52975">
        <w:rPr>
          <w:color w:val="auto"/>
        </w:rPr>
        <w:t xml:space="preserve">Right Shoulder </w:t>
      </w:r>
      <w:r w:rsidR="00B00D98" w:rsidRPr="00F52975">
        <w:rPr>
          <w:color w:val="auto"/>
        </w:rPr>
        <w:t>condition</w:t>
      </w:r>
      <w:r w:rsidR="00294496" w:rsidRPr="00F52975">
        <w:rPr>
          <w:color w:val="auto"/>
        </w:rPr>
        <w:t xml:space="preserve"> should be rated 3</w:t>
      </w:r>
      <w:r w:rsidR="00803591" w:rsidRPr="00F52975">
        <w:rPr>
          <w:color w:val="auto"/>
        </w:rPr>
        <w:t>0</w:t>
      </w:r>
      <w:r w:rsidR="00A259F5" w:rsidRPr="00F52975">
        <w:rPr>
          <w:color w:val="auto"/>
        </w:rPr>
        <w:t xml:space="preserve">% </w:t>
      </w:r>
      <w:r w:rsidR="00294496" w:rsidRPr="00F52975">
        <w:rPr>
          <w:color w:val="auto"/>
        </w:rPr>
        <w:t xml:space="preserve">going into the </w:t>
      </w:r>
      <w:r w:rsidR="00F52975" w:rsidRPr="00F52975">
        <w:rPr>
          <w:color w:val="auto"/>
        </w:rPr>
        <w:t xml:space="preserve">constructive </w:t>
      </w:r>
      <w:r w:rsidR="00294496" w:rsidRPr="00F52975">
        <w:rPr>
          <w:color w:val="auto"/>
        </w:rPr>
        <w:t xml:space="preserve">TDRL period </w:t>
      </w:r>
      <w:r w:rsidR="00BB278D" w:rsidRPr="00F52975">
        <w:rPr>
          <w:color w:val="auto"/>
        </w:rPr>
        <w:t>with</w:t>
      </w:r>
      <w:r w:rsidR="00294496" w:rsidRPr="00F52975">
        <w:rPr>
          <w:color w:val="auto"/>
        </w:rPr>
        <w:t xml:space="preserve"> a permanent 20% rating </w:t>
      </w:r>
      <w:r w:rsidR="00A259F5" w:rsidRPr="00F52975">
        <w:rPr>
          <w:color w:val="auto"/>
        </w:rPr>
        <w:t>coded</w:t>
      </w:r>
      <w:r w:rsidR="00B00D98" w:rsidRPr="00F52975">
        <w:rPr>
          <w:color w:val="auto"/>
        </w:rPr>
        <w:t xml:space="preserve"> </w:t>
      </w:r>
      <w:r w:rsidR="00936BA5" w:rsidRPr="00F52975">
        <w:rPr>
          <w:color w:val="auto"/>
        </w:rPr>
        <w:t>5010-5201</w:t>
      </w:r>
      <w:r w:rsidR="00B00D98" w:rsidRPr="00F52975">
        <w:rPr>
          <w:color w:val="auto"/>
        </w:rPr>
        <w:t xml:space="preserve"> </w:t>
      </w:r>
      <w:r w:rsidR="00BB278D" w:rsidRPr="00F52975">
        <w:rPr>
          <w:color w:val="auto"/>
        </w:rPr>
        <w:t>IAW VASRD §4.71a;</w:t>
      </w:r>
      <w:r w:rsidR="00B00D98" w:rsidRPr="00F52975">
        <w:rPr>
          <w:color w:val="auto"/>
        </w:rPr>
        <w:t xml:space="preserve"> </w:t>
      </w:r>
      <w:r w:rsidR="00294496" w:rsidRPr="00F52975">
        <w:rPr>
          <w:color w:val="auto"/>
        </w:rPr>
        <w:t xml:space="preserve">The Right knee condition, </w:t>
      </w:r>
      <w:r w:rsidR="00BB278D" w:rsidRPr="00F52975">
        <w:rPr>
          <w:color w:val="auto"/>
        </w:rPr>
        <w:t>should be rated</w:t>
      </w:r>
      <w:r w:rsidR="00294496" w:rsidRPr="00F52975">
        <w:rPr>
          <w:color w:val="auto"/>
        </w:rPr>
        <w:t xml:space="preserve"> 10% coded 5010-5003 IAW VASRD §4.71a and §4.59.  In the matter of the Lower Back condition, the Board unanimously recommends a rating of </w:t>
      </w:r>
      <w:r w:rsidR="00F52975" w:rsidRPr="00F52975">
        <w:rPr>
          <w:color w:val="auto"/>
        </w:rPr>
        <w:t>4</w:t>
      </w:r>
      <w:r w:rsidR="00294496" w:rsidRPr="00F52975">
        <w:rPr>
          <w:color w:val="auto"/>
        </w:rPr>
        <w:t xml:space="preserve">0% </w:t>
      </w:r>
      <w:r w:rsidR="00F52975" w:rsidRPr="00F52975">
        <w:rPr>
          <w:color w:val="auto"/>
        </w:rPr>
        <w:t xml:space="preserve">going into the constructive TDRL period with a permanent 20% rating </w:t>
      </w:r>
      <w:r w:rsidR="00294496" w:rsidRPr="00F52975">
        <w:rPr>
          <w:color w:val="auto"/>
        </w:rPr>
        <w:t xml:space="preserve">coded 5010-5237 IAW VASRD §4.71a. </w:t>
      </w:r>
      <w:r w:rsidR="008C525D" w:rsidRPr="00F52975">
        <w:rPr>
          <w:color w:val="auto"/>
        </w:rPr>
        <w:t xml:space="preserve"> </w:t>
      </w:r>
      <w:r w:rsidR="000B4E88" w:rsidRPr="00F52975">
        <w:rPr>
          <w:color w:val="auto"/>
        </w:rPr>
        <w:t xml:space="preserve">In the matter of the </w:t>
      </w:r>
      <w:r w:rsidR="00BB278D" w:rsidRPr="00F52975">
        <w:rPr>
          <w:color w:val="auto"/>
          <w:szCs w:val="24"/>
        </w:rPr>
        <w:t xml:space="preserve">Neck, Hearing Loss, Positive PPD, Abnormal Liver function tests, and </w:t>
      </w:r>
      <w:proofErr w:type="spellStart"/>
      <w:r w:rsidR="00BB278D" w:rsidRPr="00F52975">
        <w:rPr>
          <w:color w:val="auto"/>
          <w:szCs w:val="24"/>
        </w:rPr>
        <w:t>Hematuria</w:t>
      </w:r>
      <w:proofErr w:type="spellEnd"/>
      <w:r w:rsidR="00C879CE" w:rsidRPr="00F52975">
        <w:rPr>
          <w:color w:val="auto"/>
        </w:rPr>
        <w:t xml:space="preserve"> </w:t>
      </w:r>
      <w:r w:rsidR="000B4E88" w:rsidRPr="00F52975">
        <w:rPr>
          <w:color w:val="auto"/>
        </w:rPr>
        <w:t>condition</w:t>
      </w:r>
      <w:r w:rsidR="00BB278D" w:rsidRPr="00F52975">
        <w:rPr>
          <w:color w:val="auto"/>
        </w:rPr>
        <w:t>s</w:t>
      </w:r>
      <w:r w:rsidR="000B4E88" w:rsidRPr="00F52975">
        <w:rPr>
          <w:color w:val="auto"/>
        </w:rPr>
        <w:t xml:space="preserve">, the Board unanimously recommends no </w:t>
      </w:r>
      <w:proofErr w:type="spellStart"/>
      <w:r w:rsidR="000B4E88" w:rsidRPr="00F52975">
        <w:rPr>
          <w:color w:val="auto"/>
        </w:rPr>
        <w:t>recharacterization</w:t>
      </w:r>
      <w:proofErr w:type="spellEnd"/>
      <w:r w:rsidR="000B4E88" w:rsidRPr="00F52975">
        <w:rPr>
          <w:color w:val="auto"/>
        </w:rPr>
        <w:t xml:space="preserve"> of the PEB adjudications as not unfitting.  In the matter of the </w:t>
      </w:r>
      <w:r w:rsidR="00BB278D" w:rsidRPr="00F52975">
        <w:rPr>
          <w:color w:val="auto"/>
          <w:szCs w:val="24"/>
        </w:rPr>
        <w:t>Tinnitus</w:t>
      </w:r>
      <w:r w:rsidR="00BB278D" w:rsidRPr="00F52975">
        <w:rPr>
          <w:color w:val="auto"/>
        </w:rPr>
        <w:t xml:space="preserve"> </w:t>
      </w:r>
      <w:r w:rsidR="008B584A" w:rsidRPr="00F52975">
        <w:rPr>
          <w:color w:val="auto"/>
        </w:rPr>
        <w:t>condition</w:t>
      </w:r>
      <w:r w:rsidR="000B4E88" w:rsidRPr="00F52975">
        <w:rPr>
          <w:color w:val="auto"/>
        </w:rPr>
        <w:t xml:space="preserve"> or any other medical conditions eligible for Board consideration; the Board unanimously agrees that it cannot recommend any findings of unfit for additional rating at separation.</w:t>
      </w:r>
    </w:p>
    <w:p w:rsidR="00B20C00" w:rsidRPr="00B20C00" w:rsidRDefault="00B20C00" w:rsidP="00023910">
      <w:pPr>
        <w:tabs>
          <w:tab w:val="left" w:pos="288"/>
          <w:tab w:val="left" w:pos="4752"/>
        </w:tabs>
        <w:spacing w:line="240" w:lineRule="exact"/>
        <w:jc w:val="both"/>
        <w:rPr>
          <w:color w:val="auto"/>
          <w:u w:val="single"/>
        </w:rPr>
      </w:pPr>
      <w:r w:rsidRPr="00B20C00">
        <w:rPr>
          <w:color w:val="auto"/>
          <w:u w:val="single"/>
        </w:rPr>
        <w:t>________________________________________________________________</w:t>
      </w:r>
    </w:p>
    <w:p w:rsidR="00FB593A" w:rsidRPr="00F52975" w:rsidRDefault="00FB593A" w:rsidP="00023910">
      <w:pPr>
        <w:tabs>
          <w:tab w:val="left" w:pos="288"/>
          <w:tab w:val="left" w:pos="4752"/>
        </w:tabs>
        <w:spacing w:line="240" w:lineRule="exact"/>
        <w:jc w:val="both"/>
        <w:rPr>
          <w:color w:val="auto"/>
        </w:rPr>
      </w:pPr>
    </w:p>
    <w:p w:rsidR="001E0464" w:rsidRDefault="001E0464">
      <w:pPr>
        <w:rPr>
          <w:color w:val="auto"/>
          <w:u w:val="single"/>
        </w:rPr>
      </w:pPr>
      <w:r>
        <w:rPr>
          <w:color w:val="auto"/>
          <w:u w:val="single"/>
        </w:rPr>
        <w:br w:type="page"/>
      </w:r>
    </w:p>
    <w:p w:rsidR="0016090D" w:rsidRPr="00F52975" w:rsidRDefault="00C56FC8" w:rsidP="00023910">
      <w:pPr>
        <w:tabs>
          <w:tab w:val="left" w:pos="288"/>
          <w:tab w:val="left" w:pos="4770"/>
        </w:tabs>
        <w:spacing w:line="240" w:lineRule="exact"/>
        <w:jc w:val="both"/>
        <w:rPr>
          <w:color w:val="auto"/>
        </w:rPr>
      </w:pPr>
      <w:r w:rsidRPr="00F52975">
        <w:rPr>
          <w:color w:val="auto"/>
          <w:u w:val="single"/>
        </w:rPr>
        <w:lastRenderedPageBreak/>
        <w:t>RECOMMENDATION:</w:t>
      </w:r>
      <w:r w:rsidRPr="00F52975">
        <w:rPr>
          <w:color w:val="auto"/>
        </w:rPr>
        <w:t xml:space="preserve"> </w:t>
      </w:r>
      <w:r w:rsidR="0016090D" w:rsidRPr="00F52975">
        <w:rPr>
          <w:color w:val="auto"/>
        </w:rPr>
        <w:t xml:space="preserve"> The Board recommends that the CI’s prior separation be </w:t>
      </w:r>
      <w:proofErr w:type="spellStart"/>
      <w:r w:rsidR="0016090D" w:rsidRPr="00F52975">
        <w:rPr>
          <w:color w:val="auto"/>
        </w:rPr>
        <w:t>recharacterized</w:t>
      </w:r>
      <w:proofErr w:type="spellEnd"/>
      <w:r w:rsidR="0016090D" w:rsidRPr="00F52975">
        <w:rPr>
          <w:color w:val="auto"/>
        </w:rPr>
        <w:t xml:space="preserve"> to reflect that rather than discharge with severance pay, the CI was placed on the TDRL at </w:t>
      </w:r>
      <w:r w:rsidR="001631B0" w:rsidRPr="00F52975">
        <w:rPr>
          <w:color w:val="auto"/>
        </w:rPr>
        <w:t>80</w:t>
      </w:r>
      <w:r w:rsidR="0016090D" w:rsidRPr="00F52975">
        <w:rPr>
          <w:color w:val="auto"/>
        </w:rPr>
        <w:t xml:space="preserve">% for 6 months following CI’s prior medical separation (PTSD at minimum of 50% IAW §4.129 and </w:t>
      </w:r>
      <w:proofErr w:type="spellStart"/>
      <w:r w:rsidR="0016090D" w:rsidRPr="00F52975">
        <w:rPr>
          <w:color w:val="auto"/>
        </w:rPr>
        <w:t>DoD</w:t>
      </w:r>
      <w:proofErr w:type="spellEnd"/>
      <w:r w:rsidR="0016090D" w:rsidRPr="00F52975">
        <w:rPr>
          <w:color w:val="auto"/>
        </w:rPr>
        <w:t xml:space="preserve"> direction) and then permanently retired by reason of physical disability with a final combined </w:t>
      </w:r>
      <w:r w:rsidR="001631B0" w:rsidRPr="00F52975">
        <w:rPr>
          <w:color w:val="auto"/>
        </w:rPr>
        <w:t>70</w:t>
      </w:r>
      <w:r w:rsidR="0016090D" w:rsidRPr="00F52975">
        <w:rPr>
          <w:color w:val="auto"/>
        </w:rPr>
        <w:t>% rating as indicated below.</w:t>
      </w:r>
      <w:r w:rsidR="00410AE7" w:rsidRPr="00F52975">
        <w:rPr>
          <w:color w:val="auto"/>
        </w:rPr>
        <w:t xml:space="preserve"> </w:t>
      </w:r>
    </w:p>
    <w:p w:rsidR="0016090D" w:rsidRDefault="0016090D" w:rsidP="00E44D10">
      <w:pPr>
        <w:tabs>
          <w:tab w:val="left" w:pos="288"/>
          <w:tab w:val="left" w:pos="4770"/>
        </w:tabs>
        <w:spacing w:line="240" w:lineRule="exact"/>
        <w:rPr>
          <w:rFonts w:asciiTheme="minorHAnsi" w:hAnsiTheme="minorHAnsi"/>
          <w:color w:val="aut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40"/>
        <w:gridCol w:w="1530"/>
        <w:gridCol w:w="1170"/>
        <w:gridCol w:w="1526"/>
      </w:tblGrid>
      <w:tr w:rsidR="0016090D" w:rsidRPr="0016090D" w:rsidTr="004069CD">
        <w:tc>
          <w:tcPr>
            <w:tcW w:w="5040" w:type="dxa"/>
            <w:shd w:val="clear" w:color="auto" w:fill="DDD9C3" w:themeFill="background2" w:themeFillShade="E6"/>
          </w:tcPr>
          <w:p w:rsidR="0016090D" w:rsidRPr="0016090D" w:rsidRDefault="0016090D" w:rsidP="00636269">
            <w:pPr>
              <w:tabs>
                <w:tab w:val="left" w:pos="288"/>
                <w:tab w:val="left" w:pos="4752"/>
              </w:tabs>
              <w:spacing w:line="240" w:lineRule="exact"/>
              <w:jc w:val="center"/>
              <w:rPr>
                <w:b/>
                <w:color w:val="auto"/>
                <w:szCs w:val="24"/>
              </w:rPr>
            </w:pPr>
            <w:r w:rsidRPr="0016090D">
              <w:rPr>
                <w:b/>
                <w:color w:val="auto"/>
                <w:szCs w:val="24"/>
              </w:rPr>
              <w:t>UNFITTING CONDITION</w:t>
            </w:r>
          </w:p>
        </w:tc>
        <w:tc>
          <w:tcPr>
            <w:tcW w:w="1530" w:type="dxa"/>
            <w:shd w:val="clear" w:color="auto" w:fill="DDD9C3" w:themeFill="background2" w:themeFillShade="E6"/>
          </w:tcPr>
          <w:p w:rsidR="0016090D" w:rsidRPr="0016090D" w:rsidRDefault="0016090D" w:rsidP="00636269">
            <w:pPr>
              <w:tabs>
                <w:tab w:val="left" w:pos="288"/>
                <w:tab w:val="left" w:pos="4752"/>
              </w:tabs>
              <w:spacing w:line="240" w:lineRule="exact"/>
              <w:jc w:val="center"/>
              <w:rPr>
                <w:b/>
                <w:color w:val="auto"/>
                <w:szCs w:val="24"/>
              </w:rPr>
            </w:pPr>
            <w:r w:rsidRPr="0016090D">
              <w:rPr>
                <w:b/>
                <w:color w:val="auto"/>
                <w:szCs w:val="24"/>
              </w:rPr>
              <w:t>VASRD CODE</w:t>
            </w:r>
          </w:p>
        </w:tc>
        <w:tc>
          <w:tcPr>
            <w:tcW w:w="1170" w:type="dxa"/>
            <w:shd w:val="clear" w:color="auto" w:fill="DDD9C3" w:themeFill="background2" w:themeFillShade="E6"/>
          </w:tcPr>
          <w:p w:rsidR="0016090D" w:rsidRPr="0016090D" w:rsidRDefault="0016090D" w:rsidP="00636269">
            <w:pPr>
              <w:tabs>
                <w:tab w:val="left" w:pos="288"/>
                <w:tab w:val="left" w:pos="4752"/>
              </w:tabs>
              <w:spacing w:line="240" w:lineRule="exact"/>
              <w:jc w:val="center"/>
              <w:rPr>
                <w:b/>
                <w:color w:val="auto"/>
                <w:szCs w:val="24"/>
              </w:rPr>
            </w:pPr>
            <w:r w:rsidRPr="0016090D">
              <w:rPr>
                <w:b/>
                <w:color w:val="auto"/>
                <w:szCs w:val="24"/>
              </w:rPr>
              <w:t>TDRL RATING</w:t>
            </w:r>
          </w:p>
        </w:tc>
        <w:tc>
          <w:tcPr>
            <w:tcW w:w="1526" w:type="dxa"/>
            <w:shd w:val="clear" w:color="auto" w:fill="DDD9C3" w:themeFill="background2" w:themeFillShade="E6"/>
          </w:tcPr>
          <w:p w:rsidR="0016090D" w:rsidRPr="0016090D" w:rsidRDefault="0016090D" w:rsidP="00636269">
            <w:pPr>
              <w:tabs>
                <w:tab w:val="left" w:pos="288"/>
                <w:tab w:val="left" w:pos="4752"/>
              </w:tabs>
              <w:spacing w:line="240" w:lineRule="exact"/>
              <w:jc w:val="center"/>
              <w:rPr>
                <w:b/>
                <w:color w:val="auto"/>
                <w:szCs w:val="24"/>
              </w:rPr>
            </w:pPr>
            <w:r w:rsidRPr="0016090D">
              <w:rPr>
                <w:b/>
                <w:color w:val="auto"/>
                <w:szCs w:val="24"/>
              </w:rPr>
              <w:t>PERMANENT</w:t>
            </w:r>
          </w:p>
          <w:p w:rsidR="0016090D" w:rsidRPr="0016090D" w:rsidRDefault="0016090D" w:rsidP="00636269">
            <w:pPr>
              <w:tabs>
                <w:tab w:val="left" w:pos="288"/>
                <w:tab w:val="left" w:pos="4752"/>
              </w:tabs>
              <w:spacing w:line="240" w:lineRule="exact"/>
              <w:jc w:val="center"/>
              <w:rPr>
                <w:b/>
                <w:color w:val="auto"/>
                <w:szCs w:val="24"/>
              </w:rPr>
            </w:pPr>
            <w:r w:rsidRPr="0016090D">
              <w:rPr>
                <w:b/>
                <w:color w:val="auto"/>
                <w:szCs w:val="24"/>
              </w:rPr>
              <w:t>RATING</w:t>
            </w:r>
          </w:p>
        </w:tc>
      </w:tr>
      <w:tr w:rsidR="0016090D" w:rsidRPr="0016090D" w:rsidTr="008B1951">
        <w:trPr>
          <w:trHeight w:val="305"/>
        </w:trPr>
        <w:tc>
          <w:tcPr>
            <w:tcW w:w="5040" w:type="dxa"/>
          </w:tcPr>
          <w:p w:rsidR="0016090D" w:rsidRPr="00F52975" w:rsidRDefault="0016090D" w:rsidP="00BB278D">
            <w:pPr>
              <w:tabs>
                <w:tab w:val="left" w:pos="288"/>
                <w:tab w:val="left" w:pos="4752"/>
              </w:tabs>
              <w:spacing w:before="20" w:after="20" w:line="240" w:lineRule="exact"/>
              <w:rPr>
                <w:color w:val="auto"/>
                <w:szCs w:val="24"/>
              </w:rPr>
            </w:pPr>
            <w:r w:rsidRPr="00F52975">
              <w:rPr>
                <w:color w:val="auto"/>
                <w:szCs w:val="24"/>
              </w:rPr>
              <w:t>Post-Traumatic Stress Disorder</w:t>
            </w:r>
          </w:p>
        </w:tc>
        <w:tc>
          <w:tcPr>
            <w:tcW w:w="1530" w:type="dxa"/>
            <w:tcBorders>
              <w:bottom w:val="single" w:sz="4" w:space="0" w:color="000000"/>
            </w:tcBorders>
          </w:tcPr>
          <w:p w:rsidR="0016090D" w:rsidRPr="00F52975" w:rsidRDefault="0016090D" w:rsidP="00636269">
            <w:pPr>
              <w:pStyle w:val="ListParagraph"/>
              <w:spacing w:after="0" w:line="240" w:lineRule="auto"/>
              <w:ind w:left="0"/>
              <w:jc w:val="center"/>
              <w:rPr>
                <w:rFonts w:ascii="Courier" w:hAnsi="Courier" w:cs="Times New Roman"/>
                <w:sz w:val="24"/>
                <w:szCs w:val="24"/>
              </w:rPr>
            </w:pPr>
            <w:r w:rsidRPr="00F52975">
              <w:rPr>
                <w:rFonts w:ascii="Courier" w:hAnsi="Courier" w:cs="Times New Roman"/>
                <w:sz w:val="24"/>
                <w:szCs w:val="24"/>
              </w:rPr>
              <w:t>9411</w:t>
            </w:r>
          </w:p>
        </w:tc>
        <w:tc>
          <w:tcPr>
            <w:tcW w:w="1170" w:type="dxa"/>
            <w:tcBorders>
              <w:bottom w:val="single" w:sz="4" w:space="0" w:color="000000"/>
            </w:tcBorders>
          </w:tcPr>
          <w:p w:rsidR="0016090D" w:rsidRPr="00F52975" w:rsidRDefault="0016090D" w:rsidP="00636269">
            <w:pPr>
              <w:pStyle w:val="ListParagraph"/>
              <w:spacing w:after="0" w:line="240" w:lineRule="auto"/>
              <w:ind w:left="0"/>
              <w:jc w:val="center"/>
              <w:rPr>
                <w:rFonts w:ascii="Courier" w:hAnsi="Courier" w:cs="Times New Roman"/>
                <w:sz w:val="24"/>
                <w:szCs w:val="24"/>
              </w:rPr>
            </w:pPr>
            <w:r w:rsidRPr="00F52975">
              <w:rPr>
                <w:rFonts w:ascii="Courier" w:hAnsi="Courier" w:cs="Times New Roman"/>
                <w:sz w:val="24"/>
                <w:szCs w:val="24"/>
              </w:rPr>
              <w:t>50%</w:t>
            </w:r>
          </w:p>
        </w:tc>
        <w:tc>
          <w:tcPr>
            <w:tcW w:w="1526" w:type="dxa"/>
            <w:tcBorders>
              <w:bottom w:val="single" w:sz="4" w:space="0" w:color="000000"/>
            </w:tcBorders>
          </w:tcPr>
          <w:p w:rsidR="0016090D" w:rsidRPr="00F52975" w:rsidRDefault="00BB278D" w:rsidP="00636269">
            <w:pPr>
              <w:pStyle w:val="ListParagraph"/>
              <w:spacing w:after="0" w:line="240" w:lineRule="auto"/>
              <w:ind w:left="0"/>
              <w:jc w:val="center"/>
              <w:rPr>
                <w:rFonts w:ascii="Courier" w:hAnsi="Courier" w:cs="Times New Roman"/>
                <w:sz w:val="24"/>
                <w:szCs w:val="24"/>
              </w:rPr>
            </w:pPr>
            <w:r w:rsidRPr="00F52975">
              <w:rPr>
                <w:rFonts w:ascii="Courier" w:hAnsi="Courier" w:cs="Times New Roman"/>
                <w:sz w:val="24"/>
                <w:szCs w:val="24"/>
              </w:rPr>
              <w:t>5</w:t>
            </w:r>
            <w:r w:rsidR="0016090D" w:rsidRPr="00F52975">
              <w:rPr>
                <w:rFonts w:ascii="Courier" w:hAnsi="Courier" w:cs="Times New Roman"/>
                <w:sz w:val="24"/>
                <w:szCs w:val="24"/>
              </w:rPr>
              <w:t>0%</w:t>
            </w:r>
          </w:p>
        </w:tc>
      </w:tr>
      <w:tr w:rsidR="0016090D" w:rsidRPr="0016090D" w:rsidTr="008B1951">
        <w:trPr>
          <w:trHeight w:val="305"/>
        </w:trPr>
        <w:tc>
          <w:tcPr>
            <w:tcW w:w="5040" w:type="dxa"/>
          </w:tcPr>
          <w:p w:rsidR="0016090D" w:rsidRPr="00F52975" w:rsidRDefault="0016090D" w:rsidP="00BB278D">
            <w:pPr>
              <w:pStyle w:val="ListParagraph"/>
              <w:spacing w:after="0" w:line="240" w:lineRule="auto"/>
              <w:ind w:left="0"/>
              <w:rPr>
                <w:rFonts w:ascii="Courier" w:hAnsi="Courier" w:cs="Times New Roman"/>
                <w:sz w:val="24"/>
                <w:szCs w:val="24"/>
              </w:rPr>
            </w:pPr>
            <w:r w:rsidRPr="00F52975">
              <w:rPr>
                <w:rFonts w:ascii="Courier" w:hAnsi="Courier"/>
                <w:sz w:val="24"/>
                <w:szCs w:val="24"/>
              </w:rPr>
              <w:t>Right Shoulder</w:t>
            </w:r>
            <w:r w:rsidR="00D44260" w:rsidRPr="00F52975">
              <w:rPr>
                <w:rFonts w:ascii="Courier" w:hAnsi="Courier"/>
                <w:sz w:val="24"/>
                <w:szCs w:val="24"/>
              </w:rPr>
              <w:t xml:space="preserve"> Arthritis</w:t>
            </w:r>
            <w:r w:rsidR="00BB278D" w:rsidRPr="00F52975">
              <w:rPr>
                <w:rFonts w:ascii="Courier" w:hAnsi="Courier"/>
                <w:sz w:val="24"/>
                <w:szCs w:val="24"/>
              </w:rPr>
              <w:t xml:space="preserve"> </w:t>
            </w:r>
          </w:p>
        </w:tc>
        <w:tc>
          <w:tcPr>
            <w:tcW w:w="1530" w:type="dxa"/>
            <w:tcBorders>
              <w:bottom w:val="single" w:sz="4" w:space="0" w:color="000000"/>
            </w:tcBorders>
          </w:tcPr>
          <w:p w:rsidR="0016090D" w:rsidRPr="00F52975" w:rsidRDefault="0016090D" w:rsidP="00636269">
            <w:pPr>
              <w:pStyle w:val="ListParagraph"/>
              <w:spacing w:after="0" w:line="240" w:lineRule="auto"/>
              <w:ind w:left="0"/>
              <w:jc w:val="center"/>
              <w:rPr>
                <w:rFonts w:ascii="Courier" w:hAnsi="Courier" w:cs="Times New Roman"/>
                <w:sz w:val="24"/>
                <w:szCs w:val="24"/>
              </w:rPr>
            </w:pPr>
            <w:r w:rsidRPr="00F52975">
              <w:rPr>
                <w:rFonts w:ascii="Courier" w:hAnsi="Courier" w:cs="Times New Roman"/>
                <w:sz w:val="24"/>
                <w:szCs w:val="24"/>
              </w:rPr>
              <w:t>5010-5201</w:t>
            </w:r>
          </w:p>
        </w:tc>
        <w:tc>
          <w:tcPr>
            <w:tcW w:w="1170" w:type="dxa"/>
            <w:tcBorders>
              <w:bottom w:val="single" w:sz="4" w:space="0" w:color="000000"/>
            </w:tcBorders>
          </w:tcPr>
          <w:p w:rsidR="0016090D" w:rsidRPr="00F52975" w:rsidRDefault="00D44260" w:rsidP="00636269">
            <w:pPr>
              <w:pStyle w:val="ListParagraph"/>
              <w:spacing w:after="0" w:line="240" w:lineRule="auto"/>
              <w:ind w:left="0"/>
              <w:jc w:val="center"/>
              <w:rPr>
                <w:rFonts w:ascii="Courier" w:hAnsi="Courier" w:cs="Times New Roman"/>
                <w:sz w:val="24"/>
                <w:szCs w:val="24"/>
              </w:rPr>
            </w:pPr>
            <w:r w:rsidRPr="00F52975">
              <w:rPr>
                <w:rFonts w:ascii="Courier" w:hAnsi="Courier" w:cs="Times New Roman"/>
                <w:sz w:val="24"/>
                <w:szCs w:val="24"/>
              </w:rPr>
              <w:t>3</w:t>
            </w:r>
            <w:r w:rsidR="0016090D" w:rsidRPr="00F52975">
              <w:rPr>
                <w:rFonts w:ascii="Courier" w:hAnsi="Courier" w:cs="Times New Roman"/>
                <w:sz w:val="24"/>
                <w:szCs w:val="24"/>
              </w:rPr>
              <w:t>0%</w:t>
            </w:r>
          </w:p>
        </w:tc>
        <w:tc>
          <w:tcPr>
            <w:tcW w:w="1526" w:type="dxa"/>
            <w:tcBorders>
              <w:bottom w:val="single" w:sz="4" w:space="0" w:color="000000"/>
            </w:tcBorders>
          </w:tcPr>
          <w:p w:rsidR="0016090D" w:rsidRPr="00F52975" w:rsidRDefault="0016090D" w:rsidP="00636269">
            <w:pPr>
              <w:pStyle w:val="ListParagraph"/>
              <w:spacing w:after="0" w:line="240" w:lineRule="auto"/>
              <w:ind w:left="0"/>
              <w:jc w:val="center"/>
              <w:rPr>
                <w:rFonts w:ascii="Courier" w:hAnsi="Courier" w:cs="Times New Roman"/>
                <w:sz w:val="24"/>
                <w:szCs w:val="24"/>
              </w:rPr>
            </w:pPr>
            <w:r w:rsidRPr="00F52975">
              <w:rPr>
                <w:rFonts w:ascii="Courier" w:hAnsi="Courier" w:cs="Times New Roman"/>
                <w:sz w:val="24"/>
                <w:szCs w:val="24"/>
              </w:rPr>
              <w:t>20%</w:t>
            </w:r>
          </w:p>
        </w:tc>
      </w:tr>
      <w:tr w:rsidR="0016090D" w:rsidRPr="0016090D" w:rsidTr="008B1951">
        <w:trPr>
          <w:trHeight w:val="305"/>
        </w:trPr>
        <w:tc>
          <w:tcPr>
            <w:tcW w:w="5040" w:type="dxa"/>
          </w:tcPr>
          <w:p w:rsidR="0016090D" w:rsidRPr="00F52975" w:rsidRDefault="0016090D" w:rsidP="00BB278D">
            <w:pPr>
              <w:pStyle w:val="ListParagraph"/>
              <w:spacing w:after="0" w:line="240" w:lineRule="auto"/>
              <w:ind w:left="0"/>
              <w:rPr>
                <w:rFonts w:ascii="Courier" w:hAnsi="Courier" w:cs="Times New Roman"/>
                <w:sz w:val="24"/>
                <w:szCs w:val="24"/>
              </w:rPr>
            </w:pPr>
            <w:r w:rsidRPr="00F52975">
              <w:rPr>
                <w:rFonts w:ascii="Courier" w:hAnsi="Courier"/>
                <w:sz w:val="24"/>
                <w:szCs w:val="24"/>
              </w:rPr>
              <w:t xml:space="preserve">Right Knee </w:t>
            </w:r>
            <w:r w:rsidR="00BB278D" w:rsidRPr="00F52975">
              <w:rPr>
                <w:rFonts w:ascii="Courier" w:hAnsi="Courier"/>
                <w:sz w:val="24"/>
                <w:szCs w:val="24"/>
              </w:rPr>
              <w:t xml:space="preserve">Arthritis </w:t>
            </w:r>
          </w:p>
        </w:tc>
        <w:tc>
          <w:tcPr>
            <w:tcW w:w="1530" w:type="dxa"/>
            <w:tcBorders>
              <w:bottom w:val="single" w:sz="4" w:space="0" w:color="000000"/>
            </w:tcBorders>
          </w:tcPr>
          <w:p w:rsidR="0016090D" w:rsidRPr="00F52975" w:rsidRDefault="0016090D" w:rsidP="00BB278D">
            <w:pPr>
              <w:pStyle w:val="ListParagraph"/>
              <w:spacing w:after="0" w:line="240" w:lineRule="auto"/>
              <w:ind w:left="0"/>
              <w:jc w:val="center"/>
              <w:rPr>
                <w:rFonts w:ascii="Courier" w:hAnsi="Courier" w:cs="Times New Roman"/>
                <w:sz w:val="24"/>
                <w:szCs w:val="24"/>
              </w:rPr>
            </w:pPr>
            <w:r w:rsidRPr="00F52975">
              <w:rPr>
                <w:rFonts w:ascii="Courier" w:hAnsi="Courier" w:cs="Times New Roman"/>
                <w:sz w:val="24"/>
                <w:szCs w:val="24"/>
              </w:rPr>
              <w:t>5010-5</w:t>
            </w:r>
            <w:r w:rsidR="00BB278D" w:rsidRPr="00F52975">
              <w:rPr>
                <w:rFonts w:ascii="Courier" w:hAnsi="Courier" w:cs="Times New Roman"/>
                <w:sz w:val="24"/>
                <w:szCs w:val="24"/>
              </w:rPr>
              <w:t>003</w:t>
            </w:r>
          </w:p>
        </w:tc>
        <w:tc>
          <w:tcPr>
            <w:tcW w:w="1170" w:type="dxa"/>
            <w:tcBorders>
              <w:bottom w:val="single" w:sz="4" w:space="0" w:color="000000"/>
            </w:tcBorders>
          </w:tcPr>
          <w:p w:rsidR="0016090D" w:rsidRPr="00F52975" w:rsidRDefault="0016090D" w:rsidP="00636269">
            <w:pPr>
              <w:pStyle w:val="ListParagraph"/>
              <w:spacing w:after="0" w:line="240" w:lineRule="auto"/>
              <w:ind w:left="0"/>
              <w:jc w:val="center"/>
              <w:rPr>
                <w:rFonts w:ascii="Courier" w:hAnsi="Courier" w:cs="Times New Roman"/>
                <w:sz w:val="24"/>
                <w:szCs w:val="24"/>
              </w:rPr>
            </w:pPr>
            <w:r w:rsidRPr="00F52975">
              <w:rPr>
                <w:rFonts w:ascii="Courier" w:hAnsi="Courier" w:cs="Times New Roman"/>
                <w:sz w:val="24"/>
                <w:szCs w:val="24"/>
              </w:rPr>
              <w:t>10%</w:t>
            </w:r>
          </w:p>
        </w:tc>
        <w:tc>
          <w:tcPr>
            <w:tcW w:w="1526" w:type="dxa"/>
            <w:tcBorders>
              <w:bottom w:val="single" w:sz="4" w:space="0" w:color="000000"/>
            </w:tcBorders>
          </w:tcPr>
          <w:p w:rsidR="0016090D" w:rsidRPr="00F52975" w:rsidRDefault="0016090D" w:rsidP="00636269">
            <w:pPr>
              <w:pStyle w:val="ListParagraph"/>
              <w:spacing w:after="0" w:line="240" w:lineRule="auto"/>
              <w:ind w:left="0"/>
              <w:jc w:val="center"/>
              <w:rPr>
                <w:rFonts w:ascii="Courier" w:hAnsi="Courier" w:cs="Times New Roman"/>
                <w:sz w:val="24"/>
                <w:szCs w:val="24"/>
              </w:rPr>
            </w:pPr>
            <w:r w:rsidRPr="00F52975">
              <w:rPr>
                <w:rFonts w:ascii="Courier" w:hAnsi="Courier" w:cs="Times New Roman"/>
                <w:sz w:val="24"/>
                <w:szCs w:val="24"/>
              </w:rPr>
              <w:t>10%</w:t>
            </w:r>
          </w:p>
        </w:tc>
      </w:tr>
      <w:tr w:rsidR="0016090D" w:rsidRPr="0016090D" w:rsidTr="008B1951">
        <w:trPr>
          <w:trHeight w:val="305"/>
        </w:trPr>
        <w:tc>
          <w:tcPr>
            <w:tcW w:w="5040" w:type="dxa"/>
          </w:tcPr>
          <w:p w:rsidR="0016090D" w:rsidRPr="00F52975" w:rsidRDefault="0016090D" w:rsidP="00636269">
            <w:pPr>
              <w:pStyle w:val="ListParagraph"/>
              <w:spacing w:after="0" w:line="240" w:lineRule="auto"/>
              <w:ind w:left="0"/>
              <w:rPr>
                <w:rFonts w:ascii="Courier" w:hAnsi="Courier" w:cs="Times New Roman"/>
                <w:sz w:val="24"/>
                <w:szCs w:val="24"/>
              </w:rPr>
            </w:pPr>
            <w:r w:rsidRPr="00F52975">
              <w:rPr>
                <w:rFonts w:ascii="Courier" w:hAnsi="Courier"/>
                <w:sz w:val="24"/>
                <w:szCs w:val="24"/>
              </w:rPr>
              <w:t xml:space="preserve">Lumbar Spine </w:t>
            </w:r>
            <w:r w:rsidR="00BB278D" w:rsidRPr="00F52975">
              <w:rPr>
                <w:rFonts w:ascii="Courier" w:hAnsi="Courier"/>
                <w:sz w:val="24"/>
                <w:szCs w:val="24"/>
              </w:rPr>
              <w:t>Degenerative Changes</w:t>
            </w:r>
          </w:p>
        </w:tc>
        <w:tc>
          <w:tcPr>
            <w:tcW w:w="1530" w:type="dxa"/>
            <w:tcBorders>
              <w:bottom w:val="single" w:sz="4" w:space="0" w:color="000000"/>
            </w:tcBorders>
          </w:tcPr>
          <w:p w:rsidR="0016090D" w:rsidRPr="00F52975" w:rsidRDefault="0016090D" w:rsidP="00636269">
            <w:pPr>
              <w:pStyle w:val="ListParagraph"/>
              <w:spacing w:after="0" w:line="240" w:lineRule="auto"/>
              <w:ind w:left="0"/>
              <w:jc w:val="center"/>
              <w:rPr>
                <w:rFonts w:ascii="Courier" w:hAnsi="Courier" w:cs="Times New Roman"/>
                <w:sz w:val="24"/>
                <w:szCs w:val="24"/>
              </w:rPr>
            </w:pPr>
            <w:r w:rsidRPr="00F52975">
              <w:rPr>
                <w:rFonts w:ascii="Courier" w:hAnsi="Courier" w:cs="Times New Roman"/>
                <w:sz w:val="24"/>
                <w:szCs w:val="24"/>
              </w:rPr>
              <w:t>5010-5237</w:t>
            </w:r>
          </w:p>
        </w:tc>
        <w:tc>
          <w:tcPr>
            <w:tcW w:w="1170" w:type="dxa"/>
            <w:tcBorders>
              <w:bottom w:val="single" w:sz="4" w:space="0" w:color="000000"/>
            </w:tcBorders>
          </w:tcPr>
          <w:p w:rsidR="0016090D" w:rsidRPr="00F52975" w:rsidRDefault="00F52975" w:rsidP="001631B0">
            <w:pPr>
              <w:pStyle w:val="ListParagraph"/>
              <w:tabs>
                <w:tab w:val="center" w:pos="297"/>
              </w:tabs>
              <w:spacing w:after="0" w:line="240" w:lineRule="auto"/>
              <w:ind w:left="0"/>
              <w:jc w:val="center"/>
              <w:rPr>
                <w:rFonts w:ascii="Courier" w:hAnsi="Courier" w:cs="Times New Roman"/>
                <w:sz w:val="24"/>
                <w:szCs w:val="24"/>
              </w:rPr>
            </w:pPr>
            <w:r w:rsidRPr="00F52975">
              <w:rPr>
                <w:rFonts w:ascii="Courier" w:hAnsi="Courier" w:cs="Times New Roman"/>
                <w:sz w:val="24"/>
                <w:szCs w:val="24"/>
              </w:rPr>
              <w:t>4</w:t>
            </w:r>
            <w:r w:rsidR="005A21F9" w:rsidRPr="00F52975">
              <w:rPr>
                <w:rFonts w:ascii="Courier" w:hAnsi="Courier" w:cs="Times New Roman"/>
                <w:sz w:val="24"/>
                <w:szCs w:val="24"/>
              </w:rPr>
              <w:t>0</w:t>
            </w:r>
            <w:r w:rsidR="00945F68">
              <w:rPr>
                <w:rFonts w:ascii="Courier" w:hAnsi="Courier" w:cs="Times New Roman"/>
                <w:sz w:val="24"/>
                <w:szCs w:val="24"/>
              </w:rPr>
              <w:t>%</w:t>
            </w:r>
            <w:r w:rsidR="005A21F9" w:rsidRPr="00F52975">
              <w:rPr>
                <w:rFonts w:ascii="Courier" w:hAnsi="Courier" w:cs="Times New Roman"/>
                <w:sz w:val="24"/>
                <w:szCs w:val="24"/>
              </w:rPr>
              <w:t xml:space="preserve"> </w:t>
            </w:r>
          </w:p>
        </w:tc>
        <w:tc>
          <w:tcPr>
            <w:tcW w:w="1526" w:type="dxa"/>
            <w:tcBorders>
              <w:bottom w:val="single" w:sz="4" w:space="0" w:color="000000"/>
            </w:tcBorders>
          </w:tcPr>
          <w:p w:rsidR="0016090D" w:rsidRPr="00F52975" w:rsidRDefault="0016090D" w:rsidP="00636269">
            <w:pPr>
              <w:pStyle w:val="ListParagraph"/>
              <w:tabs>
                <w:tab w:val="center" w:pos="297"/>
              </w:tabs>
              <w:spacing w:after="0" w:line="240" w:lineRule="auto"/>
              <w:ind w:left="0"/>
              <w:jc w:val="center"/>
              <w:rPr>
                <w:rFonts w:ascii="Courier" w:hAnsi="Courier" w:cs="Times New Roman"/>
                <w:sz w:val="24"/>
                <w:szCs w:val="24"/>
              </w:rPr>
            </w:pPr>
            <w:r w:rsidRPr="00F52975">
              <w:rPr>
                <w:rFonts w:ascii="Courier" w:hAnsi="Courier" w:cs="Times New Roman"/>
                <w:sz w:val="24"/>
                <w:szCs w:val="24"/>
              </w:rPr>
              <w:t>20%</w:t>
            </w:r>
          </w:p>
        </w:tc>
      </w:tr>
      <w:tr w:rsidR="0016090D" w:rsidRPr="0016090D" w:rsidTr="004069CD">
        <w:tblPrEx>
          <w:tblLook w:val="0000"/>
        </w:tblPrEx>
        <w:trPr>
          <w:gridBefore w:val="1"/>
          <w:wBefore w:w="5040" w:type="dxa"/>
          <w:trHeight w:val="350"/>
        </w:trPr>
        <w:tc>
          <w:tcPr>
            <w:tcW w:w="1530" w:type="dxa"/>
            <w:tcBorders>
              <w:left w:val="single" w:sz="4" w:space="0" w:color="auto"/>
            </w:tcBorders>
            <w:shd w:val="clear" w:color="auto" w:fill="DDD9C3" w:themeFill="background2" w:themeFillShade="E6"/>
          </w:tcPr>
          <w:p w:rsidR="0016090D" w:rsidRPr="00F52975" w:rsidRDefault="0016090D" w:rsidP="00636269">
            <w:pPr>
              <w:tabs>
                <w:tab w:val="left" w:pos="288"/>
                <w:tab w:val="left" w:pos="4752"/>
              </w:tabs>
              <w:spacing w:before="60" w:line="240" w:lineRule="exact"/>
              <w:jc w:val="center"/>
              <w:rPr>
                <w:b/>
                <w:color w:val="auto"/>
                <w:szCs w:val="24"/>
              </w:rPr>
            </w:pPr>
            <w:r w:rsidRPr="00F52975">
              <w:rPr>
                <w:b/>
                <w:color w:val="auto"/>
                <w:szCs w:val="24"/>
              </w:rPr>
              <w:t>COMBINED</w:t>
            </w:r>
          </w:p>
        </w:tc>
        <w:tc>
          <w:tcPr>
            <w:tcW w:w="1170" w:type="dxa"/>
            <w:tcBorders>
              <w:left w:val="single" w:sz="4" w:space="0" w:color="auto"/>
            </w:tcBorders>
            <w:shd w:val="clear" w:color="auto" w:fill="DDD9C3" w:themeFill="background2" w:themeFillShade="E6"/>
          </w:tcPr>
          <w:p w:rsidR="0016090D" w:rsidRPr="00F52975" w:rsidRDefault="00BB278D" w:rsidP="00636269">
            <w:pPr>
              <w:tabs>
                <w:tab w:val="left" w:pos="288"/>
                <w:tab w:val="left" w:pos="4752"/>
              </w:tabs>
              <w:spacing w:before="60" w:line="240" w:lineRule="exact"/>
              <w:jc w:val="center"/>
              <w:rPr>
                <w:b/>
                <w:color w:val="auto"/>
                <w:szCs w:val="24"/>
              </w:rPr>
            </w:pPr>
            <w:r w:rsidRPr="00F52975">
              <w:rPr>
                <w:b/>
                <w:color w:val="auto"/>
                <w:szCs w:val="24"/>
              </w:rPr>
              <w:t>8</w:t>
            </w:r>
            <w:r w:rsidR="0016090D" w:rsidRPr="00F52975">
              <w:rPr>
                <w:b/>
                <w:color w:val="auto"/>
                <w:szCs w:val="24"/>
              </w:rPr>
              <w:t>0%</w:t>
            </w:r>
          </w:p>
        </w:tc>
        <w:tc>
          <w:tcPr>
            <w:tcW w:w="1526" w:type="dxa"/>
            <w:shd w:val="clear" w:color="auto" w:fill="DDD9C3" w:themeFill="background2" w:themeFillShade="E6"/>
          </w:tcPr>
          <w:p w:rsidR="0016090D" w:rsidRPr="00F52975" w:rsidRDefault="00BB278D" w:rsidP="00636269">
            <w:pPr>
              <w:tabs>
                <w:tab w:val="left" w:pos="288"/>
                <w:tab w:val="left" w:pos="4752"/>
              </w:tabs>
              <w:spacing w:before="60" w:line="240" w:lineRule="exact"/>
              <w:jc w:val="center"/>
              <w:rPr>
                <w:b/>
                <w:color w:val="auto"/>
                <w:szCs w:val="24"/>
              </w:rPr>
            </w:pPr>
            <w:r w:rsidRPr="00F52975">
              <w:rPr>
                <w:b/>
                <w:color w:val="auto"/>
                <w:szCs w:val="24"/>
              </w:rPr>
              <w:t>7</w:t>
            </w:r>
            <w:r w:rsidR="0016090D" w:rsidRPr="00F52975">
              <w:rPr>
                <w:b/>
                <w:color w:val="auto"/>
                <w:szCs w:val="24"/>
              </w:rPr>
              <w:t>0%</w:t>
            </w:r>
          </w:p>
        </w:tc>
      </w:tr>
    </w:tbl>
    <w:p w:rsidR="00B20C00" w:rsidRPr="00B20C00" w:rsidRDefault="00B20C00" w:rsidP="00B20C00">
      <w:pPr>
        <w:tabs>
          <w:tab w:val="left" w:pos="288"/>
          <w:tab w:val="left" w:pos="4752"/>
        </w:tabs>
        <w:spacing w:line="240" w:lineRule="exact"/>
        <w:jc w:val="both"/>
        <w:rPr>
          <w:color w:val="auto"/>
          <w:u w:val="single"/>
        </w:rPr>
      </w:pPr>
      <w:r w:rsidRPr="00B20C00">
        <w:rPr>
          <w:color w:val="auto"/>
          <w:u w:val="single"/>
        </w:rPr>
        <w:t>________________________________________________________________</w:t>
      </w:r>
    </w:p>
    <w:p w:rsidR="00D91DA6" w:rsidRPr="00AE6C1A" w:rsidRDefault="00D91DA6" w:rsidP="00875F2D">
      <w:pPr>
        <w:tabs>
          <w:tab w:val="left" w:pos="288"/>
          <w:tab w:val="left" w:pos="4752"/>
        </w:tabs>
        <w:spacing w:line="240" w:lineRule="exact"/>
        <w:jc w:val="both"/>
        <w:rPr>
          <w:color w:val="auto"/>
        </w:rPr>
      </w:pPr>
    </w:p>
    <w:p w:rsidR="00D91DA6" w:rsidRPr="00AE6C1A" w:rsidRDefault="00114F20" w:rsidP="00875F2D">
      <w:pPr>
        <w:tabs>
          <w:tab w:val="left" w:pos="288"/>
          <w:tab w:val="left" w:pos="4752"/>
        </w:tabs>
        <w:spacing w:line="240" w:lineRule="exact"/>
        <w:jc w:val="both"/>
        <w:rPr>
          <w:color w:val="auto"/>
        </w:rPr>
      </w:pPr>
      <w:r w:rsidRPr="00AE6C1A">
        <w:rPr>
          <w:color w:val="auto"/>
        </w:rPr>
        <w:t>The following documentary evidence was considered:</w:t>
      </w:r>
    </w:p>
    <w:p w:rsidR="00114F20" w:rsidRPr="00AE6C1A" w:rsidRDefault="00114F20" w:rsidP="00875F2D">
      <w:pPr>
        <w:tabs>
          <w:tab w:val="left" w:pos="288"/>
          <w:tab w:val="left" w:pos="4752"/>
        </w:tabs>
        <w:spacing w:line="240" w:lineRule="exact"/>
        <w:jc w:val="both"/>
        <w:rPr>
          <w:color w:val="auto"/>
        </w:rPr>
      </w:pPr>
    </w:p>
    <w:p w:rsidR="00114F20" w:rsidRPr="00AE6C1A" w:rsidRDefault="0051146C" w:rsidP="00875F2D">
      <w:pPr>
        <w:tabs>
          <w:tab w:val="left" w:pos="288"/>
          <w:tab w:val="left" w:pos="4752"/>
        </w:tabs>
        <w:spacing w:line="240" w:lineRule="exact"/>
        <w:jc w:val="both"/>
        <w:rPr>
          <w:color w:val="auto"/>
        </w:rPr>
      </w:pPr>
      <w:r w:rsidRPr="00AE6C1A">
        <w:rPr>
          <w:color w:val="auto"/>
        </w:rPr>
        <w:t xml:space="preserve">Exhibit A.  DD Form </w:t>
      </w:r>
      <w:proofErr w:type="gramStart"/>
      <w:r w:rsidRPr="00AE6C1A">
        <w:rPr>
          <w:color w:val="auto"/>
        </w:rPr>
        <w:t>294,</w:t>
      </w:r>
      <w:proofErr w:type="gramEnd"/>
      <w:r w:rsidRPr="00AE6C1A">
        <w:rPr>
          <w:color w:val="auto"/>
        </w:rPr>
        <w:t xml:space="preserve"> dated </w:t>
      </w:r>
      <w:r w:rsidR="00410AE7">
        <w:rPr>
          <w:color w:val="auto"/>
          <w:szCs w:val="24"/>
        </w:rPr>
        <w:t>20090129</w:t>
      </w:r>
      <w:r w:rsidR="00114F20" w:rsidRPr="00AE6C1A">
        <w:rPr>
          <w:color w:val="auto"/>
        </w:rPr>
        <w:t>, w/</w:t>
      </w:r>
      <w:proofErr w:type="spellStart"/>
      <w:r w:rsidR="00114F20" w:rsidRPr="00AE6C1A">
        <w:rPr>
          <w:color w:val="auto"/>
        </w:rPr>
        <w:t>atchs</w:t>
      </w:r>
      <w:proofErr w:type="spellEnd"/>
      <w:r w:rsidR="00114F20" w:rsidRPr="00AE6C1A">
        <w:rPr>
          <w:color w:val="auto"/>
        </w:rPr>
        <w:t>.</w:t>
      </w:r>
    </w:p>
    <w:p w:rsidR="00114F20" w:rsidRPr="00AE6C1A" w:rsidRDefault="00114F20" w:rsidP="00875F2D">
      <w:pPr>
        <w:tabs>
          <w:tab w:val="left" w:pos="288"/>
          <w:tab w:val="left" w:pos="4752"/>
        </w:tabs>
        <w:spacing w:line="240" w:lineRule="exact"/>
        <w:jc w:val="both"/>
        <w:rPr>
          <w:color w:val="auto"/>
        </w:rPr>
      </w:pPr>
      <w:r w:rsidRPr="00AE6C1A">
        <w:rPr>
          <w:color w:val="auto"/>
        </w:rPr>
        <w:t xml:space="preserve">Exhibit B.  </w:t>
      </w:r>
      <w:proofErr w:type="gramStart"/>
      <w:r w:rsidRPr="00AE6C1A">
        <w:rPr>
          <w:color w:val="auto"/>
        </w:rPr>
        <w:t>Service Treatment Record.</w:t>
      </w:r>
      <w:proofErr w:type="gramEnd"/>
    </w:p>
    <w:p w:rsidR="00114F20" w:rsidRPr="00AE6C1A" w:rsidRDefault="00114F20" w:rsidP="00875F2D">
      <w:pPr>
        <w:tabs>
          <w:tab w:val="left" w:pos="288"/>
          <w:tab w:val="left" w:pos="4752"/>
        </w:tabs>
        <w:spacing w:line="240" w:lineRule="exact"/>
        <w:jc w:val="both"/>
        <w:rPr>
          <w:color w:val="auto"/>
        </w:rPr>
      </w:pPr>
      <w:r w:rsidRPr="00AE6C1A">
        <w:rPr>
          <w:color w:val="auto"/>
        </w:rPr>
        <w:t xml:space="preserve">Exhibit C.  </w:t>
      </w:r>
      <w:proofErr w:type="gramStart"/>
      <w:r w:rsidRPr="00AE6C1A">
        <w:rPr>
          <w:color w:val="auto"/>
        </w:rPr>
        <w:t>Department of Veterans</w:t>
      </w:r>
      <w:r w:rsidR="00385D6F" w:rsidRPr="00AE6C1A">
        <w:rPr>
          <w:color w:val="auto"/>
        </w:rPr>
        <w:t>'</w:t>
      </w:r>
      <w:r w:rsidRPr="00AE6C1A">
        <w:rPr>
          <w:color w:val="auto"/>
        </w:rPr>
        <w:t xml:space="preserve"> Affairs Treatment Record.</w:t>
      </w:r>
      <w:proofErr w:type="gramEnd"/>
    </w:p>
    <w:p w:rsidR="00D91DA6" w:rsidRPr="00AE6C1A" w:rsidRDefault="00D91DA6" w:rsidP="00875F2D">
      <w:pPr>
        <w:tabs>
          <w:tab w:val="left" w:pos="288"/>
          <w:tab w:val="left" w:pos="4752"/>
        </w:tabs>
        <w:spacing w:line="240" w:lineRule="exact"/>
        <w:jc w:val="both"/>
        <w:rPr>
          <w:color w:val="auto"/>
        </w:rPr>
      </w:pPr>
    </w:p>
    <w:p w:rsidR="00E3271A" w:rsidRDefault="00E3271A">
      <w:pPr>
        <w:rPr>
          <w:color w:val="auto"/>
        </w:rPr>
      </w:pPr>
      <w:r>
        <w:rPr>
          <w:color w:val="auto"/>
        </w:rPr>
        <w:br w:type="page"/>
      </w:r>
    </w:p>
    <w:p w:rsidR="00E3271A" w:rsidRDefault="00E3271A" w:rsidP="00E3271A">
      <w:pPr>
        <w:pStyle w:val="Default"/>
        <w:framePr w:w="13160" w:wrap="auto" w:vAnchor="page" w:hAnchor="page" w:x="1" w:y="1"/>
      </w:pPr>
      <w:r>
        <w:rPr>
          <w:noProof/>
        </w:rPr>
        <w:lastRenderedPageBreak/>
        <w:drawing>
          <wp:inline distT="0" distB="0" distL="0" distR="0">
            <wp:extent cx="7849870" cy="1003236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849870" cy="10032365"/>
                    </a:xfrm>
                    <a:prstGeom prst="rect">
                      <a:avLst/>
                    </a:prstGeom>
                    <a:noFill/>
                    <a:ln w="9525">
                      <a:noFill/>
                      <a:miter lim="800000"/>
                      <a:headEnd/>
                      <a:tailEnd/>
                    </a:ln>
                  </pic:spPr>
                </pic:pic>
              </a:graphicData>
            </a:graphic>
          </wp:inline>
        </w:drawing>
      </w:r>
    </w:p>
    <w:p w:rsidR="00114F20" w:rsidRPr="00AE6C1A" w:rsidRDefault="00114F20" w:rsidP="00875F2D">
      <w:pPr>
        <w:tabs>
          <w:tab w:val="left" w:pos="288"/>
          <w:tab w:val="left" w:pos="4752"/>
        </w:tabs>
        <w:spacing w:line="240" w:lineRule="exact"/>
        <w:jc w:val="both"/>
        <w:rPr>
          <w:color w:val="auto"/>
        </w:rPr>
      </w:pPr>
    </w:p>
    <w:sectPr w:rsidR="00114F20" w:rsidRPr="00AE6C1A" w:rsidSect="006418C9">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B9D" w:rsidRDefault="00EF3B9D">
      <w:r>
        <w:separator/>
      </w:r>
    </w:p>
  </w:endnote>
  <w:endnote w:type="continuationSeparator" w:id="0">
    <w:p w:rsidR="00EF3B9D" w:rsidRDefault="00EF3B9D">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269" w:rsidRDefault="002639B7">
    <w:pPr>
      <w:pStyle w:val="Footer"/>
      <w:framePr w:wrap="around" w:vAnchor="text" w:hAnchor="margin" w:xAlign="center" w:y="1"/>
      <w:rPr>
        <w:rStyle w:val="PageNumber"/>
      </w:rPr>
    </w:pPr>
    <w:r>
      <w:rPr>
        <w:rStyle w:val="PageNumber"/>
      </w:rPr>
      <w:fldChar w:fldCharType="begin"/>
    </w:r>
    <w:r w:rsidR="00636269">
      <w:rPr>
        <w:rStyle w:val="PageNumber"/>
      </w:rPr>
      <w:instrText xml:space="preserve">PAGE  </w:instrText>
    </w:r>
    <w:r>
      <w:rPr>
        <w:rStyle w:val="PageNumber"/>
      </w:rPr>
      <w:fldChar w:fldCharType="separate"/>
    </w:r>
    <w:r w:rsidR="00636269">
      <w:rPr>
        <w:rStyle w:val="PageNumber"/>
        <w:noProof/>
      </w:rPr>
      <w:t>2</w:t>
    </w:r>
    <w:r>
      <w:rPr>
        <w:rStyle w:val="PageNumber"/>
      </w:rPr>
      <w:fldChar w:fldCharType="end"/>
    </w:r>
  </w:p>
  <w:p w:rsidR="00636269" w:rsidRDefault="00636269"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269" w:rsidRDefault="002639B7">
    <w:pPr>
      <w:pStyle w:val="Footer"/>
      <w:framePr w:wrap="around" w:vAnchor="text" w:hAnchor="margin" w:xAlign="center" w:y="1"/>
      <w:rPr>
        <w:rStyle w:val="PageNumber"/>
      </w:rPr>
    </w:pPr>
    <w:r>
      <w:rPr>
        <w:rStyle w:val="PageNumber"/>
      </w:rPr>
      <w:fldChar w:fldCharType="begin"/>
    </w:r>
    <w:r w:rsidR="00636269">
      <w:rPr>
        <w:rStyle w:val="PageNumber"/>
      </w:rPr>
      <w:instrText xml:space="preserve">PAGE  </w:instrText>
    </w:r>
    <w:r>
      <w:rPr>
        <w:rStyle w:val="PageNumber"/>
      </w:rPr>
      <w:fldChar w:fldCharType="separate"/>
    </w:r>
    <w:r w:rsidR="00E3271A">
      <w:rPr>
        <w:rStyle w:val="PageNumber"/>
        <w:noProof/>
      </w:rPr>
      <w:t>9</w:t>
    </w:r>
    <w:r>
      <w:rPr>
        <w:rStyle w:val="PageNumber"/>
      </w:rPr>
      <w:fldChar w:fldCharType="end"/>
    </w:r>
  </w:p>
  <w:p w:rsidR="00636269" w:rsidRDefault="00636269" w:rsidP="002B0749">
    <w:pPr>
      <w:pStyle w:val="Footer"/>
      <w:jc w:val="right"/>
    </w:pPr>
    <w:r>
      <w:tab/>
    </w:r>
    <w:r>
      <w:tab/>
    </w:r>
    <w:r w:rsidRPr="001D3186">
      <w:rPr>
        <w:caps/>
        <w:color w:val="000080"/>
      </w:rPr>
      <w:t>PD</w:t>
    </w:r>
    <w:r>
      <w:rPr>
        <w:caps/>
        <w:color w:val="000080"/>
      </w:rPr>
      <w:t>0900106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B9D" w:rsidRDefault="00EF3B9D">
      <w:r>
        <w:separator/>
      </w:r>
    </w:p>
  </w:footnote>
  <w:footnote w:type="continuationSeparator" w:id="0">
    <w:p w:rsidR="00EF3B9D" w:rsidRDefault="00EF3B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571393"/>
  </w:hdrShapeDefaults>
  <w:footnotePr>
    <w:numRestart w:val="eachSect"/>
    <w:footnote w:id="-1"/>
    <w:footnote w:id="0"/>
  </w:footnotePr>
  <w:endnotePr>
    <w:endnote w:id="-1"/>
    <w:endnote w:id="0"/>
  </w:endnotePr>
  <w:compat/>
  <w:rsids>
    <w:rsidRoot w:val="001C28D1"/>
    <w:rsid w:val="000059FA"/>
    <w:rsid w:val="00006F87"/>
    <w:rsid w:val="00007B31"/>
    <w:rsid w:val="00010ABA"/>
    <w:rsid w:val="00012428"/>
    <w:rsid w:val="00013417"/>
    <w:rsid w:val="000145C2"/>
    <w:rsid w:val="0001473F"/>
    <w:rsid w:val="000160B1"/>
    <w:rsid w:val="00020625"/>
    <w:rsid w:val="00023910"/>
    <w:rsid w:val="00023D43"/>
    <w:rsid w:val="00032E07"/>
    <w:rsid w:val="00033209"/>
    <w:rsid w:val="000332CA"/>
    <w:rsid w:val="0003374E"/>
    <w:rsid w:val="000344E6"/>
    <w:rsid w:val="00034FBE"/>
    <w:rsid w:val="00035C3A"/>
    <w:rsid w:val="00036E4B"/>
    <w:rsid w:val="000379D0"/>
    <w:rsid w:val="00040FC4"/>
    <w:rsid w:val="000416F8"/>
    <w:rsid w:val="00043C05"/>
    <w:rsid w:val="000453F1"/>
    <w:rsid w:val="00051622"/>
    <w:rsid w:val="00052234"/>
    <w:rsid w:val="00053D7C"/>
    <w:rsid w:val="000577C9"/>
    <w:rsid w:val="0006431E"/>
    <w:rsid w:val="00072433"/>
    <w:rsid w:val="00075702"/>
    <w:rsid w:val="0007609A"/>
    <w:rsid w:val="00076A2E"/>
    <w:rsid w:val="000775C2"/>
    <w:rsid w:val="000806AD"/>
    <w:rsid w:val="00081545"/>
    <w:rsid w:val="00082482"/>
    <w:rsid w:val="00084CAC"/>
    <w:rsid w:val="0008708B"/>
    <w:rsid w:val="00094000"/>
    <w:rsid w:val="00094E4F"/>
    <w:rsid w:val="000A168E"/>
    <w:rsid w:val="000A2BCE"/>
    <w:rsid w:val="000A41E3"/>
    <w:rsid w:val="000A4BBA"/>
    <w:rsid w:val="000A5071"/>
    <w:rsid w:val="000B3736"/>
    <w:rsid w:val="000B4E88"/>
    <w:rsid w:val="000C06F6"/>
    <w:rsid w:val="000C3C13"/>
    <w:rsid w:val="000C5813"/>
    <w:rsid w:val="000C68F3"/>
    <w:rsid w:val="000C7DE4"/>
    <w:rsid w:val="000D15E7"/>
    <w:rsid w:val="000D1A24"/>
    <w:rsid w:val="000D21C7"/>
    <w:rsid w:val="000D248A"/>
    <w:rsid w:val="000D43F9"/>
    <w:rsid w:val="000D4717"/>
    <w:rsid w:val="000D6457"/>
    <w:rsid w:val="000D7D55"/>
    <w:rsid w:val="000E0993"/>
    <w:rsid w:val="000E37E0"/>
    <w:rsid w:val="000F02BE"/>
    <w:rsid w:val="000F3AF3"/>
    <w:rsid w:val="000F427B"/>
    <w:rsid w:val="001008C1"/>
    <w:rsid w:val="00103CCF"/>
    <w:rsid w:val="0010417F"/>
    <w:rsid w:val="001042D2"/>
    <w:rsid w:val="0010530E"/>
    <w:rsid w:val="001103CD"/>
    <w:rsid w:val="00110B6F"/>
    <w:rsid w:val="00114F20"/>
    <w:rsid w:val="0011620F"/>
    <w:rsid w:val="001219DF"/>
    <w:rsid w:val="001231DC"/>
    <w:rsid w:val="001272AE"/>
    <w:rsid w:val="0013132E"/>
    <w:rsid w:val="001315DD"/>
    <w:rsid w:val="00135385"/>
    <w:rsid w:val="001364D1"/>
    <w:rsid w:val="00142EBA"/>
    <w:rsid w:val="00145F41"/>
    <w:rsid w:val="00150DCB"/>
    <w:rsid w:val="0015173C"/>
    <w:rsid w:val="00153740"/>
    <w:rsid w:val="001541C5"/>
    <w:rsid w:val="0015623F"/>
    <w:rsid w:val="00156BA9"/>
    <w:rsid w:val="0016090D"/>
    <w:rsid w:val="00161797"/>
    <w:rsid w:val="001631B0"/>
    <w:rsid w:val="00164D8E"/>
    <w:rsid w:val="00165887"/>
    <w:rsid w:val="00166182"/>
    <w:rsid w:val="001737DE"/>
    <w:rsid w:val="00176B5A"/>
    <w:rsid w:val="00177659"/>
    <w:rsid w:val="001779E5"/>
    <w:rsid w:val="0018294D"/>
    <w:rsid w:val="00182A4C"/>
    <w:rsid w:val="00183F77"/>
    <w:rsid w:val="00185DA8"/>
    <w:rsid w:val="00185ECB"/>
    <w:rsid w:val="001870F0"/>
    <w:rsid w:val="0019273F"/>
    <w:rsid w:val="00193AD5"/>
    <w:rsid w:val="00194930"/>
    <w:rsid w:val="00197FFA"/>
    <w:rsid w:val="001A08CD"/>
    <w:rsid w:val="001A3112"/>
    <w:rsid w:val="001A5320"/>
    <w:rsid w:val="001A5E62"/>
    <w:rsid w:val="001A71A8"/>
    <w:rsid w:val="001A7538"/>
    <w:rsid w:val="001B0B1A"/>
    <w:rsid w:val="001B29D4"/>
    <w:rsid w:val="001B4EC2"/>
    <w:rsid w:val="001B5B59"/>
    <w:rsid w:val="001B7C8C"/>
    <w:rsid w:val="001C181A"/>
    <w:rsid w:val="001C2053"/>
    <w:rsid w:val="001C28D1"/>
    <w:rsid w:val="001C40B0"/>
    <w:rsid w:val="001C5CFC"/>
    <w:rsid w:val="001C7418"/>
    <w:rsid w:val="001D0051"/>
    <w:rsid w:val="001D2224"/>
    <w:rsid w:val="001D57E8"/>
    <w:rsid w:val="001D68CF"/>
    <w:rsid w:val="001D6A8C"/>
    <w:rsid w:val="001D6C5E"/>
    <w:rsid w:val="001D7A56"/>
    <w:rsid w:val="001D7E3B"/>
    <w:rsid w:val="001E0464"/>
    <w:rsid w:val="001E0F51"/>
    <w:rsid w:val="001E15C0"/>
    <w:rsid w:val="001E18E0"/>
    <w:rsid w:val="001E18E2"/>
    <w:rsid w:val="001E5671"/>
    <w:rsid w:val="001F50E3"/>
    <w:rsid w:val="001F5846"/>
    <w:rsid w:val="00200AA0"/>
    <w:rsid w:val="00202736"/>
    <w:rsid w:val="00203652"/>
    <w:rsid w:val="002060B6"/>
    <w:rsid w:val="0020758A"/>
    <w:rsid w:val="00216049"/>
    <w:rsid w:val="00217C09"/>
    <w:rsid w:val="00220F5C"/>
    <w:rsid w:val="00223742"/>
    <w:rsid w:val="0022409D"/>
    <w:rsid w:val="00225196"/>
    <w:rsid w:val="00225CB4"/>
    <w:rsid w:val="0023049F"/>
    <w:rsid w:val="00231773"/>
    <w:rsid w:val="00232C9B"/>
    <w:rsid w:val="00232F09"/>
    <w:rsid w:val="002335D5"/>
    <w:rsid w:val="002338CA"/>
    <w:rsid w:val="00233C5B"/>
    <w:rsid w:val="00233FE5"/>
    <w:rsid w:val="00236931"/>
    <w:rsid w:val="0024174E"/>
    <w:rsid w:val="00241DA0"/>
    <w:rsid w:val="0024227D"/>
    <w:rsid w:val="00243E60"/>
    <w:rsid w:val="00246860"/>
    <w:rsid w:val="00246DFF"/>
    <w:rsid w:val="00246E89"/>
    <w:rsid w:val="002510C1"/>
    <w:rsid w:val="0025183C"/>
    <w:rsid w:val="002521BA"/>
    <w:rsid w:val="002528EC"/>
    <w:rsid w:val="00254C62"/>
    <w:rsid w:val="00255049"/>
    <w:rsid w:val="002558CE"/>
    <w:rsid w:val="0025792A"/>
    <w:rsid w:val="00257DE5"/>
    <w:rsid w:val="00260531"/>
    <w:rsid w:val="0026318D"/>
    <w:rsid w:val="00263502"/>
    <w:rsid w:val="002639B7"/>
    <w:rsid w:val="00267795"/>
    <w:rsid w:val="00270864"/>
    <w:rsid w:val="002712F7"/>
    <w:rsid w:val="0027159C"/>
    <w:rsid w:val="00272928"/>
    <w:rsid w:val="00272C94"/>
    <w:rsid w:val="00274549"/>
    <w:rsid w:val="00274E46"/>
    <w:rsid w:val="002758B2"/>
    <w:rsid w:val="00276C86"/>
    <w:rsid w:val="002810A4"/>
    <w:rsid w:val="00284A26"/>
    <w:rsid w:val="00294496"/>
    <w:rsid w:val="00294F43"/>
    <w:rsid w:val="002A3237"/>
    <w:rsid w:val="002A685E"/>
    <w:rsid w:val="002A72C7"/>
    <w:rsid w:val="002B03B2"/>
    <w:rsid w:val="002B0749"/>
    <w:rsid w:val="002B2645"/>
    <w:rsid w:val="002B7396"/>
    <w:rsid w:val="002C5F10"/>
    <w:rsid w:val="002C6E5B"/>
    <w:rsid w:val="002D0407"/>
    <w:rsid w:val="002D07DF"/>
    <w:rsid w:val="002D18B4"/>
    <w:rsid w:val="002D190C"/>
    <w:rsid w:val="002D231A"/>
    <w:rsid w:val="002D43F1"/>
    <w:rsid w:val="002D6B06"/>
    <w:rsid w:val="002E1877"/>
    <w:rsid w:val="002E1C31"/>
    <w:rsid w:val="002E333A"/>
    <w:rsid w:val="002E3474"/>
    <w:rsid w:val="002E400C"/>
    <w:rsid w:val="002E49C3"/>
    <w:rsid w:val="002E7570"/>
    <w:rsid w:val="002E764B"/>
    <w:rsid w:val="002F0E28"/>
    <w:rsid w:val="002F165B"/>
    <w:rsid w:val="002F287E"/>
    <w:rsid w:val="002F2D63"/>
    <w:rsid w:val="002F7F81"/>
    <w:rsid w:val="00300A36"/>
    <w:rsid w:val="003061BD"/>
    <w:rsid w:val="0030678B"/>
    <w:rsid w:val="00310CD7"/>
    <w:rsid w:val="00310FA8"/>
    <w:rsid w:val="00311638"/>
    <w:rsid w:val="00311B09"/>
    <w:rsid w:val="00316C85"/>
    <w:rsid w:val="0032136A"/>
    <w:rsid w:val="00323E70"/>
    <w:rsid w:val="00326F7F"/>
    <w:rsid w:val="00330D30"/>
    <w:rsid w:val="00331F75"/>
    <w:rsid w:val="003320E8"/>
    <w:rsid w:val="0033306C"/>
    <w:rsid w:val="00333A2A"/>
    <w:rsid w:val="0033555E"/>
    <w:rsid w:val="00336805"/>
    <w:rsid w:val="00337351"/>
    <w:rsid w:val="00341A54"/>
    <w:rsid w:val="00343A90"/>
    <w:rsid w:val="0034669F"/>
    <w:rsid w:val="00346BA6"/>
    <w:rsid w:val="00351498"/>
    <w:rsid w:val="00352B22"/>
    <w:rsid w:val="003567DE"/>
    <w:rsid w:val="003613F9"/>
    <w:rsid w:val="0036319E"/>
    <w:rsid w:val="003632A4"/>
    <w:rsid w:val="00363362"/>
    <w:rsid w:val="003664DF"/>
    <w:rsid w:val="0037061D"/>
    <w:rsid w:val="00370EF5"/>
    <w:rsid w:val="00372251"/>
    <w:rsid w:val="0037520D"/>
    <w:rsid w:val="0037628C"/>
    <w:rsid w:val="00376B81"/>
    <w:rsid w:val="00377BD2"/>
    <w:rsid w:val="003821E1"/>
    <w:rsid w:val="00384866"/>
    <w:rsid w:val="003857D4"/>
    <w:rsid w:val="00385D6F"/>
    <w:rsid w:val="00387095"/>
    <w:rsid w:val="00390092"/>
    <w:rsid w:val="00393651"/>
    <w:rsid w:val="003A196C"/>
    <w:rsid w:val="003A41BA"/>
    <w:rsid w:val="003A6A99"/>
    <w:rsid w:val="003A7ACA"/>
    <w:rsid w:val="003A7FF8"/>
    <w:rsid w:val="003B227A"/>
    <w:rsid w:val="003B5854"/>
    <w:rsid w:val="003B6764"/>
    <w:rsid w:val="003D2407"/>
    <w:rsid w:val="003D2BA3"/>
    <w:rsid w:val="003D30C5"/>
    <w:rsid w:val="003D3C22"/>
    <w:rsid w:val="003D7089"/>
    <w:rsid w:val="003D7DDB"/>
    <w:rsid w:val="003E02C7"/>
    <w:rsid w:val="003E0543"/>
    <w:rsid w:val="003E0B5A"/>
    <w:rsid w:val="003E15AE"/>
    <w:rsid w:val="003E31E3"/>
    <w:rsid w:val="003E44FB"/>
    <w:rsid w:val="003E46D1"/>
    <w:rsid w:val="003F58B0"/>
    <w:rsid w:val="004007E9"/>
    <w:rsid w:val="00401825"/>
    <w:rsid w:val="00401BBC"/>
    <w:rsid w:val="00403BFB"/>
    <w:rsid w:val="00404B45"/>
    <w:rsid w:val="004069CD"/>
    <w:rsid w:val="00406CC5"/>
    <w:rsid w:val="004074A4"/>
    <w:rsid w:val="00407AC1"/>
    <w:rsid w:val="004101B2"/>
    <w:rsid w:val="00410AE7"/>
    <w:rsid w:val="004123D7"/>
    <w:rsid w:val="004172DB"/>
    <w:rsid w:val="00421485"/>
    <w:rsid w:val="00422B75"/>
    <w:rsid w:val="00433F36"/>
    <w:rsid w:val="0043503A"/>
    <w:rsid w:val="0044384F"/>
    <w:rsid w:val="00446018"/>
    <w:rsid w:val="004543BC"/>
    <w:rsid w:val="0045645D"/>
    <w:rsid w:val="004574C6"/>
    <w:rsid w:val="00457BCF"/>
    <w:rsid w:val="00457DCE"/>
    <w:rsid w:val="00460E3F"/>
    <w:rsid w:val="0046448D"/>
    <w:rsid w:val="00467592"/>
    <w:rsid w:val="004718E7"/>
    <w:rsid w:val="004746F1"/>
    <w:rsid w:val="004761CC"/>
    <w:rsid w:val="00477A2C"/>
    <w:rsid w:val="00480979"/>
    <w:rsid w:val="00480D4A"/>
    <w:rsid w:val="00481190"/>
    <w:rsid w:val="00481DA1"/>
    <w:rsid w:val="0049445D"/>
    <w:rsid w:val="00495350"/>
    <w:rsid w:val="00497156"/>
    <w:rsid w:val="004A1644"/>
    <w:rsid w:val="004A24D2"/>
    <w:rsid w:val="004A3BC0"/>
    <w:rsid w:val="004A4136"/>
    <w:rsid w:val="004A417B"/>
    <w:rsid w:val="004B03F3"/>
    <w:rsid w:val="004B2536"/>
    <w:rsid w:val="004B6AF3"/>
    <w:rsid w:val="004B715E"/>
    <w:rsid w:val="004B7169"/>
    <w:rsid w:val="004B79C9"/>
    <w:rsid w:val="004C5E33"/>
    <w:rsid w:val="004C6CDA"/>
    <w:rsid w:val="004D10D4"/>
    <w:rsid w:val="004D16BD"/>
    <w:rsid w:val="004D4A03"/>
    <w:rsid w:val="004D61BC"/>
    <w:rsid w:val="004D6F2B"/>
    <w:rsid w:val="004E0248"/>
    <w:rsid w:val="004E1D2A"/>
    <w:rsid w:val="004E21A3"/>
    <w:rsid w:val="004E32EA"/>
    <w:rsid w:val="004F0D79"/>
    <w:rsid w:val="004F3222"/>
    <w:rsid w:val="004F3BFA"/>
    <w:rsid w:val="00510588"/>
    <w:rsid w:val="0051146C"/>
    <w:rsid w:val="005222E7"/>
    <w:rsid w:val="00523E04"/>
    <w:rsid w:val="0052590B"/>
    <w:rsid w:val="00526591"/>
    <w:rsid w:val="00527178"/>
    <w:rsid w:val="005350A5"/>
    <w:rsid w:val="00536379"/>
    <w:rsid w:val="00537D50"/>
    <w:rsid w:val="00537F12"/>
    <w:rsid w:val="005400C5"/>
    <w:rsid w:val="00540BEF"/>
    <w:rsid w:val="005436C2"/>
    <w:rsid w:val="00543A6D"/>
    <w:rsid w:val="0055288D"/>
    <w:rsid w:val="00555259"/>
    <w:rsid w:val="00560D57"/>
    <w:rsid w:val="00562A94"/>
    <w:rsid w:val="005709C5"/>
    <w:rsid w:val="005710A9"/>
    <w:rsid w:val="005749BA"/>
    <w:rsid w:val="005911B6"/>
    <w:rsid w:val="00593043"/>
    <w:rsid w:val="00594429"/>
    <w:rsid w:val="00595BF0"/>
    <w:rsid w:val="005A21F9"/>
    <w:rsid w:val="005A258C"/>
    <w:rsid w:val="005A3560"/>
    <w:rsid w:val="005A5318"/>
    <w:rsid w:val="005A6C99"/>
    <w:rsid w:val="005B011A"/>
    <w:rsid w:val="005B1D8F"/>
    <w:rsid w:val="005B1E94"/>
    <w:rsid w:val="005B2B6E"/>
    <w:rsid w:val="005B5B3D"/>
    <w:rsid w:val="005C3218"/>
    <w:rsid w:val="005C3758"/>
    <w:rsid w:val="005C5346"/>
    <w:rsid w:val="005E3064"/>
    <w:rsid w:val="005E4B3D"/>
    <w:rsid w:val="005F1115"/>
    <w:rsid w:val="005F27F2"/>
    <w:rsid w:val="005F424D"/>
    <w:rsid w:val="006019FE"/>
    <w:rsid w:val="006032C2"/>
    <w:rsid w:val="00605AAB"/>
    <w:rsid w:val="00606BEB"/>
    <w:rsid w:val="0061014A"/>
    <w:rsid w:val="006108EC"/>
    <w:rsid w:val="00613E26"/>
    <w:rsid w:val="00615641"/>
    <w:rsid w:val="0062081C"/>
    <w:rsid w:val="006211D0"/>
    <w:rsid w:val="006229C2"/>
    <w:rsid w:val="00623DF9"/>
    <w:rsid w:val="00624D0C"/>
    <w:rsid w:val="006264B8"/>
    <w:rsid w:val="006307BA"/>
    <w:rsid w:val="006315BA"/>
    <w:rsid w:val="00634C4A"/>
    <w:rsid w:val="00634FB6"/>
    <w:rsid w:val="006350B5"/>
    <w:rsid w:val="0063532E"/>
    <w:rsid w:val="00636269"/>
    <w:rsid w:val="00637BDC"/>
    <w:rsid w:val="006418C9"/>
    <w:rsid w:val="00645046"/>
    <w:rsid w:val="00645EA2"/>
    <w:rsid w:val="00662F08"/>
    <w:rsid w:val="00663589"/>
    <w:rsid w:val="00670DDC"/>
    <w:rsid w:val="00671EB4"/>
    <w:rsid w:val="0067443B"/>
    <w:rsid w:val="00684E2B"/>
    <w:rsid w:val="00685F6F"/>
    <w:rsid w:val="00690FDA"/>
    <w:rsid w:val="00694EEA"/>
    <w:rsid w:val="006955B4"/>
    <w:rsid w:val="00696476"/>
    <w:rsid w:val="006A10FA"/>
    <w:rsid w:val="006A40E6"/>
    <w:rsid w:val="006A5C07"/>
    <w:rsid w:val="006A656E"/>
    <w:rsid w:val="006A75FA"/>
    <w:rsid w:val="006B07D5"/>
    <w:rsid w:val="006B1309"/>
    <w:rsid w:val="006B5923"/>
    <w:rsid w:val="006B67D9"/>
    <w:rsid w:val="006B6C14"/>
    <w:rsid w:val="006B6FF9"/>
    <w:rsid w:val="006C3A68"/>
    <w:rsid w:val="006C6AB1"/>
    <w:rsid w:val="006D2D39"/>
    <w:rsid w:val="006D4ABC"/>
    <w:rsid w:val="006E06D1"/>
    <w:rsid w:val="006E1313"/>
    <w:rsid w:val="006E2DC8"/>
    <w:rsid w:val="006E7356"/>
    <w:rsid w:val="006E77C8"/>
    <w:rsid w:val="006F149D"/>
    <w:rsid w:val="006F1A46"/>
    <w:rsid w:val="006F5A4E"/>
    <w:rsid w:val="006F69B2"/>
    <w:rsid w:val="00700663"/>
    <w:rsid w:val="00703B6C"/>
    <w:rsid w:val="00706482"/>
    <w:rsid w:val="00706BEF"/>
    <w:rsid w:val="007116BC"/>
    <w:rsid w:val="007153ED"/>
    <w:rsid w:val="0071620E"/>
    <w:rsid w:val="007165CE"/>
    <w:rsid w:val="00720968"/>
    <w:rsid w:val="00720A4D"/>
    <w:rsid w:val="00720B88"/>
    <w:rsid w:val="00721905"/>
    <w:rsid w:val="00721D12"/>
    <w:rsid w:val="00721F8B"/>
    <w:rsid w:val="0073254D"/>
    <w:rsid w:val="00736A49"/>
    <w:rsid w:val="00741B79"/>
    <w:rsid w:val="00743B71"/>
    <w:rsid w:val="00743C2D"/>
    <w:rsid w:val="00743E36"/>
    <w:rsid w:val="00744EBB"/>
    <w:rsid w:val="007452CF"/>
    <w:rsid w:val="00745B0A"/>
    <w:rsid w:val="007468AC"/>
    <w:rsid w:val="00746AE2"/>
    <w:rsid w:val="007475C2"/>
    <w:rsid w:val="00750C82"/>
    <w:rsid w:val="007561BF"/>
    <w:rsid w:val="0076100C"/>
    <w:rsid w:val="007651ED"/>
    <w:rsid w:val="00766C87"/>
    <w:rsid w:val="00773A54"/>
    <w:rsid w:val="00781A00"/>
    <w:rsid w:val="00781BD4"/>
    <w:rsid w:val="007824E1"/>
    <w:rsid w:val="00784832"/>
    <w:rsid w:val="00785D77"/>
    <w:rsid w:val="00786111"/>
    <w:rsid w:val="00791F1E"/>
    <w:rsid w:val="00794F3D"/>
    <w:rsid w:val="007968AC"/>
    <w:rsid w:val="007A0B39"/>
    <w:rsid w:val="007A14A4"/>
    <w:rsid w:val="007A168F"/>
    <w:rsid w:val="007A28E4"/>
    <w:rsid w:val="007A3BB3"/>
    <w:rsid w:val="007A5AD1"/>
    <w:rsid w:val="007A5B7B"/>
    <w:rsid w:val="007A617C"/>
    <w:rsid w:val="007B0A06"/>
    <w:rsid w:val="007B265B"/>
    <w:rsid w:val="007B4270"/>
    <w:rsid w:val="007B5C5C"/>
    <w:rsid w:val="007B7C41"/>
    <w:rsid w:val="007C433E"/>
    <w:rsid w:val="007C4DB1"/>
    <w:rsid w:val="007C6046"/>
    <w:rsid w:val="007C6483"/>
    <w:rsid w:val="007D0292"/>
    <w:rsid w:val="007D21AC"/>
    <w:rsid w:val="007D4020"/>
    <w:rsid w:val="007D568A"/>
    <w:rsid w:val="007D574E"/>
    <w:rsid w:val="007E0F1F"/>
    <w:rsid w:val="007E2046"/>
    <w:rsid w:val="007E4FBB"/>
    <w:rsid w:val="007E55BF"/>
    <w:rsid w:val="007E71B1"/>
    <w:rsid w:val="007E7B4E"/>
    <w:rsid w:val="007F0CE2"/>
    <w:rsid w:val="007F0EFF"/>
    <w:rsid w:val="007F1375"/>
    <w:rsid w:val="00803591"/>
    <w:rsid w:val="00803850"/>
    <w:rsid w:val="00805AFD"/>
    <w:rsid w:val="00805DDE"/>
    <w:rsid w:val="0081194D"/>
    <w:rsid w:val="00811D5B"/>
    <w:rsid w:val="00815289"/>
    <w:rsid w:val="0081719B"/>
    <w:rsid w:val="00817713"/>
    <w:rsid w:val="00817F63"/>
    <w:rsid w:val="008220F1"/>
    <w:rsid w:val="00827DB6"/>
    <w:rsid w:val="00830999"/>
    <w:rsid w:val="00830D5E"/>
    <w:rsid w:val="00830F69"/>
    <w:rsid w:val="00833685"/>
    <w:rsid w:val="00834458"/>
    <w:rsid w:val="00835841"/>
    <w:rsid w:val="00837465"/>
    <w:rsid w:val="0083792D"/>
    <w:rsid w:val="008413E9"/>
    <w:rsid w:val="00841457"/>
    <w:rsid w:val="0084374E"/>
    <w:rsid w:val="00844842"/>
    <w:rsid w:val="00844DD0"/>
    <w:rsid w:val="00850584"/>
    <w:rsid w:val="0085206E"/>
    <w:rsid w:val="00852AD4"/>
    <w:rsid w:val="00852BA8"/>
    <w:rsid w:val="00853718"/>
    <w:rsid w:val="008541EF"/>
    <w:rsid w:val="00856FA4"/>
    <w:rsid w:val="00860033"/>
    <w:rsid w:val="0086162B"/>
    <w:rsid w:val="00862E83"/>
    <w:rsid w:val="00865207"/>
    <w:rsid w:val="008656A7"/>
    <w:rsid w:val="00871262"/>
    <w:rsid w:val="00871D4E"/>
    <w:rsid w:val="00871E7B"/>
    <w:rsid w:val="008724BA"/>
    <w:rsid w:val="00875453"/>
    <w:rsid w:val="00875B51"/>
    <w:rsid w:val="00875F2D"/>
    <w:rsid w:val="0087648C"/>
    <w:rsid w:val="008764DC"/>
    <w:rsid w:val="00883930"/>
    <w:rsid w:val="00892347"/>
    <w:rsid w:val="00892ED6"/>
    <w:rsid w:val="00896535"/>
    <w:rsid w:val="00896683"/>
    <w:rsid w:val="008A63A9"/>
    <w:rsid w:val="008B04DB"/>
    <w:rsid w:val="008B0D92"/>
    <w:rsid w:val="008B1951"/>
    <w:rsid w:val="008B3AF2"/>
    <w:rsid w:val="008B515D"/>
    <w:rsid w:val="008B584A"/>
    <w:rsid w:val="008B5D31"/>
    <w:rsid w:val="008B6705"/>
    <w:rsid w:val="008C525D"/>
    <w:rsid w:val="008C6958"/>
    <w:rsid w:val="008D795D"/>
    <w:rsid w:val="008D7B07"/>
    <w:rsid w:val="008E2D99"/>
    <w:rsid w:val="008E4A60"/>
    <w:rsid w:val="008F38DF"/>
    <w:rsid w:val="008F3D8E"/>
    <w:rsid w:val="009026E8"/>
    <w:rsid w:val="00906EB7"/>
    <w:rsid w:val="009102BF"/>
    <w:rsid w:val="009115F2"/>
    <w:rsid w:val="00914ADB"/>
    <w:rsid w:val="00923B25"/>
    <w:rsid w:val="0092402E"/>
    <w:rsid w:val="00926325"/>
    <w:rsid w:val="00926FCB"/>
    <w:rsid w:val="009315FB"/>
    <w:rsid w:val="00932586"/>
    <w:rsid w:val="00936BA5"/>
    <w:rsid w:val="00937DFF"/>
    <w:rsid w:val="00942645"/>
    <w:rsid w:val="00945F68"/>
    <w:rsid w:val="00950481"/>
    <w:rsid w:val="00950A3A"/>
    <w:rsid w:val="0095340A"/>
    <w:rsid w:val="00954581"/>
    <w:rsid w:val="0095466C"/>
    <w:rsid w:val="00954E5B"/>
    <w:rsid w:val="0095769C"/>
    <w:rsid w:val="009576BC"/>
    <w:rsid w:val="00960357"/>
    <w:rsid w:val="00960A32"/>
    <w:rsid w:val="0096168C"/>
    <w:rsid w:val="00961840"/>
    <w:rsid w:val="00962F2D"/>
    <w:rsid w:val="009672CD"/>
    <w:rsid w:val="00970589"/>
    <w:rsid w:val="00972637"/>
    <w:rsid w:val="00972996"/>
    <w:rsid w:val="009732B8"/>
    <w:rsid w:val="00973403"/>
    <w:rsid w:val="00975C72"/>
    <w:rsid w:val="00975F96"/>
    <w:rsid w:val="00976869"/>
    <w:rsid w:val="00977740"/>
    <w:rsid w:val="00977CB4"/>
    <w:rsid w:val="009809B8"/>
    <w:rsid w:val="00985099"/>
    <w:rsid w:val="0099421F"/>
    <w:rsid w:val="009A0DE3"/>
    <w:rsid w:val="009A1643"/>
    <w:rsid w:val="009A215A"/>
    <w:rsid w:val="009A3CBB"/>
    <w:rsid w:val="009A4F1B"/>
    <w:rsid w:val="009A66C5"/>
    <w:rsid w:val="009A79BA"/>
    <w:rsid w:val="009B1534"/>
    <w:rsid w:val="009B22CA"/>
    <w:rsid w:val="009B3815"/>
    <w:rsid w:val="009B4A3B"/>
    <w:rsid w:val="009B69D3"/>
    <w:rsid w:val="009B7BA7"/>
    <w:rsid w:val="009C0938"/>
    <w:rsid w:val="009C22C8"/>
    <w:rsid w:val="009C3F82"/>
    <w:rsid w:val="009C6F43"/>
    <w:rsid w:val="009C72DD"/>
    <w:rsid w:val="009C7DF5"/>
    <w:rsid w:val="009D056C"/>
    <w:rsid w:val="009D060F"/>
    <w:rsid w:val="009D1ADE"/>
    <w:rsid w:val="009E09D0"/>
    <w:rsid w:val="009E1283"/>
    <w:rsid w:val="009E3A7F"/>
    <w:rsid w:val="009E57B1"/>
    <w:rsid w:val="009F6A42"/>
    <w:rsid w:val="009F7809"/>
    <w:rsid w:val="009F7AF5"/>
    <w:rsid w:val="00A00D14"/>
    <w:rsid w:val="00A01408"/>
    <w:rsid w:val="00A02457"/>
    <w:rsid w:val="00A0404B"/>
    <w:rsid w:val="00A07BDD"/>
    <w:rsid w:val="00A1105B"/>
    <w:rsid w:val="00A15B6B"/>
    <w:rsid w:val="00A15EB4"/>
    <w:rsid w:val="00A16876"/>
    <w:rsid w:val="00A200AA"/>
    <w:rsid w:val="00A2186F"/>
    <w:rsid w:val="00A2270B"/>
    <w:rsid w:val="00A23B89"/>
    <w:rsid w:val="00A2496E"/>
    <w:rsid w:val="00A258B7"/>
    <w:rsid w:val="00A259F5"/>
    <w:rsid w:val="00A2700E"/>
    <w:rsid w:val="00A32743"/>
    <w:rsid w:val="00A414A9"/>
    <w:rsid w:val="00A42938"/>
    <w:rsid w:val="00A44D75"/>
    <w:rsid w:val="00A47CF1"/>
    <w:rsid w:val="00A50418"/>
    <w:rsid w:val="00A56D26"/>
    <w:rsid w:val="00A608FB"/>
    <w:rsid w:val="00A60D83"/>
    <w:rsid w:val="00A60F68"/>
    <w:rsid w:val="00A64B5D"/>
    <w:rsid w:val="00A65C78"/>
    <w:rsid w:val="00A67538"/>
    <w:rsid w:val="00A67CA6"/>
    <w:rsid w:val="00A70E7B"/>
    <w:rsid w:val="00A73B84"/>
    <w:rsid w:val="00A7411D"/>
    <w:rsid w:val="00A76094"/>
    <w:rsid w:val="00A768E2"/>
    <w:rsid w:val="00A80456"/>
    <w:rsid w:val="00A82C52"/>
    <w:rsid w:val="00A86CB6"/>
    <w:rsid w:val="00A90D55"/>
    <w:rsid w:val="00A9581E"/>
    <w:rsid w:val="00A959E7"/>
    <w:rsid w:val="00A95BBA"/>
    <w:rsid w:val="00A961EE"/>
    <w:rsid w:val="00AA04B3"/>
    <w:rsid w:val="00AA493E"/>
    <w:rsid w:val="00AA59E0"/>
    <w:rsid w:val="00AA73AF"/>
    <w:rsid w:val="00AB1754"/>
    <w:rsid w:val="00AB27DD"/>
    <w:rsid w:val="00AC439D"/>
    <w:rsid w:val="00AD067E"/>
    <w:rsid w:val="00AD68C5"/>
    <w:rsid w:val="00AE1273"/>
    <w:rsid w:val="00AE2D29"/>
    <w:rsid w:val="00AE4624"/>
    <w:rsid w:val="00AE5E14"/>
    <w:rsid w:val="00AE6C1A"/>
    <w:rsid w:val="00AF2C4A"/>
    <w:rsid w:val="00AF4FA5"/>
    <w:rsid w:val="00B00D98"/>
    <w:rsid w:val="00B0240D"/>
    <w:rsid w:val="00B11055"/>
    <w:rsid w:val="00B14FAA"/>
    <w:rsid w:val="00B15D30"/>
    <w:rsid w:val="00B207B2"/>
    <w:rsid w:val="00B20C00"/>
    <w:rsid w:val="00B21539"/>
    <w:rsid w:val="00B23436"/>
    <w:rsid w:val="00B32179"/>
    <w:rsid w:val="00B331A9"/>
    <w:rsid w:val="00B40A3E"/>
    <w:rsid w:val="00B45F32"/>
    <w:rsid w:val="00B4662B"/>
    <w:rsid w:val="00B50227"/>
    <w:rsid w:val="00B50753"/>
    <w:rsid w:val="00B5094A"/>
    <w:rsid w:val="00B50D5C"/>
    <w:rsid w:val="00B522CD"/>
    <w:rsid w:val="00B52D52"/>
    <w:rsid w:val="00B55917"/>
    <w:rsid w:val="00B5785F"/>
    <w:rsid w:val="00B61FF7"/>
    <w:rsid w:val="00B64DD6"/>
    <w:rsid w:val="00B72303"/>
    <w:rsid w:val="00B72C30"/>
    <w:rsid w:val="00B82277"/>
    <w:rsid w:val="00B866C3"/>
    <w:rsid w:val="00B914A5"/>
    <w:rsid w:val="00B91676"/>
    <w:rsid w:val="00B95833"/>
    <w:rsid w:val="00B965D6"/>
    <w:rsid w:val="00BA2D98"/>
    <w:rsid w:val="00BA30D1"/>
    <w:rsid w:val="00BA4609"/>
    <w:rsid w:val="00BA5BE2"/>
    <w:rsid w:val="00BA7F46"/>
    <w:rsid w:val="00BB0A0A"/>
    <w:rsid w:val="00BB278D"/>
    <w:rsid w:val="00BB45B5"/>
    <w:rsid w:val="00BB6064"/>
    <w:rsid w:val="00BC09D1"/>
    <w:rsid w:val="00BC1224"/>
    <w:rsid w:val="00BD2347"/>
    <w:rsid w:val="00BD40AB"/>
    <w:rsid w:val="00BD6806"/>
    <w:rsid w:val="00BD7433"/>
    <w:rsid w:val="00BD7831"/>
    <w:rsid w:val="00BD7C10"/>
    <w:rsid w:val="00BE046F"/>
    <w:rsid w:val="00BE0DEB"/>
    <w:rsid w:val="00BE2FC1"/>
    <w:rsid w:val="00BE5964"/>
    <w:rsid w:val="00BE6365"/>
    <w:rsid w:val="00BE6DF5"/>
    <w:rsid w:val="00BE746A"/>
    <w:rsid w:val="00BF0B7F"/>
    <w:rsid w:val="00BF3088"/>
    <w:rsid w:val="00BF4720"/>
    <w:rsid w:val="00BF4C3B"/>
    <w:rsid w:val="00C038EC"/>
    <w:rsid w:val="00C10213"/>
    <w:rsid w:val="00C12312"/>
    <w:rsid w:val="00C13B34"/>
    <w:rsid w:val="00C13BFC"/>
    <w:rsid w:val="00C16E9F"/>
    <w:rsid w:val="00C1713D"/>
    <w:rsid w:val="00C177F1"/>
    <w:rsid w:val="00C25978"/>
    <w:rsid w:val="00C261C6"/>
    <w:rsid w:val="00C27AEA"/>
    <w:rsid w:val="00C30A97"/>
    <w:rsid w:val="00C31DDC"/>
    <w:rsid w:val="00C34326"/>
    <w:rsid w:val="00C36201"/>
    <w:rsid w:val="00C368E8"/>
    <w:rsid w:val="00C372C7"/>
    <w:rsid w:val="00C42443"/>
    <w:rsid w:val="00C42CBA"/>
    <w:rsid w:val="00C4534F"/>
    <w:rsid w:val="00C5019E"/>
    <w:rsid w:val="00C5393E"/>
    <w:rsid w:val="00C53E8A"/>
    <w:rsid w:val="00C54553"/>
    <w:rsid w:val="00C54DF3"/>
    <w:rsid w:val="00C560A7"/>
    <w:rsid w:val="00C566A0"/>
    <w:rsid w:val="00C56FC8"/>
    <w:rsid w:val="00C60F23"/>
    <w:rsid w:val="00C62EB2"/>
    <w:rsid w:val="00C71BEC"/>
    <w:rsid w:val="00C7456D"/>
    <w:rsid w:val="00C74576"/>
    <w:rsid w:val="00C74D3A"/>
    <w:rsid w:val="00C76D81"/>
    <w:rsid w:val="00C80511"/>
    <w:rsid w:val="00C826F5"/>
    <w:rsid w:val="00C83740"/>
    <w:rsid w:val="00C84AD1"/>
    <w:rsid w:val="00C85579"/>
    <w:rsid w:val="00C863E5"/>
    <w:rsid w:val="00C879CE"/>
    <w:rsid w:val="00C931FC"/>
    <w:rsid w:val="00C932C5"/>
    <w:rsid w:val="00C9650E"/>
    <w:rsid w:val="00CA068D"/>
    <w:rsid w:val="00CA282D"/>
    <w:rsid w:val="00CA4670"/>
    <w:rsid w:val="00CA6B1A"/>
    <w:rsid w:val="00CB20DC"/>
    <w:rsid w:val="00CB23DC"/>
    <w:rsid w:val="00CB2487"/>
    <w:rsid w:val="00CB28E2"/>
    <w:rsid w:val="00CB7FF7"/>
    <w:rsid w:val="00CC0D0E"/>
    <w:rsid w:val="00CC19B3"/>
    <w:rsid w:val="00CC2044"/>
    <w:rsid w:val="00CC39D2"/>
    <w:rsid w:val="00CC4450"/>
    <w:rsid w:val="00CC69EC"/>
    <w:rsid w:val="00CC6D19"/>
    <w:rsid w:val="00CC7910"/>
    <w:rsid w:val="00CD15BE"/>
    <w:rsid w:val="00CD32BD"/>
    <w:rsid w:val="00CD34C7"/>
    <w:rsid w:val="00CD5E6D"/>
    <w:rsid w:val="00CD63C8"/>
    <w:rsid w:val="00CE6AA0"/>
    <w:rsid w:val="00CF158D"/>
    <w:rsid w:val="00CF211B"/>
    <w:rsid w:val="00CF3BA7"/>
    <w:rsid w:val="00CF4394"/>
    <w:rsid w:val="00D01755"/>
    <w:rsid w:val="00D10577"/>
    <w:rsid w:val="00D120E1"/>
    <w:rsid w:val="00D1323B"/>
    <w:rsid w:val="00D14BAE"/>
    <w:rsid w:val="00D1645D"/>
    <w:rsid w:val="00D1648B"/>
    <w:rsid w:val="00D16819"/>
    <w:rsid w:val="00D17A26"/>
    <w:rsid w:val="00D20AC0"/>
    <w:rsid w:val="00D259E8"/>
    <w:rsid w:val="00D26873"/>
    <w:rsid w:val="00D336C8"/>
    <w:rsid w:val="00D339E8"/>
    <w:rsid w:val="00D340EE"/>
    <w:rsid w:val="00D407E7"/>
    <w:rsid w:val="00D40B1F"/>
    <w:rsid w:val="00D40D75"/>
    <w:rsid w:val="00D44260"/>
    <w:rsid w:val="00D50B91"/>
    <w:rsid w:val="00D50C8C"/>
    <w:rsid w:val="00D52393"/>
    <w:rsid w:val="00D53031"/>
    <w:rsid w:val="00D53F14"/>
    <w:rsid w:val="00D54BE4"/>
    <w:rsid w:val="00D60483"/>
    <w:rsid w:val="00D61ABB"/>
    <w:rsid w:val="00D63577"/>
    <w:rsid w:val="00D65CDE"/>
    <w:rsid w:val="00D67FD7"/>
    <w:rsid w:val="00D74261"/>
    <w:rsid w:val="00D7439F"/>
    <w:rsid w:val="00D7441B"/>
    <w:rsid w:val="00D76AB2"/>
    <w:rsid w:val="00D80490"/>
    <w:rsid w:val="00D829AD"/>
    <w:rsid w:val="00D82EE2"/>
    <w:rsid w:val="00D8545C"/>
    <w:rsid w:val="00D87788"/>
    <w:rsid w:val="00D877C8"/>
    <w:rsid w:val="00D904D8"/>
    <w:rsid w:val="00D910C2"/>
    <w:rsid w:val="00D9168C"/>
    <w:rsid w:val="00D9189B"/>
    <w:rsid w:val="00D91DA6"/>
    <w:rsid w:val="00D9706F"/>
    <w:rsid w:val="00D972D4"/>
    <w:rsid w:val="00DA195B"/>
    <w:rsid w:val="00DB0015"/>
    <w:rsid w:val="00DB2AAD"/>
    <w:rsid w:val="00DB626D"/>
    <w:rsid w:val="00DB6365"/>
    <w:rsid w:val="00DC0BF1"/>
    <w:rsid w:val="00DC41C3"/>
    <w:rsid w:val="00DD2079"/>
    <w:rsid w:val="00DD3593"/>
    <w:rsid w:val="00DE0C67"/>
    <w:rsid w:val="00DE6952"/>
    <w:rsid w:val="00DE7E74"/>
    <w:rsid w:val="00E00A69"/>
    <w:rsid w:val="00E017F0"/>
    <w:rsid w:val="00E01A0E"/>
    <w:rsid w:val="00E041E4"/>
    <w:rsid w:val="00E0429D"/>
    <w:rsid w:val="00E05DEA"/>
    <w:rsid w:val="00E07F91"/>
    <w:rsid w:val="00E103C8"/>
    <w:rsid w:val="00E1085B"/>
    <w:rsid w:val="00E114C5"/>
    <w:rsid w:val="00E130A8"/>
    <w:rsid w:val="00E14581"/>
    <w:rsid w:val="00E15539"/>
    <w:rsid w:val="00E16541"/>
    <w:rsid w:val="00E207A0"/>
    <w:rsid w:val="00E24B14"/>
    <w:rsid w:val="00E2536E"/>
    <w:rsid w:val="00E2632B"/>
    <w:rsid w:val="00E322F7"/>
    <w:rsid w:val="00E3271A"/>
    <w:rsid w:val="00E3369B"/>
    <w:rsid w:val="00E34ED7"/>
    <w:rsid w:val="00E36D76"/>
    <w:rsid w:val="00E405EA"/>
    <w:rsid w:val="00E408B7"/>
    <w:rsid w:val="00E4108D"/>
    <w:rsid w:val="00E42789"/>
    <w:rsid w:val="00E43670"/>
    <w:rsid w:val="00E43F59"/>
    <w:rsid w:val="00E44D10"/>
    <w:rsid w:val="00E464F0"/>
    <w:rsid w:val="00E47D56"/>
    <w:rsid w:val="00E50BEB"/>
    <w:rsid w:val="00E52A7D"/>
    <w:rsid w:val="00E6092F"/>
    <w:rsid w:val="00E60CD7"/>
    <w:rsid w:val="00E629DA"/>
    <w:rsid w:val="00E67FAC"/>
    <w:rsid w:val="00E7200B"/>
    <w:rsid w:val="00E738CB"/>
    <w:rsid w:val="00E73C88"/>
    <w:rsid w:val="00E74437"/>
    <w:rsid w:val="00E8161F"/>
    <w:rsid w:val="00E81C3E"/>
    <w:rsid w:val="00E82B6D"/>
    <w:rsid w:val="00E93DF3"/>
    <w:rsid w:val="00EA1177"/>
    <w:rsid w:val="00EA118B"/>
    <w:rsid w:val="00EA11B6"/>
    <w:rsid w:val="00EA2181"/>
    <w:rsid w:val="00EA2DD8"/>
    <w:rsid w:val="00EA4475"/>
    <w:rsid w:val="00EA681F"/>
    <w:rsid w:val="00EA737F"/>
    <w:rsid w:val="00EB0E2B"/>
    <w:rsid w:val="00EB1EA3"/>
    <w:rsid w:val="00EB3823"/>
    <w:rsid w:val="00EB47D8"/>
    <w:rsid w:val="00EB57D3"/>
    <w:rsid w:val="00EB679F"/>
    <w:rsid w:val="00EB76E4"/>
    <w:rsid w:val="00EC0E65"/>
    <w:rsid w:val="00EC1BE4"/>
    <w:rsid w:val="00EC2938"/>
    <w:rsid w:val="00EC50C9"/>
    <w:rsid w:val="00EC593D"/>
    <w:rsid w:val="00EC5BB2"/>
    <w:rsid w:val="00ED57C2"/>
    <w:rsid w:val="00ED664B"/>
    <w:rsid w:val="00EE0B44"/>
    <w:rsid w:val="00EE5A9A"/>
    <w:rsid w:val="00EE6FE0"/>
    <w:rsid w:val="00EE704A"/>
    <w:rsid w:val="00EF28C0"/>
    <w:rsid w:val="00EF3B9D"/>
    <w:rsid w:val="00EF4C74"/>
    <w:rsid w:val="00EF5268"/>
    <w:rsid w:val="00EF608E"/>
    <w:rsid w:val="00F0044B"/>
    <w:rsid w:val="00F03F18"/>
    <w:rsid w:val="00F05807"/>
    <w:rsid w:val="00F07052"/>
    <w:rsid w:val="00F0706C"/>
    <w:rsid w:val="00F11EBE"/>
    <w:rsid w:val="00F12718"/>
    <w:rsid w:val="00F130D0"/>
    <w:rsid w:val="00F14933"/>
    <w:rsid w:val="00F1516A"/>
    <w:rsid w:val="00F214C1"/>
    <w:rsid w:val="00F2256F"/>
    <w:rsid w:val="00F2273D"/>
    <w:rsid w:val="00F22A26"/>
    <w:rsid w:val="00F24072"/>
    <w:rsid w:val="00F24C0D"/>
    <w:rsid w:val="00F26432"/>
    <w:rsid w:val="00F3197A"/>
    <w:rsid w:val="00F32139"/>
    <w:rsid w:val="00F3376C"/>
    <w:rsid w:val="00F33D56"/>
    <w:rsid w:val="00F34E08"/>
    <w:rsid w:val="00F35193"/>
    <w:rsid w:val="00F418C9"/>
    <w:rsid w:val="00F41D91"/>
    <w:rsid w:val="00F42363"/>
    <w:rsid w:val="00F42AA2"/>
    <w:rsid w:val="00F46166"/>
    <w:rsid w:val="00F46964"/>
    <w:rsid w:val="00F46F9A"/>
    <w:rsid w:val="00F5126A"/>
    <w:rsid w:val="00F52975"/>
    <w:rsid w:val="00F60348"/>
    <w:rsid w:val="00F6367C"/>
    <w:rsid w:val="00F6636A"/>
    <w:rsid w:val="00F67E31"/>
    <w:rsid w:val="00F718A8"/>
    <w:rsid w:val="00F72183"/>
    <w:rsid w:val="00F76D01"/>
    <w:rsid w:val="00F81C35"/>
    <w:rsid w:val="00F82981"/>
    <w:rsid w:val="00F8311F"/>
    <w:rsid w:val="00F83248"/>
    <w:rsid w:val="00F83376"/>
    <w:rsid w:val="00F853AE"/>
    <w:rsid w:val="00F90205"/>
    <w:rsid w:val="00F93DCC"/>
    <w:rsid w:val="00F9435D"/>
    <w:rsid w:val="00F95586"/>
    <w:rsid w:val="00FB1AB3"/>
    <w:rsid w:val="00FB222F"/>
    <w:rsid w:val="00FB593A"/>
    <w:rsid w:val="00FB6410"/>
    <w:rsid w:val="00FB6E82"/>
    <w:rsid w:val="00FC0A5D"/>
    <w:rsid w:val="00FC2A13"/>
    <w:rsid w:val="00FC4284"/>
    <w:rsid w:val="00FC4576"/>
    <w:rsid w:val="00FC57C3"/>
    <w:rsid w:val="00FC7DBC"/>
    <w:rsid w:val="00FD076A"/>
    <w:rsid w:val="00FD0AA0"/>
    <w:rsid w:val="00FD1D5A"/>
    <w:rsid w:val="00FD5059"/>
    <w:rsid w:val="00FD554D"/>
    <w:rsid w:val="00FE0695"/>
    <w:rsid w:val="00FF0FF7"/>
    <w:rsid w:val="00FF1438"/>
    <w:rsid w:val="00FF36DD"/>
    <w:rsid w:val="00FF3A38"/>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1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E3271A"/>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24532345">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833303087">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983CD-0DE7-4074-A181-5BAAF15D5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2720</Words>
  <Characters>15261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17946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JAMEILL.BARKSDALE</cp:lastModifiedBy>
  <cp:revision>9</cp:revision>
  <cp:lastPrinted>2010-08-06T20:13:00Z</cp:lastPrinted>
  <dcterms:created xsi:type="dcterms:W3CDTF">2010-08-04T17:13:00Z</dcterms:created>
  <dcterms:modified xsi:type="dcterms:W3CDTF">2012-01-24T13:45:00Z</dcterms:modified>
</cp:coreProperties>
</file>