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Default="00540BEF" w:rsidP="00540BEF">
      <w:pPr>
        <w:tabs>
          <w:tab w:val="left" w:pos="288"/>
          <w:tab w:val="left" w:pos="4752"/>
        </w:tabs>
        <w:spacing w:line="240" w:lineRule="exact"/>
        <w:jc w:val="center"/>
        <w:rPr>
          <w:color w:val="000080"/>
        </w:rPr>
      </w:pPr>
      <w:r w:rsidRPr="00D91DA6">
        <w:rPr>
          <w:color w:val="000080"/>
        </w:rPr>
        <w:t>RECORD OF PROCEEDINGS</w:t>
      </w:r>
      <w:r>
        <w:rPr>
          <w:color w:val="000080"/>
        </w:rPr>
        <w:t xml:space="preserve"> </w:t>
      </w:r>
    </w:p>
    <w:p w:rsidR="00540BEF" w:rsidRPr="00D91DA6" w:rsidRDefault="00540BEF" w:rsidP="00540BEF">
      <w:pPr>
        <w:tabs>
          <w:tab w:val="left" w:pos="288"/>
          <w:tab w:val="left" w:pos="4752"/>
        </w:tabs>
        <w:spacing w:line="240" w:lineRule="exact"/>
        <w:jc w:val="center"/>
        <w:rPr>
          <w:color w:val="000080"/>
        </w:rPr>
      </w:pPr>
      <w:r w:rsidRPr="00D91DA6">
        <w:rPr>
          <w:color w:val="000080"/>
        </w:rPr>
        <w:t xml:space="preserve">PHYSICAL DISABILITY </w:t>
      </w:r>
      <w:r>
        <w:rPr>
          <w:color w:val="000080"/>
        </w:rPr>
        <w:t>BOARD OF REVIEW</w:t>
      </w:r>
    </w:p>
    <w:p w:rsidR="00540BEF" w:rsidRPr="00D91DA6" w:rsidRDefault="00540BEF" w:rsidP="00540BEF">
      <w:pPr>
        <w:tabs>
          <w:tab w:val="left" w:pos="288"/>
          <w:tab w:val="left" w:pos="4752"/>
        </w:tabs>
        <w:spacing w:line="240" w:lineRule="exact"/>
        <w:jc w:val="both"/>
        <w:rPr>
          <w:color w:val="000080"/>
        </w:rPr>
      </w:pPr>
    </w:p>
    <w:p w:rsidR="006A773D" w:rsidRPr="006A773D" w:rsidRDefault="006A773D" w:rsidP="006A773D">
      <w:pPr>
        <w:tabs>
          <w:tab w:val="left" w:pos="288"/>
          <w:tab w:val="left" w:pos="4752"/>
        </w:tabs>
        <w:spacing w:line="240" w:lineRule="exact"/>
        <w:rPr>
          <w:color w:val="000080"/>
        </w:rPr>
      </w:pPr>
      <w:r w:rsidRPr="006A773D">
        <w:rPr>
          <w:color w:val="000080"/>
        </w:rPr>
        <w:t>NAME:</w:t>
      </w:r>
      <w:r w:rsidRPr="006A773D">
        <w:rPr>
          <w:color w:val="000080"/>
        </w:rPr>
        <w:tab/>
      </w:r>
      <w:r w:rsidRPr="006A773D">
        <w:rPr>
          <w:color w:val="000080"/>
        </w:rPr>
        <w:tab/>
        <w:t>BRANCH OF SERVICE: ARMY</w:t>
      </w:r>
    </w:p>
    <w:p w:rsidR="00174696" w:rsidRDefault="006A773D" w:rsidP="006A773D">
      <w:pPr>
        <w:tabs>
          <w:tab w:val="left" w:pos="288"/>
          <w:tab w:val="left" w:pos="4752"/>
        </w:tabs>
        <w:spacing w:line="240" w:lineRule="exact"/>
        <w:rPr>
          <w:color w:val="000080"/>
        </w:rPr>
      </w:pPr>
      <w:r w:rsidRPr="006A773D">
        <w:rPr>
          <w:color w:val="000080"/>
        </w:rPr>
        <w:t>CASE NUMBER:  PD0900105</w:t>
      </w:r>
      <w:r w:rsidRPr="006A773D">
        <w:rPr>
          <w:color w:val="000080"/>
        </w:rPr>
        <w:tab/>
      </w:r>
      <w:r w:rsidRPr="006A773D">
        <w:rPr>
          <w:color w:val="000080"/>
        </w:rPr>
        <w:tab/>
        <w:t>BOARD DATE: 2010</w:t>
      </w:r>
      <w:r>
        <w:rPr>
          <w:color w:val="000080"/>
        </w:rPr>
        <w:t>0325</w:t>
      </w:r>
    </w:p>
    <w:p w:rsidR="00540BEF" w:rsidRDefault="006A773D" w:rsidP="006A773D">
      <w:pPr>
        <w:tabs>
          <w:tab w:val="left" w:pos="288"/>
          <w:tab w:val="left" w:pos="4752"/>
        </w:tabs>
        <w:spacing w:line="240" w:lineRule="exact"/>
        <w:rPr>
          <w:color w:val="000080"/>
        </w:rPr>
      </w:pPr>
      <w:r w:rsidRPr="006A773D">
        <w:rPr>
          <w:color w:val="000080"/>
        </w:rPr>
        <w:t>SEPARATION DATE: 20030518</w:t>
      </w:r>
    </w:p>
    <w:p w:rsidR="00540BEF" w:rsidRPr="00174696" w:rsidRDefault="00540BEF" w:rsidP="00540BEF">
      <w:pPr>
        <w:tabs>
          <w:tab w:val="left" w:pos="288"/>
          <w:tab w:val="left" w:pos="4752"/>
        </w:tabs>
        <w:spacing w:line="240" w:lineRule="exact"/>
        <w:jc w:val="both"/>
        <w:rPr>
          <w:color w:val="000080"/>
        </w:rPr>
      </w:pPr>
      <w:r w:rsidRPr="00174696">
        <w:rPr>
          <w:color w:val="000080"/>
        </w:rPr>
        <w:t>_______________________________________________________</w:t>
      </w:r>
      <w:r w:rsidR="00745E27">
        <w:rPr>
          <w:color w:val="000080"/>
        </w:rPr>
        <w:t>_</w:t>
      </w:r>
      <w:r w:rsidRPr="00174696">
        <w:rPr>
          <w:color w:val="000080"/>
        </w:rPr>
        <w:t>________</w:t>
      </w:r>
    </w:p>
    <w:p w:rsidR="00B522CD" w:rsidRPr="00D91DA6" w:rsidRDefault="00B522CD" w:rsidP="00875F2D">
      <w:pPr>
        <w:tabs>
          <w:tab w:val="left" w:pos="288"/>
          <w:tab w:val="left" w:pos="4752"/>
        </w:tabs>
        <w:spacing w:line="240" w:lineRule="exact"/>
        <w:jc w:val="both"/>
        <w:rPr>
          <w:color w:val="000080"/>
        </w:rPr>
      </w:pPr>
    </w:p>
    <w:p w:rsidR="002C6E5B" w:rsidRPr="003F2B8C" w:rsidRDefault="002C6E5B" w:rsidP="003F2B8C">
      <w:pPr>
        <w:tabs>
          <w:tab w:val="left" w:pos="288"/>
          <w:tab w:val="left" w:pos="4752"/>
        </w:tabs>
        <w:spacing w:line="240" w:lineRule="exact"/>
        <w:jc w:val="both"/>
        <w:rPr>
          <w:color w:val="000080"/>
        </w:rPr>
      </w:pPr>
      <w:r w:rsidRPr="003F2B8C">
        <w:rPr>
          <w:color w:val="000080"/>
          <w:u w:val="single"/>
        </w:rPr>
        <w:t>SUMMARY OF CASE</w:t>
      </w:r>
      <w:r w:rsidRPr="003F2B8C">
        <w:rPr>
          <w:color w:val="000080"/>
        </w:rPr>
        <w:t xml:space="preserve">:  This covered individual (CI) was </w:t>
      </w:r>
      <w:r w:rsidR="008E5F63" w:rsidRPr="003F2B8C">
        <w:rPr>
          <w:color w:val="000080"/>
        </w:rPr>
        <w:t>an active duty SGT (Calvary Scout)</w:t>
      </w:r>
      <w:r w:rsidRPr="003F2B8C">
        <w:rPr>
          <w:color w:val="000080"/>
        </w:rPr>
        <w:t xml:space="preserve"> medically separated from the Army</w:t>
      </w:r>
      <w:r w:rsidR="00600C48" w:rsidRPr="003F2B8C">
        <w:rPr>
          <w:color w:val="000080"/>
        </w:rPr>
        <w:t xml:space="preserve"> in 2003</w:t>
      </w:r>
      <w:r w:rsidRPr="003F2B8C">
        <w:rPr>
          <w:color w:val="000080"/>
        </w:rPr>
        <w:t xml:space="preserve"> after </w:t>
      </w:r>
      <w:r w:rsidR="00600C48" w:rsidRPr="003F2B8C">
        <w:rPr>
          <w:color w:val="000080"/>
        </w:rPr>
        <w:t>7</w:t>
      </w:r>
      <w:r w:rsidRPr="003F2B8C">
        <w:rPr>
          <w:color w:val="000080"/>
        </w:rPr>
        <w:t xml:space="preserve"> years of service.  The medical basis for the separation was </w:t>
      </w:r>
      <w:r w:rsidR="00600C48" w:rsidRPr="003F2B8C">
        <w:rPr>
          <w:color w:val="000080"/>
        </w:rPr>
        <w:t xml:space="preserve">a back condition with </w:t>
      </w:r>
      <w:proofErr w:type="spellStart"/>
      <w:r w:rsidR="00600C48" w:rsidRPr="003F2B8C">
        <w:rPr>
          <w:color w:val="000080"/>
        </w:rPr>
        <w:t>radiculopathy</w:t>
      </w:r>
      <w:proofErr w:type="spellEnd"/>
      <w:r w:rsidR="00600C48" w:rsidRPr="003F2B8C">
        <w:rPr>
          <w:color w:val="000080"/>
        </w:rPr>
        <w:t xml:space="preserve">.  He developed back pain with left </w:t>
      </w:r>
      <w:r w:rsidR="003F2B8C">
        <w:rPr>
          <w:color w:val="000080"/>
        </w:rPr>
        <w:t>lower extremity</w:t>
      </w:r>
      <w:r w:rsidR="00600C48" w:rsidRPr="003F2B8C">
        <w:rPr>
          <w:color w:val="000080"/>
        </w:rPr>
        <w:t xml:space="preserve"> </w:t>
      </w:r>
      <w:proofErr w:type="spellStart"/>
      <w:r w:rsidR="00600C48" w:rsidRPr="003F2B8C">
        <w:rPr>
          <w:color w:val="000080"/>
        </w:rPr>
        <w:t>radicular</w:t>
      </w:r>
      <w:proofErr w:type="spellEnd"/>
      <w:r w:rsidR="00600C48" w:rsidRPr="003F2B8C">
        <w:rPr>
          <w:color w:val="000080"/>
        </w:rPr>
        <w:t xml:space="preserve"> pain in 2002</w:t>
      </w:r>
      <w:r w:rsidRPr="003F2B8C">
        <w:rPr>
          <w:color w:val="000080"/>
        </w:rPr>
        <w:t xml:space="preserve"> </w:t>
      </w:r>
      <w:r w:rsidR="00600C48" w:rsidRPr="003F2B8C">
        <w:rPr>
          <w:color w:val="000080"/>
        </w:rPr>
        <w:t xml:space="preserve">during field duty.  His pain worsened over time and he developed numbness and weakness in the leg.  A </w:t>
      </w:r>
      <w:r w:rsidR="002B0811" w:rsidRPr="002B0811">
        <w:rPr>
          <w:color w:val="000080"/>
        </w:rPr>
        <w:t>Magnetic Resonance Imaging</w:t>
      </w:r>
      <w:r w:rsidR="002B0811">
        <w:rPr>
          <w:color w:val="000080"/>
        </w:rPr>
        <w:t xml:space="preserve"> (</w:t>
      </w:r>
      <w:r w:rsidR="00600C48" w:rsidRPr="003F2B8C">
        <w:rPr>
          <w:color w:val="000080"/>
        </w:rPr>
        <w:t>MRI</w:t>
      </w:r>
      <w:r w:rsidR="002B0811">
        <w:rPr>
          <w:color w:val="000080"/>
        </w:rPr>
        <w:t>)</w:t>
      </w:r>
      <w:r w:rsidR="00600C48" w:rsidRPr="003F2B8C">
        <w:rPr>
          <w:color w:val="000080"/>
        </w:rPr>
        <w:t xml:space="preserve"> demonstrated L5/S1 disc protrusion to the left.  He was treated with traction, epidural injections and </w:t>
      </w:r>
      <w:proofErr w:type="gramStart"/>
      <w:r w:rsidR="00600C48" w:rsidRPr="003F2B8C">
        <w:rPr>
          <w:color w:val="000080"/>
        </w:rPr>
        <w:t>other</w:t>
      </w:r>
      <w:proofErr w:type="gramEnd"/>
      <w:r w:rsidR="00600C48" w:rsidRPr="003F2B8C">
        <w:rPr>
          <w:color w:val="000080"/>
        </w:rPr>
        <w:t xml:space="preserve"> conservative measures without adequate relief.  Surgical options were discussed, but deferred.  </w:t>
      </w:r>
      <w:r w:rsidR="00353D03" w:rsidRPr="003F2B8C">
        <w:rPr>
          <w:color w:val="000080"/>
        </w:rPr>
        <w:t xml:space="preserve">He was placed on a permanent L3 profile and confined to desk duty. </w:t>
      </w:r>
      <w:r w:rsidR="002B0811">
        <w:rPr>
          <w:color w:val="000080"/>
        </w:rPr>
        <w:t xml:space="preserve"> </w:t>
      </w:r>
      <w:r w:rsidR="00353D03" w:rsidRPr="003F2B8C">
        <w:rPr>
          <w:color w:val="000080"/>
        </w:rPr>
        <w:t xml:space="preserve">He underwent a </w:t>
      </w:r>
      <w:r w:rsidR="002B0811">
        <w:rPr>
          <w:color w:val="000080"/>
        </w:rPr>
        <w:t>Medical Evaluation Board (</w:t>
      </w:r>
      <w:r w:rsidR="00353D03" w:rsidRPr="003F2B8C">
        <w:rPr>
          <w:color w:val="000080"/>
        </w:rPr>
        <w:t>MEB</w:t>
      </w:r>
      <w:r w:rsidR="002B0811">
        <w:rPr>
          <w:color w:val="000080"/>
        </w:rPr>
        <w:t>)</w:t>
      </w:r>
      <w:r w:rsidR="00353D03" w:rsidRPr="003F2B8C">
        <w:rPr>
          <w:color w:val="000080"/>
        </w:rPr>
        <w:t xml:space="preserve"> which forwarded the lumbar </w:t>
      </w:r>
      <w:r w:rsidR="00EC5EFF" w:rsidRPr="003F2B8C">
        <w:rPr>
          <w:color w:val="000080"/>
        </w:rPr>
        <w:t xml:space="preserve">disc disease </w:t>
      </w:r>
      <w:r w:rsidR="00353D03" w:rsidRPr="003F2B8C">
        <w:rPr>
          <w:color w:val="000080"/>
        </w:rPr>
        <w:t xml:space="preserve">and </w:t>
      </w:r>
      <w:proofErr w:type="spellStart"/>
      <w:r w:rsidR="00EC5EFF" w:rsidRPr="003F2B8C">
        <w:rPr>
          <w:color w:val="000080"/>
        </w:rPr>
        <w:t>radiculopathy</w:t>
      </w:r>
      <w:proofErr w:type="spellEnd"/>
      <w:r w:rsidR="00EC5EFF" w:rsidRPr="003F2B8C">
        <w:rPr>
          <w:color w:val="000080"/>
        </w:rPr>
        <w:t xml:space="preserve"> </w:t>
      </w:r>
      <w:r w:rsidR="00353D03" w:rsidRPr="003F2B8C">
        <w:rPr>
          <w:color w:val="000080"/>
        </w:rPr>
        <w:t>as a single condition</w:t>
      </w:r>
      <w:r w:rsidR="00EC5EFF" w:rsidRPr="003F2B8C">
        <w:rPr>
          <w:color w:val="000080"/>
        </w:rPr>
        <w:t xml:space="preserve"> to the </w:t>
      </w:r>
      <w:r w:rsidR="002B0811">
        <w:rPr>
          <w:color w:val="000080"/>
        </w:rPr>
        <w:t>Physical Evaluation Board (</w:t>
      </w:r>
      <w:r w:rsidR="00EC5EFF" w:rsidRPr="003F2B8C">
        <w:rPr>
          <w:color w:val="000080"/>
        </w:rPr>
        <w:t>PEB</w:t>
      </w:r>
      <w:r w:rsidR="002B0811">
        <w:rPr>
          <w:color w:val="000080"/>
        </w:rPr>
        <w:t xml:space="preserve">) and </w:t>
      </w:r>
      <w:r w:rsidR="00353D03" w:rsidRPr="003F2B8C">
        <w:rPr>
          <w:color w:val="000080"/>
        </w:rPr>
        <w:t>noted as medically unacceptable IAW AR</w:t>
      </w:r>
      <w:r w:rsidR="002B0811">
        <w:rPr>
          <w:color w:val="000080"/>
        </w:rPr>
        <w:t> </w:t>
      </w:r>
      <w:r w:rsidR="00353D03" w:rsidRPr="003F2B8C">
        <w:rPr>
          <w:color w:val="000080"/>
        </w:rPr>
        <w:t xml:space="preserve">40-501.  Other medical conditions identified by the MEB were acne, </w:t>
      </w:r>
      <w:proofErr w:type="spellStart"/>
      <w:r w:rsidR="00353D03" w:rsidRPr="003F2B8C">
        <w:rPr>
          <w:color w:val="000080"/>
        </w:rPr>
        <w:t>gastroesophageal</w:t>
      </w:r>
      <w:proofErr w:type="spellEnd"/>
      <w:r w:rsidR="00353D03" w:rsidRPr="003F2B8C">
        <w:rPr>
          <w:color w:val="000080"/>
        </w:rPr>
        <w:t xml:space="preserve"> reflux (GERD) and </w:t>
      </w:r>
      <w:r w:rsidR="002B0811">
        <w:rPr>
          <w:color w:val="000080"/>
        </w:rPr>
        <w:t xml:space="preserve">a </w:t>
      </w:r>
      <w:r w:rsidR="00353D03" w:rsidRPr="003F2B8C">
        <w:rPr>
          <w:color w:val="000080"/>
        </w:rPr>
        <w:t xml:space="preserve">benign intention tremor.  These were forwarded </w:t>
      </w:r>
      <w:r w:rsidR="003F2B8C" w:rsidRPr="003F2B8C">
        <w:rPr>
          <w:color w:val="000080"/>
        </w:rPr>
        <w:t xml:space="preserve">on the DA </w:t>
      </w:r>
      <w:r w:rsidR="002B0811">
        <w:rPr>
          <w:color w:val="000080"/>
        </w:rPr>
        <w:t xml:space="preserve">Form </w:t>
      </w:r>
      <w:r w:rsidR="003F2B8C" w:rsidRPr="003F2B8C">
        <w:rPr>
          <w:color w:val="000080"/>
        </w:rPr>
        <w:t>3947</w:t>
      </w:r>
      <w:r w:rsidR="003F2B8C">
        <w:rPr>
          <w:color w:val="000080"/>
        </w:rPr>
        <w:t xml:space="preserve"> </w:t>
      </w:r>
      <w:r w:rsidR="00353D03" w:rsidRPr="003F2B8C">
        <w:rPr>
          <w:color w:val="000080"/>
        </w:rPr>
        <w:t xml:space="preserve">as within </w:t>
      </w:r>
      <w:r w:rsidR="003F2B8C" w:rsidRPr="003F2B8C">
        <w:rPr>
          <w:color w:val="000080"/>
        </w:rPr>
        <w:t>AR</w:t>
      </w:r>
      <w:r w:rsidR="002B0811">
        <w:rPr>
          <w:color w:val="000080"/>
        </w:rPr>
        <w:t> </w:t>
      </w:r>
      <w:r w:rsidR="003F2B8C" w:rsidRPr="003F2B8C">
        <w:rPr>
          <w:color w:val="000080"/>
        </w:rPr>
        <w:t>40-501</w:t>
      </w:r>
      <w:r w:rsidR="00353D03" w:rsidRPr="003F2B8C">
        <w:rPr>
          <w:color w:val="000080"/>
        </w:rPr>
        <w:t xml:space="preserve"> standards.  The PEB found the CI unfit for lumbar disc disease and the </w:t>
      </w:r>
      <w:proofErr w:type="spellStart"/>
      <w:r w:rsidR="00353D03" w:rsidRPr="003F2B8C">
        <w:rPr>
          <w:color w:val="000080"/>
        </w:rPr>
        <w:t>radiculopathy</w:t>
      </w:r>
      <w:proofErr w:type="spellEnd"/>
      <w:r w:rsidR="00353D03" w:rsidRPr="003F2B8C">
        <w:rPr>
          <w:color w:val="000080"/>
        </w:rPr>
        <w:t xml:space="preserve"> rated </w:t>
      </w:r>
      <w:r w:rsidR="00EC5EFF" w:rsidRPr="003F2B8C">
        <w:rPr>
          <w:color w:val="000080"/>
        </w:rPr>
        <w:t>separately at</w:t>
      </w:r>
      <w:r w:rsidR="00353D03" w:rsidRPr="003F2B8C">
        <w:rPr>
          <w:color w:val="000080"/>
        </w:rPr>
        <w:t xml:space="preserve"> 10% each.  </w:t>
      </w:r>
      <w:r w:rsidR="0083620E" w:rsidRPr="003F2B8C">
        <w:rPr>
          <w:color w:val="000080"/>
        </w:rPr>
        <w:t>T</w:t>
      </w:r>
      <w:r w:rsidR="00353D03" w:rsidRPr="003F2B8C">
        <w:rPr>
          <w:color w:val="000080"/>
        </w:rPr>
        <w:t xml:space="preserve">he other three conditions </w:t>
      </w:r>
      <w:r w:rsidR="0083620E" w:rsidRPr="003F2B8C">
        <w:rPr>
          <w:color w:val="000080"/>
        </w:rPr>
        <w:t xml:space="preserve">were adjudicated as not unfitting </w:t>
      </w:r>
      <w:r w:rsidR="00353D03" w:rsidRPr="003F2B8C">
        <w:rPr>
          <w:color w:val="000080"/>
        </w:rPr>
        <w:t xml:space="preserve">and the CI was </w:t>
      </w:r>
      <w:r w:rsidR="00B90ED8" w:rsidRPr="003F2B8C">
        <w:rPr>
          <w:color w:val="000080"/>
        </w:rPr>
        <w:t xml:space="preserve">medically </w:t>
      </w:r>
      <w:r w:rsidR="00353D03" w:rsidRPr="003F2B8C">
        <w:rPr>
          <w:color w:val="000080"/>
        </w:rPr>
        <w:t>separated with a combined disability rating</w:t>
      </w:r>
      <w:r w:rsidR="008B13FC" w:rsidRPr="003F2B8C">
        <w:rPr>
          <w:color w:val="000080"/>
        </w:rPr>
        <w:t xml:space="preserve"> of 20%</w:t>
      </w:r>
      <w:r w:rsidR="00353D03" w:rsidRPr="003F2B8C">
        <w:rPr>
          <w:color w:val="000080"/>
        </w:rPr>
        <w:t>.</w:t>
      </w:r>
    </w:p>
    <w:p w:rsidR="00174696" w:rsidRPr="00174696" w:rsidRDefault="00174696" w:rsidP="00174696">
      <w:pPr>
        <w:tabs>
          <w:tab w:val="left" w:pos="288"/>
          <w:tab w:val="left" w:pos="4752"/>
        </w:tabs>
        <w:spacing w:line="240" w:lineRule="exact"/>
        <w:jc w:val="both"/>
        <w:rPr>
          <w:color w:val="000080"/>
        </w:rPr>
      </w:pPr>
      <w:r w:rsidRPr="00174696">
        <w:rPr>
          <w:color w:val="000080"/>
        </w:rPr>
        <w:t>_________________________________________________</w:t>
      </w:r>
      <w:r w:rsidR="00745E27">
        <w:rPr>
          <w:color w:val="000080"/>
        </w:rPr>
        <w:t>_</w:t>
      </w:r>
      <w:r w:rsidRPr="00174696">
        <w:rPr>
          <w:color w:val="000080"/>
        </w:rPr>
        <w:t>___________</w:t>
      </w:r>
      <w:r w:rsidR="00745E27">
        <w:rPr>
          <w:color w:val="000080"/>
        </w:rPr>
        <w:t>_</w:t>
      </w:r>
      <w:r w:rsidRPr="00174696">
        <w:rPr>
          <w:color w:val="000080"/>
        </w:rPr>
        <w:t>__</w:t>
      </w:r>
    </w:p>
    <w:p w:rsidR="00923B25" w:rsidRPr="00D91DA6" w:rsidRDefault="00923B25" w:rsidP="00875F2D">
      <w:pPr>
        <w:tabs>
          <w:tab w:val="left" w:pos="288"/>
          <w:tab w:val="left" w:pos="4752"/>
        </w:tabs>
        <w:spacing w:line="240" w:lineRule="exact"/>
        <w:jc w:val="both"/>
        <w:rPr>
          <w:color w:val="000080"/>
        </w:rPr>
      </w:pPr>
    </w:p>
    <w:p w:rsidR="00896535" w:rsidRPr="00B71837" w:rsidRDefault="002C6E5B" w:rsidP="003F2B8C">
      <w:pPr>
        <w:tabs>
          <w:tab w:val="left" w:pos="288"/>
          <w:tab w:val="left" w:pos="4752"/>
        </w:tabs>
        <w:spacing w:line="240" w:lineRule="exact"/>
        <w:jc w:val="both"/>
        <w:rPr>
          <w:rFonts w:ascii="Calibri" w:hAnsi="Calibri"/>
          <w:color w:val="auto"/>
          <w:szCs w:val="24"/>
        </w:rPr>
      </w:pPr>
      <w:r w:rsidRPr="003F2B8C">
        <w:rPr>
          <w:color w:val="000080"/>
          <w:u w:val="single"/>
        </w:rPr>
        <w:t>CI CONTENTION</w:t>
      </w:r>
      <w:r w:rsidRPr="003F2B8C">
        <w:rPr>
          <w:color w:val="000080"/>
        </w:rPr>
        <w:t>:  The CI states:</w:t>
      </w:r>
      <w:r w:rsidR="00C932C5" w:rsidRPr="003F2B8C">
        <w:rPr>
          <w:color w:val="000080"/>
        </w:rPr>
        <w:t xml:space="preserve"> ‘</w:t>
      </w:r>
      <w:r w:rsidR="00563006" w:rsidRPr="003F2B8C">
        <w:rPr>
          <w:color w:val="000080"/>
        </w:rPr>
        <w:t>I was a little confused and disappointed with the MEB when I received 10% from the Army and for the same injuries I received 50% from the VA. I am not asking for more disability, I just do not understand how the two institutions could be so far apart on the same conditions. Thank you for help in this matter.’</w:t>
      </w:r>
      <w:r w:rsidR="00896535" w:rsidRPr="003F2B8C">
        <w:rPr>
          <w:color w:val="000080"/>
        </w:rPr>
        <w:t xml:space="preserve">  </w:t>
      </w:r>
      <w:r w:rsidR="00563006" w:rsidRPr="003F2B8C">
        <w:rPr>
          <w:color w:val="000080"/>
        </w:rPr>
        <w:t xml:space="preserve">His statement elaborates the current pain and limitations with his back and </w:t>
      </w:r>
      <w:proofErr w:type="spellStart"/>
      <w:r w:rsidR="00563006" w:rsidRPr="003F2B8C">
        <w:rPr>
          <w:color w:val="000080"/>
        </w:rPr>
        <w:t>radiculopathy</w:t>
      </w:r>
      <w:proofErr w:type="spellEnd"/>
      <w:r w:rsidR="00563006" w:rsidRPr="003F2B8C">
        <w:rPr>
          <w:color w:val="000080"/>
        </w:rPr>
        <w:t>.  He also notes a bilateral knee condition as service connected.</w:t>
      </w:r>
      <w:r w:rsidR="00563006">
        <w:rPr>
          <w:rFonts w:ascii="Calibri" w:hAnsi="Calibri"/>
          <w:color w:val="auto"/>
          <w:szCs w:val="24"/>
        </w:rPr>
        <w:t xml:space="preserve"> </w:t>
      </w:r>
    </w:p>
    <w:p w:rsidR="00174696" w:rsidRPr="00174696" w:rsidRDefault="00174696" w:rsidP="00174696">
      <w:pPr>
        <w:tabs>
          <w:tab w:val="left" w:pos="288"/>
          <w:tab w:val="left" w:pos="4752"/>
        </w:tabs>
        <w:spacing w:line="240" w:lineRule="exact"/>
        <w:jc w:val="both"/>
        <w:rPr>
          <w:color w:val="000080"/>
        </w:rPr>
      </w:pPr>
      <w:r w:rsidRPr="00174696">
        <w:rPr>
          <w:color w:val="000080"/>
        </w:rPr>
        <w:t>_________________________________________________________</w:t>
      </w:r>
      <w:r w:rsidR="00745E27">
        <w:rPr>
          <w:color w:val="000080"/>
        </w:rPr>
        <w:t>_</w:t>
      </w:r>
      <w:r w:rsidRPr="00174696">
        <w:rPr>
          <w:color w:val="000080"/>
        </w:rPr>
        <w:t>______</w:t>
      </w:r>
    </w:p>
    <w:p w:rsidR="00A90D55" w:rsidRPr="00D91DA6" w:rsidRDefault="00A90D55" w:rsidP="00875F2D">
      <w:pPr>
        <w:tabs>
          <w:tab w:val="left" w:pos="288"/>
          <w:tab w:val="left" w:pos="4752"/>
        </w:tabs>
        <w:spacing w:line="240" w:lineRule="exact"/>
        <w:jc w:val="both"/>
        <w:rPr>
          <w:color w:val="000080"/>
        </w:rPr>
      </w:pPr>
    </w:p>
    <w:p w:rsidR="003F2B8C" w:rsidRDefault="003F2B8C">
      <w:pPr>
        <w:rPr>
          <w:rFonts w:ascii="Calibri" w:hAnsi="Calibri"/>
          <w:color w:val="000080"/>
          <w:u w:val="single"/>
        </w:rPr>
      </w:pPr>
      <w:r>
        <w:rPr>
          <w:rFonts w:ascii="Calibri" w:hAnsi="Calibri"/>
          <w:color w:val="000080"/>
          <w:u w:val="single"/>
        </w:rPr>
        <w:br w:type="page"/>
      </w:r>
    </w:p>
    <w:p w:rsidR="002338CA" w:rsidRPr="003F2B8C" w:rsidRDefault="002C6E5B" w:rsidP="00875F2D">
      <w:pPr>
        <w:tabs>
          <w:tab w:val="left" w:pos="288"/>
          <w:tab w:val="left" w:pos="4752"/>
        </w:tabs>
        <w:spacing w:line="240" w:lineRule="exact"/>
        <w:jc w:val="both"/>
        <w:rPr>
          <w:color w:val="000080"/>
        </w:rPr>
      </w:pPr>
      <w:r w:rsidRPr="003F2B8C">
        <w:rPr>
          <w:color w:val="000080"/>
          <w:u w:val="single"/>
        </w:rPr>
        <w:lastRenderedPageBreak/>
        <w:t>RATING COMPARISON</w:t>
      </w:r>
      <w:r w:rsidRPr="003F2B8C">
        <w:rPr>
          <w:color w:val="000080"/>
        </w:rPr>
        <w:t>:</w:t>
      </w:r>
    </w:p>
    <w:p w:rsidR="00F82981" w:rsidRDefault="00F82981" w:rsidP="00875F2D">
      <w:pPr>
        <w:tabs>
          <w:tab w:val="left" w:pos="288"/>
          <w:tab w:val="left" w:pos="4752"/>
        </w:tabs>
        <w:spacing w:line="240" w:lineRule="exact"/>
        <w:jc w:val="both"/>
        <w:rPr>
          <w:color w:val="000080"/>
        </w:rPr>
      </w:pPr>
    </w:p>
    <w:tbl>
      <w:tblPr>
        <w:tblStyle w:val="TableGrid"/>
        <w:tblW w:w="9360" w:type="dxa"/>
        <w:tblLayout w:type="fixed"/>
        <w:tblLook w:val="04A0"/>
      </w:tblPr>
      <w:tblGrid>
        <w:gridCol w:w="2070"/>
        <w:gridCol w:w="270"/>
        <w:gridCol w:w="810"/>
        <w:gridCol w:w="810"/>
        <w:gridCol w:w="2448"/>
        <w:gridCol w:w="432"/>
        <w:gridCol w:w="720"/>
        <w:gridCol w:w="810"/>
        <w:gridCol w:w="990"/>
      </w:tblGrid>
      <w:tr w:rsidR="00684E2B" w:rsidTr="00A2330A">
        <w:trPr>
          <w:trHeight w:val="233"/>
        </w:trPr>
        <w:tc>
          <w:tcPr>
            <w:tcW w:w="3960" w:type="dxa"/>
            <w:gridSpan w:val="4"/>
            <w:tcBorders>
              <w:right w:val="thinThickThinSmallGap" w:sz="24" w:space="0" w:color="auto"/>
            </w:tcBorders>
            <w:shd w:val="clear" w:color="auto" w:fill="C6D9F1" w:themeFill="text2" w:themeFillTint="33"/>
          </w:tcPr>
          <w:p w:rsidR="00684E2B" w:rsidRPr="00A85F54" w:rsidRDefault="00684E2B" w:rsidP="006841D7">
            <w:pPr>
              <w:pStyle w:val="ListParagraph"/>
              <w:spacing w:after="0" w:line="240" w:lineRule="auto"/>
              <w:ind w:left="0"/>
              <w:jc w:val="center"/>
              <w:rPr>
                <w:rFonts w:cs="Times New Roman"/>
                <w:b/>
                <w:color w:val="002060"/>
                <w:sz w:val="20"/>
                <w:szCs w:val="20"/>
              </w:rPr>
            </w:pPr>
            <w:r w:rsidRPr="00A85F54">
              <w:rPr>
                <w:rFonts w:cs="Times New Roman"/>
                <w:b/>
                <w:color w:val="002060"/>
                <w:sz w:val="20"/>
                <w:szCs w:val="20"/>
              </w:rPr>
              <w:t>Service PEB</w:t>
            </w:r>
            <w:r w:rsidR="002B2645" w:rsidRPr="00A85F54">
              <w:rPr>
                <w:rFonts w:cs="Times New Roman"/>
                <w:b/>
                <w:color w:val="002060"/>
                <w:sz w:val="20"/>
                <w:szCs w:val="20"/>
              </w:rPr>
              <w:t xml:space="preserve"> – Dated </w:t>
            </w:r>
            <w:r w:rsidR="006841D7" w:rsidRPr="00A85F54">
              <w:rPr>
                <w:rFonts w:cs="Times New Roman"/>
                <w:b/>
                <w:color w:val="002060"/>
                <w:sz w:val="20"/>
                <w:szCs w:val="20"/>
              </w:rPr>
              <w:t>20030321</w:t>
            </w:r>
          </w:p>
        </w:tc>
        <w:tc>
          <w:tcPr>
            <w:tcW w:w="5400" w:type="dxa"/>
            <w:gridSpan w:val="5"/>
            <w:tcBorders>
              <w:left w:val="thinThickThinSmallGap" w:sz="24" w:space="0" w:color="auto"/>
            </w:tcBorders>
            <w:shd w:val="clear" w:color="auto" w:fill="C6D9F1" w:themeFill="text2" w:themeFillTint="33"/>
          </w:tcPr>
          <w:p w:rsidR="00684E2B" w:rsidRPr="00A85F54" w:rsidRDefault="00684E2B" w:rsidP="006841D7">
            <w:pPr>
              <w:pStyle w:val="ListParagraph"/>
              <w:spacing w:after="0" w:line="240" w:lineRule="auto"/>
              <w:ind w:left="0"/>
              <w:jc w:val="center"/>
              <w:rPr>
                <w:rFonts w:cs="Times New Roman"/>
                <w:b/>
                <w:color w:val="002060"/>
                <w:sz w:val="20"/>
                <w:szCs w:val="20"/>
              </w:rPr>
            </w:pPr>
            <w:r w:rsidRPr="00A85F54">
              <w:rPr>
                <w:rFonts w:cs="Times New Roman"/>
                <w:b/>
                <w:color w:val="002060"/>
                <w:sz w:val="20"/>
                <w:szCs w:val="20"/>
              </w:rPr>
              <w:t>VA (</w:t>
            </w:r>
            <w:r w:rsidR="006841D7" w:rsidRPr="00A85F54">
              <w:rPr>
                <w:rFonts w:cs="Times New Roman"/>
                <w:b/>
                <w:color w:val="002060"/>
                <w:sz w:val="20"/>
                <w:szCs w:val="20"/>
              </w:rPr>
              <w:t>Pre-</w:t>
            </w:r>
            <w:r w:rsidRPr="00A85F54">
              <w:rPr>
                <w:rFonts w:cs="Times New Roman"/>
                <w:b/>
                <w:color w:val="002060"/>
                <w:sz w:val="20"/>
                <w:szCs w:val="20"/>
              </w:rPr>
              <w:t>Separation)</w:t>
            </w:r>
            <w:r w:rsidR="000C3C13" w:rsidRPr="00A85F54">
              <w:rPr>
                <w:rFonts w:cs="Times New Roman"/>
                <w:b/>
                <w:color w:val="002060"/>
                <w:sz w:val="20"/>
                <w:szCs w:val="20"/>
              </w:rPr>
              <w:t xml:space="preserve"> – All Effective </w:t>
            </w:r>
            <w:r w:rsidR="006841D7" w:rsidRPr="00A85F54">
              <w:rPr>
                <w:rFonts w:cs="Times New Roman"/>
                <w:b/>
                <w:color w:val="002060"/>
                <w:sz w:val="20"/>
                <w:szCs w:val="20"/>
              </w:rPr>
              <w:t>20030519</w:t>
            </w:r>
          </w:p>
        </w:tc>
      </w:tr>
      <w:tr w:rsidR="002B2645" w:rsidTr="00A2330A">
        <w:trPr>
          <w:trHeight w:val="233"/>
        </w:trPr>
        <w:tc>
          <w:tcPr>
            <w:tcW w:w="2340" w:type="dxa"/>
            <w:gridSpan w:val="2"/>
            <w:tcBorders>
              <w:bottom w:val="single" w:sz="4" w:space="0" w:color="000000" w:themeColor="text1"/>
            </w:tcBorders>
            <w:shd w:val="clear" w:color="auto" w:fill="C6D9F1" w:themeFill="text2" w:themeFillTint="33"/>
          </w:tcPr>
          <w:p w:rsidR="002B2645" w:rsidRPr="00A85F54" w:rsidRDefault="002B2645" w:rsidP="00D2164B">
            <w:pPr>
              <w:pStyle w:val="ListParagraph"/>
              <w:spacing w:after="0" w:line="240" w:lineRule="auto"/>
              <w:ind w:left="0"/>
              <w:jc w:val="center"/>
              <w:rPr>
                <w:rFonts w:cs="Times New Roman"/>
                <w:b/>
                <w:color w:val="002060"/>
                <w:sz w:val="20"/>
                <w:szCs w:val="20"/>
              </w:rPr>
            </w:pPr>
            <w:r w:rsidRPr="00A85F54">
              <w:rPr>
                <w:rFonts w:cs="Times New Roman"/>
                <w:b/>
                <w:color w:val="002060"/>
                <w:sz w:val="20"/>
                <w:szCs w:val="20"/>
              </w:rPr>
              <w:t>Condition</w:t>
            </w:r>
          </w:p>
        </w:tc>
        <w:tc>
          <w:tcPr>
            <w:tcW w:w="810" w:type="dxa"/>
            <w:tcBorders>
              <w:bottom w:val="single" w:sz="4" w:space="0" w:color="000000" w:themeColor="text1"/>
            </w:tcBorders>
            <w:shd w:val="clear" w:color="auto" w:fill="C6D9F1" w:themeFill="text2" w:themeFillTint="33"/>
          </w:tcPr>
          <w:p w:rsidR="002B2645" w:rsidRPr="00A85F54" w:rsidRDefault="002B2645" w:rsidP="00D2164B">
            <w:pPr>
              <w:pStyle w:val="ListParagraph"/>
              <w:spacing w:after="0" w:line="240" w:lineRule="auto"/>
              <w:ind w:left="0"/>
              <w:jc w:val="center"/>
              <w:rPr>
                <w:rFonts w:cs="Times New Roman"/>
                <w:b/>
                <w:color w:val="002060"/>
                <w:sz w:val="20"/>
                <w:szCs w:val="20"/>
              </w:rPr>
            </w:pPr>
            <w:r w:rsidRPr="00A85F54">
              <w:rPr>
                <w:rFonts w:cs="Times New Roman"/>
                <w:b/>
                <w:color w:val="002060"/>
                <w:sz w:val="20"/>
                <w:szCs w:val="20"/>
              </w:rPr>
              <w:t>Code</w:t>
            </w:r>
          </w:p>
        </w:tc>
        <w:tc>
          <w:tcPr>
            <w:tcW w:w="810" w:type="dxa"/>
            <w:tcBorders>
              <w:bottom w:val="single" w:sz="4" w:space="0" w:color="000000" w:themeColor="text1"/>
              <w:right w:val="thinThickThinSmallGap" w:sz="24" w:space="0" w:color="auto"/>
            </w:tcBorders>
            <w:shd w:val="clear" w:color="auto" w:fill="C6D9F1" w:themeFill="text2" w:themeFillTint="33"/>
          </w:tcPr>
          <w:p w:rsidR="002B2645" w:rsidRPr="00A85F54" w:rsidRDefault="002B2645" w:rsidP="00D2164B">
            <w:pPr>
              <w:pStyle w:val="ListParagraph"/>
              <w:spacing w:after="0" w:line="240" w:lineRule="auto"/>
              <w:ind w:left="0"/>
              <w:jc w:val="center"/>
              <w:rPr>
                <w:rFonts w:cs="Times New Roman"/>
                <w:b/>
                <w:color w:val="002060"/>
                <w:sz w:val="20"/>
                <w:szCs w:val="20"/>
              </w:rPr>
            </w:pPr>
            <w:r w:rsidRPr="00A85F54">
              <w:rPr>
                <w:rFonts w:cs="Times New Roman"/>
                <w:b/>
                <w:color w:val="002060"/>
                <w:sz w:val="20"/>
                <w:szCs w:val="20"/>
              </w:rPr>
              <w:t>Rating</w:t>
            </w:r>
          </w:p>
        </w:tc>
        <w:tc>
          <w:tcPr>
            <w:tcW w:w="2880" w:type="dxa"/>
            <w:gridSpan w:val="2"/>
            <w:tcBorders>
              <w:left w:val="thinThickThinSmallGap" w:sz="24" w:space="0" w:color="auto"/>
              <w:bottom w:val="single" w:sz="4" w:space="0" w:color="000000" w:themeColor="text1"/>
            </w:tcBorders>
            <w:shd w:val="clear" w:color="auto" w:fill="C6D9F1" w:themeFill="text2" w:themeFillTint="33"/>
          </w:tcPr>
          <w:p w:rsidR="002B2645" w:rsidRPr="00A85F54" w:rsidRDefault="002B2645" w:rsidP="00D2164B">
            <w:pPr>
              <w:pStyle w:val="ListParagraph"/>
              <w:spacing w:after="0" w:line="240" w:lineRule="auto"/>
              <w:ind w:left="0"/>
              <w:jc w:val="center"/>
              <w:rPr>
                <w:rFonts w:cs="Times New Roman"/>
                <w:b/>
                <w:color w:val="002060"/>
                <w:sz w:val="20"/>
                <w:szCs w:val="20"/>
              </w:rPr>
            </w:pPr>
            <w:r w:rsidRPr="00A85F54">
              <w:rPr>
                <w:rFonts w:cs="Times New Roman"/>
                <w:b/>
                <w:color w:val="002060"/>
                <w:sz w:val="20"/>
                <w:szCs w:val="20"/>
              </w:rPr>
              <w:t>Condition</w:t>
            </w:r>
          </w:p>
        </w:tc>
        <w:tc>
          <w:tcPr>
            <w:tcW w:w="720" w:type="dxa"/>
            <w:tcBorders>
              <w:bottom w:val="single" w:sz="4" w:space="0" w:color="000000" w:themeColor="text1"/>
            </w:tcBorders>
            <w:shd w:val="clear" w:color="auto" w:fill="C6D9F1" w:themeFill="text2" w:themeFillTint="33"/>
          </w:tcPr>
          <w:p w:rsidR="002B2645" w:rsidRPr="00A85F54" w:rsidRDefault="002B2645" w:rsidP="00D2164B">
            <w:pPr>
              <w:pStyle w:val="ListParagraph"/>
              <w:spacing w:after="0" w:line="240" w:lineRule="auto"/>
              <w:ind w:left="0"/>
              <w:jc w:val="center"/>
              <w:rPr>
                <w:rFonts w:cs="Times New Roman"/>
                <w:b/>
                <w:color w:val="002060"/>
                <w:sz w:val="20"/>
                <w:szCs w:val="20"/>
              </w:rPr>
            </w:pPr>
            <w:r w:rsidRPr="00A85F54">
              <w:rPr>
                <w:rFonts w:cs="Times New Roman"/>
                <w:b/>
                <w:color w:val="002060"/>
                <w:sz w:val="20"/>
                <w:szCs w:val="20"/>
              </w:rPr>
              <w:t>Code</w:t>
            </w:r>
          </w:p>
        </w:tc>
        <w:tc>
          <w:tcPr>
            <w:tcW w:w="810" w:type="dxa"/>
            <w:tcBorders>
              <w:bottom w:val="single" w:sz="4" w:space="0" w:color="000000" w:themeColor="text1"/>
            </w:tcBorders>
            <w:shd w:val="clear" w:color="auto" w:fill="C6D9F1" w:themeFill="text2" w:themeFillTint="33"/>
          </w:tcPr>
          <w:p w:rsidR="002B2645" w:rsidRPr="00A85F54" w:rsidRDefault="002B2645" w:rsidP="00D2164B">
            <w:pPr>
              <w:pStyle w:val="ListParagraph"/>
              <w:spacing w:after="0" w:line="240" w:lineRule="auto"/>
              <w:ind w:left="0"/>
              <w:jc w:val="center"/>
              <w:rPr>
                <w:rFonts w:cs="Times New Roman"/>
                <w:b/>
                <w:color w:val="002060"/>
                <w:sz w:val="20"/>
                <w:szCs w:val="20"/>
              </w:rPr>
            </w:pPr>
            <w:r w:rsidRPr="00A85F54">
              <w:rPr>
                <w:rFonts w:cs="Times New Roman"/>
                <w:b/>
                <w:color w:val="002060"/>
                <w:sz w:val="20"/>
                <w:szCs w:val="20"/>
              </w:rPr>
              <w:t>Rating</w:t>
            </w:r>
          </w:p>
        </w:tc>
        <w:tc>
          <w:tcPr>
            <w:tcW w:w="990" w:type="dxa"/>
            <w:tcBorders>
              <w:bottom w:val="single" w:sz="4" w:space="0" w:color="000000" w:themeColor="text1"/>
            </w:tcBorders>
            <w:shd w:val="clear" w:color="auto" w:fill="C6D9F1" w:themeFill="text2" w:themeFillTint="33"/>
          </w:tcPr>
          <w:p w:rsidR="002B2645" w:rsidRPr="00A85F54" w:rsidRDefault="002B2645" w:rsidP="00D2164B">
            <w:pPr>
              <w:pStyle w:val="ListParagraph"/>
              <w:spacing w:after="0" w:line="240" w:lineRule="auto"/>
              <w:ind w:left="0"/>
              <w:jc w:val="center"/>
              <w:rPr>
                <w:rFonts w:cs="Times New Roman"/>
                <w:b/>
                <w:color w:val="002060"/>
                <w:sz w:val="20"/>
                <w:szCs w:val="20"/>
              </w:rPr>
            </w:pPr>
            <w:r w:rsidRPr="00A85F54">
              <w:rPr>
                <w:rFonts w:cs="Times New Roman"/>
                <w:b/>
                <w:color w:val="002060"/>
                <w:sz w:val="20"/>
                <w:szCs w:val="20"/>
              </w:rPr>
              <w:t>Exam</w:t>
            </w:r>
          </w:p>
        </w:tc>
      </w:tr>
      <w:tr w:rsidR="006841D7" w:rsidTr="00A2330A">
        <w:trPr>
          <w:trHeight w:val="152"/>
        </w:trPr>
        <w:tc>
          <w:tcPr>
            <w:tcW w:w="2340" w:type="dxa"/>
            <w:gridSpan w:val="2"/>
            <w:shd w:val="clear" w:color="auto" w:fill="FFFFFF" w:themeFill="background1"/>
          </w:tcPr>
          <w:p w:rsidR="006841D7" w:rsidRPr="00A85F54" w:rsidRDefault="006841D7" w:rsidP="00D2164B">
            <w:pPr>
              <w:pStyle w:val="ListParagraph"/>
              <w:spacing w:after="0" w:line="240" w:lineRule="auto"/>
              <w:ind w:left="0"/>
              <w:rPr>
                <w:rFonts w:cs="Times New Roman"/>
                <w:color w:val="002060"/>
                <w:sz w:val="18"/>
                <w:szCs w:val="18"/>
              </w:rPr>
            </w:pPr>
            <w:r w:rsidRPr="00A85F54">
              <w:rPr>
                <w:rFonts w:cs="Times New Roman"/>
                <w:color w:val="002060"/>
                <w:sz w:val="20"/>
                <w:szCs w:val="20"/>
              </w:rPr>
              <w:t>Herniated L-5-S1 Disc…</w:t>
            </w:r>
          </w:p>
        </w:tc>
        <w:tc>
          <w:tcPr>
            <w:tcW w:w="810" w:type="dxa"/>
            <w:shd w:val="clear" w:color="auto" w:fill="FFFFFF" w:themeFill="background1"/>
          </w:tcPr>
          <w:p w:rsidR="006841D7" w:rsidRPr="00A85F54" w:rsidRDefault="006841D7" w:rsidP="00D2164B">
            <w:pPr>
              <w:pStyle w:val="ListParagraph"/>
              <w:spacing w:after="0" w:line="240" w:lineRule="auto"/>
              <w:ind w:left="0"/>
              <w:jc w:val="center"/>
              <w:rPr>
                <w:rFonts w:cs="Times New Roman"/>
                <w:color w:val="002060"/>
                <w:sz w:val="18"/>
                <w:szCs w:val="18"/>
              </w:rPr>
            </w:pPr>
            <w:r w:rsidRPr="00A85F54">
              <w:rPr>
                <w:rFonts w:cs="Times New Roman"/>
                <w:color w:val="002060"/>
                <w:sz w:val="18"/>
                <w:szCs w:val="18"/>
              </w:rPr>
              <w:t>5293-5295</w:t>
            </w:r>
          </w:p>
        </w:tc>
        <w:tc>
          <w:tcPr>
            <w:tcW w:w="810" w:type="dxa"/>
            <w:tcBorders>
              <w:right w:val="thinThickThinSmallGap" w:sz="24" w:space="0" w:color="auto"/>
            </w:tcBorders>
            <w:shd w:val="clear" w:color="auto" w:fill="FFFFFF" w:themeFill="background1"/>
          </w:tcPr>
          <w:p w:rsidR="006841D7" w:rsidRPr="00A85F54" w:rsidRDefault="006841D7" w:rsidP="00D2164B">
            <w:pPr>
              <w:pStyle w:val="ListParagraph"/>
              <w:spacing w:after="0" w:line="240" w:lineRule="auto"/>
              <w:ind w:left="0"/>
              <w:jc w:val="center"/>
              <w:rPr>
                <w:rFonts w:cs="Times New Roman"/>
                <w:color w:val="002060"/>
                <w:sz w:val="18"/>
                <w:szCs w:val="18"/>
              </w:rPr>
            </w:pPr>
            <w:r w:rsidRPr="00A85F54">
              <w:rPr>
                <w:rFonts w:cs="Times New Roman"/>
                <w:color w:val="002060"/>
                <w:sz w:val="18"/>
                <w:szCs w:val="18"/>
              </w:rPr>
              <w:t>10%</w:t>
            </w:r>
          </w:p>
        </w:tc>
        <w:tc>
          <w:tcPr>
            <w:tcW w:w="2880" w:type="dxa"/>
            <w:gridSpan w:val="2"/>
            <w:tcBorders>
              <w:left w:val="thinThickThinSmallGap" w:sz="24" w:space="0" w:color="auto"/>
            </w:tcBorders>
            <w:shd w:val="clear" w:color="auto" w:fill="FFFFFF" w:themeFill="background1"/>
          </w:tcPr>
          <w:p w:rsidR="006841D7" w:rsidRPr="00A85F54" w:rsidRDefault="006841D7" w:rsidP="00D2164B">
            <w:pPr>
              <w:pStyle w:val="ListParagraph"/>
              <w:spacing w:after="0" w:line="240" w:lineRule="auto"/>
              <w:ind w:left="0"/>
              <w:rPr>
                <w:rFonts w:cs="Times New Roman"/>
                <w:color w:val="002060"/>
                <w:sz w:val="18"/>
                <w:szCs w:val="18"/>
              </w:rPr>
            </w:pPr>
            <w:r w:rsidRPr="00A85F54">
              <w:rPr>
                <w:rFonts w:cs="Times New Roman"/>
                <w:color w:val="002060"/>
                <w:sz w:val="20"/>
                <w:szCs w:val="20"/>
              </w:rPr>
              <w:t>Lumbar Spine, Degenerative Disc Disease…</w:t>
            </w:r>
          </w:p>
        </w:tc>
        <w:tc>
          <w:tcPr>
            <w:tcW w:w="720" w:type="dxa"/>
            <w:shd w:val="clear" w:color="auto" w:fill="FFFFFF" w:themeFill="background1"/>
          </w:tcPr>
          <w:p w:rsidR="006841D7" w:rsidRPr="00A85F54" w:rsidRDefault="006841D7" w:rsidP="00D2164B">
            <w:pPr>
              <w:pStyle w:val="ListParagraph"/>
              <w:spacing w:after="0" w:line="240" w:lineRule="auto"/>
              <w:ind w:left="0"/>
              <w:jc w:val="center"/>
              <w:rPr>
                <w:rFonts w:cs="Times New Roman"/>
                <w:color w:val="002060"/>
                <w:sz w:val="18"/>
                <w:szCs w:val="18"/>
              </w:rPr>
            </w:pPr>
            <w:r w:rsidRPr="00A85F54">
              <w:rPr>
                <w:rFonts w:cs="Times New Roman"/>
                <w:color w:val="002060"/>
                <w:sz w:val="18"/>
                <w:szCs w:val="18"/>
              </w:rPr>
              <w:t>5293-5292</w:t>
            </w:r>
          </w:p>
        </w:tc>
        <w:tc>
          <w:tcPr>
            <w:tcW w:w="810" w:type="dxa"/>
            <w:shd w:val="clear" w:color="auto" w:fill="FFFFFF" w:themeFill="background1"/>
          </w:tcPr>
          <w:p w:rsidR="006841D7" w:rsidRPr="00A85F54" w:rsidRDefault="006841D7" w:rsidP="00D2164B">
            <w:pPr>
              <w:pStyle w:val="ListParagraph"/>
              <w:spacing w:after="0" w:line="240" w:lineRule="auto"/>
              <w:ind w:left="0"/>
              <w:jc w:val="center"/>
              <w:rPr>
                <w:rFonts w:cs="Times New Roman"/>
                <w:color w:val="002060"/>
                <w:sz w:val="18"/>
                <w:szCs w:val="18"/>
              </w:rPr>
            </w:pPr>
            <w:r w:rsidRPr="00A85F54">
              <w:rPr>
                <w:rFonts w:cs="Times New Roman"/>
                <w:color w:val="002060"/>
                <w:sz w:val="18"/>
                <w:szCs w:val="18"/>
              </w:rPr>
              <w:t>20%</w:t>
            </w:r>
          </w:p>
        </w:tc>
        <w:tc>
          <w:tcPr>
            <w:tcW w:w="990" w:type="dxa"/>
            <w:shd w:val="clear" w:color="auto" w:fill="FFFFFF" w:themeFill="background1"/>
          </w:tcPr>
          <w:p w:rsidR="006841D7" w:rsidRPr="00A85F54" w:rsidRDefault="006841D7" w:rsidP="00D2164B">
            <w:pPr>
              <w:pStyle w:val="ListParagraph"/>
              <w:spacing w:after="0" w:line="240" w:lineRule="auto"/>
              <w:ind w:left="0"/>
              <w:jc w:val="center"/>
              <w:rPr>
                <w:rFonts w:cs="Times New Roman"/>
                <w:color w:val="002060"/>
                <w:sz w:val="18"/>
                <w:szCs w:val="18"/>
              </w:rPr>
            </w:pPr>
            <w:r w:rsidRPr="00A85F54">
              <w:rPr>
                <w:rFonts w:cs="Times New Roman"/>
                <w:color w:val="002060"/>
                <w:sz w:val="18"/>
                <w:szCs w:val="18"/>
              </w:rPr>
              <w:t>20030425</w:t>
            </w:r>
          </w:p>
        </w:tc>
      </w:tr>
      <w:tr w:rsidR="00A2330A" w:rsidTr="00A2330A">
        <w:trPr>
          <w:trHeight w:val="125"/>
        </w:trPr>
        <w:tc>
          <w:tcPr>
            <w:tcW w:w="2070" w:type="dxa"/>
            <w:tcBorders>
              <w:right w:val="single" w:sz="4" w:space="0" w:color="auto"/>
            </w:tcBorders>
            <w:shd w:val="clear" w:color="auto" w:fill="FFFFFF" w:themeFill="background1"/>
          </w:tcPr>
          <w:p w:rsidR="00A2330A" w:rsidRPr="00A85F54" w:rsidRDefault="00A2330A" w:rsidP="00D2164B">
            <w:pPr>
              <w:pStyle w:val="ListParagraph"/>
              <w:spacing w:after="0" w:line="240" w:lineRule="auto"/>
              <w:ind w:left="0"/>
              <w:rPr>
                <w:rFonts w:cs="Times New Roman"/>
                <w:color w:val="002060"/>
                <w:sz w:val="18"/>
                <w:szCs w:val="18"/>
              </w:rPr>
            </w:pPr>
            <w:r w:rsidRPr="00A85F54">
              <w:rPr>
                <w:rFonts w:cs="Times New Roman"/>
                <w:color w:val="002060"/>
                <w:sz w:val="18"/>
                <w:szCs w:val="18"/>
              </w:rPr>
              <w:t xml:space="preserve">Residual </w:t>
            </w:r>
            <w:proofErr w:type="spellStart"/>
            <w:r w:rsidRPr="00A85F54">
              <w:rPr>
                <w:rFonts w:cs="Times New Roman"/>
                <w:color w:val="002060"/>
                <w:sz w:val="18"/>
                <w:szCs w:val="18"/>
              </w:rPr>
              <w:t>Radiculopathy</w:t>
            </w:r>
            <w:proofErr w:type="spellEnd"/>
            <w:r w:rsidRPr="00A85F54">
              <w:rPr>
                <w:rFonts w:cs="Times New Roman"/>
                <w:color w:val="002060"/>
                <w:sz w:val="18"/>
                <w:szCs w:val="18"/>
              </w:rPr>
              <w:t>…</w:t>
            </w:r>
          </w:p>
        </w:tc>
        <w:tc>
          <w:tcPr>
            <w:tcW w:w="1080" w:type="dxa"/>
            <w:gridSpan w:val="2"/>
            <w:shd w:val="clear" w:color="auto" w:fill="FFFFFF" w:themeFill="background1"/>
          </w:tcPr>
          <w:p w:rsidR="00A2330A" w:rsidRPr="00A85F54" w:rsidRDefault="00A2330A" w:rsidP="00D2164B">
            <w:pPr>
              <w:pStyle w:val="ListParagraph"/>
              <w:spacing w:after="0" w:line="240" w:lineRule="auto"/>
              <w:ind w:left="0"/>
              <w:jc w:val="center"/>
              <w:rPr>
                <w:rFonts w:cs="Times New Roman"/>
                <w:color w:val="002060"/>
                <w:sz w:val="18"/>
                <w:szCs w:val="18"/>
              </w:rPr>
            </w:pPr>
            <w:r w:rsidRPr="00A85F54">
              <w:rPr>
                <w:rFonts w:cs="Times New Roman"/>
                <w:color w:val="002060"/>
                <w:sz w:val="18"/>
                <w:szCs w:val="18"/>
              </w:rPr>
              <w:t>5293-8260</w:t>
            </w:r>
          </w:p>
        </w:tc>
        <w:tc>
          <w:tcPr>
            <w:tcW w:w="810" w:type="dxa"/>
            <w:tcBorders>
              <w:right w:val="thinThickThinSmallGap" w:sz="24" w:space="0" w:color="auto"/>
            </w:tcBorders>
            <w:shd w:val="clear" w:color="auto" w:fill="FFFFFF" w:themeFill="background1"/>
          </w:tcPr>
          <w:p w:rsidR="00A2330A" w:rsidRPr="00A85F54" w:rsidRDefault="00A2330A" w:rsidP="00D2164B">
            <w:pPr>
              <w:pStyle w:val="ListParagraph"/>
              <w:spacing w:after="0" w:line="240" w:lineRule="auto"/>
              <w:ind w:left="0"/>
              <w:jc w:val="center"/>
              <w:rPr>
                <w:rFonts w:cs="Times New Roman"/>
                <w:color w:val="002060"/>
                <w:sz w:val="18"/>
                <w:szCs w:val="18"/>
              </w:rPr>
            </w:pPr>
            <w:r w:rsidRPr="00A85F54">
              <w:rPr>
                <w:rFonts w:cs="Times New Roman"/>
                <w:color w:val="002060"/>
                <w:sz w:val="18"/>
                <w:szCs w:val="18"/>
              </w:rPr>
              <w:t>10%</w:t>
            </w:r>
          </w:p>
        </w:tc>
        <w:tc>
          <w:tcPr>
            <w:tcW w:w="2880" w:type="dxa"/>
            <w:gridSpan w:val="2"/>
            <w:tcBorders>
              <w:left w:val="thinThickThinSmallGap" w:sz="24" w:space="0" w:color="auto"/>
            </w:tcBorders>
            <w:shd w:val="clear" w:color="auto" w:fill="FFFFFF" w:themeFill="background1"/>
          </w:tcPr>
          <w:p w:rsidR="00A2330A" w:rsidRPr="00A85F54" w:rsidRDefault="00A2330A" w:rsidP="00D2164B">
            <w:pPr>
              <w:pStyle w:val="ListParagraph"/>
              <w:spacing w:after="0" w:line="240" w:lineRule="auto"/>
              <w:ind w:left="0"/>
              <w:rPr>
                <w:rFonts w:cs="Times New Roman"/>
                <w:color w:val="002060"/>
                <w:sz w:val="18"/>
                <w:szCs w:val="18"/>
              </w:rPr>
            </w:pPr>
            <w:proofErr w:type="spellStart"/>
            <w:r w:rsidRPr="00A85F54">
              <w:rPr>
                <w:rFonts w:cs="Times New Roman"/>
                <w:color w:val="002060"/>
                <w:sz w:val="18"/>
                <w:szCs w:val="18"/>
              </w:rPr>
              <w:t>Radiculitis</w:t>
            </w:r>
            <w:proofErr w:type="spellEnd"/>
            <w:r w:rsidRPr="00A85F54">
              <w:rPr>
                <w:rFonts w:cs="Times New Roman"/>
                <w:color w:val="002060"/>
                <w:sz w:val="18"/>
                <w:szCs w:val="18"/>
              </w:rPr>
              <w:t>…</w:t>
            </w:r>
          </w:p>
        </w:tc>
        <w:tc>
          <w:tcPr>
            <w:tcW w:w="720" w:type="dxa"/>
            <w:shd w:val="clear" w:color="auto" w:fill="FFFFFF" w:themeFill="background1"/>
          </w:tcPr>
          <w:p w:rsidR="00A2330A" w:rsidRPr="00A85F54" w:rsidRDefault="00A2330A" w:rsidP="00D2164B">
            <w:pPr>
              <w:pStyle w:val="ListParagraph"/>
              <w:spacing w:after="0" w:line="240" w:lineRule="auto"/>
              <w:ind w:left="0"/>
              <w:jc w:val="center"/>
              <w:rPr>
                <w:rFonts w:cs="Times New Roman"/>
                <w:color w:val="002060"/>
                <w:sz w:val="18"/>
                <w:szCs w:val="18"/>
              </w:rPr>
            </w:pPr>
            <w:r w:rsidRPr="00A85F54">
              <w:rPr>
                <w:rFonts w:cs="Times New Roman"/>
                <w:color w:val="002060"/>
                <w:sz w:val="18"/>
                <w:szCs w:val="18"/>
              </w:rPr>
              <w:t>8520</w:t>
            </w:r>
          </w:p>
        </w:tc>
        <w:tc>
          <w:tcPr>
            <w:tcW w:w="810" w:type="dxa"/>
            <w:shd w:val="clear" w:color="auto" w:fill="FFFFFF" w:themeFill="background1"/>
          </w:tcPr>
          <w:p w:rsidR="00A2330A" w:rsidRPr="00A85F54" w:rsidRDefault="00A2330A" w:rsidP="00D2164B">
            <w:pPr>
              <w:pStyle w:val="ListParagraph"/>
              <w:spacing w:after="0" w:line="240" w:lineRule="auto"/>
              <w:ind w:left="0"/>
              <w:jc w:val="center"/>
              <w:rPr>
                <w:rFonts w:cs="Times New Roman"/>
                <w:color w:val="002060"/>
                <w:sz w:val="18"/>
                <w:szCs w:val="18"/>
              </w:rPr>
            </w:pPr>
            <w:r w:rsidRPr="00A85F54">
              <w:rPr>
                <w:rFonts w:cs="Times New Roman"/>
                <w:color w:val="002060"/>
                <w:sz w:val="18"/>
                <w:szCs w:val="18"/>
              </w:rPr>
              <w:t>20%</w:t>
            </w:r>
          </w:p>
        </w:tc>
        <w:tc>
          <w:tcPr>
            <w:tcW w:w="990" w:type="dxa"/>
            <w:shd w:val="clear" w:color="auto" w:fill="FFFFFF" w:themeFill="background1"/>
          </w:tcPr>
          <w:p w:rsidR="00A2330A" w:rsidRPr="00A85F54" w:rsidRDefault="00A2330A" w:rsidP="00D2164B">
            <w:pPr>
              <w:pStyle w:val="ListParagraph"/>
              <w:spacing w:after="0" w:line="240" w:lineRule="auto"/>
              <w:ind w:left="0"/>
              <w:jc w:val="center"/>
              <w:rPr>
                <w:rFonts w:cs="Times New Roman"/>
                <w:color w:val="002060"/>
                <w:sz w:val="18"/>
                <w:szCs w:val="18"/>
              </w:rPr>
            </w:pPr>
            <w:r w:rsidRPr="00A85F54">
              <w:rPr>
                <w:rFonts w:cs="Times New Roman"/>
                <w:color w:val="002060"/>
                <w:sz w:val="18"/>
                <w:szCs w:val="18"/>
              </w:rPr>
              <w:t>20030425</w:t>
            </w:r>
          </w:p>
        </w:tc>
      </w:tr>
      <w:tr w:rsidR="00A2330A" w:rsidTr="00A2330A">
        <w:trPr>
          <w:trHeight w:val="188"/>
        </w:trPr>
        <w:tc>
          <w:tcPr>
            <w:tcW w:w="2340" w:type="dxa"/>
            <w:gridSpan w:val="2"/>
            <w:shd w:val="clear" w:color="auto" w:fill="FFFFFF" w:themeFill="background1"/>
          </w:tcPr>
          <w:p w:rsidR="00A2330A" w:rsidRPr="00A85F54" w:rsidRDefault="00A2330A" w:rsidP="00D2164B">
            <w:pPr>
              <w:pStyle w:val="ListParagraph"/>
              <w:spacing w:after="0" w:line="240" w:lineRule="auto"/>
              <w:ind w:left="0"/>
              <w:rPr>
                <w:rFonts w:cs="Times New Roman"/>
                <w:color w:val="002060"/>
                <w:sz w:val="18"/>
                <w:szCs w:val="18"/>
              </w:rPr>
            </w:pPr>
            <w:r w:rsidRPr="00A85F54">
              <w:rPr>
                <w:rFonts w:cs="Times New Roman"/>
                <w:color w:val="002060"/>
                <w:sz w:val="18"/>
                <w:szCs w:val="18"/>
              </w:rPr>
              <w:t>Acne</w:t>
            </w:r>
          </w:p>
        </w:tc>
        <w:tc>
          <w:tcPr>
            <w:tcW w:w="1620" w:type="dxa"/>
            <w:gridSpan w:val="2"/>
            <w:tcBorders>
              <w:right w:val="thinThickThinSmallGap" w:sz="24" w:space="0" w:color="auto"/>
            </w:tcBorders>
            <w:shd w:val="clear" w:color="auto" w:fill="FFFFFF" w:themeFill="background1"/>
          </w:tcPr>
          <w:p w:rsidR="00A2330A" w:rsidRPr="00A85F54" w:rsidRDefault="00A2330A" w:rsidP="00D2164B">
            <w:pPr>
              <w:pStyle w:val="ListParagraph"/>
              <w:spacing w:after="0" w:line="240" w:lineRule="auto"/>
              <w:ind w:left="0"/>
              <w:jc w:val="center"/>
              <w:rPr>
                <w:rFonts w:cs="Times New Roman"/>
                <w:color w:val="002060"/>
                <w:sz w:val="18"/>
                <w:szCs w:val="18"/>
              </w:rPr>
            </w:pPr>
            <w:r w:rsidRPr="00A85F54">
              <w:rPr>
                <w:rFonts w:cs="Times New Roman"/>
                <w:color w:val="002060"/>
                <w:sz w:val="18"/>
                <w:szCs w:val="18"/>
              </w:rPr>
              <w:t>Not Unfitting</w:t>
            </w:r>
          </w:p>
        </w:tc>
        <w:tc>
          <w:tcPr>
            <w:tcW w:w="4410" w:type="dxa"/>
            <w:gridSpan w:val="4"/>
            <w:tcBorders>
              <w:left w:val="thinThickThinSmallGap" w:sz="24" w:space="0" w:color="auto"/>
            </w:tcBorders>
            <w:shd w:val="clear" w:color="auto" w:fill="FFFFFF" w:themeFill="background1"/>
          </w:tcPr>
          <w:p w:rsidR="00A2330A" w:rsidRPr="00A85F54" w:rsidRDefault="00A2330A" w:rsidP="00D2164B">
            <w:pPr>
              <w:pStyle w:val="ListParagraph"/>
              <w:spacing w:after="0" w:line="240" w:lineRule="auto"/>
              <w:ind w:left="0"/>
              <w:jc w:val="center"/>
              <w:rPr>
                <w:rFonts w:cs="Times New Roman"/>
                <w:color w:val="002060"/>
                <w:sz w:val="18"/>
                <w:szCs w:val="18"/>
              </w:rPr>
            </w:pPr>
            <w:r w:rsidRPr="00A85F54">
              <w:rPr>
                <w:rFonts w:cs="Times New Roman"/>
                <w:color w:val="002060"/>
                <w:sz w:val="18"/>
                <w:szCs w:val="18"/>
              </w:rPr>
              <w:t>No VA Rating.</w:t>
            </w:r>
          </w:p>
        </w:tc>
        <w:tc>
          <w:tcPr>
            <w:tcW w:w="990" w:type="dxa"/>
            <w:shd w:val="clear" w:color="auto" w:fill="FFFFFF" w:themeFill="background1"/>
          </w:tcPr>
          <w:p w:rsidR="00A2330A" w:rsidRPr="00A85F54" w:rsidRDefault="00A2330A" w:rsidP="00D2164B">
            <w:pPr>
              <w:pStyle w:val="ListParagraph"/>
              <w:spacing w:after="0" w:line="240" w:lineRule="auto"/>
              <w:ind w:left="0"/>
              <w:jc w:val="center"/>
              <w:rPr>
                <w:rFonts w:cs="Times New Roman"/>
                <w:color w:val="002060"/>
                <w:sz w:val="18"/>
                <w:szCs w:val="18"/>
              </w:rPr>
            </w:pPr>
            <w:r w:rsidRPr="00A85F54">
              <w:rPr>
                <w:rFonts w:cs="Times New Roman"/>
                <w:color w:val="002060"/>
                <w:sz w:val="18"/>
                <w:szCs w:val="18"/>
              </w:rPr>
              <w:t>20030425</w:t>
            </w:r>
          </w:p>
        </w:tc>
      </w:tr>
      <w:tr w:rsidR="00A2330A" w:rsidTr="00A2330A">
        <w:trPr>
          <w:trHeight w:val="188"/>
        </w:trPr>
        <w:tc>
          <w:tcPr>
            <w:tcW w:w="2340" w:type="dxa"/>
            <w:gridSpan w:val="2"/>
            <w:shd w:val="clear" w:color="auto" w:fill="FFFFFF" w:themeFill="background1"/>
          </w:tcPr>
          <w:p w:rsidR="00A2330A" w:rsidRPr="00A85F54" w:rsidRDefault="00A2330A" w:rsidP="00D2164B">
            <w:pPr>
              <w:pStyle w:val="ListParagraph"/>
              <w:spacing w:after="0" w:line="240" w:lineRule="auto"/>
              <w:ind w:left="0"/>
              <w:rPr>
                <w:rFonts w:cs="Times New Roman"/>
                <w:color w:val="002060"/>
                <w:sz w:val="18"/>
                <w:szCs w:val="18"/>
              </w:rPr>
            </w:pPr>
            <w:r w:rsidRPr="00A85F54">
              <w:rPr>
                <w:rFonts w:cs="Times New Roman"/>
                <w:color w:val="002060"/>
                <w:sz w:val="18"/>
                <w:szCs w:val="18"/>
              </w:rPr>
              <w:t>GERD</w:t>
            </w:r>
          </w:p>
        </w:tc>
        <w:tc>
          <w:tcPr>
            <w:tcW w:w="1620" w:type="dxa"/>
            <w:gridSpan w:val="2"/>
            <w:tcBorders>
              <w:right w:val="thinThickThinSmallGap" w:sz="24" w:space="0" w:color="auto"/>
            </w:tcBorders>
            <w:shd w:val="clear" w:color="auto" w:fill="FFFFFF" w:themeFill="background1"/>
          </w:tcPr>
          <w:p w:rsidR="00A2330A" w:rsidRPr="00A85F54" w:rsidRDefault="00A2330A" w:rsidP="00D2164B">
            <w:pPr>
              <w:pStyle w:val="ListParagraph"/>
              <w:spacing w:after="0" w:line="240" w:lineRule="auto"/>
              <w:ind w:left="0"/>
              <w:jc w:val="center"/>
              <w:rPr>
                <w:rFonts w:cs="Times New Roman"/>
                <w:color w:val="002060"/>
                <w:sz w:val="18"/>
                <w:szCs w:val="18"/>
              </w:rPr>
            </w:pPr>
            <w:r w:rsidRPr="00A85F54">
              <w:rPr>
                <w:rFonts w:cs="Times New Roman"/>
                <w:color w:val="002060"/>
                <w:sz w:val="18"/>
                <w:szCs w:val="18"/>
              </w:rPr>
              <w:t>Not Unfitting</w:t>
            </w:r>
          </w:p>
        </w:tc>
        <w:tc>
          <w:tcPr>
            <w:tcW w:w="2448" w:type="dxa"/>
            <w:tcBorders>
              <w:left w:val="thinThickThinSmallGap" w:sz="24" w:space="0" w:color="auto"/>
              <w:right w:val="single" w:sz="4" w:space="0" w:color="auto"/>
            </w:tcBorders>
            <w:shd w:val="clear" w:color="auto" w:fill="FFFFFF" w:themeFill="background1"/>
          </w:tcPr>
          <w:p w:rsidR="00A2330A" w:rsidRPr="00A85F54" w:rsidRDefault="00A2330A" w:rsidP="00D2164B">
            <w:pPr>
              <w:pStyle w:val="ListParagraph"/>
              <w:spacing w:after="0" w:line="240" w:lineRule="auto"/>
              <w:ind w:left="0"/>
              <w:rPr>
                <w:rFonts w:cs="Times New Roman"/>
                <w:color w:val="002060"/>
                <w:sz w:val="18"/>
                <w:szCs w:val="18"/>
              </w:rPr>
            </w:pPr>
            <w:r w:rsidRPr="00A85F54">
              <w:rPr>
                <w:rFonts w:cs="Times New Roman"/>
                <w:color w:val="002060"/>
                <w:sz w:val="18"/>
                <w:szCs w:val="18"/>
              </w:rPr>
              <w:t>GERD</w:t>
            </w:r>
          </w:p>
        </w:tc>
        <w:tc>
          <w:tcPr>
            <w:tcW w:w="1152" w:type="dxa"/>
            <w:gridSpan w:val="2"/>
            <w:tcBorders>
              <w:left w:val="single" w:sz="4" w:space="0" w:color="auto"/>
            </w:tcBorders>
            <w:shd w:val="clear" w:color="auto" w:fill="FFFFFF" w:themeFill="background1"/>
          </w:tcPr>
          <w:p w:rsidR="00A2330A" w:rsidRPr="00A85F54" w:rsidRDefault="00A2330A" w:rsidP="00D2164B">
            <w:pPr>
              <w:pStyle w:val="ListParagraph"/>
              <w:spacing w:after="0" w:line="240" w:lineRule="auto"/>
              <w:ind w:left="0"/>
              <w:jc w:val="center"/>
              <w:rPr>
                <w:rFonts w:cs="Times New Roman"/>
                <w:color w:val="002060"/>
                <w:sz w:val="20"/>
                <w:szCs w:val="20"/>
              </w:rPr>
            </w:pPr>
            <w:r w:rsidRPr="00A85F54">
              <w:rPr>
                <w:rFonts w:cs="Times New Roman"/>
                <w:color w:val="002060"/>
                <w:sz w:val="20"/>
                <w:szCs w:val="20"/>
              </w:rPr>
              <w:t>7399-7346</w:t>
            </w:r>
          </w:p>
        </w:tc>
        <w:tc>
          <w:tcPr>
            <w:tcW w:w="810" w:type="dxa"/>
            <w:shd w:val="clear" w:color="auto" w:fill="FFFFFF" w:themeFill="background1"/>
            <w:vAlign w:val="center"/>
          </w:tcPr>
          <w:p w:rsidR="00A2330A" w:rsidRPr="00A85F54" w:rsidRDefault="00A2330A" w:rsidP="00D2164B">
            <w:pPr>
              <w:pStyle w:val="ListParagraph"/>
              <w:spacing w:after="0" w:line="240" w:lineRule="auto"/>
              <w:ind w:left="0"/>
              <w:jc w:val="center"/>
              <w:rPr>
                <w:rFonts w:cs="Times New Roman"/>
                <w:color w:val="002060"/>
                <w:sz w:val="20"/>
                <w:szCs w:val="20"/>
              </w:rPr>
            </w:pPr>
            <w:r w:rsidRPr="00A85F54">
              <w:rPr>
                <w:rFonts w:cs="Times New Roman"/>
                <w:color w:val="002060"/>
                <w:sz w:val="20"/>
                <w:szCs w:val="20"/>
              </w:rPr>
              <w:t>0%</w:t>
            </w:r>
          </w:p>
        </w:tc>
        <w:tc>
          <w:tcPr>
            <w:tcW w:w="990" w:type="dxa"/>
            <w:shd w:val="clear" w:color="auto" w:fill="FFFFFF" w:themeFill="background1"/>
            <w:vAlign w:val="center"/>
          </w:tcPr>
          <w:p w:rsidR="00A2330A" w:rsidRPr="00A85F54" w:rsidRDefault="00A2330A" w:rsidP="00D2164B">
            <w:pPr>
              <w:pStyle w:val="ListParagraph"/>
              <w:spacing w:after="0" w:line="240" w:lineRule="auto"/>
              <w:ind w:left="0"/>
              <w:jc w:val="center"/>
              <w:rPr>
                <w:rFonts w:cs="Times New Roman"/>
                <w:color w:val="002060"/>
                <w:sz w:val="20"/>
                <w:szCs w:val="20"/>
              </w:rPr>
            </w:pPr>
            <w:r w:rsidRPr="00A85F54">
              <w:rPr>
                <w:rFonts w:cs="Times New Roman"/>
                <w:color w:val="002060"/>
                <w:sz w:val="18"/>
                <w:szCs w:val="18"/>
              </w:rPr>
              <w:t>20030425</w:t>
            </w:r>
          </w:p>
        </w:tc>
      </w:tr>
      <w:tr w:rsidR="006841D7" w:rsidTr="00A2330A">
        <w:trPr>
          <w:trHeight w:val="188"/>
        </w:trPr>
        <w:tc>
          <w:tcPr>
            <w:tcW w:w="2340" w:type="dxa"/>
            <w:gridSpan w:val="2"/>
            <w:shd w:val="clear" w:color="auto" w:fill="FFFFFF" w:themeFill="background1"/>
          </w:tcPr>
          <w:p w:rsidR="006841D7" w:rsidRPr="00A85F54" w:rsidRDefault="006841D7" w:rsidP="00D2164B">
            <w:pPr>
              <w:pStyle w:val="ListParagraph"/>
              <w:spacing w:after="0" w:line="240" w:lineRule="auto"/>
              <w:ind w:left="0"/>
              <w:rPr>
                <w:rFonts w:cs="Times New Roman"/>
                <w:color w:val="002060"/>
                <w:sz w:val="18"/>
                <w:szCs w:val="18"/>
              </w:rPr>
            </w:pPr>
            <w:r w:rsidRPr="00A85F54">
              <w:rPr>
                <w:rFonts w:cs="Times New Roman"/>
                <w:color w:val="002060"/>
                <w:sz w:val="18"/>
                <w:szCs w:val="18"/>
              </w:rPr>
              <w:t>Benign Intention Tremor</w:t>
            </w:r>
          </w:p>
        </w:tc>
        <w:tc>
          <w:tcPr>
            <w:tcW w:w="1620" w:type="dxa"/>
            <w:gridSpan w:val="2"/>
            <w:tcBorders>
              <w:right w:val="thinThickThinSmallGap" w:sz="24" w:space="0" w:color="auto"/>
            </w:tcBorders>
            <w:shd w:val="clear" w:color="auto" w:fill="FFFFFF" w:themeFill="background1"/>
          </w:tcPr>
          <w:p w:rsidR="006841D7" w:rsidRPr="00A85F54" w:rsidRDefault="006841D7" w:rsidP="00D2164B">
            <w:pPr>
              <w:pStyle w:val="ListParagraph"/>
              <w:spacing w:after="0" w:line="240" w:lineRule="auto"/>
              <w:ind w:left="0"/>
              <w:jc w:val="center"/>
              <w:rPr>
                <w:rFonts w:cs="Times New Roman"/>
                <w:color w:val="002060"/>
                <w:sz w:val="18"/>
                <w:szCs w:val="18"/>
              </w:rPr>
            </w:pPr>
            <w:r w:rsidRPr="00A85F54">
              <w:rPr>
                <w:rFonts w:cs="Times New Roman"/>
                <w:color w:val="002060"/>
                <w:sz w:val="18"/>
                <w:szCs w:val="18"/>
              </w:rPr>
              <w:t>Not Unfitting</w:t>
            </w:r>
          </w:p>
        </w:tc>
        <w:tc>
          <w:tcPr>
            <w:tcW w:w="2880" w:type="dxa"/>
            <w:gridSpan w:val="2"/>
            <w:tcBorders>
              <w:left w:val="thinThickThinSmallGap" w:sz="24" w:space="0" w:color="auto"/>
            </w:tcBorders>
            <w:shd w:val="clear" w:color="auto" w:fill="FFFFFF" w:themeFill="background1"/>
          </w:tcPr>
          <w:p w:rsidR="006841D7" w:rsidRPr="00A85F54" w:rsidRDefault="006841D7" w:rsidP="00D2164B">
            <w:pPr>
              <w:pStyle w:val="ListParagraph"/>
              <w:spacing w:after="0" w:line="240" w:lineRule="auto"/>
              <w:ind w:left="0"/>
              <w:rPr>
                <w:rFonts w:cs="Times New Roman"/>
                <w:color w:val="002060"/>
                <w:sz w:val="18"/>
                <w:szCs w:val="18"/>
              </w:rPr>
            </w:pPr>
            <w:r w:rsidRPr="00A85F54">
              <w:rPr>
                <w:rFonts w:cs="Times New Roman"/>
                <w:color w:val="002060"/>
                <w:sz w:val="18"/>
                <w:szCs w:val="18"/>
              </w:rPr>
              <w:t>Benign Intention Tremor</w:t>
            </w:r>
          </w:p>
        </w:tc>
        <w:tc>
          <w:tcPr>
            <w:tcW w:w="720" w:type="dxa"/>
            <w:shd w:val="clear" w:color="auto" w:fill="FFFFFF" w:themeFill="background1"/>
          </w:tcPr>
          <w:p w:rsidR="006841D7" w:rsidRPr="00A85F54" w:rsidRDefault="006841D7" w:rsidP="00D2164B">
            <w:pPr>
              <w:jc w:val="center"/>
              <w:rPr>
                <w:rFonts w:eastAsiaTheme="minorEastAsia"/>
                <w:color w:val="002060"/>
                <w:sz w:val="18"/>
                <w:szCs w:val="18"/>
              </w:rPr>
            </w:pPr>
            <w:r w:rsidRPr="00A85F54">
              <w:rPr>
                <w:rFonts w:eastAsiaTheme="minorEastAsia"/>
                <w:color w:val="002060"/>
                <w:sz w:val="18"/>
                <w:szCs w:val="18"/>
              </w:rPr>
              <w:t>8105</w:t>
            </w:r>
          </w:p>
        </w:tc>
        <w:tc>
          <w:tcPr>
            <w:tcW w:w="810" w:type="dxa"/>
            <w:shd w:val="clear" w:color="auto" w:fill="FFFFFF" w:themeFill="background1"/>
          </w:tcPr>
          <w:p w:rsidR="006841D7" w:rsidRPr="00A85F54" w:rsidRDefault="006841D7" w:rsidP="00D2164B">
            <w:pPr>
              <w:jc w:val="center"/>
              <w:rPr>
                <w:rFonts w:eastAsiaTheme="minorEastAsia"/>
                <w:color w:val="002060"/>
                <w:sz w:val="18"/>
                <w:szCs w:val="18"/>
              </w:rPr>
            </w:pPr>
            <w:r w:rsidRPr="00A85F54">
              <w:rPr>
                <w:rFonts w:eastAsiaTheme="minorEastAsia"/>
                <w:color w:val="002060"/>
                <w:sz w:val="18"/>
                <w:szCs w:val="18"/>
              </w:rPr>
              <w:t>10%</w:t>
            </w:r>
          </w:p>
        </w:tc>
        <w:tc>
          <w:tcPr>
            <w:tcW w:w="990" w:type="dxa"/>
            <w:shd w:val="clear" w:color="auto" w:fill="FFFFFF" w:themeFill="background1"/>
          </w:tcPr>
          <w:p w:rsidR="006841D7" w:rsidRPr="00A85F54" w:rsidRDefault="006841D7" w:rsidP="00D2164B">
            <w:pPr>
              <w:jc w:val="center"/>
              <w:rPr>
                <w:rFonts w:eastAsiaTheme="minorEastAsia"/>
                <w:color w:val="002060"/>
                <w:sz w:val="18"/>
                <w:szCs w:val="18"/>
              </w:rPr>
            </w:pPr>
            <w:r w:rsidRPr="00A85F54">
              <w:rPr>
                <w:rFonts w:cs="Times New Roman"/>
                <w:color w:val="002060"/>
                <w:sz w:val="18"/>
                <w:szCs w:val="18"/>
              </w:rPr>
              <w:t>20030425</w:t>
            </w:r>
          </w:p>
        </w:tc>
      </w:tr>
      <w:tr w:rsidR="00A2330A" w:rsidTr="00A2330A">
        <w:trPr>
          <w:trHeight w:val="143"/>
        </w:trPr>
        <w:tc>
          <w:tcPr>
            <w:tcW w:w="3960" w:type="dxa"/>
            <w:gridSpan w:val="4"/>
            <w:vMerge w:val="restart"/>
            <w:tcBorders>
              <w:right w:val="thinThickThinSmallGap" w:sz="24" w:space="0" w:color="auto"/>
            </w:tcBorders>
            <w:shd w:val="clear" w:color="auto" w:fill="FFFFFF" w:themeFill="background1"/>
          </w:tcPr>
          <w:p w:rsidR="00A2330A" w:rsidRPr="00A85F54" w:rsidRDefault="00A2330A" w:rsidP="00D2164B">
            <w:pPr>
              <w:pStyle w:val="ListParagraph"/>
              <w:spacing w:after="0" w:line="240" w:lineRule="auto"/>
              <w:ind w:left="0"/>
              <w:jc w:val="center"/>
              <w:rPr>
                <w:rFonts w:cs="Times New Roman"/>
                <w:b/>
                <w:color w:val="002060"/>
                <w:sz w:val="18"/>
                <w:szCs w:val="18"/>
              </w:rPr>
            </w:pPr>
            <w:r w:rsidRPr="00A85F54">
              <w:rPr>
                <w:rFonts w:eastAsiaTheme="minorEastAsia"/>
                <w:color w:val="002060"/>
                <w:sz w:val="18"/>
                <w:szCs w:val="18"/>
              </w:rPr>
              <w:t>↓No Additional DA 3947 Entries.↓</w:t>
            </w:r>
          </w:p>
        </w:tc>
        <w:tc>
          <w:tcPr>
            <w:tcW w:w="2448" w:type="dxa"/>
            <w:tcBorders>
              <w:left w:val="thinThickThinSmallGap" w:sz="24" w:space="0" w:color="auto"/>
              <w:right w:val="single" w:sz="4" w:space="0" w:color="auto"/>
            </w:tcBorders>
            <w:shd w:val="clear" w:color="auto" w:fill="FFFFFF" w:themeFill="background1"/>
          </w:tcPr>
          <w:p w:rsidR="00A2330A" w:rsidRPr="00A85F54" w:rsidRDefault="00A2330A" w:rsidP="00A2330A">
            <w:pPr>
              <w:pStyle w:val="ListParagraph"/>
              <w:spacing w:after="0" w:line="240" w:lineRule="auto"/>
              <w:ind w:left="0"/>
              <w:rPr>
                <w:rFonts w:cs="Times New Roman"/>
                <w:color w:val="002060"/>
                <w:sz w:val="20"/>
                <w:szCs w:val="20"/>
              </w:rPr>
            </w:pPr>
            <w:r w:rsidRPr="00A85F54">
              <w:rPr>
                <w:rFonts w:cs="Times New Roman"/>
                <w:color w:val="002060"/>
                <w:sz w:val="20"/>
                <w:szCs w:val="20"/>
              </w:rPr>
              <w:t>L Knee DJD</w:t>
            </w:r>
          </w:p>
        </w:tc>
        <w:tc>
          <w:tcPr>
            <w:tcW w:w="1152" w:type="dxa"/>
            <w:gridSpan w:val="2"/>
            <w:tcBorders>
              <w:left w:val="single" w:sz="4" w:space="0" w:color="auto"/>
            </w:tcBorders>
            <w:shd w:val="clear" w:color="auto" w:fill="FFFFFF" w:themeFill="background1"/>
          </w:tcPr>
          <w:p w:rsidR="00A2330A" w:rsidRPr="00A85F54" w:rsidRDefault="00A2330A" w:rsidP="00A2330A">
            <w:pPr>
              <w:pStyle w:val="ListParagraph"/>
              <w:spacing w:after="100" w:afterAutospacing="1" w:line="240" w:lineRule="auto"/>
              <w:ind w:left="0"/>
              <w:jc w:val="center"/>
              <w:rPr>
                <w:rFonts w:cs="Times New Roman"/>
                <w:color w:val="002060"/>
                <w:sz w:val="18"/>
                <w:szCs w:val="18"/>
              </w:rPr>
            </w:pPr>
            <w:r w:rsidRPr="00A85F54">
              <w:rPr>
                <w:rFonts w:cs="Times New Roman"/>
                <w:color w:val="002060"/>
                <w:sz w:val="18"/>
                <w:szCs w:val="18"/>
              </w:rPr>
              <w:t>5010-5284</w:t>
            </w:r>
          </w:p>
        </w:tc>
        <w:tc>
          <w:tcPr>
            <w:tcW w:w="810" w:type="dxa"/>
            <w:shd w:val="clear" w:color="auto" w:fill="FFFFFF" w:themeFill="background1"/>
          </w:tcPr>
          <w:p w:rsidR="00A2330A" w:rsidRPr="00A85F54" w:rsidRDefault="00A2330A" w:rsidP="00A2330A">
            <w:pPr>
              <w:pStyle w:val="ListParagraph"/>
              <w:spacing w:after="100" w:afterAutospacing="1" w:line="240" w:lineRule="auto"/>
              <w:ind w:left="0"/>
              <w:jc w:val="center"/>
              <w:rPr>
                <w:rFonts w:cs="Times New Roman"/>
                <w:color w:val="002060"/>
                <w:sz w:val="18"/>
                <w:szCs w:val="18"/>
              </w:rPr>
            </w:pPr>
            <w:r w:rsidRPr="00A85F54">
              <w:rPr>
                <w:rFonts w:cs="Times New Roman"/>
                <w:color w:val="002060"/>
                <w:sz w:val="18"/>
                <w:szCs w:val="18"/>
              </w:rPr>
              <w:t>10%</w:t>
            </w:r>
          </w:p>
        </w:tc>
        <w:tc>
          <w:tcPr>
            <w:tcW w:w="990" w:type="dxa"/>
            <w:shd w:val="clear" w:color="auto" w:fill="FFFFFF" w:themeFill="background1"/>
          </w:tcPr>
          <w:p w:rsidR="00A2330A" w:rsidRPr="00A85F54" w:rsidRDefault="00A2330A" w:rsidP="00A2330A">
            <w:pPr>
              <w:pStyle w:val="ListParagraph"/>
              <w:spacing w:after="100" w:afterAutospacing="1" w:line="240" w:lineRule="auto"/>
              <w:ind w:left="0"/>
              <w:jc w:val="center"/>
              <w:rPr>
                <w:rFonts w:cs="Times New Roman"/>
                <w:color w:val="002060"/>
                <w:sz w:val="18"/>
                <w:szCs w:val="18"/>
              </w:rPr>
            </w:pPr>
            <w:r w:rsidRPr="00A85F54">
              <w:rPr>
                <w:rFonts w:cs="Times New Roman"/>
                <w:color w:val="002060"/>
                <w:sz w:val="18"/>
                <w:szCs w:val="18"/>
              </w:rPr>
              <w:t>20030425</w:t>
            </w:r>
          </w:p>
        </w:tc>
      </w:tr>
      <w:tr w:rsidR="00A2330A" w:rsidTr="00A2330A">
        <w:trPr>
          <w:trHeight w:val="197"/>
        </w:trPr>
        <w:tc>
          <w:tcPr>
            <w:tcW w:w="3960" w:type="dxa"/>
            <w:gridSpan w:val="4"/>
            <w:vMerge/>
            <w:tcBorders>
              <w:right w:val="thinThickThinSmallGap" w:sz="24" w:space="0" w:color="auto"/>
            </w:tcBorders>
            <w:shd w:val="clear" w:color="auto" w:fill="FFFFFF" w:themeFill="background1"/>
          </w:tcPr>
          <w:p w:rsidR="00A2330A" w:rsidRPr="00A85F54" w:rsidRDefault="00A2330A" w:rsidP="00D2164B">
            <w:pPr>
              <w:pStyle w:val="ListParagraph"/>
              <w:spacing w:after="0" w:line="240" w:lineRule="auto"/>
              <w:ind w:left="0"/>
              <w:jc w:val="center"/>
              <w:rPr>
                <w:rFonts w:cs="Times New Roman"/>
                <w:b/>
                <w:color w:val="002060"/>
                <w:sz w:val="18"/>
                <w:szCs w:val="18"/>
              </w:rPr>
            </w:pPr>
          </w:p>
        </w:tc>
        <w:tc>
          <w:tcPr>
            <w:tcW w:w="4410" w:type="dxa"/>
            <w:gridSpan w:val="4"/>
            <w:tcBorders>
              <w:left w:val="thinThickThinSmallGap" w:sz="24" w:space="0" w:color="auto"/>
            </w:tcBorders>
            <w:shd w:val="clear" w:color="auto" w:fill="FFFFFF" w:themeFill="background1"/>
          </w:tcPr>
          <w:p w:rsidR="00A2330A" w:rsidRPr="00A85F54" w:rsidRDefault="00A2330A" w:rsidP="00690FDA">
            <w:pPr>
              <w:pStyle w:val="ListParagraph"/>
              <w:spacing w:after="0" w:line="240" w:lineRule="auto"/>
              <w:ind w:left="0"/>
              <w:jc w:val="center"/>
              <w:rPr>
                <w:rFonts w:cs="Times New Roman"/>
                <w:color w:val="002060"/>
                <w:sz w:val="18"/>
                <w:szCs w:val="18"/>
              </w:rPr>
            </w:pPr>
            <w:r w:rsidRPr="00A85F54">
              <w:rPr>
                <w:rFonts w:cs="Times New Roman"/>
                <w:color w:val="002060"/>
                <w:sz w:val="18"/>
                <w:szCs w:val="18"/>
              </w:rPr>
              <w:t>Non-PEB X  1 / NSC X 2</w:t>
            </w:r>
          </w:p>
        </w:tc>
        <w:tc>
          <w:tcPr>
            <w:tcW w:w="990" w:type="dxa"/>
            <w:shd w:val="clear" w:color="auto" w:fill="FFFFFF" w:themeFill="background1"/>
          </w:tcPr>
          <w:p w:rsidR="00A2330A" w:rsidRPr="00A85F54" w:rsidRDefault="00A2330A" w:rsidP="00D2164B">
            <w:pPr>
              <w:pStyle w:val="ListParagraph"/>
              <w:spacing w:after="0" w:line="240" w:lineRule="auto"/>
              <w:ind w:left="0"/>
              <w:jc w:val="center"/>
              <w:rPr>
                <w:rFonts w:cs="Times New Roman"/>
                <w:color w:val="002060"/>
                <w:sz w:val="18"/>
                <w:szCs w:val="18"/>
              </w:rPr>
            </w:pPr>
            <w:r w:rsidRPr="00A85F54">
              <w:rPr>
                <w:rFonts w:cs="Times New Roman"/>
                <w:color w:val="002060"/>
                <w:sz w:val="18"/>
                <w:szCs w:val="18"/>
              </w:rPr>
              <w:t>20030425</w:t>
            </w:r>
          </w:p>
        </w:tc>
      </w:tr>
      <w:tr w:rsidR="006841D7" w:rsidTr="00A2330A">
        <w:trPr>
          <w:trHeight w:val="242"/>
        </w:trPr>
        <w:tc>
          <w:tcPr>
            <w:tcW w:w="3960" w:type="dxa"/>
            <w:gridSpan w:val="4"/>
            <w:tcBorders>
              <w:right w:val="thinThickThinSmallGap" w:sz="24" w:space="0" w:color="auto"/>
            </w:tcBorders>
            <w:shd w:val="clear" w:color="auto" w:fill="C6D9F1" w:themeFill="text2" w:themeFillTint="33"/>
          </w:tcPr>
          <w:p w:rsidR="006841D7" w:rsidRPr="00A85F54" w:rsidRDefault="006841D7" w:rsidP="00D2164B">
            <w:pPr>
              <w:pStyle w:val="ListParagraph"/>
              <w:spacing w:after="0" w:line="240" w:lineRule="auto"/>
              <w:ind w:left="0"/>
              <w:jc w:val="center"/>
              <w:rPr>
                <w:rFonts w:cs="Times New Roman"/>
                <w:b/>
                <w:color w:val="002060"/>
                <w:sz w:val="20"/>
                <w:szCs w:val="20"/>
              </w:rPr>
            </w:pPr>
            <w:r w:rsidRPr="00A85F54">
              <w:rPr>
                <w:rFonts w:cs="Times New Roman"/>
                <w:b/>
                <w:color w:val="002060"/>
                <w:sz w:val="20"/>
                <w:szCs w:val="20"/>
              </w:rPr>
              <w:t xml:space="preserve">TOTAL Combined:  </w:t>
            </w:r>
            <w:r w:rsidR="00A2330A" w:rsidRPr="00A85F54">
              <w:rPr>
                <w:rFonts w:cs="Times New Roman"/>
                <w:b/>
                <w:color w:val="002060"/>
                <w:sz w:val="20"/>
                <w:szCs w:val="20"/>
              </w:rPr>
              <w:t>2</w:t>
            </w:r>
            <w:r w:rsidRPr="00A85F54">
              <w:rPr>
                <w:rFonts w:cs="Times New Roman"/>
                <w:b/>
                <w:color w:val="002060"/>
                <w:sz w:val="20"/>
                <w:szCs w:val="20"/>
              </w:rPr>
              <w:t>0%</w:t>
            </w:r>
          </w:p>
        </w:tc>
        <w:tc>
          <w:tcPr>
            <w:tcW w:w="5400" w:type="dxa"/>
            <w:gridSpan w:val="5"/>
            <w:tcBorders>
              <w:left w:val="thinThickThinSmallGap" w:sz="24" w:space="0" w:color="auto"/>
            </w:tcBorders>
            <w:shd w:val="clear" w:color="auto" w:fill="C6D9F1" w:themeFill="text2" w:themeFillTint="33"/>
          </w:tcPr>
          <w:p w:rsidR="006841D7" w:rsidRPr="00A85F54" w:rsidRDefault="006841D7" w:rsidP="00D2164B">
            <w:pPr>
              <w:pStyle w:val="ListParagraph"/>
              <w:spacing w:after="0" w:line="240" w:lineRule="auto"/>
              <w:ind w:left="0"/>
              <w:jc w:val="center"/>
              <w:rPr>
                <w:rFonts w:cs="Times New Roman"/>
                <w:b/>
                <w:color w:val="002060"/>
                <w:sz w:val="20"/>
                <w:szCs w:val="20"/>
              </w:rPr>
            </w:pPr>
            <w:r w:rsidRPr="00A85F54">
              <w:rPr>
                <w:rFonts w:cs="Times New Roman"/>
                <w:b/>
                <w:color w:val="002060"/>
                <w:sz w:val="20"/>
                <w:szCs w:val="20"/>
              </w:rPr>
              <w:t>TOTAL Combined (</w:t>
            </w:r>
            <w:r w:rsidRPr="00A85F54">
              <w:rPr>
                <w:rFonts w:cs="Times New Roman"/>
                <w:b/>
                <w:i/>
                <w:color w:val="002060"/>
                <w:sz w:val="20"/>
                <w:szCs w:val="20"/>
              </w:rPr>
              <w:t>Includes Non-PEB Conditions</w:t>
            </w:r>
            <w:r w:rsidRPr="00A85F54">
              <w:rPr>
                <w:rFonts w:cs="Times New Roman"/>
                <w:b/>
                <w:color w:val="002060"/>
                <w:sz w:val="20"/>
                <w:szCs w:val="20"/>
              </w:rPr>
              <w:t xml:space="preserve">): </w:t>
            </w:r>
            <w:r w:rsidR="00A2330A" w:rsidRPr="00A85F54">
              <w:rPr>
                <w:rFonts w:cs="Times New Roman"/>
                <w:b/>
                <w:color w:val="002060"/>
                <w:sz w:val="20"/>
                <w:szCs w:val="20"/>
              </w:rPr>
              <w:t>5</w:t>
            </w:r>
            <w:r w:rsidRPr="00A85F54">
              <w:rPr>
                <w:rFonts w:cs="Times New Roman"/>
                <w:b/>
                <w:color w:val="002060"/>
                <w:sz w:val="20"/>
                <w:szCs w:val="20"/>
              </w:rPr>
              <w:t xml:space="preserve">0%                                                                         </w:t>
            </w:r>
            <w:r w:rsidRPr="00A85F54">
              <w:rPr>
                <w:rFonts w:cs="Times New Roman"/>
                <w:color w:val="002060"/>
                <w:sz w:val="20"/>
                <w:szCs w:val="20"/>
              </w:rPr>
              <w:t xml:space="preserve"> </w:t>
            </w:r>
          </w:p>
        </w:tc>
      </w:tr>
    </w:tbl>
    <w:p w:rsidR="00174696" w:rsidRPr="00174696" w:rsidRDefault="00174696" w:rsidP="00174696">
      <w:pPr>
        <w:tabs>
          <w:tab w:val="left" w:pos="288"/>
          <w:tab w:val="left" w:pos="4752"/>
        </w:tabs>
        <w:spacing w:line="240" w:lineRule="exact"/>
        <w:jc w:val="both"/>
        <w:rPr>
          <w:color w:val="000080"/>
        </w:rPr>
      </w:pPr>
      <w:r w:rsidRPr="00174696">
        <w:rPr>
          <w:color w:val="000080"/>
        </w:rPr>
        <w:t>_____________________________________________________________</w:t>
      </w:r>
      <w:r w:rsidR="00745E27">
        <w:rPr>
          <w:color w:val="000080"/>
        </w:rPr>
        <w:t>_</w:t>
      </w:r>
      <w:r w:rsidRPr="00174696">
        <w:rPr>
          <w:color w:val="000080"/>
        </w:rPr>
        <w:t>__</w:t>
      </w:r>
    </w:p>
    <w:p w:rsidR="00A90D55" w:rsidRPr="003F2B8C" w:rsidRDefault="00A90D55" w:rsidP="003F2B8C"/>
    <w:p w:rsidR="00A90D55" w:rsidRDefault="00A90D55" w:rsidP="00875F2D">
      <w:pPr>
        <w:tabs>
          <w:tab w:val="left" w:pos="288"/>
          <w:tab w:val="left" w:pos="4752"/>
        </w:tabs>
        <w:spacing w:line="240" w:lineRule="exact"/>
        <w:jc w:val="both"/>
        <w:rPr>
          <w:color w:val="000080"/>
        </w:rPr>
      </w:pPr>
    </w:p>
    <w:p w:rsidR="002C6E5B" w:rsidRPr="003F2B8C" w:rsidRDefault="002C6E5B" w:rsidP="002C6E5B">
      <w:pPr>
        <w:tabs>
          <w:tab w:val="left" w:pos="288"/>
          <w:tab w:val="left" w:pos="4752"/>
        </w:tabs>
        <w:spacing w:line="240" w:lineRule="exact"/>
        <w:jc w:val="both"/>
        <w:rPr>
          <w:color w:val="000080"/>
        </w:rPr>
      </w:pPr>
      <w:r w:rsidRPr="003F2B8C">
        <w:rPr>
          <w:color w:val="000080"/>
          <w:u w:val="single"/>
        </w:rPr>
        <w:t>ANALYSIS SUMMARY</w:t>
      </w:r>
      <w:r w:rsidRPr="003F2B8C">
        <w:rPr>
          <w:color w:val="000080"/>
        </w:rPr>
        <w:t>:</w:t>
      </w:r>
    </w:p>
    <w:p w:rsidR="002C6E5B" w:rsidRPr="003F2B8C" w:rsidRDefault="002C6E5B" w:rsidP="002C6E5B">
      <w:pPr>
        <w:tabs>
          <w:tab w:val="left" w:pos="288"/>
          <w:tab w:val="left" w:pos="4752"/>
        </w:tabs>
        <w:spacing w:line="240" w:lineRule="exact"/>
        <w:jc w:val="both"/>
        <w:rPr>
          <w:color w:val="000080"/>
        </w:rPr>
      </w:pPr>
    </w:p>
    <w:p w:rsidR="00353D03" w:rsidRPr="003F2B8C" w:rsidRDefault="00353D03" w:rsidP="003F2B8C">
      <w:pPr>
        <w:tabs>
          <w:tab w:val="left" w:pos="288"/>
          <w:tab w:val="left" w:pos="4752"/>
        </w:tabs>
        <w:spacing w:line="240" w:lineRule="exact"/>
        <w:jc w:val="both"/>
        <w:rPr>
          <w:color w:val="000080"/>
        </w:rPr>
      </w:pPr>
      <w:proofErr w:type="gramStart"/>
      <w:r w:rsidRPr="003F2B8C">
        <w:rPr>
          <w:color w:val="000080"/>
          <w:u w:val="single"/>
        </w:rPr>
        <w:t>Lumbar Spine Condition</w:t>
      </w:r>
      <w:r w:rsidRPr="003F2B8C">
        <w:rPr>
          <w:color w:val="000080"/>
        </w:rPr>
        <w:t>.</w:t>
      </w:r>
      <w:proofErr w:type="gramEnd"/>
      <w:r w:rsidRPr="003F2B8C">
        <w:rPr>
          <w:color w:val="000080"/>
        </w:rPr>
        <w:t xml:space="preserve">  The</w:t>
      </w:r>
      <w:r w:rsidR="004F3A15" w:rsidRPr="003F2B8C">
        <w:rPr>
          <w:color w:val="000080"/>
        </w:rPr>
        <w:t xml:space="preserve"> back condition was rated IAW </w:t>
      </w:r>
      <w:r w:rsidR="002B0811">
        <w:rPr>
          <w:color w:val="000080"/>
        </w:rPr>
        <w:t xml:space="preserve">the </w:t>
      </w:r>
      <w:r w:rsidR="004F3A15" w:rsidRPr="003F2B8C">
        <w:rPr>
          <w:color w:val="000080"/>
        </w:rPr>
        <w:t xml:space="preserve">2003 </w:t>
      </w:r>
      <w:r w:rsidR="006B17E0" w:rsidRPr="006B17E0">
        <w:rPr>
          <w:color w:val="000080"/>
        </w:rPr>
        <w:t>Veterans Administration Schedule for Rating Disabilities</w:t>
      </w:r>
      <w:r w:rsidR="006B17E0">
        <w:rPr>
          <w:color w:val="000080"/>
        </w:rPr>
        <w:t xml:space="preserve"> (</w:t>
      </w:r>
      <w:r w:rsidR="004F3A15" w:rsidRPr="003F2B8C">
        <w:rPr>
          <w:color w:val="000080"/>
        </w:rPr>
        <w:t>VASRD</w:t>
      </w:r>
      <w:r w:rsidR="006B17E0">
        <w:rPr>
          <w:color w:val="000080"/>
        </w:rPr>
        <w:t>)</w:t>
      </w:r>
      <w:r w:rsidR="004F3A15" w:rsidRPr="003F2B8C">
        <w:rPr>
          <w:color w:val="000080"/>
        </w:rPr>
        <w:t xml:space="preserve"> standards which are no longer in effect.  The current spine formula is based on range-of-motion (ROM) measurements and therefore more objective.  The 2003 ratings were based on the examiner’s or rater’s opinion as to whether the disability was mild, moderate or severe.  </w:t>
      </w:r>
      <w:r w:rsidR="00C95BF8" w:rsidRPr="003F2B8C">
        <w:rPr>
          <w:color w:val="000080"/>
        </w:rPr>
        <w:t xml:space="preserve">The MEB and VA examinations were similar, thus the different ratings were based on the PEB opinion that disability was mild (10%) vs. the VA rater’s opinion that disability was moderate (20%).  Many cases rated under the old rules </w:t>
      </w:r>
      <w:r w:rsidR="00B90ED8" w:rsidRPr="003F2B8C">
        <w:rPr>
          <w:color w:val="000080"/>
        </w:rPr>
        <w:t>do</w:t>
      </w:r>
      <w:r w:rsidR="00C95BF8" w:rsidRPr="003F2B8C">
        <w:rPr>
          <w:color w:val="000080"/>
        </w:rPr>
        <w:t xml:space="preserve"> not </w:t>
      </w:r>
      <w:r w:rsidR="00B90ED8" w:rsidRPr="003F2B8C">
        <w:rPr>
          <w:color w:val="000080"/>
        </w:rPr>
        <w:t>provide</w:t>
      </w:r>
      <w:r w:rsidR="00C95BF8" w:rsidRPr="003F2B8C">
        <w:rPr>
          <w:color w:val="000080"/>
        </w:rPr>
        <w:t xml:space="preserve"> the ROM criteria required for rating under the current formula.</w:t>
      </w:r>
      <w:r w:rsidR="00EE391B" w:rsidRPr="003F2B8C">
        <w:rPr>
          <w:color w:val="000080"/>
        </w:rPr>
        <w:t xml:space="preserve">  In these cases, the Board must base its recommendation </w:t>
      </w:r>
      <w:r w:rsidR="003F2B8C">
        <w:rPr>
          <w:color w:val="000080"/>
        </w:rPr>
        <w:t xml:space="preserve">solely </w:t>
      </w:r>
      <w:r w:rsidR="00EE391B" w:rsidRPr="003F2B8C">
        <w:rPr>
          <w:color w:val="000080"/>
        </w:rPr>
        <w:t>on its own opinion as to severity of disability.  This case, however, does document all elements required to rate under current VASRD §4.71a spine rating criteria.  Although a default to the VASRD criteria in effect at the t</w:t>
      </w:r>
      <w:r w:rsidR="00632F55" w:rsidRPr="003F2B8C">
        <w:rPr>
          <w:color w:val="000080"/>
        </w:rPr>
        <w:t xml:space="preserve">ime is mandated by </w:t>
      </w:r>
      <w:proofErr w:type="spellStart"/>
      <w:r w:rsidR="00632F55" w:rsidRPr="003F2B8C">
        <w:rPr>
          <w:color w:val="000080"/>
        </w:rPr>
        <w:t>DoDI</w:t>
      </w:r>
      <w:proofErr w:type="spellEnd"/>
      <w:r w:rsidR="00632F55" w:rsidRPr="003F2B8C">
        <w:rPr>
          <w:color w:val="000080"/>
        </w:rPr>
        <w:t xml:space="preserve"> 6040.44, the Board sees no reason why current criteria cannot be used </w:t>
      </w:r>
      <w:r w:rsidR="00B90ED8" w:rsidRPr="003F2B8C">
        <w:rPr>
          <w:color w:val="000080"/>
        </w:rPr>
        <w:t>as a</w:t>
      </w:r>
      <w:r w:rsidR="00632F55" w:rsidRPr="003F2B8C">
        <w:rPr>
          <w:color w:val="000080"/>
        </w:rPr>
        <w:t xml:space="preserve"> guide </w:t>
      </w:r>
      <w:r w:rsidR="00B90ED8" w:rsidRPr="003F2B8C">
        <w:rPr>
          <w:color w:val="000080"/>
        </w:rPr>
        <w:t>to its recommendation</w:t>
      </w:r>
      <w:r w:rsidR="00632F55" w:rsidRPr="003F2B8C">
        <w:rPr>
          <w:color w:val="000080"/>
        </w:rPr>
        <w:t xml:space="preserve"> </w:t>
      </w:r>
      <w:r w:rsidR="00B90ED8" w:rsidRPr="003F2B8C">
        <w:rPr>
          <w:color w:val="000080"/>
        </w:rPr>
        <w:t xml:space="preserve">regarding estimated disability </w:t>
      </w:r>
      <w:r w:rsidR="00632F55" w:rsidRPr="003F2B8C">
        <w:rPr>
          <w:color w:val="000080"/>
        </w:rPr>
        <w:t>under the old standards.  Since the objective elements applied to our recommendations for the majority of our back cases are present in this case, it allows us to use the same ‘yardstick’ for purp</w:t>
      </w:r>
      <w:r w:rsidR="00C50149" w:rsidRPr="003F2B8C">
        <w:rPr>
          <w:color w:val="000080"/>
        </w:rPr>
        <w:t>oses of uniformity and equity.</w:t>
      </w:r>
    </w:p>
    <w:p w:rsidR="00C50149" w:rsidRPr="003F2B8C" w:rsidRDefault="00C50149" w:rsidP="003F2B8C">
      <w:pPr>
        <w:tabs>
          <w:tab w:val="left" w:pos="288"/>
          <w:tab w:val="left" w:pos="4752"/>
        </w:tabs>
        <w:spacing w:line="240" w:lineRule="exact"/>
        <w:jc w:val="both"/>
        <w:rPr>
          <w:color w:val="000080"/>
        </w:rPr>
      </w:pPr>
    </w:p>
    <w:p w:rsidR="00C50149" w:rsidRPr="003F2B8C" w:rsidRDefault="00C50149" w:rsidP="003F2B8C">
      <w:pPr>
        <w:tabs>
          <w:tab w:val="left" w:pos="288"/>
          <w:tab w:val="left" w:pos="4752"/>
        </w:tabs>
        <w:spacing w:line="240" w:lineRule="exact"/>
        <w:jc w:val="both"/>
        <w:rPr>
          <w:color w:val="000080"/>
        </w:rPr>
      </w:pPr>
      <w:r w:rsidRPr="003F2B8C">
        <w:rPr>
          <w:color w:val="000080"/>
        </w:rPr>
        <w:t xml:space="preserve">There are two ROM examinations documented by the MEB.  The one in the orthopedist’s </w:t>
      </w:r>
      <w:r w:rsidR="006B17E0">
        <w:rPr>
          <w:color w:val="000080"/>
        </w:rPr>
        <w:t>narrative summary (</w:t>
      </w:r>
      <w:r w:rsidRPr="003F2B8C">
        <w:rPr>
          <w:color w:val="000080"/>
        </w:rPr>
        <w:t>NARSUM</w:t>
      </w:r>
      <w:r w:rsidR="006B17E0">
        <w:rPr>
          <w:color w:val="000080"/>
        </w:rPr>
        <w:t>)</w:t>
      </w:r>
      <w:r w:rsidRPr="003F2B8C">
        <w:rPr>
          <w:color w:val="000080"/>
        </w:rPr>
        <w:t xml:space="preserve"> documented flexion of 80°, extension 10° and lateral flexion of 25° right and left.  Since rotations were not documented, a combined rating is unobtainable.  The Internal Medicine addendum to the NARSUM, however, contained a separate full set of ROM measurements.  This documented flexion of 85° and combined ROM of 235°.  The pre-separation VA examination included goniometry measurements after </w:t>
      </w:r>
      <w:r w:rsidR="00A72B82" w:rsidRPr="003F2B8C">
        <w:rPr>
          <w:color w:val="000080"/>
        </w:rPr>
        <w:t xml:space="preserve">‘three Deluca repetitions’.  These were flexion of 65° and combined ROM of 205°.  </w:t>
      </w:r>
      <w:r w:rsidRPr="003F2B8C">
        <w:rPr>
          <w:color w:val="000080"/>
        </w:rPr>
        <w:t xml:space="preserve">None of the examinations documented abnormal gait or contour which would </w:t>
      </w:r>
      <w:r w:rsidRPr="003F2B8C">
        <w:rPr>
          <w:color w:val="000080"/>
        </w:rPr>
        <w:lastRenderedPageBreak/>
        <w:t xml:space="preserve">achieve a 20% rating under current </w:t>
      </w:r>
      <w:r w:rsidR="00B90ED8" w:rsidRPr="003F2B8C">
        <w:rPr>
          <w:color w:val="000080"/>
        </w:rPr>
        <w:t>standards</w:t>
      </w:r>
      <w:r w:rsidRPr="003F2B8C">
        <w:rPr>
          <w:color w:val="000080"/>
        </w:rPr>
        <w:t>.</w:t>
      </w:r>
      <w:r w:rsidR="00A72B82" w:rsidRPr="003F2B8C">
        <w:rPr>
          <w:color w:val="000080"/>
        </w:rPr>
        <w:t xml:space="preserve">  All of these examinations yield a 10% rating under the </w:t>
      </w:r>
      <w:r w:rsidR="0068575C" w:rsidRPr="003F2B8C">
        <w:rPr>
          <w:color w:val="000080"/>
        </w:rPr>
        <w:t>existing</w:t>
      </w:r>
      <w:r w:rsidR="00A72B82" w:rsidRPr="003F2B8C">
        <w:rPr>
          <w:color w:val="000080"/>
        </w:rPr>
        <w:t xml:space="preserve"> §4.71a </w:t>
      </w:r>
      <w:r w:rsidR="0068575C" w:rsidRPr="003F2B8C">
        <w:rPr>
          <w:color w:val="000080"/>
        </w:rPr>
        <w:t>formula</w:t>
      </w:r>
      <w:r w:rsidR="00A72B82" w:rsidRPr="003F2B8C">
        <w:rPr>
          <w:color w:val="000080"/>
        </w:rPr>
        <w:t xml:space="preserve"> which </w:t>
      </w:r>
      <w:r w:rsidR="0068575C" w:rsidRPr="003F2B8C">
        <w:rPr>
          <w:color w:val="000080"/>
        </w:rPr>
        <w:t>underpins</w:t>
      </w:r>
      <w:r w:rsidR="00A72B82" w:rsidRPr="003F2B8C">
        <w:rPr>
          <w:color w:val="000080"/>
        </w:rPr>
        <w:t xml:space="preserve"> the majority of Board recommendations for back cases.  </w:t>
      </w:r>
      <w:r w:rsidR="001A1002" w:rsidRPr="003F2B8C">
        <w:rPr>
          <w:color w:val="000080"/>
        </w:rPr>
        <w:t xml:space="preserve">The Board also evaluated application of the 2003 VASRD codes and ratings with disregard to the current standards and the uniformity rationale as elaborated above.  The 5295 code applied by the PEB was commonly used during that period.  The 20% rating for 5295 required ‘muscle spasm on extreme forward bending, loss of lateral spine motion, unilateral, in standing position’.  </w:t>
      </w:r>
      <w:r w:rsidR="00115B26" w:rsidRPr="003F2B8C">
        <w:rPr>
          <w:color w:val="000080"/>
        </w:rPr>
        <w:t xml:space="preserve">The CI’s condition clearly did not meet that threshold, and the PEB rating was consistent with the code.  The VA applied the 5292 code for limitation of spine motion.  The minimally impaired ROM’s in evidence are not a convincing foundation for the ‘moderate’ limitation of motion required for a 20% rating.  The Board therefore cannot support a 20% rating under the 5292 code.  The Board considered rating under the 5293 code for </w:t>
      </w:r>
      <w:proofErr w:type="spellStart"/>
      <w:r w:rsidR="00115B26" w:rsidRPr="003F2B8C">
        <w:rPr>
          <w:color w:val="000080"/>
        </w:rPr>
        <w:t>intervertebral</w:t>
      </w:r>
      <w:proofErr w:type="spellEnd"/>
      <w:r w:rsidR="00115B26" w:rsidRPr="003F2B8C">
        <w:rPr>
          <w:color w:val="000080"/>
        </w:rPr>
        <w:t xml:space="preserve"> disc syndrome.  </w:t>
      </w:r>
      <w:r w:rsidR="00312214">
        <w:rPr>
          <w:color w:val="000080"/>
        </w:rPr>
        <w:t>I</w:t>
      </w:r>
      <w:r w:rsidR="00115B26" w:rsidRPr="003F2B8C">
        <w:rPr>
          <w:color w:val="000080"/>
        </w:rPr>
        <w:t xml:space="preserve">t is a fit with the pathology, </w:t>
      </w:r>
      <w:r w:rsidR="00312214">
        <w:rPr>
          <w:color w:val="000080"/>
        </w:rPr>
        <w:t xml:space="preserve">but </w:t>
      </w:r>
      <w:r w:rsidR="00115B26" w:rsidRPr="003F2B8C">
        <w:rPr>
          <w:color w:val="000080"/>
        </w:rPr>
        <w:t xml:space="preserve">the 5293 rating criteria subsume the impairment from the </w:t>
      </w:r>
      <w:proofErr w:type="spellStart"/>
      <w:r w:rsidR="00115B26" w:rsidRPr="003F2B8C">
        <w:rPr>
          <w:color w:val="000080"/>
        </w:rPr>
        <w:t>radiculopathy</w:t>
      </w:r>
      <w:proofErr w:type="spellEnd"/>
      <w:r w:rsidR="00115B26" w:rsidRPr="003F2B8C">
        <w:rPr>
          <w:color w:val="000080"/>
        </w:rPr>
        <w:t xml:space="preserve">.  </w:t>
      </w:r>
      <w:r w:rsidR="00312214">
        <w:rPr>
          <w:color w:val="000080"/>
        </w:rPr>
        <w:t>A</w:t>
      </w:r>
      <w:r w:rsidR="00115B26" w:rsidRPr="003F2B8C">
        <w:rPr>
          <w:color w:val="000080"/>
        </w:rPr>
        <w:t xml:space="preserve"> 20% rating for ‘moderate, recurring attacks’ could be justified under 5293</w:t>
      </w:r>
      <w:r w:rsidR="00312214">
        <w:rPr>
          <w:color w:val="000080"/>
        </w:rPr>
        <w:t>;</w:t>
      </w:r>
      <w:r w:rsidR="00321B27" w:rsidRPr="003F2B8C">
        <w:rPr>
          <w:color w:val="000080"/>
        </w:rPr>
        <w:t xml:space="preserve"> </w:t>
      </w:r>
      <w:r w:rsidR="00312214">
        <w:rPr>
          <w:color w:val="000080"/>
        </w:rPr>
        <w:t xml:space="preserve">but, after due deliberation, </w:t>
      </w:r>
      <w:r w:rsidR="00321B27" w:rsidRPr="003F2B8C">
        <w:rPr>
          <w:color w:val="000080"/>
        </w:rPr>
        <w:t xml:space="preserve">the Board did not believe it </w:t>
      </w:r>
      <w:r w:rsidR="00312214">
        <w:rPr>
          <w:color w:val="000080"/>
        </w:rPr>
        <w:t>was justified to apply the 20% rating and still</w:t>
      </w:r>
      <w:r w:rsidR="00321B27" w:rsidRPr="003F2B8C">
        <w:rPr>
          <w:color w:val="000080"/>
        </w:rPr>
        <w:t xml:space="preserve"> add </w:t>
      </w:r>
      <w:r w:rsidR="00312214">
        <w:rPr>
          <w:color w:val="000080"/>
        </w:rPr>
        <w:t>a peripheral nerve</w:t>
      </w:r>
      <w:r w:rsidR="00321B27" w:rsidRPr="003F2B8C">
        <w:rPr>
          <w:color w:val="000080"/>
        </w:rPr>
        <w:t xml:space="preserve"> rating.  Since </w:t>
      </w:r>
      <w:r w:rsidR="00312214">
        <w:rPr>
          <w:color w:val="000080"/>
        </w:rPr>
        <w:t>combining the PEB’s two 10% rating</w:t>
      </w:r>
      <w:r w:rsidR="00745E27">
        <w:rPr>
          <w:color w:val="000080"/>
        </w:rPr>
        <w:t>s</w:t>
      </w:r>
      <w:r w:rsidR="00312214">
        <w:rPr>
          <w:color w:val="000080"/>
        </w:rPr>
        <w:t xml:space="preserve"> into a single 20% rating</w:t>
      </w:r>
      <w:r w:rsidR="00321B27" w:rsidRPr="003F2B8C">
        <w:rPr>
          <w:color w:val="000080"/>
        </w:rPr>
        <w:t xml:space="preserve"> would be of no </w:t>
      </w:r>
      <w:r w:rsidR="0068575C" w:rsidRPr="003F2B8C">
        <w:rPr>
          <w:color w:val="000080"/>
        </w:rPr>
        <w:t xml:space="preserve">total </w:t>
      </w:r>
      <w:r w:rsidR="00321B27" w:rsidRPr="003F2B8C">
        <w:rPr>
          <w:color w:val="000080"/>
        </w:rPr>
        <w:t xml:space="preserve">benefit to </w:t>
      </w:r>
      <w:r w:rsidR="00524B75">
        <w:rPr>
          <w:color w:val="000080"/>
        </w:rPr>
        <w:t>the CI, the Board sees no reason for recommending this coding option</w:t>
      </w:r>
      <w:r w:rsidR="00321B27" w:rsidRPr="003F2B8C">
        <w:rPr>
          <w:color w:val="000080"/>
        </w:rPr>
        <w:t xml:space="preserve">.  All evidence considered, </w:t>
      </w:r>
      <w:r w:rsidR="00524B75">
        <w:rPr>
          <w:color w:val="000080"/>
        </w:rPr>
        <w:t xml:space="preserve">the 5295 code applied by the PEB is the best choice </w:t>
      </w:r>
      <w:r w:rsidR="00745E27">
        <w:rPr>
          <w:color w:val="000080"/>
        </w:rPr>
        <w:t>but</w:t>
      </w:r>
      <w:r w:rsidR="00524B75">
        <w:rPr>
          <w:color w:val="000080"/>
        </w:rPr>
        <w:t xml:space="preserve"> a higher rating cannot be justified under this code.  T</w:t>
      </w:r>
      <w:r w:rsidR="00321B27" w:rsidRPr="003F2B8C">
        <w:rPr>
          <w:color w:val="000080"/>
        </w:rPr>
        <w:t>here is not reasonable doubt in the CI’s favor for recommending a change in the PEB’s code and rating for the lumbar spine condition.</w:t>
      </w:r>
    </w:p>
    <w:p w:rsidR="00C50149" w:rsidRPr="003F2B8C" w:rsidRDefault="00C50149" w:rsidP="003F2B8C">
      <w:pPr>
        <w:tabs>
          <w:tab w:val="left" w:pos="288"/>
          <w:tab w:val="left" w:pos="4752"/>
        </w:tabs>
        <w:spacing w:line="240" w:lineRule="exact"/>
        <w:jc w:val="both"/>
        <w:rPr>
          <w:color w:val="000080"/>
        </w:rPr>
      </w:pPr>
    </w:p>
    <w:p w:rsidR="00353D03" w:rsidRPr="003F2B8C" w:rsidRDefault="00353D03" w:rsidP="003F2B8C">
      <w:pPr>
        <w:tabs>
          <w:tab w:val="left" w:pos="288"/>
          <w:tab w:val="left" w:pos="4752"/>
        </w:tabs>
        <w:spacing w:line="240" w:lineRule="exact"/>
        <w:jc w:val="both"/>
        <w:rPr>
          <w:color w:val="000080"/>
        </w:rPr>
      </w:pPr>
      <w:proofErr w:type="spellStart"/>
      <w:proofErr w:type="gramStart"/>
      <w:r w:rsidRPr="003F2B8C">
        <w:rPr>
          <w:color w:val="000080"/>
          <w:u w:val="single"/>
        </w:rPr>
        <w:t>Radiculopathy</w:t>
      </w:r>
      <w:proofErr w:type="spellEnd"/>
      <w:r w:rsidRPr="003F2B8C">
        <w:rPr>
          <w:color w:val="000080"/>
        </w:rPr>
        <w:t>.</w:t>
      </w:r>
      <w:proofErr w:type="gramEnd"/>
      <w:r w:rsidRPr="003F2B8C">
        <w:rPr>
          <w:color w:val="000080"/>
        </w:rPr>
        <w:t xml:space="preserve">  </w:t>
      </w:r>
      <w:r w:rsidR="00321B27" w:rsidRPr="003F2B8C">
        <w:rPr>
          <w:color w:val="000080"/>
        </w:rPr>
        <w:t xml:space="preserve">Although not confirmed by </w:t>
      </w:r>
      <w:proofErr w:type="spellStart"/>
      <w:r w:rsidR="006B17E0">
        <w:rPr>
          <w:color w:val="000080"/>
        </w:rPr>
        <w:t>e</w:t>
      </w:r>
      <w:r w:rsidR="006B17E0" w:rsidRPr="006B17E0">
        <w:rPr>
          <w:color w:val="000080"/>
        </w:rPr>
        <w:t>lectromyogram</w:t>
      </w:r>
      <w:proofErr w:type="spellEnd"/>
      <w:r w:rsidR="006B17E0">
        <w:rPr>
          <w:color w:val="000080"/>
        </w:rPr>
        <w:t xml:space="preserve"> (</w:t>
      </w:r>
      <w:r w:rsidR="00321B27" w:rsidRPr="003F2B8C">
        <w:rPr>
          <w:color w:val="000080"/>
        </w:rPr>
        <w:t>EMG</w:t>
      </w:r>
      <w:r w:rsidR="006B17E0">
        <w:rPr>
          <w:color w:val="000080"/>
        </w:rPr>
        <w:t>)</w:t>
      </w:r>
      <w:r w:rsidR="00321B27" w:rsidRPr="003F2B8C">
        <w:rPr>
          <w:color w:val="000080"/>
        </w:rPr>
        <w:t xml:space="preserve"> (nerve conduction study), there is no question that the CI suffered from a left L5/S1 (sciatic) </w:t>
      </w:r>
      <w:proofErr w:type="spellStart"/>
      <w:r w:rsidR="00321B27" w:rsidRPr="003F2B8C">
        <w:rPr>
          <w:color w:val="000080"/>
        </w:rPr>
        <w:t>radiculopathy</w:t>
      </w:r>
      <w:proofErr w:type="spellEnd"/>
      <w:r w:rsidR="00321B27" w:rsidRPr="003F2B8C">
        <w:rPr>
          <w:color w:val="000080"/>
        </w:rPr>
        <w:t xml:space="preserve">.  In splitting out and separately rating it, the PEB acknowledged that the additional impairment caused by the peripheral nerve involvement was separately unfitting.  </w:t>
      </w:r>
      <w:r w:rsidR="00D70469" w:rsidRPr="003F2B8C">
        <w:rPr>
          <w:color w:val="000080"/>
        </w:rPr>
        <w:t xml:space="preserve">The 8520 rating criteria for sciatic nerve impairment are unchanged from 2003.  As with the spine rating, the nerve rating differed between the PEB and the VA based on opinion as to whether there was mild (10%) or moderate (20%) incomplete paralysis.  There are four detailed neurologic examinations in evidence from which to assess the severity of the neuropathy.  The MEB orthopedist </w:t>
      </w:r>
      <w:r w:rsidR="00526FBA" w:rsidRPr="003F2B8C">
        <w:rPr>
          <w:color w:val="000080"/>
        </w:rPr>
        <w:t>described intact sensation, 5/5 motor strength of all lower extremity groups and 2+ symmetric tendon reflexes.  The MEB internist noted decreased sensation in the S1 dermatome, ‘very mild</w:t>
      </w:r>
      <w:r w:rsidR="00524B75">
        <w:rPr>
          <w:color w:val="000080"/>
        </w:rPr>
        <w:t>’</w:t>
      </w:r>
      <w:r w:rsidR="00526FBA" w:rsidRPr="003F2B8C">
        <w:rPr>
          <w:color w:val="000080"/>
        </w:rPr>
        <w:t xml:space="preserve"> weakness of left foot </w:t>
      </w:r>
      <w:proofErr w:type="spellStart"/>
      <w:r w:rsidR="00526FBA" w:rsidRPr="003F2B8C">
        <w:rPr>
          <w:color w:val="000080"/>
        </w:rPr>
        <w:t>dorsiflexion</w:t>
      </w:r>
      <w:proofErr w:type="spellEnd"/>
      <w:r w:rsidR="00526FBA" w:rsidRPr="003F2B8C">
        <w:rPr>
          <w:color w:val="000080"/>
        </w:rPr>
        <w:t xml:space="preserve"> and </w:t>
      </w:r>
      <w:r w:rsidR="00111E52" w:rsidRPr="003F2B8C">
        <w:rPr>
          <w:color w:val="000080"/>
        </w:rPr>
        <w:t>symmetric 2+</w:t>
      </w:r>
      <w:r w:rsidR="00526FBA" w:rsidRPr="003F2B8C">
        <w:rPr>
          <w:color w:val="000080"/>
        </w:rPr>
        <w:t xml:space="preserve"> reflexes.  A civilian spine surgeon was consulted by the MEB.  His exam noted intact sensation, 5/5 strength in all groups but an absent Achilles reflex on the left.  </w:t>
      </w:r>
      <w:r w:rsidR="00504FFE" w:rsidRPr="003F2B8C">
        <w:rPr>
          <w:color w:val="000080"/>
        </w:rPr>
        <w:t>This</w:t>
      </w:r>
      <w:r w:rsidR="00111E52" w:rsidRPr="003F2B8C">
        <w:rPr>
          <w:color w:val="000080"/>
        </w:rPr>
        <w:t xml:space="preserve"> consult stated ‘</w:t>
      </w:r>
      <w:r w:rsidR="009E7D8B" w:rsidRPr="003F2B8C">
        <w:rPr>
          <w:color w:val="000080"/>
        </w:rPr>
        <w:t xml:space="preserve">At this point, he believes that his weakness has </w:t>
      </w:r>
      <w:proofErr w:type="spellStart"/>
      <w:r w:rsidR="009E7D8B" w:rsidRPr="003F2B8C">
        <w:rPr>
          <w:color w:val="000080"/>
        </w:rPr>
        <w:t>plateaued</w:t>
      </w:r>
      <w:proofErr w:type="spellEnd"/>
      <w:r w:rsidR="009E7D8B" w:rsidRPr="003F2B8C">
        <w:rPr>
          <w:color w:val="000080"/>
        </w:rPr>
        <w:t xml:space="preserve"> and he has not gotten any weaker in his left leg.  He also states that the majority of his discomfort is back pain related and not related to leg pain.</w:t>
      </w:r>
      <w:r w:rsidR="00111E52" w:rsidRPr="003F2B8C">
        <w:rPr>
          <w:color w:val="000080"/>
        </w:rPr>
        <w:t xml:space="preserve">’  </w:t>
      </w:r>
      <w:r w:rsidR="00526FBA" w:rsidRPr="003F2B8C">
        <w:rPr>
          <w:color w:val="000080"/>
        </w:rPr>
        <w:t xml:space="preserve">The VA rating examiner </w:t>
      </w:r>
      <w:r w:rsidR="00111E52" w:rsidRPr="003F2B8C">
        <w:rPr>
          <w:color w:val="000080"/>
        </w:rPr>
        <w:t xml:space="preserve">documented a normal motor </w:t>
      </w:r>
      <w:r w:rsidR="00111E52" w:rsidRPr="003F2B8C">
        <w:rPr>
          <w:color w:val="000080"/>
        </w:rPr>
        <w:lastRenderedPageBreak/>
        <w:t xml:space="preserve">examination but did not detail a sensory exam or </w:t>
      </w:r>
      <w:r w:rsidR="00E15295" w:rsidRPr="003F2B8C">
        <w:rPr>
          <w:color w:val="000080"/>
        </w:rPr>
        <w:t>annotate</w:t>
      </w:r>
      <w:r w:rsidR="00111E52" w:rsidRPr="003F2B8C">
        <w:rPr>
          <w:color w:val="000080"/>
        </w:rPr>
        <w:t xml:space="preserve"> </w:t>
      </w:r>
      <w:r w:rsidR="00E15295" w:rsidRPr="003F2B8C">
        <w:rPr>
          <w:color w:val="000080"/>
        </w:rPr>
        <w:t>tendon</w:t>
      </w:r>
      <w:r w:rsidR="00111E52" w:rsidRPr="003F2B8C">
        <w:rPr>
          <w:color w:val="000080"/>
        </w:rPr>
        <w:t xml:space="preserve"> reflexes.  Although not supported by exam findings, he concluded ‘The L5-S1 </w:t>
      </w:r>
      <w:proofErr w:type="spellStart"/>
      <w:r w:rsidR="00111E52" w:rsidRPr="003F2B8C">
        <w:rPr>
          <w:color w:val="000080"/>
        </w:rPr>
        <w:t>sensorimotor</w:t>
      </w:r>
      <w:proofErr w:type="spellEnd"/>
      <w:r w:rsidR="00111E52" w:rsidRPr="003F2B8C">
        <w:rPr>
          <w:color w:val="000080"/>
        </w:rPr>
        <w:t xml:space="preserve"> findings on the left lower extremity do demonstrate a dominant component of sensory and also likely component of motor distribution, chronic recurrent lumbar </w:t>
      </w:r>
      <w:proofErr w:type="spellStart"/>
      <w:r w:rsidR="00111E52" w:rsidRPr="003F2B8C">
        <w:rPr>
          <w:color w:val="000080"/>
        </w:rPr>
        <w:t>radiculitis</w:t>
      </w:r>
      <w:proofErr w:type="spellEnd"/>
      <w:r w:rsidR="00111E52" w:rsidRPr="003F2B8C">
        <w:rPr>
          <w:color w:val="000080"/>
        </w:rPr>
        <w:t>.’</w:t>
      </w:r>
      <w:r w:rsidR="009E7D8B" w:rsidRPr="003F2B8C">
        <w:rPr>
          <w:color w:val="000080"/>
        </w:rPr>
        <w:t xml:space="preserve">  Note was made in several exams and in the VA rating decision that there was atrophy of the left calf.  The NARSUM noted only a half centimeter and the VA exam a half inch difference in measured circumference.  The</w:t>
      </w:r>
      <w:r w:rsidR="0068575C" w:rsidRPr="003F2B8C">
        <w:rPr>
          <w:color w:val="000080"/>
        </w:rPr>
        <w:t>se</w:t>
      </w:r>
      <w:r w:rsidR="009E7D8B" w:rsidRPr="003F2B8C">
        <w:rPr>
          <w:color w:val="000080"/>
        </w:rPr>
        <w:t xml:space="preserve"> objective findings do not indicate that there was significant muscle atrophy, nor would any be expected on the basis of the motor examinations in evidence.</w:t>
      </w:r>
    </w:p>
    <w:p w:rsidR="009E7D8B" w:rsidRPr="003F2B8C" w:rsidRDefault="009E7D8B" w:rsidP="003F2B8C">
      <w:pPr>
        <w:tabs>
          <w:tab w:val="left" w:pos="288"/>
          <w:tab w:val="left" w:pos="4752"/>
        </w:tabs>
        <w:spacing w:line="240" w:lineRule="exact"/>
        <w:jc w:val="both"/>
        <w:rPr>
          <w:color w:val="000080"/>
        </w:rPr>
      </w:pPr>
    </w:p>
    <w:p w:rsidR="009E7D8B" w:rsidRPr="003F2B8C" w:rsidRDefault="009E7D8B" w:rsidP="003F2B8C">
      <w:pPr>
        <w:tabs>
          <w:tab w:val="left" w:pos="288"/>
          <w:tab w:val="left" w:pos="4752"/>
        </w:tabs>
        <w:spacing w:line="240" w:lineRule="exact"/>
        <w:jc w:val="both"/>
        <w:rPr>
          <w:color w:val="000080"/>
        </w:rPr>
      </w:pPr>
      <w:r w:rsidRPr="003F2B8C">
        <w:rPr>
          <w:color w:val="000080"/>
        </w:rPr>
        <w:t xml:space="preserve">The overall conclusion that may be surmised from the </w:t>
      </w:r>
      <w:r w:rsidR="00524B75">
        <w:rPr>
          <w:color w:val="000080"/>
        </w:rPr>
        <w:t>evidence</w:t>
      </w:r>
      <w:r w:rsidRPr="003F2B8C">
        <w:rPr>
          <w:color w:val="000080"/>
        </w:rPr>
        <w:t xml:space="preserve"> detailed above is that the peripheral neuropathy was mostly sensory in nature.  That would not appear to be a constant dense numbness.</w:t>
      </w:r>
      <w:r w:rsidR="009C4EF9" w:rsidRPr="003F2B8C">
        <w:rPr>
          <w:color w:val="000080"/>
        </w:rPr>
        <w:t xml:space="preserve">  Some mild weakness to forceful step-off on the left foot can also be assumed.  Certainly the </w:t>
      </w:r>
      <w:proofErr w:type="spellStart"/>
      <w:r w:rsidR="009C4EF9" w:rsidRPr="003F2B8C">
        <w:rPr>
          <w:color w:val="000080"/>
        </w:rPr>
        <w:t>radicular</w:t>
      </w:r>
      <w:proofErr w:type="spellEnd"/>
      <w:r w:rsidR="009C4EF9" w:rsidRPr="003F2B8C">
        <w:rPr>
          <w:color w:val="000080"/>
        </w:rPr>
        <w:t xml:space="preserve"> pain should not be discounted, but the spine surgeon’s note implies that this was </w:t>
      </w:r>
      <w:r w:rsidR="005F6B04">
        <w:rPr>
          <w:color w:val="000080"/>
        </w:rPr>
        <w:t>fairly mild</w:t>
      </w:r>
      <w:r w:rsidR="009C4EF9" w:rsidRPr="003F2B8C">
        <w:rPr>
          <w:color w:val="000080"/>
        </w:rPr>
        <w:t xml:space="preserve"> at the time of separation.  </w:t>
      </w:r>
      <w:r w:rsidR="005F6B04">
        <w:rPr>
          <w:color w:val="000080"/>
        </w:rPr>
        <w:t>T</w:t>
      </w:r>
      <w:r w:rsidR="009C4EF9" w:rsidRPr="003F2B8C">
        <w:rPr>
          <w:color w:val="000080"/>
        </w:rPr>
        <w:t>he Board has applied the sciatic neuropathy</w:t>
      </w:r>
      <w:r w:rsidR="005F6B04">
        <w:rPr>
          <w:color w:val="000080"/>
        </w:rPr>
        <w:t xml:space="preserve"> rating to numerous prior cases, and f</w:t>
      </w:r>
      <w:r w:rsidR="009C4EF9" w:rsidRPr="003F2B8C">
        <w:rPr>
          <w:color w:val="000080"/>
        </w:rPr>
        <w:t>unctional imp</w:t>
      </w:r>
      <w:r w:rsidR="005F6B04">
        <w:rPr>
          <w:color w:val="000080"/>
        </w:rPr>
        <w:t>airment</w:t>
      </w:r>
      <w:r w:rsidR="009C4EF9" w:rsidRPr="003F2B8C">
        <w:rPr>
          <w:color w:val="000080"/>
        </w:rPr>
        <w:t xml:space="preserve"> from motor weakness </w:t>
      </w:r>
      <w:r w:rsidR="005F6B04">
        <w:rPr>
          <w:color w:val="000080"/>
        </w:rPr>
        <w:t>is</w:t>
      </w:r>
      <w:r w:rsidR="00D05FA7" w:rsidRPr="003F2B8C">
        <w:rPr>
          <w:color w:val="000080"/>
        </w:rPr>
        <w:t xml:space="preserve"> </w:t>
      </w:r>
      <w:r w:rsidR="005F6B04">
        <w:rPr>
          <w:color w:val="000080"/>
        </w:rPr>
        <w:t>the usual</w:t>
      </w:r>
      <w:r w:rsidR="00D05FA7" w:rsidRPr="003F2B8C">
        <w:rPr>
          <w:color w:val="000080"/>
        </w:rPr>
        <w:t xml:space="preserve"> determinant </w:t>
      </w:r>
      <w:r w:rsidR="0068575C" w:rsidRPr="003F2B8C">
        <w:rPr>
          <w:color w:val="000080"/>
        </w:rPr>
        <w:t>for</w:t>
      </w:r>
      <w:r w:rsidR="00D05FA7" w:rsidRPr="003F2B8C">
        <w:rPr>
          <w:color w:val="000080"/>
        </w:rPr>
        <w:t xml:space="preserve"> moderate or higher rating recommendations.  The only functional limitations </w:t>
      </w:r>
      <w:r w:rsidR="005F6B04">
        <w:rPr>
          <w:color w:val="000080"/>
        </w:rPr>
        <w:t xml:space="preserve">attributable to motor weakness </w:t>
      </w:r>
      <w:r w:rsidR="00D05FA7" w:rsidRPr="003F2B8C">
        <w:rPr>
          <w:color w:val="000080"/>
        </w:rPr>
        <w:t xml:space="preserve">that can be surmised in this case would involve competitive sports, protracted climbing or other activities not related to </w:t>
      </w:r>
      <w:r w:rsidR="0068575C" w:rsidRPr="003F2B8C">
        <w:rPr>
          <w:color w:val="000080"/>
        </w:rPr>
        <w:t>usu</w:t>
      </w:r>
      <w:r w:rsidR="00D05FA7" w:rsidRPr="003F2B8C">
        <w:rPr>
          <w:color w:val="000080"/>
        </w:rPr>
        <w:t xml:space="preserve">al occupations or activities of daily life.  The Board, therefore, does not find reasonable doubt in the CI’s favor to support a recommendation for a higher rating than that adjudicated by the PEB for the lumbar </w:t>
      </w:r>
      <w:proofErr w:type="spellStart"/>
      <w:r w:rsidR="00D05FA7" w:rsidRPr="003F2B8C">
        <w:rPr>
          <w:color w:val="000080"/>
        </w:rPr>
        <w:t>radiculopathy</w:t>
      </w:r>
      <w:proofErr w:type="spellEnd"/>
      <w:r w:rsidR="00D05FA7" w:rsidRPr="003F2B8C">
        <w:rPr>
          <w:color w:val="000080"/>
        </w:rPr>
        <w:t>.</w:t>
      </w:r>
    </w:p>
    <w:p w:rsidR="00F07052" w:rsidRPr="003F2B8C" w:rsidRDefault="00F07052" w:rsidP="003F2B8C">
      <w:pPr>
        <w:tabs>
          <w:tab w:val="left" w:pos="288"/>
          <w:tab w:val="left" w:pos="4752"/>
        </w:tabs>
        <w:spacing w:line="240" w:lineRule="exact"/>
        <w:jc w:val="both"/>
        <w:rPr>
          <w:color w:val="000080"/>
        </w:rPr>
      </w:pPr>
    </w:p>
    <w:p w:rsidR="0073254D" w:rsidRPr="003F2B8C" w:rsidRDefault="0073254D" w:rsidP="003F2B8C">
      <w:pPr>
        <w:tabs>
          <w:tab w:val="left" w:pos="288"/>
          <w:tab w:val="left" w:pos="4752"/>
        </w:tabs>
        <w:spacing w:line="240" w:lineRule="exact"/>
        <w:jc w:val="both"/>
        <w:rPr>
          <w:color w:val="000080"/>
        </w:rPr>
      </w:pPr>
      <w:proofErr w:type="gramStart"/>
      <w:r w:rsidRPr="003F2B8C">
        <w:rPr>
          <w:color w:val="000080"/>
          <w:u w:val="single"/>
        </w:rPr>
        <w:t xml:space="preserve">Other DA </w:t>
      </w:r>
      <w:r w:rsidR="00745E27">
        <w:rPr>
          <w:color w:val="000080"/>
          <w:u w:val="single"/>
        </w:rPr>
        <w:t xml:space="preserve">Form </w:t>
      </w:r>
      <w:r w:rsidRPr="003F2B8C">
        <w:rPr>
          <w:color w:val="000080"/>
          <w:u w:val="single"/>
        </w:rPr>
        <w:t>3947 Conditions (</w:t>
      </w:r>
      <w:r w:rsidR="00B16B56" w:rsidRPr="003F2B8C">
        <w:rPr>
          <w:color w:val="000080"/>
          <w:u w:val="single"/>
        </w:rPr>
        <w:t>Acne, GERD, Benign Intention Tremor</w:t>
      </w:r>
      <w:r w:rsidRPr="003F2B8C">
        <w:rPr>
          <w:color w:val="000080"/>
          <w:u w:val="single"/>
        </w:rPr>
        <w:t>)</w:t>
      </w:r>
      <w:r w:rsidRPr="003F2B8C">
        <w:rPr>
          <w:color w:val="000080"/>
        </w:rPr>
        <w:t>.</w:t>
      </w:r>
      <w:proofErr w:type="gramEnd"/>
      <w:r w:rsidRPr="003F2B8C">
        <w:rPr>
          <w:color w:val="000080"/>
        </w:rPr>
        <w:t xml:space="preserve">  </w:t>
      </w:r>
      <w:r w:rsidR="00E15295" w:rsidRPr="003F2B8C">
        <w:rPr>
          <w:color w:val="000080"/>
        </w:rPr>
        <w:t xml:space="preserve">The acne </w:t>
      </w:r>
      <w:r w:rsidR="002A0461" w:rsidRPr="003F2B8C">
        <w:rPr>
          <w:color w:val="000080"/>
        </w:rPr>
        <w:t xml:space="preserve">condition </w:t>
      </w:r>
      <w:r w:rsidR="00E15295" w:rsidRPr="003F2B8C">
        <w:rPr>
          <w:color w:val="000080"/>
        </w:rPr>
        <w:t xml:space="preserve">has no </w:t>
      </w:r>
      <w:r w:rsidR="002A0461" w:rsidRPr="003F2B8C">
        <w:rPr>
          <w:color w:val="000080"/>
        </w:rPr>
        <w:t>link to fitness and is therefore not relevant for Board consideration.  The GERD did not require daily medication and was not associated with episodes of protracted pain or vomiting.  No reasonable argument can be made that it was unfitting.  The benign intention tremor was described on the MEB physical as an intermittent symptom for the past 1</w:t>
      </w:r>
      <w:r w:rsidR="0083620E" w:rsidRPr="003F2B8C">
        <w:rPr>
          <w:color w:val="000080"/>
        </w:rPr>
        <w:t xml:space="preserve">½ years and by the VA examiner as ‘minimal’ without complications.  It was not specifically diagnosed or treated at the time of separation.  There is no evidence that it interfered with </w:t>
      </w:r>
      <w:r w:rsidR="006B17E0" w:rsidRPr="006B17E0">
        <w:rPr>
          <w:color w:val="000080"/>
        </w:rPr>
        <w:t xml:space="preserve">Military Occupational Specialty </w:t>
      </w:r>
      <w:r w:rsidR="006B17E0">
        <w:rPr>
          <w:color w:val="000080"/>
        </w:rPr>
        <w:t>(</w:t>
      </w:r>
      <w:r w:rsidR="0083620E" w:rsidRPr="003F2B8C">
        <w:rPr>
          <w:color w:val="000080"/>
        </w:rPr>
        <w:t>MOS</w:t>
      </w:r>
      <w:r w:rsidR="006B17E0">
        <w:rPr>
          <w:color w:val="000080"/>
        </w:rPr>
        <w:t>)</w:t>
      </w:r>
      <w:r w:rsidR="0083620E" w:rsidRPr="003F2B8C">
        <w:rPr>
          <w:color w:val="000080"/>
        </w:rPr>
        <w:t xml:space="preserve"> duties or that it was involved with marksmanship or other soldiering requirements.  All three of these conditions were judged to be within AR 40-501 standards by the MEB and </w:t>
      </w:r>
      <w:r w:rsidR="0068575C" w:rsidRPr="003F2B8C">
        <w:rPr>
          <w:color w:val="000080"/>
        </w:rPr>
        <w:t xml:space="preserve">were </w:t>
      </w:r>
      <w:r w:rsidR="0083620E" w:rsidRPr="003F2B8C">
        <w:rPr>
          <w:color w:val="000080"/>
        </w:rPr>
        <w:t>appropriately adjudicated as not unfitting by the PEB.</w:t>
      </w:r>
    </w:p>
    <w:p w:rsidR="0073254D" w:rsidRPr="003F2B8C" w:rsidRDefault="0073254D" w:rsidP="003F2B8C">
      <w:pPr>
        <w:tabs>
          <w:tab w:val="left" w:pos="288"/>
          <w:tab w:val="left" w:pos="4752"/>
        </w:tabs>
        <w:spacing w:line="240" w:lineRule="exact"/>
        <w:jc w:val="both"/>
        <w:rPr>
          <w:color w:val="000080"/>
        </w:rPr>
      </w:pPr>
    </w:p>
    <w:p w:rsidR="00D2164B" w:rsidRDefault="002C6E5B" w:rsidP="003F2B8C">
      <w:pPr>
        <w:tabs>
          <w:tab w:val="left" w:pos="288"/>
          <w:tab w:val="left" w:pos="4752"/>
        </w:tabs>
        <w:spacing w:line="240" w:lineRule="exact"/>
        <w:jc w:val="both"/>
        <w:rPr>
          <w:rFonts w:asciiTheme="minorHAnsi" w:eastAsiaTheme="minorHAnsi" w:hAnsiTheme="minorHAnsi"/>
          <w:color w:val="auto"/>
          <w:szCs w:val="24"/>
        </w:rPr>
      </w:pPr>
      <w:proofErr w:type="gramStart"/>
      <w:r w:rsidRPr="003F2B8C">
        <w:rPr>
          <w:color w:val="000080"/>
          <w:u w:val="single"/>
        </w:rPr>
        <w:t>Other Conditions</w:t>
      </w:r>
      <w:r w:rsidRPr="003F2B8C">
        <w:rPr>
          <w:color w:val="000080"/>
        </w:rPr>
        <w:t>.</w:t>
      </w:r>
      <w:proofErr w:type="gramEnd"/>
      <w:r w:rsidRPr="003F2B8C">
        <w:rPr>
          <w:color w:val="000080"/>
        </w:rPr>
        <w:t xml:space="preserve">  </w:t>
      </w:r>
      <w:r w:rsidR="008B13FC" w:rsidRPr="003F2B8C">
        <w:rPr>
          <w:color w:val="000080"/>
        </w:rPr>
        <w:t xml:space="preserve">No other medical conditions were covered in the NARSUM.  The MEB physical addressed a history of bronchitis, </w:t>
      </w:r>
      <w:r w:rsidR="0068575C" w:rsidRPr="003F2B8C">
        <w:rPr>
          <w:color w:val="000080"/>
        </w:rPr>
        <w:t xml:space="preserve">a history of </w:t>
      </w:r>
      <w:r w:rsidR="008B13FC" w:rsidRPr="003F2B8C">
        <w:rPr>
          <w:color w:val="000080"/>
        </w:rPr>
        <w:t xml:space="preserve">nosebleeds, a previous metatarsal fracture of the left foot and a </w:t>
      </w:r>
      <w:r w:rsidR="0068575C" w:rsidRPr="003F2B8C">
        <w:rPr>
          <w:color w:val="000080"/>
        </w:rPr>
        <w:t>complaint</w:t>
      </w:r>
      <w:r w:rsidR="008B13FC" w:rsidRPr="003F2B8C">
        <w:rPr>
          <w:color w:val="000080"/>
        </w:rPr>
        <w:t xml:space="preserve"> of motion sickness.  None of these conditions were under active treatment during the MEB period and they were not noted in the Commander’s statement or physical profile.  No link to fitness is in evidence for any of them.</w:t>
      </w:r>
      <w:r w:rsidR="00D2164B" w:rsidRPr="003F2B8C">
        <w:rPr>
          <w:color w:val="000080"/>
        </w:rPr>
        <w:t xml:space="preserve">  </w:t>
      </w:r>
      <w:r w:rsidR="00D2164B" w:rsidRPr="003F2B8C">
        <w:rPr>
          <w:color w:val="000080"/>
        </w:rPr>
        <w:lastRenderedPageBreak/>
        <w:t xml:space="preserve">The CI mentioned bilateral knee pain in his contention and the VA provided a compensable (10%) rating for his left knee at the time of separation.  There was no indication of active treatment for a knee condition at the time of separation and no mention of one in the NARSUM or any PEB documents.  It was not noted by the CI or the examiner at the time of the MEB physical.  The Board does not have the authority under </w:t>
      </w:r>
      <w:proofErr w:type="spellStart"/>
      <w:r w:rsidR="00D2164B" w:rsidRPr="003F2B8C">
        <w:rPr>
          <w:color w:val="000080"/>
        </w:rPr>
        <w:t>DoDI</w:t>
      </w:r>
      <w:proofErr w:type="spellEnd"/>
      <w:r w:rsidR="00D2164B" w:rsidRPr="003F2B8C">
        <w:rPr>
          <w:color w:val="000080"/>
        </w:rPr>
        <w:t xml:space="preserve"> 6040.44 to render fitness or rating recommendations for any conditions not considered by the </w:t>
      </w:r>
      <w:r w:rsidR="00321908" w:rsidRPr="00321908">
        <w:rPr>
          <w:color w:val="000080"/>
        </w:rPr>
        <w:t>Disability Evaluation System</w:t>
      </w:r>
      <w:r w:rsidR="00321908">
        <w:rPr>
          <w:color w:val="000080"/>
        </w:rPr>
        <w:t xml:space="preserve"> (</w:t>
      </w:r>
      <w:r w:rsidR="00D2164B" w:rsidRPr="003F2B8C">
        <w:rPr>
          <w:color w:val="000080"/>
        </w:rPr>
        <w:t>DES</w:t>
      </w:r>
      <w:r w:rsidR="00321908">
        <w:rPr>
          <w:color w:val="000080"/>
        </w:rPr>
        <w:t>)</w:t>
      </w:r>
      <w:r w:rsidR="00D2164B" w:rsidRPr="003F2B8C">
        <w:rPr>
          <w:color w:val="000080"/>
        </w:rPr>
        <w:t xml:space="preserve">.  The </w:t>
      </w:r>
      <w:r w:rsidR="00D01A9D" w:rsidRPr="003F2B8C">
        <w:rPr>
          <w:color w:val="000080"/>
        </w:rPr>
        <w:t>knee condition</w:t>
      </w:r>
      <w:r w:rsidR="00D2164B" w:rsidRPr="003F2B8C">
        <w:rPr>
          <w:color w:val="000080"/>
        </w:rPr>
        <w:t xml:space="preserve"> </w:t>
      </w:r>
      <w:r w:rsidR="00D01A9D" w:rsidRPr="003F2B8C">
        <w:rPr>
          <w:color w:val="000080"/>
        </w:rPr>
        <w:t>or</w:t>
      </w:r>
      <w:r w:rsidR="00D2164B" w:rsidRPr="003F2B8C">
        <w:rPr>
          <w:color w:val="000080"/>
        </w:rPr>
        <w:t xml:space="preserve"> any contended conditions not covered above remain eligible for </w:t>
      </w:r>
      <w:r w:rsidR="00321908" w:rsidRPr="00321908">
        <w:rPr>
          <w:color w:val="000080"/>
        </w:rPr>
        <w:t>Army Board for Correction of Military Records (ABMCR)</w:t>
      </w:r>
      <w:r w:rsidR="00D2164B" w:rsidRPr="003F2B8C">
        <w:rPr>
          <w:color w:val="000080"/>
        </w:rPr>
        <w:t xml:space="preserve"> consideration. </w:t>
      </w:r>
      <w:r w:rsidR="00D2164B">
        <w:rPr>
          <w:rFonts w:asciiTheme="minorHAnsi" w:eastAsiaTheme="minorHAnsi" w:hAnsiTheme="minorHAnsi"/>
          <w:color w:val="auto"/>
          <w:szCs w:val="24"/>
        </w:rPr>
        <w:t xml:space="preserve"> </w:t>
      </w:r>
    </w:p>
    <w:p w:rsidR="00A90D55" w:rsidRPr="00745E27" w:rsidRDefault="008B5D31" w:rsidP="00875F2D">
      <w:pPr>
        <w:tabs>
          <w:tab w:val="left" w:pos="288"/>
          <w:tab w:val="left" w:pos="4752"/>
        </w:tabs>
        <w:spacing w:line="240" w:lineRule="exact"/>
        <w:jc w:val="both"/>
        <w:rPr>
          <w:color w:val="000080"/>
        </w:rPr>
      </w:pPr>
      <w:r w:rsidRPr="00745E27">
        <w:rPr>
          <w:color w:val="000080"/>
        </w:rPr>
        <w:t>________________________________________________________________</w:t>
      </w:r>
    </w:p>
    <w:p w:rsidR="00A90D55" w:rsidRPr="00A90D55" w:rsidRDefault="00A90D55" w:rsidP="00875F2D">
      <w:pPr>
        <w:tabs>
          <w:tab w:val="left" w:pos="288"/>
          <w:tab w:val="left" w:pos="4752"/>
        </w:tabs>
        <w:spacing w:line="240" w:lineRule="exact"/>
        <w:jc w:val="both"/>
        <w:rPr>
          <w:color w:val="000080"/>
        </w:rPr>
      </w:pPr>
    </w:p>
    <w:p w:rsidR="00D01A9D" w:rsidRPr="003F2B8C" w:rsidRDefault="00C56FC8" w:rsidP="003F2B8C">
      <w:pPr>
        <w:tabs>
          <w:tab w:val="left" w:pos="288"/>
          <w:tab w:val="left" w:pos="4752"/>
        </w:tabs>
        <w:spacing w:line="240" w:lineRule="exact"/>
        <w:jc w:val="both"/>
        <w:rPr>
          <w:color w:val="000080"/>
        </w:rPr>
      </w:pPr>
      <w:r w:rsidRPr="003F2B8C">
        <w:rPr>
          <w:color w:val="000080"/>
          <w:u w:val="single"/>
        </w:rPr>
        <w:t>BOARD FINDINGS</w:t>
      </w:r>
      <w:r w:rsidRPr="003F2B8C">
        <w:rPr>
          <w:color w:val="000080"/>
        </w:rPr>
        <w:t xml:space="preserve">:  IAW </w:t>
      </w:r>
      <w:proofErr w:type="spellStart"/>
      <w:r w:rsidRPr="003F2B8C">
        <w:rPr>
          <w:color w:val="000080"/>
        </w:rPr>
        <w:t>DoDI</w:t>
      </w:r>
      <w:proofErr w:type="spellEnd"/>
      <w:r w:rsidRPr="003F2B8C">
        <w:rPr>
          <w:color w:val="000080"/>
        </w:rPr>
        <w:t xml:space="preserve"> 6040.44, provisions of </w:t>
      </w:r>
      <w:proofErr w:type="spellStart"/>
      <w:r w:rsidRPr="003F2B8C">
        <w:rPr>
          <w:color w:val="000080"/>
        </w:rPr>
        <w:t>DoD</w:t>
      </w:r>
      <w:proofErr w:type="spellEnd"/>
      <w:r w:rsidRPr="003F2B8C">
        <w:rPr>
          <w:color w:val="000080"/>
        </w:rPr>
        <w:t xml:space="preserve"> or Military Department regulations or guidelines relied upon by the PEB will not be considered by the Board to the extent they were inconsistent with the VASRD in effect at the time of the adjudication. </w:t>
      </w:r>
      <w:r w:rsidR="001D68CF" w:rsidRPr="003F2B8C">
        <w:rPr>
          <w:color w:val="000080"/>
        </w:rPr>
        <w:t xml:space="preserve"> </w:t>
      </w:r>
      <w:r w:rsidR="00D01A9D" w:rsidRPr="003F2B8C">
        <w:rPr>
          <w:color w:val="000080"/>
        </w:rPr>
        <w:t>The Board did not surmise from the record or PEB ruling in this case that any prerogatives outside the VASRD were exercised.  In the matter of the lumbar spine condition and IAW VASRD §</w:t>
      </w:r>
      <w:r w:rsidR="00802E7C">
        <w:rPr>
          <w:color w:val="000080"/>
        </w:rPr>
        <w:t>4.</w:t>
      </w:r>
      <w:r w:rsidR="00D01A9D" w:rsidRPr="003F2B8C">
        <w:rPr>
          <w:color w:val="000080"/>
        </w:rPr>
        <w:t xml:space="preserve">71a, the Board unanimously recommends no change in the PEB adjudication.  In the matter of the lumbar </w:t>
      </w:r>
      <w:proofErr w:type="spellStart"/>
      <w:r w:rsidR="00D01A9D" w:rsidRPr="003F2B8C">
        <w:rPr>
          <w:color w:val="000080"/>
        </w:rPr>
        <w:t>radiculopathy</w:t>
      </w:r>
      <w:proofErr w:type="spellEnd"/>
      <w:r w:rsidR="00D01A9D" w:rsidRPr="003F2B8C">
        <w:rPr>
          <w:color w:val="000080"/>
        </w:rPr>
        <w:t xml:space="preserve"> condition and IAW VASRD §4.124a, the Board unanimously recommends no change in the PEB adjudication.  In the matter of the acne, </w:t>
      </w:r>
      <w:proofErr w:type="spellStart"/>
      <w:r w:rsidR="00D01A9D" w:rsidRPr="003F2B8C">
        <w:rPr>
          <w:color w:val="000080"/>
        </w:rPr>
        <w:t>gastroesophageal</w:t>
      </w:r>
      <w:proofErr w:type="spellEnd"/>
      <w:r w:rsidR="00D01A9D" w:rsidRPr="003F2B8C">
        <w:rPr>
          <w:color w:val="000080"/>
        </w:rPr>
        <w:t xml:space="preserve"> reflux and benign intention tremor conditions, the Board unanimously recommends no </w:t>
      </w:r>
      <w:proofErr w:type="spellStart"/>
      <w:r w:rsidR="00D01A9D" w:rsidRPr="003F2B8C">
        <w:rPr>
          <w:color w:val="000080"/>
        </w:rPr>
        <w:t>recharacterization</w:t>
      </w:r>
      <w:proofErr w:type="spellEnd"/>
      <w:r w:rsidR="00D01A9D" w:rsidRPr="003F2B8C">
        <w:rPr>
          <w:color w:val="000080"/>
        </w:rPr>
        <w:t xml:space="preserve"> of the PEB adjudication as not unfitting.  In the matter of the bronchitis, nosebleeds, metatarsal fracture of the left foot, motion sickness or any other medical conditions eligible for Board consideration; the Board unanimously agrees that it cannot recommend any findings of unfit for additional rating at separation.</w:t>
      </w:r>
    </w:p>
    <w:p w:rsidR="00174696" w:rsidRPr="00174696" w:rsidRDefault="00174696" w:rsidP="00174696">
      <w:pPr>
        <w:tabs>
          <w:tab w:val="left" w:pos="288"/>
          <w:tab w:val="left" w:pos="4752"/>
        </w:tabs>
        <w:spacing w:line="240" w:lineRule="exact"/>
        <w:jc w:val="both"/>
        <w:rPr>
          <w:color w:val="000080"/>
        </w:rPr>
      </w:pPr>
      <w:r w:rsidRPr="00174696">
        <w:rPr>
          <w:color w:val="000080"/>
        </w:rPr>
        <w:t>___________________________________________________________</w:t>
      </w:r>
      <w:r w:rsidR="00745E27">
        <w:rPr>
          <w:color w:val="000080"/>
        </w:rPr>
        <w:t>_</w:t>
      </w:r>
      <w:r w:rsidRPr="00174696">
        <w:rPr>
          <w:color w:val="000080"/>
        </w:rPr>
        <w:t>____</w:t>
      </w:r>
    </w:p>
    <w:p w:rsidR="00FB593A" w:rsidRPr="00D91DA6" w:rsidRDefault="00FB593A" w:rsidP="00875F2D">
      <w:pPr>
        <w:tabs>
          <w:tab w:val="left" w:pos="288"/>
          <w:tab w:val="left" w:pos="4752"/>
        </w:tabs>
        <w:spacing w:line="240" w:lineRule="exact"/>
        <w:jc w:val="both"/>
        <w:rPr>
          <w:color w:val="000080"/>
        </w:rPr>
      </w:pPr>
    </w:p>
    <w:p w:rsidR="001534F9" w:rsidRDefault="00C56FC8" w:rsidP="003F2B8C">
      <w:pPr>
        <w:tabs>
          <w:tab w:val="left" w:pos="288"/>
          <w:tab w:val="left" w:pos="4752"/>
        </w:tabs>
        <w:spacing w:line="240" w:lineRule="exact"/>
        <w:jc w:val="both"/>
        <w:rPr>
          <w:rFonts w:asciiTheme="minorHAnsi" w:hAnsiTheme="minorHAnsi"/>
          <w:color w:val="auto"/>
          <w:szCs w:val="24"/>
        </w:rPr>
      </w:pPr>
      <w:r w:rsidRPr="003F2B8C">
        <w:rPr>
          <w:color w:val="000080"/>
          <w:u w:val="single"/>
        </w:rPr>
        <w:t>RECOMMENDATION</w:t>
      </w:r>
      <w:r w:rsidRPr="003F2B8C">
        <w:rPr>
          <w:color w:val="000080"/>
        </w:rPr>
        <w:t xml:space="preserve">: </w:t>
      </w:r>
      <w:r w:rsidR="001534F9" w:rsidRPr="003F2B8C">
        <w:rPr>
          <w:color w:val="000080"/>
        </w:rPr>
        <w:t xml:space="preserve">The Board therefore recommends that there be no </w:t>
      </w:r>
      <w:proofErr w:type="spellStart"/>
      <w:r w:rsidR="001534F9" w:rsidRPr="003F2B8C">
        <w:rPr>
          <w:color w:val="000080"/>
        </w:rPr>
        <w:t>recharacterization</w:t>
      </w:r>
      <w:proofErr w:type="spellEnd"/>
      <w:r w:rsidR="001534F9" w:rsidRPr="003F2B8C">
        <w:rPr>
          <w:color w:val="000080"/>
        </w:rPr>
        <w:t xml:space="preserve"> of the CI’s disability and separation determination.</w:t>
      </w:r>
    </w:p>
    <w:p w:rsidR="00174696" w:rsidRPr="00174696" w:rsidRDefault="00174696" w:rsidP="00174696">
      <w:pPr>
        <w:tabs>
          <w:tab w:val="left" w:pos="288"/>
          <w:tab w:val="left" w:pos="4752"/>
        </w:tabs>
        <w:spacing w:line="240" w:lineRule="exact"/>
        <w:jc w:val="both"/>
        <w:rPr>
          <w:color w:val="000080"/>
        </w:rPr>
      </w:pPr>
      <w:r w:rsidRPr="00174696">
        <w:rPr>
          <w:color w:val="000080"/>
        </w:rPr>
        <w:t>______________________________________________________________</w:t>
      </w:r>
      <w:r w:rsidR="00745E27">
        <w:rPr>
          <w:color w:val="000080"/>
        </w:rPr>
        <w:t>_</w:t>
      </w:r>
      <w:r w:rsidRPr="00174696">
        <w:rPr>
          <w:color w:val="000080"/>
        </w:rPr>
        <w:t>_</w:t>
      </w:r>
    </w:p>
    <w:p w:rsidR="00D91DA6" w:rsidRDefault="00D91DA6" w:rsidP="00875F2D">
      <w:pPr>
        <w:tabs>
          <w:tab w:val="left" w:pos="288"/>
          <w:tab w:val="left" w:pos="4752"/>
        </w:tabs>
        <w:spacing w:line="240" w:lineRule="exact"/>
        <w:jc w:val="both"/>
        <w:rPr>
          <w:color w:val="000080"/>
        </w:rPr>
      </w:pPr>
    </w:p>
    <w:p w:rsidR="00D91DA6" w:rsidRDefault="00114F20" w:rsidP="00875F2D">
      <w:pPr>
        <w:tabs>
          <w:tab w:val="left" w:pos="288"/>
          <w:tab w:val="left" w:pos="4752"/>
        </w:tabs>
        <w:spacing w:line="240" w:lineRule="exact"/>
        <w:jc w:val="both"/>
        <w:rPr>
          <w:color w:val="000080"/>
        </w:rPr>
      </w:pPr>
      <w:r>
        <w:rPr>
          <w:color w:val="000080"/>
        </w:rPr>
        <w:t>The following documentary evidence was considered:</w:t>
      </w:r>
    </w:p>
    <w:p w:rsidR="00114F20" w:rsidRDefault="00114F20" w:rsidP="00875F2D">
      <w:pPr>
        <w:tabs>
          <w:tab w:val="left" w:pos="288"/>
          <w:tab w:val="left" w:pos="4752"/>
        </w:tabs>
        <w:spacing w:line="240" w:lineRule="exact"/>
        <w:jc w:val="both"/>
        <w:rPr>
          <w:color w:val="000080"/>
        </w:rPr>
      </w:pPr>
    </w:p>
    <w:p w:rsidR="00114F20" w:rsidRDefault="0051146C" w:rsidP="00875F2D">
      <w:pPr>
        <w:tabs>
          <w:tab w:val="left" w:pos="288"/>
          <w:tab w:val="left" w:pos="4752"/>
        </w:tabs>
        <w:spacing w:line="240" w:lineRule="exact"/>
        <w:jc w:val="both"/>
        <w:rPr>
          <w:color w:val="000080"/>
        </w:rPr>
      </w:pPr>
      <w:r>
        <w:rPr>
          <w:color w:val="000080"/>
        </w:rPr>
        <w:t xml:space="preserve">Exhibit A.  DD Form </w:t>
      </w:r>
      <w:proofErr w:type="gramStart"/>
      <w:r>
        <w:rPr>
          <w:color w:val="000080"/>
        </w:rPr>
        <w:t>294,</w:t>
      </w:r>
      <w:proofErr w:type="gramEnd"/>
      <w:r>
        <w:rPr>
          <w:color w:val="000080"/>
        </w:rPr>
        <w:t xml:space="preserve"> dated </w:t>
      </w:r>
      <w:r w:rsidR="0019273F">
        <w:rPr>
          <w:color w:val="000080"/>
        </w:rPr>
        <w:t>2009</w:t>
      </w:r>
      <w:r w:rsidR="006A773D">
        <w:rPr>
          <w:color w:val="000080"/>
        </w:rPr>
        <w:t>0202</w:t>
      </w:r>
      <w:r w:rsidR="00114F20">
        <w:rPr>
          <w:color w:val="000080"/>
        </w:rPr>
        <w:t>, w/</w:t>
      </w:r>
      <w:proofErr w:type="spellStart"/>
      <w:r w:rsidR="00114F20">
        <w:rPr>
          <w:color w:val="000080"/>
        </w:rPr>
        <w:t>atchs</w:t>
      </w:r>
      <w:proofErr w:type="spellEnd"/>
      <w:r w:rsidR="00114F20">
        <w:rPr>
          <w:color w:val="000080"/>
        </w:rPr>
        <w:t>.</w:t>
      </w:r>
    </w:p>
    <w:p w:rsidR="00114F20" w:rsidRDefault="00114F20" w:rsidP="00875F2D">
      <w:pPr>
        <w:tabs>
          <w:tab w:val="left" w:pos="288"/>
          <w:tab w:val="left" w:pos="4752"/>
        </w:tabs>
        <w:spacing w:line="240" w:lineRule="exact"/>
        <w:jc w:val="both"/>
        <w:rPr>
          <w:color w:val="000080"/>
        </w:rPr>
      </w:pPr>
      <w:r>
        <w:rPr>
          <w:color w:val="000080"/>
        </w:rPr>
        <w:t xml:space="preserve">Exhibit B.  </w:t>
      </w:r>
      <w:proofErr w:type="gramStart"/>
      <w:r>
        <w:rPr>
          <w:color w:val="000080"/>
        </w:rPr>
        <w:t>Service Treatment Record.</w:t>
      </w:r>
      <w:proofErr w:type="gramEnd"/>
    </w:p>
    <w:p w:rsidR="00114F20" w:rsidRDefault="00114F20" w:rsidP="00875F2D">
      <w:pPr>
        <w:tabs>
          <w:tab w:val="left" w:pos="288"/>
          <w:tab w:val="left" w:pos="4752"/>
        </w:tabs>
        <w:spacing w:line="240" w:lineRule="exact"/>
        <w:jc w:val="both"/>
        <w:rPr>
          <w:color w:val="000080"/>
        </w:rPr>
      </w:pPr>
      <w:r>
        <w:rPr>
          <w:color w:val="000080"/>
        </w:rPr>
        <w:t xml:space="preserve">Exhibit C.  </w:t>
      </w:r>
      <w:proofErr w:type="gramStart"/>
      <w:r>
        <w:rPr>
          <w:color w:val="000080"/>
        </w:rPr>
        <w:t>Department of Veterans</w:t>
      </w:r>
      <w:r w:rsidR="00385D6F">
        <w:rPr>
          <w:color w:val="000080"/>
        </w:rPr>
        <w:t>'</w:t>
      </w:r>
      <w:r>
        <w:rPr>
          <w:color w:val="000080"/>
        </w:rPr>
        <w:t xml:space="preserve"> Affairs Treatment Record.</w:t>
      </w:r>
      <w:proofErr w:type="gramEnd"/>
    </w:p>
    <w:p w:rsidR="00D91DA6" w:rsidRDefault="00D91DA6" w:rsidP="00875F2D">
      <w:pPr>
        <w:tabs>
          <w:tab w:val="left" w:pos="288"/>
          <w:tab w:val="left" w:pos="4752"/>
        </w:tabs>
        <w:spacing w:line="240" w:lineRule="exact"/>
        <w:jc w:val="both"/>
        <w:rPr>
          <w:color w:val="000080"/>
        </w:rPr>
      </w:pPr>
    </w:p>
    <w:p w:rsidR="00114F20" w:rsidRDefault="00114F20" w:rsidP="00875F2D">
      <w:pPr>
        <w:tabs>
          <w:tab w:val="left" w:pos="288"/>
          <w:tab w:val="left" w:pos="4752"/>
        </w:tabs>
        <w:spacing w:line="240" w:lineRule="exact"/>
        <w:jc w:val="both"/>
        <w:rPr>
          <w:color w:val="000080"/>
        </w:rPr>
      </w:pPr>
    </w:p>
    <w:p w:rsidR="004C6262" w:rsidRDefault="004C6262">
      <w:pPr>
        <w:rPr>
          <w:color w:val="000080"/>
        </w:rPr>
      </w:pPr>
      <w:r>
        <w:rPr>
          <w:color w:val="000080"/>
        </w:rPr>
        <w:br w:type="page"/>
      </w:r>
    </w:p>
    <w:p w:rsidR="004C6262" w:rsidRDefault="004C6262" w:rsidP="004C6262">
      <w:pPr>
        <w:pStyle w:val="Default"/>
        <w:framePr w:w="17029" w:wrap="auto" w:vAnchor="page" w:hAnchor="page" w:x="1" w:y="1"/>
      </w:pPr>
      <w:r>
        <w:rPr>
          <w:noProof/>
        </w:rPr>
        <w:lastRenderedPageBreak/>
        <w:drawing>
          <wp:inline distT="0" distB="0" distL="0" distR="0">
            <wp:extent cx="7798435" cy="106794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798435" cy="10679430"/>
                    </a:xfrm>
                    <a:prstGeom prst="rect">
                      <a:avLst/>
                    </a:prstGeom>
                    <a:noFill/>
                    <a:ln w="9525">
                      <a:noFill/>
                      <a:miter lim="800000"/>
                      <a:headEnd/>
                      <a:tailEnd/>
                    </a:ln>
                  </pic:spPr>
                </pic:pic>
              </a:graphicData>
            </a:graphic>
          </wp:inline>
        </w:drawing>
      </w:r>
    </w:p>
    <w:p w:rsidR="00114F20" w:rsidRDefault="00114F20" w:rsidP="00875F2D">
      <w:pPr>
        <w:tabs>
          <w:tab w:val="left" w:pos="288"/>
          <w:tab w:val="left" w:pos="4752"/>
        </w:tabs>
        <w:spacing w:line="240" w:lineRule="exact"/>
        <w:jc w:val="both"/>
        <w:rPr>
          <w:color w:val="000080"/>
        </w:rPr>
      </w:pPr>
    </w:p>
    <w:sectPr w:rsidR="00114F20" w:rsidSect="006418C9">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8D5" w:rsidRDefault="00B628D5">
      <w:r>
        <w:separator/>
      </w:r>
    </w:p>
  </w:endnote>
  <w:endnote w:type="continuationSeparator" w:id="0">
    <w:p w:rsidR="00B628D5" w:rsidRDefault="00B628D5">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64B" w:rsidRDefault="003B70D9">
    <w:pPr>
      <w:pStyle w:val="Footer"/>
      <w:framePr w:wrap="around" w:vAnchor="text" w:hAnchor="margin" w:xAlign="center" w:y="1"/>
      <w:rPr>
        <w:rStyle w:val="PageNumber"/>
      </w:rPr>
    </w:pPr>
    <w:r>
      <w:rPr>
        <w:rStyle w:val="PageNumber"/>
      </w:rPr>
      <w:fldChar w:fldCharType="begin"/>
    </w:r>
    <w:r w:rsidR="00D2164B">
      <w:rPr>
        <w:rStyle w:val="PageNumber"/>
      </w:rPr>
      <w:instrText xml:space="preserve">PAGE  </w:instrText>
    </w:r>
    <w:r>
      <w:rPr>
        <w:rStyle w:val="PageNumber"/>
      </w:rPr>
      <w:fldChar w:fldCharType="separate"/>
    </w:r>
    <w:r w:rsidR="00D2164B">
      <w:rPr>
        <w:rStyle w:val="PageNumber"/>
        <w:noProof/>
      </w:rPr>
      <w:t>2</w:t>
    </w:r>
    <w:r>
      <w:rPr>
        <w:rStyle w:val="PageNumber"/>
      </w:rPr>
      <w:fldChar w:fldCharType="end"/>
    </w:r>
  </w:p>
  <w:p w:rsidR="00D2164B" w:rsidRDefault="00D2164B"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64B" w:rsidRDefault="003B70D9">
    <w:pPr>
      <w:pStyle w:val="Footer"/>
      <w:framePr w:wrap="around" w:vAnchor="text" w:hAnchor="margin" w:xAlign="center" w:y="1"/>
      <w:rPr>
        <w:rStyle w:val="PageNumber"/>
      </w:rPr>
    </w:pPr>
    <w:r>
      <w:rPr>
        <w:rStyle w:val="PageNumber"/>
      </w:rPr>
      <w:fldChar w:fldCharType="begin"/>
    </w:r>
    <w:r w:rsidR="00D2164B">
      <w:rPr>
        <w:rStyle w:val="PageNumber"/>
      </w:rPr>
      <w:instrText xml:space="preserve">PAGE  </w:instrText>
    </w:r>
    <w:r>
      <w:rPr>
        <w:rStyle w:val="PageNumber"/>
      </w:rPr>
      <w:fldChar w:fldCharType="separate"/>
    </w:r>
    <w:r w:rsidR="004C6262">
      <w:rPr>
        <w:rStyle w:val="PageNumber"/>
        <w:noProof/>
      </w:rPr>
      <w:t>7</w:t>
    </w:r>
    <w:r>
      <w:rPr>
        <w:rStyle w:val="PageNumber"/>
      </w:rPr>
      <w:fldChar w:fldCharType="end"/>
    </w:r>
  </w:p>
  <w:p w:rsidR="00D2164B" w:rsidRDefault="00D2164B" w:rsidP="002B0749">
    <w:pPr>
      <w:pStyle w:val="Footer"/>
      <w:jc w:val="right"/>
    </w:pPr>
    <w:r>
      <w:tab/>
    </w:r>
    <w:r>
      <w:tab/>
    </w:r>
    <w:r w:rsidRPr="001D3186">
      <w:rPr>
        <w:caps/>
        <w:color w:val="000080"/>
      </w:rPr>
      <w:t>PD09</w:t>
    </w:r>
    <w:r>
      <w:rPr>
        <w:caps/>
        <w:color w:val="000080"/>
      </w:rPr>
      <w:t>00105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8D5" w:rsidRDefault="00B628D5">
      <w:r>
        <w:separator/>
      </w:r>
    </w:p>
  </w:footnote>
  <w:footnote w:type="continuationSeparator" w:id="0">
    <w:p w:rsidR="00B628D5" w:rsidRDefault="00B628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300033"/>
  </w:hdrShapeDefaults>
  <w:footnotePr>
    <w:numRestart w:val="eachSect"/>
    <w:footnote w:id="-1"/>
    <w:footnote w:id="0"/>
  </w:footnotePr>
  <w:endnotePr>
    <w:endnote w:id="-1"/>
    <w:endnote w:id="0"/>
  </w:endnotePr>
  <w:compat/>
  <w:rsids>
    <w:rsidRoot w:val="001C28D1"/>
    <w:rsid w:val="0000326B"/>
    <w:rsid w:val="000059FA"/>
    <w:rsid w:val="00006F87"/>
    <w:rsid w:val="00010ABA"/>
    <w:rsid w:val="00013417"/>
    <w:rsid w:val="000145C2"/>
    <w:rsid w:val="0001473F"/>
    <w:rsid w:val="00023D43"/>
    <w:rsid w:val="00027A1C"/>
    <w:rsid w:val="0003374E"/>
    <w:rsid w:val="000344E6"/>
    <w:rsid w:val="00035142"/>
    <w:rsid w:val="00035C3A"/>
    <w:rsid w:val="000379D0"/>
    <w:rsid w:val="00040FC4"/>
    <w:rsid w:val="000416F8"/>
    <w:rsid w:val="00051622"/>
    <w:rsid w:val="00053D7C"/>
    <w:rsid w:val="000577C9"/>
    <w:rsid w:val="0006431E"/>
    <w:rsid w:val="00072433"/>
    <w:rsid w:val="0008708B"/>
    <w:rsid w:val="00094E4F"/>
    <w:rsid w:val="000A2BCE"/>
    <w:rsid w:val="000A41E3"/>
    <w:rsid w:val="000A4BBA"/>
    <w:rsid w:val="000A5071"/>
    <w:rsid w:val="000C3C13"/>
    <w:rsid w:val="000C5813"/>
    <w:rsid w:val="000C7DE4"/>
    <w:rsid w:val="000D15E7"/>
    <w:rsid w:val="000D21C7"/>
    <w:rsid w:val="000D248A"/>
    <w:rsid w:val="000D43F9"/>
    <w:rsid w:val="000D4717"/>
    <w:rsid w:val="000D6457"/>
    <w:rsid w:val="000D7D55"/>
    <w:rsid w:val="000E0993"/>
    <w:rsid w:val="000F02BE"/>
    <w:rsid w:val="000F427B"/>
    <w:rsid w:val="00103CCF"/>
    <w:rsid w:val="0010417F"/>
    <w:rsid w:val="001042D2"/>
    <w:rsid w:val="0010530E"/>
    <w:rsid w:val="001103CD"/>
    <w:rsid w:val="00111E52"/>
    <w:rsid w:val="00114F20"/>
    <w:rsid w:val="00115B26"/>
    <w:rsid w:val="001219DF"/>
    <w:rsid w:val="001231DC"/>
    <w:rsid w:val="001315DD"/>
    <w:rsid w:val="00135385"/>
    <w:rsid w:val="001364D1"/>
    <w:rsid w:val="001534F9"/>
    <w:rsid w:val="001541C5"/>
    <w:rsid w:val="0015623F"/>
    <w:rsid w:val="00166182"/>
    <w:rsid w:val="00174696"/>
    <w:rsid w:val="00177659"/>
    <w:rsid w:val="001779E5"/>
    <w:rsid w:val="00182A4C"/>
    <w:rsid w:val="00183F77"/>
    <w:rsid w:val="00185ECB"/>
    <w:rsid w:val="0019273F"/>
    <w:rsid w:val="00193AD5"/>
    <w:rsid w:val="00194930"/>
    <w:rsid w:val="001A1002"/>
    <w:rsid w:val="001A7538"/>
    <w:rsid w:val="001B5B59"/>
    <w:rsid w:val="001C181A"/>
    <w:rsid w:val="001C2053"/>
    <w:rsid w:val="001C28D1"/>
    <w:rsid w:val="001C5CFC"/>
    <w:rsid w:val="001C7418"/>
    <w:rsid w:val="001D0051"/>
    <w:rsid w:val="001D2224"/>
    <w:rsid w:val="001D68CF"/>
    <w:rsid w:val="001D6A8C"/>
    <w:rsid w:val="001D7A56"/>
    <w:rsid w:val="001E18E0"/>
    <w:rsid w:val="001E18E2"/>
    <w:rsid w:val="00202736"/>
    <w:rsid w:val="002060B6"/>
    <w:rsid w:val="00216049"/>
    <w:rsid w:val="00217C09"/>
    <w:rsid w:val="00225196"/>
    <w:rsid w:val="00225CB4"/>
    <w:rsid w:val="0023049F"/>
    <w:rsid w:val="00232C9B"/>
    <w:rsid w:val="00232F09"/>
    <w:rsid w:val="002335D5"/>
    <w:rsid w:val="002338CA"/>
    <w:rsid w:val="00233FE5"/>
    <w:rsid w:val="0024174E"/>
    <w:rsid w:val="0024227D"/>
    <w:rsid w:val="00246860"/>
    <w:rsid w:val="00246DFF"/>
    <w:rsid w:val="00246E89"/>
    <w:rsid w:val="00247530"/>
    <w:rsid w:val="0025183C"/>
    <w:rsid w:val="00255049"/>
    <w:rsid w:val="00260531"/>
    <w:rsid w:val="0026318D"/>
    <w:rsid w:val="00270864"/>
    <w:rsid w:val="0027159C"/>
    <w:rsid w:val="00274549"/>
    <w:rsid w:val="00274E46"/>
    <w:rsid w:val="00276C86"/>
    <w:rsid w:val="00291372"/>
    <w:rsid w:val="002A0461"/>
    <w:rsid w:val="002A3237"/>
    <w:rsid w:val="002A72C7"/>
    <w:rsid w:val="002B03B2"/>
    <w:rsid w:val="002B0749"/>
    <w:rsid w:val="002B0811"/>
    <w:rsid w:val="002B2645"/>
    <w:rsid w:val="002C6E5B"/>
    <w:rsid w:val="002D18B4"/>
    <w:rsid w:val="002E1877"/>
    <w:rsid w:val="002E19ED"/>
    <w:rsid w:val="002E1C31"/>
    <w:rsid w:val="002E333A"/>
    <w:rsid w:val="002E3474"/>
    <w:rsid w:val="002E49C3"/>
    <w:rsid w:val="002E7570"/>
    <w:rsid w:val="002E764B"/>
    <w:rsid w:val="002F0E28"/>
    <w:rsid w:val="002F287E"/>
    <w:rsid w:val="002F2D63"/>
    <w:rsid w:val="002F7B50"/>
    <w:rsid w:val="002F7F81"/>
    <w:rsid w:val="0030678B"/>
    <w:rsid w:val="00310CD7"/>
    <w:rsid w:val="00312214"/>
    <w:rsid w:val="00321908"/>
    <w:rsid w:val="00321B27"/>
    <w:rsid w:val="00323E70"/>
    <w:rsid w:val="003320E8"/>
    <w:rsid w:val="0033555E"/>
    <w:rsid w:val="00337351"/>
    <w:rsid w:val="00341A54"/>
    <w:rsid w:val="00351498"/>
    <w:rsid w:val="00353D03"/>
    <w:rsid w:val="0036319E"/>
    <w:rsid w:val="003632A4"/>
    <w:rsid w:val="00363362"/>
    <w:rsid w:val="00370EF5"/>
    <w:rsid w:val="00372251"/>
    <w:rsid w:val="0037520D"/>
    <w:rsid w:val="0037628C"/>
    <w:rsid w:val="00377BD2"/>
    <w:rsid w:val="003821E1"/>
    <w:rsid w:val="00384866"/>
    <w:rsid w:val="003857D4"/>
    <w:rsid w:val="00385D6F"/>
    <w:rsid w:val="00387095"/>
    <w:rsid w:val="00390092"/>
    <w:rsid w:val="00393651"/>
    <w:rsid w:val="003A41BA"/>
    <w:rsid w:val="003A6A99"/>
    <w:rsid w:val="003B1FA4"/>
    <w:rsid w:val="003B227A"/>
    <w:rsid w:val="003B70D9"/>
    <w:rsid w:val="003C70C8"/>
    <w:rsid w:val="003D2BA3"/>
    <w:rsid w:val="003D3C22"/>
    <w:rsid w:val="003D7089"/>
    <w:rsid w:val="003D7DDB"/>
    <w:rsid w:val="003E02C7"/>
    <w:rsid w:val="003E0543"/>
    <w:rsid w:val="003E31E3"/>
    <w:rsid w:val="003F2B8C"/>
    <w:rsid w:val="003F58B0"/>
    <w:rsid w:val="004007E9"/>
    <w:rsid w:val="00401825"/>
    <w:rsid w:val="00401BBC"/>
    <w:rsid w:val="00403BFB"/>
    <w:rsid w:val="00404B45"/>
    <w:rsid w:val="00406CC5"/>
    <w:rsid w:val="004074A4"/>
    <w:rsid w:val="004101B2"/>
    <w:rsid w:val="004123D7"/>
    <w:rsid w:val="004172DB"/>
    <w:rsid w:val="00422B75"/>
    <w:rsid w:val="00433F36"/>
    <w:rsid w:val="0043503A"/>
    <w:rsid w:val="0044384F"/>
    <w:rsid w:val="00446018"/>
    <w:rsid w:val="004543BC"/>
    <w:rsid w:val="00454D51"/>
    <w:rsid w:val="0045645D"/>
    <w:rsid w:val="004574C6"/>
    <w:rsid w:val="00457BCF"/>
    <w:rsid w:val="00460E3F"/>
    <w:rsid w:val="00467592"/>
    <w:rsid w:val="004718E7"/>
    <w:rsid w:val="004761CC"/>
    <w:rsid w:val="00481DA1"/>
    <w:rsid w:val="00495350"/>
    <w:rsid w:val="004A24D2"/>
    <w:rsid w:val="004A4136"/>
    <w:rsid w:val="004A417B"/>
    <w:rsid w:val="004B03F3"/>
    <w:rsid w:val="004B6AF3"/>
    <w:rsid w:val="004B715E"/>
    <w:rsid w:val="004B7169"/>
    <w:rsid w:val="004B79C9"/>
    <w:rsid w:val="004C5E33"/>
    <w:rsid w:val="004C6262"/>
    <w:rsid w:val="004C6CDA"/>
    <w:rsid w:val="004D10D4"/>
    <w:rsid w:val="004D6F2B"/>
    <w:rsid w:val="004E0248"/>
    <w:rsid w:val="004E32EA"/>
    <w:rsid w:val="004F3A15"/>
    <w:rsid w:val="004F3BFA"/>
    <w:rsid w:val="00504FFE"/>
    <w:rsid w:val="00510588"/>
    <w:rsid w:val="0051146C"/>
    <w:rsid w:val="005222E7"/>
    <w:rsid w:val="00523E04"/>
    <w:rsid w:val="00524B75"/>
    <w:rsid w:val="0052590B"/>
    <w:rsid w:val="00526591"/>
    <w:rsid w:val="00526FBA"/>
    <w:rsid w:val="00527178"/>
    <w:rsid w:val="005350A5"/>
    <w:rsid w:val="00536379"/>
    <w:rsid w:val="005400C5"/>
    <w:rsid w:val="00540BEF"/>
    <w:rsid w:val="005436C2"/>
    <w:rsid w:val="0055288D"/>
    <w:rsid w:val="00555259"/>
    <w:rsid w:val="00560D57"/>
    <w:rsid w:val="00562A94"/>
    <w:rsid w:val="00563006"/>
    <w:rsid w:val="005710A9"/>
    <w:rsid w:val="00593043"/>
    <w:rsid w:val="005A258C"/>
    <w:rsid w:val="005A3560"/>
    <w:rsid w:val="005A6C99"/>
    <w:rsid w:val="005B011A"/>
    <w:rsid w:val="005B1D8F"/>
    <w:rsid w:val="005F1115"/>
    <w:rsid w:val="005F27F2"/>
    <w:rsid w:val="005F424D"/>
    <w:rsid w:val="005F6B04"/>
    <w:rsid w:val="00600C48"/>
    <w:rsid w:val="00606BEB"/>
    <w:rsid w:val="00613E26"/>
    <w:rsid w:val="00615641"/>
    <w:rsid w:val="00624D0C"/>
    <w:rsid w:val="006307BA"/>
    <w:rsid w:val="00632F55"/>
    <w:rsid w:val="00634C4A"/>
    <w:rsid w:val="006418C9"/>
    <w:rsid w:val="00645046"/>
    <w:rsid w:val="00645EA2"/>
    <w:rsid w:val="006603EE"/>
    <w:rsid w:val="00662F08"/>
    <w:rsid w:val="00663589"/>
    <w:rsid w:val="00670DDC"/>
    <w:rsid w:val="0067443B"/>
    <w:rsid w:val="006841D7"/>
    <w:rsid w:val="00684E2B"/>
    <w:rsid w:val="0068575C"/>
    <w:rsid w:val="00690FDA"/>
    <w:rsid w:val="00694EEA"/>
    <w:rsid w:val="006955B4"/>
    <w:rsid w:val="00696476"/>
    <w:rsid w:val="006A10FA"/>
    <w:rsid w:val="006A40E6"/>
    <w:rsid w:val="006A5C07"/>
    <w:rsid w:val="006A75FA"/>
    <w:rsid w:val="006A773D"/>
    <w:rsid w:val="006B07D5"/>
    <w:rsid w:val="006B1309"/>
    <w:rsid w:val="006B17E0"/>
    <w:rsid w:val="006B5923"/>
    <w:rsid w:val="006B6C14"/>
    <w:rsid w:val="006C3A68"/>
    <w:rsid w:val="006C6AB1"/>
    <w:rsid w:val="006D2D39"/>
    <w:rsid w:val="006E06D1"/>
    <w:rsid w:val="006E2DC8"/>
    <w:rsid w:val="006E7356"/>
    <w:rsid w:val="006E77C8"/>
    <w:rsid w:val="006F149D"/>
    <w:rsid w:val="006F1A46"/>
    <w:rsid w:val="006F5A4E"/>
    <w:rsid w:val="00706BEF"/>
    <w:rsid w:val="007116BC"/>
    <w:rsid w:val="007165CE"/>
    <w:rsid w:val="00720968"/>
    <w:rsid w:val="00721D12"/>
    <w:rsid w:val="00721F8B"/>
    <w:rsid w:val="0073254D"/>
    <w:rsid w:val="00736A49"/>
    <w:rsid w:val="00743C2D"/>
    <w:rsid w:val="00744EBB"/>
    <w:rsid w:val="00745E27"/>
    <w:rsid w:val="00746AE2"/>
    <w:rsid w:val="00750C82"/>
    <w:rsid w:val="0076100C"/>
    <w:rsid w:val="007651ED"/>
    <w:rsid w:val="00766C87"/>
    <w:rsid w:val="00781BD4"/>
    <w:rsid w:val="00784832"/>
    <w:rsid w:val="00785D77"/>
    <w:rsid w:val="00791F1E"/>
    <w:rsid w:val="00794F3D"/>
    <w:rsid w:val="007A0B39"/>
    <w:rsid w:val="007A14A4"/>
    <w:rsid w:val="007A168F"/>
    <w:rsid w:val="007A28E4"/>
    <w:rsid w:val="007A3BB3"/>
    <w:rsid w:val="007A5AD1"/>
    <w:rsid w:val="007A5B7B"/>
    <w:rsid w:val="007B0A06"/>
    <w:rsid w:val="007B5C5C"/>
    <w:rsid w:val="007B7C41"/>
    <w:rsid w:val="007C433E"/>
    <w:rsid w:val="007D0292"/>
    <w:rsid w:val="007D21AC"/>
    <w:rsid w:val="007D568A"/>
    <w:rsid w:val="007D574E"/>
    <w:rsid w:val="007E2046"/>
    <w:rsid w:val="007E4FBB"/>
    <w:rsid w:val="007E55BF"/>
    <w:rsid w:val="007E7B4E"/>
    <w:rsid w:val="007F0CE2"/>
    <w:rsid w:val="007F0EFF"/>
    <w:rsid w:val="007F1375"/>
    <w:rsid w:val="00802E7C"/>
    <w:rsid w:val="00803850"/>
    <w:rsid w:val="00805AFD"/>
    <w:rsid w:val="00811D5B"/>
    <w:rsid w:val="00817713"/>
    <w:rsid w:val="00830999"/>
    <w:rsid w:val="00830D5E"/>
    <w:rsid w:val="00830F69"/>
    <w:rsid w:val="00834458"/>
    <w:rsid w:val="00835841"/>
    <w:rsid w:val="0083620E"/>
    <w:rsid w:val="00837465"/>
    <w:rsid w:val="00841457"/>
    <w:rsid w:val="0084374E"/>
    <w:rsid w:val="00844842"/>
    <w:rsid w:val="0085206E"/>
    <w:rsid w:val="00852AD4"/>
    <w:rsid w:val="00852BA8"/>
    <w:rsid w:val="00853718"/>
    <w:rsid w:val="008541EF"/>
    <w:rsid w:val="00856FA4"/>
    <w:rsid w:val="0086162B"/>
    <w:rsid w:val="00865207"/>
    <w:rsid w:val="008656A7"/>
    <w:rsid w:val="00870348"/>
    <w:rsid w:val="00871262"/>
    <w:rsid w:val="00871D4E"/>
    <w:rsid w:val="00875B51"/>
    <w:rsid w:val="00875F2D"/>
    <w:rsid w:val="008764DC"/>
    <w:rsid w:val="00883930"/>
    <w:rsid w:val="00896535"/>
    <w:rsid w:val="00896683"/>
    <w:rsid w:val="008A63A9"/>
    <w:rsid w:val="008B04DB"/>
    <w:rsid w:val="008B06A3"/>
    <w:rsid w:val="008B13FC"/>
    <w:rsid w:val="008B515D"/>
    <w:rsid w:val="008B5D31"/>
    <w:rsid w:val="008B6705"/>
    <w:rsid w:val="008D7B07"/>
    <w:rsid w:val="008E0186"/>
    <w:rsid w:val="008E2D99"/>
    <w:rsid w:val="008E4A60"/>
    <w:rsid w:val="008E5F63"/>
    <w:rsid w:val="009026E8"/>
    <w:rsid w:val="00906EB7"/>
    <w:rsid w:val="009102BF"/>
    <w:rsid w:val="00914ADB"/>
    <w:rsid w:val="00923B25"/>
    <w:rsid w:val="0092402E"/>
    <w:rsid w:val="00942645"/>
    <w:rsid w:val="00950A3A"/>
    <w:rsid w:val="0095340A"/>
    <w:rsid w:val="00954581"/>
    <w:rsid w:val="0095466C"/>
    <w:rsid w:val="009565BA"/>
    <w:rsid w:val="0096168C"/>
    <w:rsid w:val="00961840"/>
    <w:rsid w:val="00962F2D"/>
    <w:rsid w:val="009672CD"/>
    <w:rsid w:val="009732B8"/>
    <w:rsid w:val="00976869"/>
    <w:rsid w:val="00977740"/>
    <w:rsid w:val="00977CB4"/>
    <w:rsid w:val="00985099"/>
    <w:rsid w:val="009A0DE3"/>
    <w:rsid w:val="009A4F1B"/>
    <w:rsid w:val="009A79BA"/>
    <w:rsid w:val="009B1534"/>
    <w:rsid w:val="009B69D3"/>
    <w:rsid w:val="009B7BA7"/>
    <w:rsid w:val="009C0938"/>
    <w:rsid w:val="009C3F82"/>
    <w:rsid w:val="009C4EF9"/>
    <w:rsid w:val="009C72DD"/>
    <w:rsid w:val="009C7DF5"/>
    <w:rsid w:val="009D056C"/>
    <w:rsid w:val="009D060F"/>
    <w:rsid w:val="009D1ADE"/>
    <w:rsid w:val="009E09D0"/>
    <w:rsid w:val="009E1283"/>
    <w:rsid w:val="009E7D8B"/>
    <w:rsid w:val="009F7809"/>
    <w:rsid w:val="009F7AF5"/>
    <w:rsid w:val="00A00D14"/>
    <w:rsid w:val="00A01408"/>
    <w:rsid w:val="00A02457"/>
    <w:rsid w:val="00A0404B"/>
    <w:rsid w:val="00A1105B"/>
    <w:rsid w:val="00A15B6B"/>
    <w:rsid w:val="00A16876"/>
    <w:rsid w:val="00A200AA"/>
    <w:rsid w:val="00A2186F"/>
    <w:rsid w:val="00A2270B"/>
    <w:rsid w:val="00A2330A"/>
    <w:rsid w:val="00A2496E"/>
    <w:rsid w:val="00A258B7"/>
    <w:rsid w:val="00A32743"/>
    <w:rsid w:val="00A414A9"/>
    <w:rsid w:val="00A47CF1"/>
    <w:rsid w:val="00A50418"/>
    <w:rsid w:val="00A56D26"/>
    <w:rsid w:val="00A608FB"/>
    <w:rsid w:val="00A65C78"/>
    <w:rsid w:val="00A70E7B"/>
    <w:rsid w:val="00A72B82"/>
    <w:rsid w:val="00A73B84"/>
    <w:rsid w:val="00A76094"/>
    <w:rsid w:val="00A768E2"/>
    <w:rsid w:val="00A82C52"/>
    <w:rsid w:val="00A85F54"/>
    <w:rsid w:val="00A86CB6"/>
    <w:rsid w:val="00A90D55"/>
    <w:rsid w:val="00A9578D"/>
    <w:rsid w:val="00A961EE"/>
    <w:rsid w:val="00AA04B3"/>
    <w:rsid w:val="00AA493E"/>
    <w:rsid w:val="00AA73AF"/>
    <w:rsid w:val="00AB1754"/>
    <w:rsid w:val="00AC439D"/>
    <w:rsid w:val="00AD067E"/>
    <w:rsid w:val="00AD68C5"/>
    <w:rsid w:val="00AE2D29"/>
    <w:rsid w:val="00AE4624"/>
    <w:rsid w:val="00AE5E14"/>
    <w:rsid w:val="00AF4FA5"/>
    <w:rsid w:val="00B15D30"/>
    <w:rsid w:val="00B16B56"/>
    <w:rsid w:val="00B23436"/>
    <w:rsid w:val="00B32179"/>
    <w:rsid w:val="00B331A9"/>
    <w:rsid w:val="00B40A3E"/>
    <w:rsid w:val="00B50227"/>
    <w:rsid w:val="00B522CD"/>
    <w:rsid w:val="00B55917"/>
    <w:rsid w:val="00B628D5"/>
    <w:rsid w:val="00B64DD6"/>
    <w:rsid w:val="00B72303"/>
    <w:rsid w:val="00B82277"/>
    <w:rsid w:val="00B90ED8"/>
    <w:rsid w:val="00B95833"/>
    <w:rsid w:val="00BA2D98"/>
    <w:rsid w:val="00BA30D1"/>
    <w:rsid w:val="00BA4609"/>
    <w:rsid w:val="00BA5BE2"/>
    <w:rsid w:val="00BA7F46"/>
    <w:rsid w:val="00BB0A0A"/>
    <w:rsid w:val="00BB45B5"/>
    <w:rsid w:val="00BB6064"/>
    <w:rsid w:val="00BC09D1"/>
    <w:rsid w:val="00BD40AB"/>
    <w:rsid w:val="00BD6806"/>
    <w:rsid w:val="00BD7831"/>
    <w:rsid w:val="00BD7C10"/>
    <w:rsid w:val="00BE0DEB"/>
    <w:rsid w:val="00BE2FC1"/>
    <w:rsid w:val="00BE6365"/>
    <w:rsid w:val="00BF0B7F"/>
    <w:rsid w:val="00BF4720"/>
    <w:rsid w:val="00C038EC"/>
    <w:rsid w:val="00C13B34"/>
    <w:rsid w:val="00C1713D"/>
    <w:rsid w:val="00C177F1"/>
    <w:rsid w:val="00C25978"/>
    <w:rsid w:val="00C261C6"/>
    <w:rsid w:val="00C30A97"/>
    <w:rsid w:val="00C31DDC"/>
    <w:rsid w:val="00C34326"/>
    <w:rsid w:val="00C36201"/>
    <w:rsid w:val="00C368E8"/>
    <w:rsid w:val="00C42CBA"/>
    <w:rsid w:val="00C50149"/>
    <w:rsid w:val="00C5019E"/>
    <w:rsid w:val="00C53E8A"/>
    <w:rsid w:val="00C54DF3"/>
    <w:rsid w:val="00C560A7"/>
    <w:rsid w:val="00C56FC8"/>
    <w:rsid w:val="00C60F23"/>
    <w:rsid w:val="00C62EB2"/>
    <w:rsid w:val="00C71BEC"/>
    <w:rsid w:val="00C80511"/>
    <w:rsid w:val="00C80C3B"/>
    <w:rsid w:val="00C826F5"/>
    <w:rsid w:val="00C83740"/>
    <w:rsid w:val="00C84AD1"/>
    <w:rsid w:val="00C85579"/>
    <w:rsid w:val="00C931FC"/>
    <w:rsid w:val="00C932C5"/>
    <w:rsid w:val="00C95BF8"/>
    <w:rsid w:val="00C9650E"/>
    <w:rsid w:val="00CA068D"/>
    <w:rsid w:val="00CA282D"/>
    <w:rsid w:val="00CA4670"/>
    <w:rsid w:val="00CA6B1A"/>
    <w:rsid w:val="00CB20DC"/>
    <w:rsid w:val="00CB23DC"/>
    <w:rsid w:val="00CB28E2"/>
    <w:rsid w:val="00CB7FF7"/>
    <w:rsid w:val="00CC19B3"/>
    <w:rsid w:val="00CC2044"/>
    <w:rsid w:val="00CC69EC"/>
    <w:rsid w:val="00CD15BE"/>
    <w:rsid w:val="00CD34C7"/>
    <w:rsid w:val="00CD63C8"/>
    <w:rsid w:val="00CF158D"/>
    <w:rsid w:val="00CF4394"/>
    <w:rsid w:val="00D01A9D"/>
    <w:rsid w:val="00D05FA7"/>
    <w:rsid w:val="00D14BAE"/>
    <w:rsid w:val="00D1648B"/>
    <w:rsid w:val="00D16819"/>
    <w:rsid w:val="00D20AC0"/>
    <w:rsid w:val="00D2164B"/>
    <w:rsid w:val="00D336C8"/>
    <w:rsid w:val="00D339E8"/>
    <w:rsid w:val="00D40B1F"/>
    <w:rsid w:val="00D50C8C"/>
    <w:rsid w:val="00D52393"/>
    <w:rsid w:val="00D53F14"/>
    <w:rsid w:val="00D54BE4"/>
    <w:rsid w:val="00D60483"/>
    <w:rsid w:val="00D63577"/>
    <w:rsid w:val="00D67FD7"/>
    <w:rsid w:val="00D70469"/>
    <w:rsid w:val="00D74261"/>
    <w:rsid w:val="00D76AB2"/>
    <w:rsid w:val="00D829AD"/>
    <w:rsid w:val="00D82EE2"/>
    <w:rsid w:val="00D8545C"/>
    <w:rsid w:val="00D87788"/>
    <w:rsid w:val="00D877C8"/>
    <w:rsid w:val="00D910C2"/>
    <w:rsid w:val="00D9168C"/>
    <w:rsid w:val="00D9189B"/>
    <w:rsid w:val="00D91DA6"/>
    <w:rsid w:val="00D972D4"/>
    <w:rsid w:val="00DA195B"/>
    <w:rsid w:val="00DB0015"/>
    <w:rsid w:val="00DB2AAD"/>
    <w:rsid w:val="00DB6365"/>
    <w:rsid w:val="00DC0BF1"/>
    <w:rsid w:val="00DC41C3"/>
    <w:rsid w:val="00DD3593"/>
    <w:rsid w:val="00DE6952"/>
    <w:rsid w:val="00DE7E74"/>
    <w:rsid w:val="00E00A69"/>
    <w:rsid w:val="00E017F0"/>
    <w:rsid w:val="00E041E4"/>
    <w:rsid w:val="00E103C8"/>
    <w:rsid w:val="00E1085B"/>
    <w:rsid w:val="00E14581"/>
    <w:rsid w:val="00E15295"/>
    <w:rsid w:val="00E15539"/>
    <w:rsid w:val="00E16541"/>
    <w:rsid w:val="00E23ADF"/>
    <w:rsid w:val="00E2632B"/>
    <w:rsid w:val="00E405EA"/>
    <w:rsid w:val="00E408B7"/>
    <w:rsid w:val="00E42789"/>
    <w:rsid w:val="00E43F59"/>
    <w:rsid w:val="00E464F0"/>
    <w:rsid w:val="00E50BEB"/>
    <w:rsid w:val="00E6092F"/>
    <w:rsid w:val="00E629DA"/>
    <w:rsid w:val="00E738CB"/>
    <w:rsid w:val="00E81C3E"/>
    <w:rsid w:val="00E82B6D"/>
    <w:rsid w:val="00EA1177"/>
    <w:rsid w:val="00EA11B6"/>
    <w:rsid w:val="00EA16AF"/>
    <w:rsid w:val="00EA2DD8"/>
    <w:rsid w:val="00EA4475"/>
    <w:rsid w:val="00EA681F"/>
    <w:rsid w:val="00EB3823"/>
    <w:rsid w:val="00EB47D8"/>
    <w:rsid w:val="00EB76E4"/>
    <w:rsid w:val="00EC0E65"/>
    <w:rsid w:val="00EC50C9"/>
    <w:rsid w:val="00EC5BB2"/>
    <w:rsid w:val="00EC5EFF"/>
    <w:rsid w:val="00ED664B"/>
    <w:rsid w:val="00EE0B44"/>
    <w:rsid w:val="00EE391B"/>
    <w:rsid w:val="00EF5268"/>
    <w:rsid w:val="00EF608E"/>
    <w:rsid w:val="00F05807"/>
    <w:rsid w:val="00F07052"/>
    <w:rsid w:val="00F0706C"/>
    <w:rsid w:val="00F11EBE"/>
    <w:rsid w:val="00F130D0"/>
    <w:rsid w:val="00F1516A"/>
    <w:rsid w:val="00F22A26"/>
    <w:rsid w:val="00F24072"/>
    <w:rsid w:val="00F26432"/>
    <w:rsid w:val="00F3197A"/>
    <w:rsid w:val="00F32139"/>
    <w:rsid w:val="00F34E08"/>
    <w:rsid w:val="00F41D91"/>
    <w:rsid w:val="00F42363"/>
    <w:rsid w:val="00F46964"/>
    <w:rsid w:val="00F51040"/>
    <w:rsid w:val="00F5126A"/>
    <w:rsid w:val="00F718A8"/>
    <w:rsid w:val="00F72183"/>
    <w:rsid w:val="00F76D01"/>
    <w:rsid w:val="00F82981"/>
    <w:rsid w:val="00F8311F"/>
    <w:rsid w:val="00F83248"/>
    <w:rsid w:val="00F853AE"/>
    <w:rsid w:val="00F93DCC"/>
    <w:rsid w:val="00F9435D"/>
    <w:rsid w:val="00FB593A"/>
    <w:rsid w:val="00FB6E82"/>
    <w:rsid w:val="00FC2A13"/>
    <w:rsid w:val="00FC33F7"/>
    <w:rsid w:val="00FC4576"/>
    <w:rsid w:val="00FC7DBC"/>
    <w:rsid w:val="00FD076A"/>
    <w:rsid w:val="00FD1D5A"/>
    <w:rsid w:val="00FD5059"/>
    <w:rsid w:val="00FD554D"/>
    <w:rsid w:val="00FF0FF7"/>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4C6262"/>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53432794">
      <w:bodyDiv w:val="1"/>
      <w:marLeft w:val="0"/>
      <w:marRight w:val="0"/>
      <w:marTop w:val="0"/>
      <w:marBottom w:val="0"/>
      <w:divBdr>
        <w:top w:val="none" w:sz="0" w:space="0" w:color="auto"/>
        <w:left w:val="none" w:sz="0" w:space="0" w:color="auto"/>
        <w:bottom w:val="none" w:sz="0" w:space="0" w:color="auto"/>
        <w:right w:val="none" w:sz="0" w:space="0" w:color="auto"/>
      </w:divBdr>
    </w:div>
    <w:div w:id="1092164641">
      <w:bodyDiv w:val="1"/>
      <w:marLeft w:val="0"/>
      <w:marRight w:val="0"/>
      <w:marTop w:val="0"/>
      <w:marBottom w:val="0"/>
      <w:divBdr>
        <w:top w:val="none" w:sz="0" w:space="0" w:color="auto"/>
        <w:left w:val="none" w:sz="0" w:space="0" w:color="auto"/>
        <w:bottom w:val="none" w:sz="0" w:space="0" w:color="auto"/>
        <w:right w:val="none" w:sz="0" w:space="0" w:color="auto"/>
      </w:divBdr>
    </w:div>
    <w:div w:id="110149382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4BCA9-9E19-4C13-B033-9E78FFD27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2100</Words>
  <Characters>11678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JAMEILL.BARKSDALE</cp:lastModifiedBy>
  <cp:revision>9</cp:revision>
  <cp:lastPrinted>2010-04-01T12:47:00Z</cp:lastPrinted>
  <dcterms:created xsi:type="dcterms:W3CDTF">2010-03-25T15:00:00Z</dcterms:created>
  <dcterms:modified xsi:type="dcterms:W3CDTF">2012-01-24T13:45:00Z</dcterms:modified>
</cp:coreProperties>
</file>