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5B1A6D" w:rsidRDefault="00FE3349" w:rsidP="00E64CEB">
      <w:pPr>
        <w:tabs>
          <w:tab w:val="left" w:pos="288"/>
          <w:tab w:val="left" w:pos="4752"/>
        </w:tabs>
        <w:spacing w:line="240" w:lineRule="exact"/>
        <w:jc w:val="center"/>
        <w:rPr>
          <w:color w:val="auto"/>
        </w:rPr>
      </w:pPr>
      <w:r w:rsidRPr="005B1A6D">
        <w:rPr>
          <w:color w:val="auto"/>
        </w:rPr>
        <w:t>RECORD OF PROCEEDINGS</w:t>
      </w:r>
    </w:p>
    <w:p w:rsidR="00540BEF" w:rsidRPr="005B1A6D" w:rsidRDefault="00540BEF" w:rsidP="00E64CEB">
      <w:pPr>
        <w:tabs>
          <w:tab w:val="left" w:pos="288"/>
          <w:tab w:val="left" w:pos="4752"/>
        </w:tabs>
        <w:spacing w:line="240" w:lineRule="exact"/>
        <w:jc w:val="center"/>
        <w:rPr>
          <w:color w:val="auto"/>
        </w:rPr>
      </w:pPr>
      <w:r w:rsidRPr="005B1A6D">
        <w:rPr>
          <w:color w:val="auto"/>
        </w:rPr>
        <w:t>PHYSICAL DISABILITY BOARD OF REVIEW</w:t>
      </w:r>
    </w:p>
    <w:p w:rsidR="00540BEF" w:rsidRPr="005B1A6D" w:rsidRDefault="00540BEF" w:rsidP="00E64CEB">
      <w:pPr>
        <w:tabs>
          <w:tab w:val="left" w:pos="288"/>
          <w:tab w:val="left" w:pos="4752"/>
        </w:tabs>
        <w:spacing w:line="240" w:lineRule="exact"/>
        <w:jc w:val="both"/>
        <w:rPr>
          <w:color w:val="auto"/>
        </w:rPr>
      </w:pPr>
    </w:p>
    <w:p w:rsidR="00540BEF" w:rsidRPr="005B1A6D" w:rsidRDefault="00540BEF" w:rsidP="00E64CEB">
      <w:pPr>
        <w:tabs>
          <w:tab w:val="left" w:pos="288"/>
          <w:tab w:val="left" w:pos="4752"/>
        </w:tabs>
        <w:spacing w:line="240" w:lineRule="exact"/>
        <w:jc w:val="both"/>
        <w:rPr>
          <w:color w:val="auto"/>
        </w:rPr>
      </w:pPr>
      <w:r w:rsidRPr="005B1A6D">
        <w:rPr>
          <w:color w:val="auto"/>
        </w:rPr>
        <w:t>NAME:</w:t>
      </w:r>
      <w:r w:rsidR="00A15020" w:rsidRPr="005B1A6D">
        <w:rPr>
          <w:color w:val="auto"/>
        </w:rPr>
        <w:tab/>
      </w:r>
      <w:r w:rsidRPr="005B1A6D">
        <w:rPr>
          <w:color w:val="auto"/>
        </w:rPr>
        <w:tab/>
        <w:t xml:space="preserve">BRANCH OF SERVICE: </w:t>
      </w:r>
      <w:r w:rsidR="00020CF5" w:rsidRPr="005B1A6D">
        <w:rPr>
          <w:color w:val="auto"/>
        </w:rPr>
        <w:t>AIR FORCE</w:t>
      </w:r>
    </w:p>
    <w:p w:rsidR="005E754C" w:rsidRDefault="007722C3" w:rsidP="005E754C">
      <w:pPr>
        <w:tabs>
          <w:tab w:val="left" w:pos="288"/>
          <w:tab w:val="left" w:pos="3045"/>
          <w:tab w:val="left" w:pos="4752"/>
        </w:tabs>
        <w:spacing w:line="240" w:lineRule="exact"/>
        <w:ind w:right="-270"/>
        <w:jc w:val="both"/>
        <w:rPr>
          <w:color w:val="auto"/>
        </w:rPr>
      </w:pPr>
      <w:r w:rsidRPr="005B1A6D">
        <w:rPr>
          <w:color w:val="auto"/>
        </w:rPr>
        <w:t>CASE NUMBER:  PD0900</w:t>
      </w:r>
      <w:r w:rsidR="00CC2C00" w:rsidRPr="005B1A6D">
        <w:rPr>
          <w:color w:val="auto"/>
        </w:rPr>
        <w:t>100</w:t>
      </w:r>
      <w:r w:rsidR="00CE64FA" w:rsidRPr="005B1A6D">
        <w:rPr>
          <w:color w:val="auto"/>
        </w:rPr>
        <w:tab/>
      </w:r>
      <w:r w:rsidR="00EF56C8" w:rsidRPr="005B1A6D">
        <w:rPr>
          <w:color w:val="auto"/>
        </w:rPr>
        <w:tab/>
      </w:r>
      <w:r w:rsidR="00540BEF" w:rsidRPr="005B1A6D">
        <w:rPr>
          <w:color w:val="auto"/>
        </w:rPr>
        <w:t xml:space="preserve">BOARD DATE: </w:t>
      </w:r>
      <w:r w:rsidR="00276C86" w:rsidRPr="005B1A6D">
        <w:rPr>
          <w:color w:val="auto"/>
        </w:rPr>
        <w:t>20</w:t>
      </w:r>
      <w:r w:rsidR="00020CF5" w:rsidRPr="005B1A6D">
        <w:rPr>
          <w:color w:val="auto"/>
        </w:rPr>
        <w:t>10</w:t>
      </w:r>
      <w:r w:rsidR="008644FE">
        <w:rPr>
          <w:color w:val="auto"/>
        </w:rPr>
        <w:t>0331</w:t>
      </w:r>
    </w:p>
    <w:p w:rsidR="00540BEF" w:rsidRPr="005B1A6D" w:rsidRDefault="00540BEF" w:rsidP="005E754C">
      <w:pPr>
        <w:tabs>
          <w:tab w:val="left" w:pos="288"/>
          <w:tab w:val="left" w:pos="3045"/>
          <w:tab w:val="left" w:pos="4752"/>
        </w:tabs>
        <w:spacing w:line="240" w:lineRule="exact"/>
        <w:ind w:right="-270"/>
        <w:jc w:val="both"/>
        <w:rPr>
          <w:color w:val="auto"/>
        </w:rPr>
      </w:pPr>
      <w:r w:rsidRPr="005B1A6D">
        <w:rPr>
          <w:color w:val="auto"/>
        </w:rPr>
        <w:t xml:space="preserve">SEPARATION DATE: </w:t>
      </w:r>
      <w:r w:rsidR="00D45A71" w:rsidRPr="005B1A6D">
        <w:rPr>
          <w:color w:val="auto"/>
        </w:rPr>
        <w:t>20030307</w:t>
      </w:r>
    </w:p>
    <w:p w:rsidR="00540BEF" w:rsidRPr="005B1A6D" w:rsidRDefault="00540BEF" w:rsidP="00E64CEB">
      <w:pPr>
        <w:tabs>
          <w:tab w:val="left" w:pos="288"/>
          <w:tab w:val="left" w:pos="4752"/>
        </w:tabs>
        <w:spacing w:line="240" w:lineRule="exact"/>
        <w:jc w:val="both"/>
        <w:rPr>
          <w:color w:val="auto"/>
        </w:rPr>
      </w:pPr>
      <w:r w:rsidRPr="005B1A6D">
        <w:rPr>
          <w:color w:val="auto"/>
          <w:u w:val="single"/>
        </w:rPr>
        <w:t>________________________________</w:t>
      </w:r>
      <w:r w:rsidR="0058789E" w:rsidRPr="005B1A6D">
        <w:rPr>
          <w:color w:val="auto"/>
          <w:u w:val="single"/>
        </w:rPr>
        <w:t>_____________</w:t>
      </w:r>
      <w:r w:rsidRPr="005B1A6D">
        <w:rPr>
          <w:color w:val="auto"/>
          <w:u w:val="single"/>
        </w:rPr>
        <w:t>__________________</w:t>
      </w:r>
      <w:r w:rsidRPr="005B1A6D">
        <w:rPr>
          <w:color w:val="auto"/>
        </w:rPr>
        <w:t>_</w:t>
      </w:r>
    </w:p>
    <w:p w:rsidR="00B522CD" w:rsidRPr="005B1A6D" w:rsidRDefault="00B522CD" w:rsidP="00E64CEB">
      <w:pPr>
        <w:tabs>
          <w:tab w:val="left" w:pos="288"/>
          <w:tab w:val="left" w:pos="4752"/>
        </w:tabs>
        <w:spacing w:line="240" w:lineRule="exact"/>
        <w:jc w:val="both"/>
        <w:rPr>
          <w:color w:val="auto"/>
        </w:rPr>
      </w:pPr>
    </w:p>
    <w:p w:rsidR="00684E2B" w:rsidRPr="005B1A6D" w:rsidRDefault="00811D5B" w:rsidP="00E64CEB">
      <w:pPr>
        <w:tabs>
          <w:tab w:val="left" w:pos="288"/>
          <w:tab w:val="left" w:pos="4752"/>
        </w:tabs>
        <w:spacing w:line="240" w:lineRule="exact"/>
        <w:jc w:val="both"/>
        <w:rPr>
          <w:color w:val="auto"/>
          <w:szCs w:val="24"/>
        </w:rPr>
      </w:pPr>
      <w:r w:rsidRPr="005B1A6D">
        <w:rPr>
          <w:color w:val="auto"/>
          <w:u w:val="single"/>
        </w:rPr>
        <w:t>SUMMARY</w:t>
      </w:r>
      <w:r w:rsidR="003D7DDB" w:rsidRPr="005B1A6D">
        <w:rPr>
          <w:color w:val="auto"/>
          <w:u w:val="single"/>
        </w:rPr>
        <w:t xml:space="preserve"> OF CASE</w:t>
      </w:r>
      <w:r w:rsidR="00B522CD" w:rsidRPr="005B1A6D">
        <w:rPr>
          <w:color w:val="auto"/>
        </w:rPr>
        <w:t>:</w:t>
      </w:r>
      <w:r w:rsidR="00BA30D1" w:rsidRPr="005B1A6D">
        <w:rPr>
          <w:color w:val="auto"/>
        </w:rPr>
        <w:t xml:space="preserve"> </w:t>
      </w:r>
      <w:r w:rsidR="00FB6E82" w:rsidRPr="005B1A6D">
        <w:rPr>
          <w:color w:val="auto"/>
        </w:rPr>
        <w:t xml:space="preserve"> </w:t>
      </w:r>
      <w:r w:rsidR="00684E2B" w:rsidRPr="005B1A6D">
        <w:rPr>
          <w:color w:val="auto"/>
          <w:szCs w:val="24"/>
        </w:rPr>
        <w:t>This covered individual (CI) was</w:t>
      </w:r>
      <w:r w:rsidR="00F94A5D" w:rsidRPr="005B1A6D">
        <w:rPr>
          <w:color w:val="auto"/>
          <w:szCs w:val="24"/>
        </w:rPr>
        <w:t xml:space="preserve"> a</w:t>
      </w:r>
      <w:r w:rsidR="00CE1AA2" w:rsidRPr="005B1A6D">
        <w:rPr>
          <w:color w:val="auto"/>
          <w:szCs w:val="24"/>
        </w:rPr>
        <w:t xml:space="preserve"> </w:t>
      </w:r>
      <w:r w:rsidR="005C0DC3" w:rsidRPr="005B1A6D">
        <w:rPr>
          <w:color w:val="auto"/>
          <w:szCs w:val="24"/>
        </w:rPr>
        <w:t>First</w:t>
      </w:r>
      <w:r w:rsidR="003C75C7" w:rsidRPr="005B1A6D">
        <w:rPr>
          <w:color w:val="auto"/>
          <w:szCs w:val="24"/>
        </w:rPr>
        <w:t xml:space="preserve"> Lieutenant/O-2</w:t>
      </w:r>
      <w:r w:rsidR="00F94A5D" w:rsidRPr="005B1A6D">
        <w:rPr>
          <w:color w:val="auto"/>
          <w:szCs w:val="24"/>
        </w:rPr>
        <w:t xml:space="preserve"> </w:t>
      </w:r>
      <w:r w:rsidR="00F70145" w:rsidRPr="005B1A6D">
        <w:rPr>
          <w:color w:val="auto"/>
          <w:szCs w:val="24"/>
        </w:rPr>
        <w:t>serving as a Contracting Officer</w:t>
      </w:r>
      <w:r w:rsidR="0077175A" w:rsidRPr="005B1A6D">
        <w:rPr>
          <w:color w:val="auto"/>
          <w:szCs w:val="24"/>
        </w:rPr>
        <w:t xml:space="preserve"> </w:t>
      </w:r>
      <w:r w:rsidR="00684E2B" w:rsidRPr="005B1A6D">
        <w:rPr>
          <w:color w:val="auto"/>
          <w:szCs w:val="24"/>
        </w:rPr>
        <w:t xml:space="preserve">medically separated from the </w:t>
      </w:r>
      <w:r w:rsidR="003C75C7" w:rsidRPr="005B1A6D">
        <w:rPr>
          <w:color w:val="auto"/>
          <w:szCs w:val="24"/>
        </w:rPr>
        <w:t xml:space="preserve">Air Force </w:t>
      </w:r>
      <w:r w:rsidR="00684E2B" w:rsidRPr="005B1A6D">
        <w:rPr>
          <w:color w:val="auto"/>
          <w:szCs w:val="24"/>
        </w:rPr>
        <w:t xml:space="preserve">in </w:t>
      </w:r>
      <w:r w:rsidR="003C75C7" w:rsidRPr="005B1A6D">
        <w:rPr>
          <w:color w:val="auto"/>
          <w:szCs w:val="24"/>
        </w:rPr>
        <w:t>2003</w:t>
      </w:r>
      <w:r w:rsidR="00684E2B" w:rsidRPr="005B1A6D">
        <w:rPr>
          <w:color w:val="auto"/>
          <w:szCs w:val="24"/>
        </w:rPr>
        <w:t xml:space="preserve"> after </w:t>
      </w:r>
      <w:r w:rsidR="00670DB9" w:rsidRPr="005B1A6D">
        <w:rPr>
          <w:color w:val="auto"/>
          <w:szCs w:val="24"/>
        </w:rPr>
        <w:t xml:space="preserve">more than </w:t>
      </w:r>
      <w:r w:rsidR="004525F9" w:rsidRPr="005B1A6D">
        <w:rPr>
          <w:color w:val="auto"/>
          <w:szCs w:val="24"/>
        </w:rPr>
        <w:t>3</w:t>
      </w:r>
      <w:r w:rsidR="00A82DD8" w:rsidRPr="005B1A6D">
        <w:rPr>
          <w:color w:val="auto"/>
          <w:szCs w:val="24"/>
        </w:rPr>
        <w:t xml:space="preserve"> </w:t>
      </w:r>
      <w:r w:rsidR="00684E2B" w:rsidRPr="005B1A6D">
        <w:rPr>
          <w:color w:val="auto"/>
          <w:szCs w:val="24"/>
        </w:rPr>
        <w:t>year</w:t>
      </w:r>
      <w:r w:rsidR="00A82DD8" w:rsidRPr="005B1A6D">
        <w:rPr>
          <w:color w:val="auto"/>
          <w:szCs w:val="24"/>
        </w:rPr>
        <w:t>s</w:t>
      </w:r>
      <w:r w:rsidR="00684E2B" w:rsidRPr="005B1A6D">
        <w:rPr>
          <w:color w:val="auto"/>
          <w:szCs w:val="24"/>
        </w:rPr>
        <w:t xml:space="preserve"> of </w:t>
      </w:r>
      <w:r w:rsidR="004525F9" w:rsidRPr="005B1A6D">
        <w:rPr>
          <w:color w:val="auto"/>
          <w:szCs w:val="24"/>
        </w:rPr>
        <w:t xml:space="preserve">active duty </w:t>
      </w:r>
      <w:r w:rsidR="00684E2B" w:rsidRPr="005B1A6D">
        <w:rPr>
          <w:color w:val="auto"/>
          <w:szCs w:val="24"/>
        </w:rPr>
        <w:t>service</w:t>
      </w:r>
      <w:r w:rsidR="00670DB9" w:rsidRPr="005B1A6D">
        <w:rPr>
          <w:color w:val="auto"/>
          <w:szCs w:val="24"/>
        </w:rPr>
        <w:t xml:space="preserve"> and nine years </w:t>
      </w:r>
      <w:r w:rsidR="00842768">
        <w:rPr>
          <w:color w:val="auto"/>
          <w:szCs w:val="24"/>
        </w:rPr>
        <w:t xml:space="preserve">of </w:t>
      </w:r>
      <w:r w:rsidR="00670DB9" w:rsidRPr="005B1A6D">
        <w:rPr>
          <w:color w:val="auto"/>
          <w:szCs w:val="24"/>
        </w:rPr>
        <w:t>total service</w:t>
      </w:r>
      <w:r w:rsidR="00684E2B" w:rsidRPr="005B1A6D">
        <w:rPr>
          <w:color w:val="auto"/>
          <w:szCs w:val="24"/>
        </w:rPr>
        <w:t xml:space="preserve">.  The medical basis for the separation was </w:t>
      </w:r>
      <w:r w:rsidR="004525F9" w:rsidRPr="005B1A6D">
        <w:rPr>
          <w:color w:val="auto"/>
          <w:szCs w:val="24"/>
        </w:rPr>
        <w:t xml:space="preserve">Chronic Lower Back </w:t>
      </w:r>
      <w:r w:rsidR="00253D61">
        <w:rPr>
          <w:color w:val="auto"/>
          <w:szCs w:val="24"/>
        </w:rPr>
        <w:t xml:space="preserve">with </w:t>
      </w:r>
      <w:r w:rsidR="004525F9" w:rsidRPr="005B1A6D">
        <w:rPr>
          <w:color w:val="auto"/>
          <w:szCs w:val="24"/>
        </w:rPr>
        <w:t xml:space="preserve">Weakness of Anterior </w:t>
      </w:r>
      <w:proofErr w:type="spellStart"/>
      <w:r w:rsidR="004525F9" w:rsidRPr="005B1A6D">
        <w:rPr>
          <w:color w:val="auto"/>
          <w:szCs w:val="24"/>
        </w:rPr>
        <w:t>Tibial</w:t>
      </w:r>
      <w:proofErr w:type="spellEnd"/>
      <w:r w:rsidR="004525F9" w:rsidRPr="005B1A6D">
        <w:rPr>
          <w:color w:val="auto"/>
          <w:szCs w:val="24"/>
        </w:rPr>
        <w:t xml:space="preserve"> Nerve.</w:t>
      </w:r>
      <w:r w:rsidR="00684E2B" w:rsidRPr="005B1A6D">
        <w:rPr>
          <w:color w:val="auto"/>
          <w:szCs w:val="24"/>
        </w:rPr>
        <w:t xml:space="preserve"> </w:t>
      </w:r>
    </w:p>
    <w:p w:rsidR="00684E2B" w:rsidRPr="005B1A6D" w:rsidRDefault="00684E2B" w:rsidP="00E64CEB">
      <w:pPr>
        <w:tabs>
          <w:tab w:val="left" w:pos="288"/>
          <w:tab w:val="left" w:pos="4752"/>
        </w:tabs>
        <w:spacing w:line="240" w:lineRule="exact"/>
        <w:jc w:val="both"/>
        <w:rPr>
          <w:color w:val="auto"/>
          <w:szCs w:val="24"/>
        </w:rPr>
      </w:pPr>
    </w:p>
    <w:p w:rsidR="00684E2B" w:rsidRPr="005B1A6D" w:rsidRDefault="0094003C" w:rsidP="00E64CEB">
      <w:pPr>
        <w:tabs>
          <w:tab w:val="left" w:pos="288"/>
          <w:tab w:val="left" w:pos="4752"/>
        </w:tabs>
        <w:spacing w:line="240" w:lineRule="exact"/>
        <w:jc w:val="both"/>
        <w:rPr>
          <w:color w:val="auto"/>
          <w:szCs w:val="24"/>
        </w:rPr>
      </w:pPr>
      <w:r w:rsidRPr="005B1A6D">
        <w:rPr>
          <w:color w:val="auto"/>
          <w:szCs w:val="24"/>
        </w:rPr>
        <w:t>The</w:t>
      </w:r>
      <w:r w:rsidR="00684E2B" w:rsidRPr="005B1A6D">
        <w:rPr>
          <w:color w:val="auto"/>
          <w:szCs w:val="24"/>
        </w:rPr>
        <w:t xml:space="preserve"> CI was referred to the </w:t>
      </w:r>
      <w:r w:rsidR="00842768">
        <w:rPr>
          <w:color w:val="auto"/>
          <w:szCs w:val="24"/>
        </w:rPr>
        <w:t>Physical Evaluation Board (</w:t>
      </w:r>
      <w:r w:rsidR="00684E2B" w:rsidRPr="005B1A6D">
        <w:rPr>
          <w:color w:val="auto"/>
          <w:szCs w:val="24"/>
        </w:rPr>
        <w:t>PEB</w:t>
      </w:r>
      <w:r w:rsidR="00842768">
        <w:rPr>
          <w:color w:val="auto"/>
          <w:szCs w:val="24"/>
        </w:rPr>
        <w:t>)</w:t>
      </w:r>
      <w:r w:rsidR="00684E2B" w:rsidRPr="005B1A6D">
        <w:rPr>
          <w:color w:val="auto"/>
          <w:szCs w:val="24"/>
        </w:rPr>
        <w:t xml:space="preserve">, found unfit </w:t>
      </w:r>
      <w:r w:rsidR="00E866F8" w:rsidRPr="005B1A6D">
        <w:rPr>
          <w:color w:val="auto"/>
          <w:szCs w:val="24"/>
        </w:rPr>
        <w:t>for continued military service</w:t>
      </w:r>
      <w:r w:rsidRPr="005B1A6D">
        <w:rPr>
          <w:color w:val="auto"/>
          <w:szCs w:val="24"/>
        </w:rPr>
        <w:t>,</w:t>
      </w:r>
      <w:r w:rsidR="00E866F8" w:rsidRPr="005B1A6D">
        <w:rPr>
          <w:color w:val="auto"/>
          <w:szCs w:val="24"/>
        </w:rPr>
        <w:t xml:space="preserve"> </w:t>
      </w:r>
      <w:r w:rsidR="00684E2B" w:rsidRPr="005B1A6D">
        <w:rPr>
          <w:color w:val="auto"/>
          <w:szCs w:val="24"/>
        </w:rPr>
        <w:t xml:space="preserve">and separated at </w:t>
      </w:r>
      <w:r w:rsidR="0048187A" w:rsidRPr="005B1A6D">
        <w:rPr>
          <w:color w:val="auto"/>
          <w:szCs w:val="24"/>
        </w:rPr>
        <w:t>10</w:t>
      </w:r>
      <w:r w:rsidR="00684E2B" w:rsidRPr="005B1A6D">
        <w:rPr>
          <w:color w:val="auto"/>
          <w:szCs w:val="24"/>
        </w:rPr>
        <w:t>% disability</w:t>
      </w:r>
      <w:r w:rsidR="00E866F8" w:rsidRPr="005B1A6D">
        <w:rPr>
          <w:color w:val="auto"/>
          <w:szCs w:val="24"/>
        </w:rPr>
        <w:t xml:space="preserve"> using the Veterans Affairs Schedule for Ratings Disabilities (VASRD) and applicable</w:t>
      </w:r>
      <w:r w:rsidR="003050DD" w:rsidRPr="005B1A6D">
        <w:rPr>
          <w:color w:val="auto"/>
          <w:szCs w:val="24"/>
        </w:rPr>
        <w:t xml:space="preserve"> </w:t>
      </w:r>
      <w:r w:rsidR="0048187A" w:rsidRPr="005B1A6D">
        <w:rPr>
          <w:color w:val="auto"/>
          <w:szCs w:val="24"/>
        </w:rPr>
        <w:t xml:space="preserve">Air Force </w:t>
      </w:r>
      <w:r w:rsidR="00E866F8" w:rsidRPr="005B1A6D">
        <w:rPr>
          <w:color w:val="auto"/>
          <w:szCs w:val="24"/>
        </w:rPr>
        <w:t>and Department of Defense regulations.</w:t>
      </w:r>
    </w:p>
    <w:p w:rsidR="00923B25" w:rsidRPr="005B1A6D" w:rsidRDefault="008B5D31" w:rsidP="00E64CEB">
      <w:pPr>
        <w:tabs>
          <w:tab w:val="left" w:pos="288"/>
          <w:tab w:val="left" w:pos="4752"/>
        </w:tabs>
        <w:spacing w:line="240" w:lineRule="exact"/>
        <w:ind w:right="-540"/>
        <w:jc w:val="both"/>
        <w:rPr>
          <w:color w:val="auto"/>
        </w:rPr>
      </w:pPr>
      <w:r w:rsidRPr="005B1A6D">
        <w:rPr>
          <w:color w:val="auto"/>
          <w:u w:val="single"/>
        </w:rPr>
        <w:t>____________________________</w:t>
      </w:r>
      <w:r w:rsidR="0058789E" w:rsidRPr="005B1A6D">
        <w:rPr>
          <w:color w:val="auto"/>
          <w:u w:val="single"/>
        </w:rPr>
        <w:t>___________</w:t>
      </w:r>
      <w:r w:rsidRPr="005B1A6D">
        <w:rPr>
          <w:color w:val="auto"/>
          <w:u w:val="single"/>
        </w:rPr>
        <w:t>__________________________</w:t>
      </w:r>
    </w:p>
    <w:p w:rsidR="00923B25" w:rsidRPr="005B1A6D" w:rsidRDefault="00923B25" w:rsidP="00E64CEB">
      <w:pPr>
        <w:tabs>
          <w:tab w:val="left" w:pos="288"/>
          <w:tab w:val="left" w:pos="4752"/>
        </w:tabs>
        <w:spacing w:line="240" w:lineRule="exact"/>
        <w:jc w:val="both"/>
        <w:rPr>
          <w:color w:val="auto"/>
        </w:rPr>
      </w:pPr>
    </w:p>
    <w:p w:rsidR="00E866F8" w:rsidRPr="005B1A6D" w:rsidRDefault="001C181A" w:rsidP="00E64CEB">
      <w:pPr>
        <w:autoSpaceDE w:val="0"/>
        <w:autoSpaceDN w:val="0"/>
        <w:adjustRightInd w:val="0"/>
        <w:spacing w:line="240" w:lineRule="exact"/>
        <w:jc w:val="both"/>
        <w:rPr>
          <w:color w:val="auto"/>
          <w:szCs w:val="24"/>
        </w:rPr>
      </w:pPr>
      <w:r w:rsidRPr="005B1A6D">
        <w:rPr>
          <w:color w:val="auto"/>
          <w:szCs w:val="24"/>
          <w:u w:val="single"/>
        </w:rPr>
        <w:t>CI CONTENTION</w:t>
      </w:r>
      <w:r w:rsidRPr="005B1A6D">
        <w:rPr>
          <w:color w:val="auto"/>
          <w:szCs w:val="24"/>
        </w:rPr>
        <w:t>:</w:t>
      </w:r>
      <w:r w:rsidR="00FB6E82" w:rsidRPr="005B1A6D">
        <w:rPr>
          <w:color w:val="auto"/>
          <w:szCs w:val="24"/>
        </w:rPr>
        <w:t xml:space="preserve">  </w:t>
      </w:r>
      <w:r w:rsidR="00A15020" w:rsidRPr="005B1A6D">
        <w:rPr>
          <w:rFonts w:hAnsiTheme="minorHAnsi"/>
          <w:color w:val="auto"/>
          <w:szCs w:val="24"/>
        </w:rPr>
        <w:t>“</w:t>
      </w:r>
      <w:r w:rsidR="0048187A" w:rsidRPr="005B1A6D">
        <w:rPr>
          <w:color w:val="auto"/>
          <w:szCs w:val="24"/>
        </w:rPr>
        <w:t>The percent assigned by the USAF evaluation board was a</w:t>
      </w:r>
      <w:r w:rsidR="001F48A5" w:rsidRPr="005B1A6D">
        <w:rPr>
          <w:color w:val="auto"/>
          <w:szCs w:val="24"/>
        </w:rPr>
        <w:t xml:space="preserve"> 10%</w:t>
      </w:r>
      <w:r w:rsidR="0048187A" w:rsidRPr="005B1A6D">
        <w:rPr>
          <w:rFonts w:cs="Arial"/>
          <w:color w:val="auto"/>
          <w:szCs w:val="24"/>
        </w:rPr>
        <w:t xml:space="preserve"> </w:t>
      </w:r>
      <w:r w:rsidR="0048187A" w:rsidRPr="005B1A6D">
        <w:rPr>
          <w:color w:val="auto"/>
          <w:szCs w:val="24"/>
        </w:rPr>
        <w:t xml:space="preserve">disability rating for my back condition but the VA gave me a 30% disability rating, within a 9 month period since my separation, effective </w:t>
      </w:r>
      <w:r w:rsidR="001F48A5" w:rsidRPr="005B1A6D">
        <w:rPr>
          <w:color w:val="auto"/>
          <w:szCs w:val="24"/>
        </w:rPr>
        <w:t>M</w:t>
      </w:r>
      <w:r w:rsidR="0048187A" w:rsidRPr="005B1A6D">
        <w:rPr>
          <w:color w:val="auto"/>
          <w:szCs w:val="24"/>
        </w:rPr>
        <w:t>arch 8, 2003 for the same condition. Also, I had several other conditions that were not reviewed by the USAF evaluation board that I was sufferin</w:t>
      </w:r>
      <w:r w:rsidR="001F48A5" w:rsidRPr="005B1A6D">
        <w:rPr>
          <w:color w:val="auto"/>
          <w:szCs w:val="24"/>
        </w:rPr>
        <w:t>g</w:t>
      </w:r>
      <w:r w:rsidR="0048187A" w:rsidRPr="005B1A6D">
        <w:rPr>
          <w:color w:val="auto"/>
          <w:szCs w:val="24"/>
        </w:rPr>
        <w:t xml:space="preserve"> from at the time and the</w:t>
      </w:r>
      <w:r w:rsidR="001F48A5" w:rsidRPr="005B1A6D">
        <w:rPr>
          <w:color w:val="auto"/>
          <w:szCs w:val="24"/>
        </w:rPr>
        <w:t xml:space="preserve"> </w:t>
      </w:r>
      <w:r w:rsidR="0048187A" w:rsidRPr="005B1A6D">
        <w:rPr>
          <w:color w:val="auto"/>
          <w:szCs w:val="24"/>
        </w:rPr>
        <w:t>VA gave me a disability rating on.</w:t>
      </w:r>
      <w:r w:rsidR="001F48A5" w:rsidRPr="005B1A6D">
        <w:rPr>
          <w:color w:val="auto"/>
          <w:szCs w:val="24"/>
        </w:rPr>
        <w:t xml:space="preserve"> </w:t>
      </w:r>
    </w:p>
    <w:p w:rsidR="001F48A5" w:rsidRPr="005B1A6D" w:rsidRDefault="001F48A5" w:rsidP="00E64CEB">
      <w:pPr>
        <w:autoSpaceDE w:val="0"/>
        <w:autoSpaceDN w:val="0"/>
        <w:adjustRightInd w:val="0"/>
        <w:spacing w:line="240" w:lineRule="exact"/>
        <w:jc w:val="both"/>
        <w:rPr>
          <w:color w:val="auto"/>
          <w:szCs w:val="24"/>
        </w:rPr>
      </w:pPr>
    </w:p>
    <w:p w:rsidR="007B3CD9" w:rsidRPr="005B1A6D" w:rsidRDefault="001F48A5" w:rsidP="00E64CEB">
      <w:pPr>
        <w:autoSpaceDE w:val="0"/>
        <w:autoSpaceDN w:val="0"/>
        <w:adjustRightInd w:val="0"/>
        <w:spacing w:line="240" w:lineRule="exact"/>
        <w:jc w:val="both"/>
        <w:rPr>
          <w:color w:val="auto"/>
          <w:szCs w:val="24"/>
        </w:rPr>
      </w:pPr>
      <w:r w:rsidRPr="005B1A6D">
        <w:rPr>
          <w:color w:val="auto"/>
          <w:szCs w:val="24"/>
        </w:rPr>
        <w:t>I have tinnitus that the VA gave me a 10% disability rating on and</w:t>
      </w:r>
      <w:r w:rsidRPr="005B1A6D">
        <w:rPr>
          <w:rFonts w:eastAsia="HiddenHorzOCR" w:cs="HiddenHorzOCR"/>
          <w:color w:val="auto"/>
          <w:szCs w:val="24"/>
        </w:rPr>
        <w:t xml:space="preserve"> </w:t>
      </w:r>
      <w:r w:rsidRPr="005B1A6D">
        <w:rPr>
          <w:color w:val="auto"/>
          <w:szCs w:val="24"/>
        </w:rPr>
        <w:t xml:space="preserve">they determined this to be service connected, and I also have chronic </w:t>
      </w:r>
      <w:proofErr w:type="spellStart"/>
      <w:r w:rsidRPr="005B1A6D">
        <w:rPr>
          <w:color w:val="auto"/>
          <w:szCs w:val="24"/>
        </w:rPr>
        <w:t>prostatitis</w:t>
      </w:r>
      <w:proofErr w:type="spellEnd"/>
      <w:r w:rsidRPr="005B1A6D">
        <w:rPr>
          <w:color w:val="auto"/>
          <w:szCs w:val="24"/>
        </w:rPr>
        <w:t xml:space="preserve">, chronic </w:t>
      </w:r>
      <w:proofErr w:type="spellStart"/>
      <w:r w:rsidRPr="005B1A6D">
        <w:rPr>
          <w:color w:val="auto"/>
          <w:szCs w:val="24"/>
        </w:rPr>
        <w:t>epididymitis</w:t>
      </w:r>
      <w:proofErr w:type="spellEnd"/>
      <w:r w:rsidRPr="005B1A6D">
        <w:rPr>
          <w:color w:val="auto"/>
          <w:szCs w:val="24"/>
        </w:rPr>
        <w:t xml:space="preserve"> and bilateral </w:t>
      </w:r>
      <w:proofErr w:type="spellStart"/>
      <w:r w:rsidRPr="005B1A6D">
        <w:rPr>
          <w:color w:val="auto"/>
          <w:szCs w:val="24"/>
        </w:rPr>
        <w:t>patellofemoral</w:t>
      </w:r>
      <w:proofErr w:type="spellEnd"/>
      <w:r w:rsidRPr="005B1A6D">
        <w:rPr>
          <w:color w:val="auto"/>
          <w:szCs w:val="24"/>
        </w:rPr>
        <w:t xml:space="preserve"> syndrome. </w:t>
      </w:r>
      <w:r w:rsidRPr="005B1A6D">
        <w:rPr>
          <w:rFonts w:cs="Arial"/>
          <w:color w:val="auto"/>
          <w:szCs w:val="24"/>
        </w:rPr>
        <w:t xml:space="preserve">My </w:t>
      </w:r>
      <w:r w:rsidRPr="005B1A6D">
        <w:rPr>
          <w:color w:val="auto"/>
          <w:szCs w:val="24"/>
        </w:rPr>
        <w:t>total VA disability rating was 40%. I feel that the USAF rating should be changed because the VA and DOD are supposed to use the same rating scale and this would have given me a 30% rating for the conditions that the USAF found me unfit for and 40% if the tinnitus is added. I should have been medically retired with at least a 30% rating instead of medically separated with a 10% rating.</w:t>
      </w:r>
      <w:r w:rsidR="00A31803" w:rsidRPr="005B1A6D">
        <w:rPr>
          <w:rFonts w:hAnsiTheme="minorHAnsi"/>
          <w:color w:val="auto"/>
          <w:szCs w:val="24"/>
        </w:rPr>
        <w:t>”</w:t>
      </w:r>
    </w:p>
    <w:p w:rsidR="00741737" w:rsidRPr="005B1A6D" w:rsidRDefault="00741737" w:rsidP="00E64CEB">
      <w:pPr>
        <w:autoSpaceDE w:val="0"/>
        <w:autoSpaceDN w:val="0"/>
        <w:adjustRightInd w:val="0"/>
        <w:spacing w:line="240" w:lineRule="exact"/>
        <w:jc w:val="both"/>
        <w:rPr>
          <w:color w:val="auto"/>
          <w:szCs w:val="24"/>
        </w:rPr>
      </w:pPr>
    </w:p>
    <w:p w:rsidR="00A90D55" w:rsidRPr="005B1A6D" w:rsidRDefault="008B5D31" w:rsidP="00E64CEB">
      <w:pPr>
        <w:tabs>
          <w:tab w:val="left" w:pos="288"/>
          <w:tab w:val="left" w:pos="4752"/>
        </w:tabs>
        <w:spacing w:line="240" w:lineRule="exact"/>
        <w:jc w:val="both"/>
        <w:rPr>
          <w:color w:val="auto"/>
        </w:rPr>
      </w:pPr>
      <w:r w:rsidRPr="005B1A6D">
        <w:rPr>
          <w:color w:val="auto"/>
          <w:u w:val="single"/>
        </w:rPr>
        <w:t>______________________________________</w:t>
      </w:r>
      <w:r w:rsidR="0080147C" w:rsidRPr="005B1A6D">
        <w:rPr>
          <w:color w:val="auto"/>
          <w:u w:val="single"/>
        </w:rPr>
        <w:t>_</w:t>
      </w:r>
      <w:r w:rsidRPr="005B1A6D">
        <w:rPr>
          <w:color w:val="auto"/>
          <w:u w:val="single"/>
        </w:rPr>
        <w:t>________________</w:t>
      </w:r>
      <w:r w:rsidR="0058789E" w:rsidRPr="005B1A6D">
        <w:rPr>
          <w:color w:val="auto"/>
          <w:u w:val="single"/>
        </w:rPr>
        <w:t>_________</w:t>
      </w:r>
    </w:p>
    <w:p w:rsidR="001C181A" w:rsidRPr="005B1A6D" w:rsidRDefault="001C181A" w:rsidP="00E64CEB">
      <w:pPr>
        <w:tabs>
          <w:tab w:val="left" w:pos="288"/>
          <w:tab w:val="left" w:pos="4752"/>
        </w:tabs>
        <w:spacing w:line="240" w:lineRule="exact"/>
        <w:jc w:val="both"/>
        <w:rPr>
          <w:color w:val="auto"/>
        </w:rPr>
      </w:pPr>
    </w:p>
    <w:p w:rsidR="0058789E" w:rsidRDefault="0058789E" w:rsidP="00E64CEB">
      <w:pPr>
        <w:spacing w:line="240" w:lineRule="exact"/>
        <w:rPr>
          <w:rFonts w:ascii="Calibri" w:hAnsi="Calibri"/>
          <w:color w:val="000080"/>
          <w:u w:val="single"/>
        </w:rPr>
      </w:pPr>
      <w:r>
        <w:rPr>
          <w:rFonts w:ascii="Calibri" w:hAnsi="Calibri"/>
          <w:color w:val="000080"/>
          <w:u w:val="single"/>
        </w:rPr>
        <w:br w:type="page"/>
      </w:r>
    </w:p>
    <w:p w:rsidR="002338CA" w:rsidRPr="005B1A6D" w:rsidRDefault="00A90D55" w:rsidP="00E64CEB">
      <w:pPr>
        <w:tabs>
          <w:tab w:val="left" w:pos="288"/>
          <w:tab w:val="left" w:pos="4752"/>
        </w:tabs>
        <w:spacing w:line="240" w:lineRule="exact"/>
        <w:jc w:val="both"/>
        <w:rPr>
          <w:color w:val="auto"/>
        </w:rPr>
      </w:pPr>
      <w:r w:rsidRPr="005B1A6D">
        <w:rPr>
          <w:color w:val="auto"/>
          <w:u w:val="single"/>
        </w:rPr>
        <w:lastRenderedPageBreak/>
        <w:t>RATING COMPARISON</w:t>
      </w:r>
      <w:r w:rsidRPr="005B1A6D">
        <w:rPr>
          <w:color w:val="auto"/>
        </w:rPr>
        <w:t>:</w:t>
      </w:r>
    </w:p>
    <w:p w:rsidR="00DA3ED0" w:rsidRDefault="00DA3ED0" w:rsidP="00E64CEB">
      <w:pPr>
        <w:tabs>
          <w:tab w:val="left" w:pos="288"/>
          <w:tab w:val="left" w:pos="4752"/>
        </w:tabs>
        <w:spacing w:line="240" w:lineRule="exact"/>
        <w:jc w:val="both"/>
        <w:rPr>
          <w:rFonts w:ascii="Calibri" w:hAnsi="Calibri"/>
          <w:color w:val="000080"/>
        </w:rPr>
      </w:pPr>
    </w:p>
    <w:tbl>
      <w:tblPr>
        <w:tblStyle w:val="TableGrid"/>
        <w:tblW w:w="10980" w:type="dxa"/>
        <w:tblInd w:w="-612" w:type="dxa"/>
        <w:tblLayout w:type="fixed"/>
        <w:tblLook w:val="04A0"/>
      </w:tblPr>
      <w:tblGrid>
        <w:gridCol w:w="2160"/>
        <w:gridCol w:w="900"/>
        <w:gridCol w:w="810"/>
        <w:gridCol w:w="990"/>
        <w:gridCol w:w="2250"/>
        <w:gridCol w:w="810"/>
        <w:gridCol w:w="810"/>
        <w:gridCol w:w="1170"/>
        <w:gridCol w:w="1080"/>
      </w:tblGrid>
      <w:tr w:rsidR="00DA3ED0" w:rsidTr="006C2A4F">
        <w:trPr>
          <w:trHeight w:val="233"/>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E64129" w:rsidRDefault="00DA3ED0" w:rsidP="00E64CEB">
            <w:pPr>
              <w:pStyle w:val="ListParagraph"/>
              <w:spacing w:after="0" w:line="240" w:lineRule="exact"/>
              <w:ind w:left="0"/>
              <w:jc w:val="center"/>
              <w:rPr>
                <w:rFonts w:cs="Times New Roman"/>
                <w:b/>
              </w:rPr>
            </w:pPr>
            <w:r w:rsidRPr="00E64129">
              <w:rPr>
                <w:rFonts w:cs="Times New Roman"/>
                <w:b/>
              </w:rPr>
              <w:t>Service</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E64129" w:rsidRDefault="00DA3ED0" w:rsidP="00E64CEB">
            <w:pPr>
              <w:pStyle w:val="ListParagraph"/>
              <w:spacing w:after="0" w:line="240" w:lineRule="exact"/>
              <w:ind w:left="0"/>
              <w:jc w:val="center"/>
              <w:rPr>
                <w:rFonts w:cs="Times New Roman"/>
                <w:b/>
              </w:rPr>
            </w:pPr>
            <w:r w:rsidRPr="00EC3AA3">
              <w:rPr>
                <w:rFonts w:cs="Times New Roman"/>
                <w:b/>
              </w:rPr>
              <w:t>VA (</w:t>
            </w:r>
            <w:r w:rsidR="00E11812">
              <w:rPr>
                <w:rFonts w:cs="Times New Roman"/>
                <w:b/>
              </w:rPr>
              <w:t>8</w:t>
            </w:r>
            <w:r w:rsidRPr="00EC3AA3">
              <w:rPr>
                <w:rFonts w:cs="Times New Roman"/>
                <w:b/>
              </w:rPr>
              <w:t xml:space="preserve"> </w:t>
            </w:r>
            <w:r w:rsidR="0094003C">
              <w:rPr>
                <w:rFonts w:cs="Times New Roman"/>
                <w:b/>
              </w:rPr>
              <w:t xml:space="preserve">months </w:t>
            </w:r>
            <w:r w:rsidRPr="00EC3AA3">
              <w:rPr>
                <w:rFonts w:cs="Times New Roman"/>
                <w:b/>
              </w:rPr>
              <w:t xml:space="preserve"> after Separation)</w:t>
            </w:r>
          </w:p>
        </w:tc>
      </w:tr>
      <w:tr w:rsidR="00DA3ED0" w:rsidTr="006C2A4F">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64CEB">
            <w:pPr>
              <w:pStyle w:val="ListParagraph"/>
              <w:spacing w:after="0" w:line="240" w:lineRule="exact"/>
              <w:ind w:left="0"/>
              <w:jc w:val="center"/>
              <w:rPr>
                <w:rFonts w:cs="Times New Roman"/>
                <w:b/>
                <w:sz w:val="20"/>
                <w:szCs w:val="20"/>
              </w:rPr>
            </w:pPr>
            <w:r>
              <w:rPr>
                <w:rFonts w:cs="Times New Roman"/>
                <w:b/>
                <w:sz w:val="20"/>
                <w:szCs w:val="20"/>
              </w:rPr>
              <w:t>Unfitting Conditions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64CEB">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64CEB">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E64CEB">
            <w:pPr>
              <w:pStyle w:val="ListParagraph"/>
              <w:spacing w:after="0" w:line="240" w:lineRule="exact"/>
              <w:ind w:left="0"/>
              <w:jc w:val="center"/>
              <w:rPr>
                <w:rFonts w:cs="Times New Roman"/>
                <w:b/>
                <w:sz w:val="20"/>
                <w:szCs w:val="20"/>
              </w:rPr>
            </w:pPr>
            <w:r>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64CEB">
            <w:pPr>
              <w:pStyle w:val="ListParagraph"/>
              <w:spacing w:after="0" w:line="240" w:lineRule="exact"/>
              <w:ind w:left="0"/>
              <w:jc w:val="center"/>
              <w:rPr>
                <w:rFonts w:cs="Times New Roman"/>
                <w:b/>
                <w:sz w:val="20"/>
                <w:szCs w:val="20"/>
              </w:rPr>
            </w:pPr>
            <w:r>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64CEB">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64CEB">
            <w:pPr>
              <w:pStyle w:val="ListParagraph"/>
              <w:spacing w:after="0" w:line="240" w:lineRule="exact"/>
              <w:ind w:left="0"/>
              <w:jc w:val="center"/>
              <w:rPr>
                <w:rFonts w:cs="Times New Roman"/>
                <w:b/>
                <w:sz w:val="20"/>
                <w:szCs w:val="20"/>
              </w:rPr>
            </w:pPr>
            <w:r>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64CEB">
            <w:pPr>
              <w:pStyle w:val="ListParagraph"/>
              <w:spacing w:after="0" w:line="240" w:lineRule="exact"/>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E64CEB">
            <w:pPr>
              <w:pStyle w:val="ListParagraph"/>
              <w:spacing w:after="0" w:line="240" w:lineRule="exact"/>
              <w:ind w:left="0"/>
              <w:jc w:val="center"/>
              <w:rPr>
                <w:rFonts w:cs="Times New Roman"/>
                <w:b/>
                <w:sz w:val="20"/>
                <w:szCs w:val="20"/>
              </w:rPr>
            </w:pPr>
            <w:r>
              <w:rPr>
                <w:rFonts w:cs="Times New Roman"/>
                <w:b/>
                <w:sz w:val="20"/>
                <w:szCs w:val="20"/>
              </w:rPr>
              <w:t>Effective</w:t>
            </w:r>
          </w:p>
        </w:tc>
      </w:tr>
      <w:tr w:rsidR="00026979" w:rsidTr="00026979">
        <w:trPr>
          <w:trHeight w:val="197"/>
        </w:trPr>
        <w:tc>
          <w:tcPr>
            <w:tcW w:w="2160" w:type="dxa"/>
            <w:vMerge w:val="restart"/>
            <w:tcBorders>
              <w:top w:val="single" w:sz="4" w:space="0" w:color="000000" w:themeColor="text1"/>
              <w:left w:val="single" w:sz="4" w:space="0" w:color="000000" w:themeColor="text1"/>
              <w:right w:val="single" w:sz="4" w:space="0" w:color="000000" w:themeColor="text1"/>
            </w:tcBorders>
            <w:hideMark/>
          </w:tcPr>
          <w:p w:rsidR="00026979" w:rsidRPr="00842768" w:rsidRDefault="00026979" w:rsidP="00E64CEB">
            <w:pPr>
              <w:tabs>
                <w:tab w:val="left" w:pos="288"/>
                <w:tab w:val="left" w:pos="4752"/>
              </w:tabs>
              <w:spacing w:line="240" w:lineRule="exact"/>
              <w:rPr>
                <w:rFonts w:ascii="Calibri" w:hAnsi="Calibri"/>
                <w:color w:val="auto"/>
                <w:sz w:val="20"/>
                <w:szCs w:val="20"/>
              </w:rPr>
            </w:pPr>
            <w:r w:rsidRPr="00842768">
              <w:rPr>
                <w:rFonts w:ascii="Calibri" w:hAnsi="Calibri"/>
                <w:color w:val="auto"/>
                <w:sz w:val="20"/>
                <w:szCs w:val="20"/>
              </w:rPr>
              <w:t xml:space="preserve">Chronic Lower </w:t>
            </w:r>
            <w:r w:rsidR="00842768" w:rsidRPr="00842768">
              <w:rPr>
                <w:rFonts w:ascii="Calibri" w:hAnsi="Calibri"/>
                <w:color w:val="auto"/>
                <w:sz w:val="20"/>
                <w:szCs w:val="20"/>
              </w:rPr>
              <w:t>Back Pain</w:t>
            </w:r>
            <w:r w:rsidR="006670AF" w:rsidRPr="00842768">
              <w:rPr>
                <w:rFonts w:ascii="Calibri" w:hAnsi="Calibri"/>
                <w:color w:val="auto"/>
                <w:sz w:val="20"/>
                <w:szCs w:val="20"/>
              </w:rPr>
              <w:t xml:space="preserve"> w</w:t>
            </w:r>
            <w:r w:rsidR="00253D61">
              <w:rPr>
                <w:rFonts w:ascii="Calibri" w:hAnsi="Calibri"/>
                <w:color w:val="auto"/>
                <w:sz w:val="20"/>
                <w:szCs w:val="20"/>
              </w:rPr>
              <w:t xml:space="preserve">ith </w:t>
            </w:r>
            <w:r w:rsidRPr="00842768">
              <w:rPr>
                <w:rFonts w:ascii="Calibri" w:hAnsi="Calibri"/>
                <w:color w:val="auto"/>
                <w:sz w:val="20"/>
                <w:szCs w:val="20"/>
              </w:rPr>
              <w:t xml:space="preserve">Weakness of Anterior </w:t>
            </w:r>
            <w:proofErr w:type="spellStart"/>
            <w:r w:rsidRPr="00842768">
              <w:rPr>
                <w:rFonts w:ascii="Calibri" w:hAnsi="Calibri"/>
                <w:color w:val="auto"/>
                <w:sz w:val="20"/>
                <w:szCs w:val="20"/>
              </w:rPr>
              <w:t>Tibial</w:t>
            </w:r>
            <w:proofErr w:type="spellEnd"/>
            <w:r w:rsidRPr="00842768">
              <w:rPr>
                <w:rFonts w:ascii="Calibri" w:hAnsi="Calibri"/>
                <w:color w:val="auto"/>
                <w:sz w:val="20"/>
                <w:szCs w:val="20"/>
              </w:rPr>
              <w:t xml:space="preserve"> Nerve. </w:t>
            </w:r>
          </w:p>
          <w:p w:rsidR="00026979" w:rsidRPr="00842768" w:rsidRDefault="00026979" w:rsidP="00E64CEB">
            <w:pPr>
              <w:pStyle w:val="ListParagraph"/>
              <w:spacing w:after="0" w:line="240" w:lineRule="exact"/>
              <w:ind w:left="0"/>
              <w:rPr>
                <w:rFonts w:cs="Times New Roman"/>
                <w:sz w:val="20"/>
                <w:szCs w:val="20"/>
                <w:highlight w:val="yellow"/>
              </w:rPr>
            </w:pPr>
          </w:p>
        </w:tc>
        <w:tc>
          <w:tcPr>
            <w:tcW w:w="900" w:type="dxa"/>
            <w:vMerge w:val="restart"/>
            <w:tcBorders>
              <w:top w:val="single" w:sz="4" w:space="0" w:color="000000" w:themeColor="text1"/>
              <w:left w:val="single" w:sz="4" w:space="0" w:color="000000" w:themeColor="text1"/>
              <w:right w:val="single" w:sz="4" w:space="0" w:color="000000" w:themeColor="text1"/>
            </w:tcBorders>
            <w:hideMark/>
          </w:tcPr>
          <w:p w:rsidR="00026979" w:rsidRPr="00DC2269" w:rsidRDefault="00026979" w:rsidP="00E64CEB">
            <w:pPr>
              <w:pStyle w:val="ListParagraph"/>
              <w:spacing w:after="0" w:line="240" w:lineRule="exact"/>
              <w:ind w:left="0"/>
              <w:jc w:val="center"/>
              <w:rPr>
                <w:rFonts w:cs="Times New Roman"/>
                <w:sz w:val="18"/>
                <w:szCs w:val="18"/>
              </w:rPr>
            </w:pPr>
            <w:r w:rsidRPr="00DC2269">
              <w:rPr>
                <w:rFonts w:cs="Times New Roman"/>
                <w:sz w:val="18"/>
                <w:szCs w:val="18"/>
              </w:rPr>
              <w:t>5293-8523</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026979" w:rsidRPr="00DC2269" w:rsidRDefault="00026979" w:rsidP="00E64CEB">
            <w:pPr>
              <w:pStyle w:val="ListParagraph"/>
              <w:spacing w:after="0" w:line="240" w:lineRule="exact"/>
              <w:ind w:left="0"/>
              <w:jc w:val="center"/>
              <w:rPr>
                <w:rFonts w:cs="Times New Roman"/>
                <w:sz w:val="18"/>
                <w:szCs w:val="18"/>
              </w:rPr>
            </w:pPr>
            <w:r>
              <w:rPr>
                <w:rFonts w:cs="Times New Roman"/>
                <w:sz w:val="18"/>
                <w:szCs w:val="18"/>
              </w:rPr>
              <w:t>10</w:t>
            </w:r>
            <w:r w:rsidRPr="00DC2269">
              <w:rPr>
                <w:rFonts w:cs="Times New Roman"/>
                <w:sz w:val="18"/>
                <w:szCs w:val="18"/>
              </w:rPr>
              <w:t>%</w:t>
            </w:r>
          </w:p>
        </w:tc>
        <w:tc>
          <w:tcPr>
            <w:tcW w:w="990" w:type="dxa"/>
            <w:vMerge w:val="restart"/>
            <w:tcBorders>
              <w:top w:val="single" w:sz="4" w:space="0" w:color="000000" w:themeColor="text1"/>
              <w:left w:val="single" w:sz="4" w:space="0" w:color="000000" w:themeColor="text1"/>
              <w:right w:val="thinThickThinSmallGap" w:sz="24" w:space="0" w:color="000000" w:themeColor="text1"/>
            </w:tcBorders>
            <w:hideMark/>
          </w:tcPr>
          <w:p w:rsidR="00026979" w:rsidRPr="00DC2269" w:rsidRDefault="00026979" w:rsidP="00E64CEB">
            <w:pPr>
              <w:pStyle w:val="ListParagraph"/>
              <w:tabs>
                <w:tab w:val="left" w:pos="451"/>
              </w:tabs>
              <w:spacing w:after="0" w:line="240" w:lineRule="exact"/>
              <w:ind w:left="0"/>
              <w:rPr>
                <w:rFonts w:cs="Times New Roman"/>
                <w:sz w:val="18"/>
                <w:szCs w:val="18"/>
              </w:rPr>
            </w:pPr>
            <w:r>
              <w:rPr>
                <w:rFonts w:cs="Times New Roman"/>
                <w:sz w:val="18"/>
                <w:szCs w:val="18"/>
              </w:rPr>
              <w:t>20030122</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026979" w:rsidRPr="00930BD6" w:rsidRDefault="00026979" w:rsidP="00E64CEB">
            <w:pPr>
              <w:pStyle w:val="ListParagraph"/>
              <w:spacing w:after="0" w:line="240" w:lineRule="exact"/>
              <w:ind w:left="0"/>
              <w:rPr>
                <w:rFonts w:cs="Times New Roman"/>
                <w:sz w:val="18"/>
                <w:szCs w:val="18"/>
              </w:rPr>
            </w:pPr>
            <w:r w:rsidRPr="00930BD6">
              <w:rPr>
                <w:rFonts w:cs="Times New Roman"/>
                <w:sz w:val="18"/>
                <w:szCs w:val="18"/>
              </w:rPr>
              <w:t>Degenerative Joint Disease Lumbar Spine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979" w:rsidRPr="00930BD6" w:rsidRDefault="00026979" w:rsidP="00E64CEB">
            <w:pPr>
              <w:spacing w:line="240" w:lineRule="exact"/>
              <w:jc w:val="center"/>
              <w:rPr>
                <w:rFonts w:eastAsiaTheme="minorEastAsia"/>
                <w:color w:val="auto"/>
                <w:sz w:val="18"/>
                <w:szCs w:val="18"/>
              </w:rPr>
            </w:pPr>
            <w:r w:rsidRPr="00930BD6">
              <w:rPr>
                <w:rFonts w:eastAsiaTheme="minorEastAsia"/>
                <w:color w:val="auto"/>
                <w:sz w:val="18"/>
                <w:szCs w:val="18"/>
              </w:rPr>
              <w:t>5293-5292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979" w:rsidRPr="00930BD6" w:rsidRDefault="00026979" w:rsidP="00E64CEB">
            <w:pPr>
              <w:spacing w:line="240" w:lineRule="exact"/>
              <w:jc w:val="center"/>
              <w:rPr>
                <w:rFonts w:eastAsiaTheme="minorEastAsia"/>
                <w:color w:val="auto"/>
                <w:sz w:val="18"/>
                <w:szCs w:val="18"/>
              </w:rPr>
            </w:pPr>
            <w:r w:rsidRPr="00930BD6">
              <w:rPr>
                <w:rFonts w:eastAsiaTheme="minorEastAsia"/>
                <w:color w:val="auto"/>
                <w:sz w:val="18"/>
                <w:szCs w:val="1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979" w:rsidRPr="00930BD6" w:rsidRDefault="005754CE" w:rsidP="00E64CEB">
            <w:pPr>
              <w:spacing w:line="240" w:lineRule="exact"/>
              <w:jc w:val="center"/>
              <w:rPr>
                <w:rFonts w:eastAsiaTheme="minorEastAsia"/>
                <w:b/>
                <w:color w:val="auto"/>
                <w:sz w:val="18"/>
                <w:szCs w:val="18"/>
              </w:rPr>
            </w:pPr>
            <w:r w:rsidRPr="00E12377">
              <w:rPr>
                <w:rFonts w:eastAsiaTheme="minorEastAsia"/>
                <w:b/>
                <w:color w:val="auto"/>
                <w:sz w:val="18"/>
                <w:szCs w:val="18"/>
              </w:rPr>
              <w:t>20031124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6979" w:rsidRPr="00930BD6" w:rsidRDefault="00026979" w:rsidP="00E64CEB">
            <w:pPr>
              <w:spacing w:line="240" w:lineRule="exact"/>
              <w:jc w:val="center"/>
              <w:rPr>
                <w:rFonts w:eastAsiaTheme="minorEastAsia"/>
                <w:b/>
                <w:color w:val="auto"/>
                <w:sz w:val="18"/>
                <w:szCs w:val="18"/>
              </w:rPr>
            </w:pPr>
            <w:r w:rsidRPr="00930BD6">
              <w:rPr>
                <w:b/>
                <w:color w:val="auto"/>
                <w:sz w:val="18"/>
                <w:szCs w:val="18"/>
              </w:rPr>
              <w:t>20030308</w:t>
            </w:r>
          </w:p>
        </w:tc>
      </w:tr>
      <w:tr w:rsidR="00026979" w:rsidTr="00026979">
        <w:trPr>
          <w:trHeight w:val="197"/>
        </w:trPr>
        <w:tc>
          <w:tcPr>
            <w:tcW w:w="2160" w:type="dxa"/>
            <w:vMerge/>
            <w:tcBorders>
              <w:left w:val="single" w:sz="4" w:space="0" w:color="000000" w:themeColor="text1"/>
              <w:bottom w:val="double" w:sz="4" w:space="0" w:color="auto"/>
              <w:right w:val="single" w:sz="4" w:space="0" w:color="000000" w:themeColor="text1"/>
            </w:tcBorders>
            <w:hideMark/>
          </w:tcPr>
          <w:p w:rsidR="00026979" w:rsidRPr="00405A10" w:rsidRDefault="00026979" w:rsidP="00E64CEB">
            <w:pPr>
              <w:tabs>
                <w:tab w:val="left" w:pos="288"/>
                <w:tab w:val="left" w:pos="4752"/>
              </w:tabs>
              <w:spacing w:line="240" w:lineRule="exact"/>
              <w:rPr>
                <w:rFonts w:ascii="Calibri" w:hAnsi="Calibri"/>
                <w:color w:val="auto"/>
                <w:sz w:val="18"/>
                <w:szCs w:val="18"/>
              </w:rPr>
            </w:pPr>
          </w:p>
        </w:tc>
        <w:tc>
          <w:tcPr>
            <w:tcW w:w="900" w:type="dxa"/>
            <w:vMerge/>
            <w:tcBorders>
              <w:left w:val="single" w:sz="4" w:space="0" w:color="000000" w:themeColor="text1"/>
              <w:bottom w:val="double" w:sz="4" w:space="0" w:color="auto"/>
              <w:right w:val="single" w:sz="4" w:space="0" w:color="000000" w:themeColor="text1"/>
            </w:tcBorders>
            <w:hideMark/>
          </w:tcPr>
          <w:p w:rsidR="00026979" w:rsidRPr="00DC2269" w:rsidRDefault="00026979" w:rsidP="00E64CEB">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double" w:sz="4" w:space="0" w:color="auto"/>
              <w:right w:val="single" w:sz="4" w:space="0" w:color="000000" w:themeColor="text1"/>
            </w:tcBorders>
            <w:hideMark/>
          </w:tcPr>
          <w:p w:rsidR="00026979" w:rsidRDefault="00026979" w:rsidP="00E64CEB">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bottom w:val="double" w:sz="4" w:space="0" w:color="auto"/>
              <w:right w:val="thinThickThinSmallGap" w:sz="24" w:space="0" w:color="000000" w:themeColor="text1"/>
            </w:tcBorders>
            <w:hideMark/>
          </w:tcPr>
          <w:p w:rsidR="00026979" w:rsidRDefault="00026979" w:rsidP="00E64CEB">
            <w:pPr>
              <w:pStyle w:val="ListParagraph"/>
              <w:tabs>
                <w:tab w:val="left" w:pos="451"/>
              </w:tabs>
              <w:spacing w:after="0" w:line="240" w:lineRule="exact"/>
              <w:ind w:left="0"/>
              <w:rPr>
                <w:rFonts w:cs="Times New Roman"/>
                <w:sz w:val="18"/>
                <w:szCs w:val="18"/>
              </w:rPr>
            </w:pPr>
          </w:p>
        </w:tc>
        <w:tc>
          <w:tcPr>
            <w:tcW w:w="2250" w:type="dxa"/>
            <w:tcBorders>
              <w:top w:val="single" w:sz="4" w:space="0" w:color="000000" w:themeColor="text1"/>
              <w:left w:val="thinThickThinSmallGap" w:sz="24" w:space="0" w:color="000000" w:themeColor="text1"/>
              <w:bottom w:val="double" w:sz="4" w:space="0" w:color="auto"/>
              <w:right w:val="single" w:sz="4" w:space="0" w:color="000000" w:themeColor="text1"/>
            </w:tcBorders>
            <w:hideMark/>
          </w:tcPr>
          <w:p w:rsidR="00026979" w:rsidRPr="00930BD6" w:rsidRDefault="00026979" w:rsidP="00E64CEB">
            <w:pPr>
              <w:pStyle w:val="ListParagraph"/>
              <w:spacing w:after="0" w:line="240" w:lineRule="exact"/>
              <w:ind w:left="0"/>
              <w:rPr>
                <w:rFonts w:cs="Times New Roman"/>
                <w:sz w:val="18"/>
                <w:szCs w:val="18"/>
              </w:rPr>
            </w:pPr>
            <w:r>
              <w:rPr>
                <w:rFonts w:cs="Times New Roman"/>
                <w:sz w:val="18"/>
                <w:szCs w:val="18"/>
              </w:rPr>
              <w:t xml:space="preserve">Right L5 </w:t>
            </w:r>
            <w:proofErr w:type="spellStart"/>
            <w:r>
              <w:rPr>
                <w:rFonts w:cs="Times New Roman"/>
                <w:sz w:val="18"/>
                <w:szCs w:val="18"/>
              </w:rPr>
              <w:t>Radiculopathy</w:t>
            </w:r>
            <w:proofErr w:type="spellEnd"/>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26979" w:rsidRPr="00930BD6" w:rsidRDefault="00026979" w:rsidP="00E64CEB">
            <w:pPr>
              <w:spacing w:line="240" w:lineRule="exact"/>
              <w:jc w:val="center"/>
              <w:rPr>
                <w:rFonts w:eastAsiaTheme="minorEastAsia"/>
                <w:color w:val="auto"/>
                <w:sz w:val="18"/>
                <w:szCs w:val="18"/>
              </w:rPr>
            </w:pPr>
            <w:r>
              <w:rPr>
                <w:rFonts w:eastAsiaTheme="minorEastAsia"/>
                <w:color w:val="auto"/>
                <w:sz w:val="18"/>
                <w:szCs w:val="18"/>
              </w:rPr>
              <w:t>5293-</w:t>
            </w:r>
            <w:r w:rsidRPr="00344BEF">
              <w:rPr>
                <w:rFonts w:eastAsiaTheme="minorEastAsia"/>
                <w:color w:val="auto"/>
                <w:sz w:val="18"/>
                <w:szCs w:val="18"/>
              </w:rPr>
              <w:t>85</w:t>
            </w:r>
            <w:r w:rsidR="00315091">
              <w:rPr>
                <w:rFonts w:eastAsiaTheme="minorEastAsia"/>
                <w:color w:val="auto"/>
                <w:sz w:val="18"/>
                <w:szCs w:val="18"/>
              </w:rPr>
              <w:t>23</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26979" w:rsidRPr="00930BD6" w:rsidRDefault="00026979" w:rsidP="00E64CEB">
            <w:pPr>
              <w:spacing w:line="240" w:lineRule="exact"/>
              <w:jc w:val="center"/>
              <w:rPr>
                <w:rFonts w:eastAsiaTheme="minorEastAsia"/>
                <w:color w:val="auto"/>
                <w:sz w:val="18"/>
                <w:szCs w:val="18"/>
              </w:rPr>
            </w:pPr>
            <w:r>
              <w:rPr>
                <w:rFonts w:eastAsiaTheme="minorEastAsia"/>
                <w:color w:val="auto"/>
                <w:sz w:val="18"/>
                <w:szCs w:val="18"/>
              </w:rPr>
              <w:t>10%</w:t>
            </w:r>
          </w:p>
        </w:tc>
        <w:tc>
          <w:tcPr>
            <w:tcW w:w="117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26979" w:rsidRPr="007E2A52" w:rsidRDefault="005754CE" w:rsidP="00E64CEB">
            <w:pPr>
              <w:spacing w:line="240" w:lineRule="exact"/>
              <w:jc w:val="center"/>
              <w:rPr>
                <w:rFonts w:eastAsiaTheme="minorEastAsia"/>
                <w:b/>
                <w:color w:val="auto"/>
                <w:sz w:val="18"/>
                <w:szCs w:val="18"/>
              </w:rPr>
            </w:pPr>
            <w:r w:rsidRPr="007E2A52">
              <w:rPr>
                <w:rFonts w:eastAsiaTheme="minorEastAsia"/>
                <w:b/>
                <w:color w:val="auto"/>
                <w:sz w:val="18"/>
                <w:szCs w:val="18"/>
              </w:rPr>
              <w:t>20031124</w:t>
            </w:r>
          </w:p>
        </w:tc>
        <w:tc>
          <w:tcPr>
            <w:tcW w:w="108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026979" w:rsidRPr="00930BD6" w:rsidRDefault="00026979" w:rsidP="00E64CEB">
            <w:pPr>
              <w:spacing w:line="240" w:lineRule="exact"/>
              <w:jc w:val="center"/>
              <w:rPr>
                <w:b/>
                <w:color w:val="auto"/>
                <w:sz w:val="18"/>
                <w:szCs w:val="18"/>
              </w:rPr>
            </w:pPr>
            <w:r>
              <w:rPr>
                <w:b/>
                <w:color w:val="auto"/>
                <w:sz w:val="18"/>
                <w:szCs w:val="18"/>
              </w:rPr>
              <w:t>20030308</w:t>
            </w:r>
          </w:p>
        </w:tc>
      </w:tr>
      <w:tr w:rsidR="002F3BF0" w:rsidTr="0094003C">
        <w:trPr>
          <w:trHeight w:val="125"/>
        </w:trPr>
        <w:tc>
          <w:tcPr>
            <w:tcW w:w="216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2F3BF0" w:rsidRDefault="002F3BF0" w:rsidP="00E64CEB">
            <w:pPr>
              <w:spacing w:line="240" w:lineRule="exact"/>
              <w:rPr>
                <w:rFonts w:eastAsiaTheme="minorEastAsia"/>
                <w:color w:val="auto"/>
                <w:sz w:val="18"/>
                <w:szCs w:val="18"/>
              </w:rPr>
            </w:pPr>
            <w:r>
              <w:rPr>
                <w:rFonts w:eastAsiaTheme="minorEastAsia"/>
                <w:color w:val="auto"/>
                <w:sz w:val="18"/>
                <w:szCs w:val="18"/>
              </w:rPr>
              <w:t>No PEB Entry</w:t>
            </w:r>
          </w:p>
        </w:tc>
        <w:tc>
          <w:tcPr>
            <w:tcW w:w="2700" w:type="dxa"/>
            <w:gridSpan w:val="3"/>
            <w:tcBorders>
              <w:top w:val="double" w:sz="4" w:space="0" w:color="auto"/>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F3BF0" w:rsidRPr="0024386F" w:rsidRDefault="002F3BF0" w:rsidP="00E64CEB">
            <w:pPr>
              <w:tabs>
                <w:tab w:val="left" w:pos="288"/>
                <w:tab w:val="left" w:pos="4752"/>
              </w:tabs>
              <w:spacing w:line="240" w:lineRule="exact"/>
              <w:rPr>
                <w:rFonts w:eastAsiaTheme="minorEastAsia"/>
                <w:color w:val="auto"/>
                <w:sz w:val="18"/>
                <w:szCs w:val="18"/>
                <w:highlight w:val="yellow"/>
              </w:rPr>
            </w:pPr>
            <w:r w:rsidRPr="0024386F">
              <w:rPr>
                <w:color w:val="auto"/>
                <w:sz w:val="18"/>
                <w:szCs w:val="18"/>
              </w:rPr>
              <w:t xml:space="preserve">Medical Assessment </w:t>
            </w:r>
            <w:r w:rsidR="00C759EC">
              <w:rPr>
                <w:color w:val="auto"/>
                <w:sz w:val="18"/>
                <w:szCs w:val="18"/>
              </w:rPr>
              <w:t>DD</w:t>
            </w:r>
            <w:r w:rsidR="00D95239">
              <w:rPr>
                <w:color w:val="auto"/>
                <w:sz w:val="18"/>
                <w:szCs w:val="18"/>
              </w:rPr>
              <w:t xml:space="preserve"> Form </w:t>
            </w:r>
            <w:r w:rsidR="00C759EC">
              <w:rPr>
                <w:color w:val="auto"/>
                <w:sz w:val="18"/>
                <w:szCs w:val="18"/>
              </w:rPr>
              <w:t xml:space="preserve">2697 </w:t>
            </w:r>
            <w:r w:rsidRPr="0024386F">
              <w:rPr>
                <w:color w:val="auto"/>
                <w:sz w:val="18"/>
                <w:szCs w:val="18"/>
              </w:rPr>
              <w:t>(20030225): Tinnitus</w:t>
            </w:r>
          </w:p>
        </w:tc>
        <w:tc>
          <w:tcPr>
            <w:tcW w:w="225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auto"/>
          </w:tcPr>
          <w:p w:rsidR="002F3BF0" w:rsidRPr="007D5525" w:rsidRDefault="002F3BF0" w:rsidP="00E64CEB">
            <w:pPr>
              <w:spacing w:line="240" w:lineRule="exact"/>
              <w:rPr>
                <w:rFonts w:eastAsiaTheme="minorEastAsia"/>
                <w:color w:val="auto"/>
                <w:sz w:val="18"/>
                <w:szCs w:val="18"/>
              </w:rPr>
            </w:pPr>
            <w:r w:rsidRPr="007D5525">
              <w:rPr>
                <w:rFonts w:eastAsiaTheme="minorEastAsia"/>
                <w:color w:val="auto"/>
                <w:sz w:val="18"/>
                <w:szCs w:val="18"/>
              </w:rPr>
              <w:t>Tinnitus</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F3BF0" w:rsidRPr="00052C4E" w:rsidRDefault="002F3BF0" w:rsidP="00E64CEB">
            <w:pPr>
              <w:spacing w:line="240" w:lineRule="exact"/>
              <w:jc w:val="center"/>
              <w:rPr>
                <w:rFonts w:eastAsiaTheme="minorEastAsia"/>
                <w:color w:val="auto"/>
                <w:sz w:val="18"/>
                <w:szCs w:val="18"/>
              </w:rPr>
            </w:pPr>
            <w:r>
              <w:rPr>
                <w:rFonts w:eastAsiaTheme="minorEastAsia"/>
                <w:color w:val="auto"/>
                <w:sz w:val="18"/>
                <w:szCs w:val="18"/>
              </w:rPr>
              <w:t>6260</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F3BF0" w:rsidRPr="00052C4E" w:rsidRDefault="002F3BF0" w:rsidP="00E64CEB">
            <w:pPr>
              <w:spacing w:line="240" w:lineRule="exact"/>
              <w:jc w:val="center"/>
              <w:rPr>
                <w:rFonts w:eastAsiaTheme="minorEastAsia"/>
                <w:color w:val="auto"/>
                <w:sz w:val="18"/>
                <w:szCs w:val="18"/>
              </w:rPr>
            </w:pPr>
            <w:r w:rsidRPr="000954A3">
              <w:rPr>
                <w:rFonts w:eastAsiaTheme="minorEastAsia"/>
                <w:color w:val="auto"/>
                <w:sz w:val="18"/>
                <w:szCs w:val="18"/>
              </w:rPr>
              <w:t>10%</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F3BF0" w:rsidRPr="007E2A52" w:rsidRDefault="002F3BF0" w:rsidP="00E64CEB">
            <w:pPr>
              <w:spacing w:line="240" w:lineRule="exact"/>
              <w:jc w:val="center"/>
              <w:rPr>
                <w:rFonts w:eastAsiaTheme="minorEastAsia"/>
                <w:b/>
                <w:color w:val="auto"/>
                <w:sz w:val="18"/>
                <w:szCs w:val="18"/>
              </w:rPr>
            </w:pPr>
            <w:r w:rsidRPr="007E2A52">
              <w:rPr>
                <w:rFonts w:eastAsiaTheme="minorEastAsia"/>
                <w:b/>
                <w:color w:val="auto"/>
                <w:sz w:val="18"/>
                <w:szCs w:val="18"/>
              </w:rPr>
              <w:t>20031124</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F3BF0" w:rsidRDefault="002F3BF0" w:rsidP="00E64CEB">
            <w:pPr>
              <w:spacing w:line="240" w:lineRule="exact"/>
              <w:jc w:val="center"/>
            </w:pPr>
            <w:r>
              <w:rPr>
                <w:b/>
                <w:color w:val="auto"/>
                <w:sz w:val="18"/>
                <w:szCs w:val="18"/>
              </w:rPr>
              <w:t>20030308</w:t>
            </w:r>
          </w:p>
        </w:tc>
      </w:tr>
      <w:tr w:rsidR="002F3BF0" w:rsidTr="0094003C">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3BF0" w:rsidRPr="00052C4E" w:rsidRDefault="002F3BF0" w:rsidP="00E64CEB">
            <w:pPr>
              <w:spacing w:line="240" w:lineRule="exact"/>
              <w:rPr>
                <w:sz w:val="18"/>
                <w:szCs w:val="18"/>
              </w:rPr>
            </w:pPr>
            <w:r w:rsidRPr="00052C4E">
              <w:rPr>
                <w:rFonts w:eastAsiaTheme="minorEastAsia"/>
                <w:color w:val="auto"/>
                <w:sz w:val="18"/>
                <w:szCs w:val="18"/>
              </w:rPr>
              <w:t>No PEB Entry</w:t>
            </w: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F3BF0" w:rsidRPr="000812CB" w:rsidRDefault="002F3BF0" w:rsidP="00E64CEB">
            <w:pPr>
              <w:spacing w:line="240" w:lineRule="exact"/>
              <w:rPr>
                <w:rFonts w:eastAsiaTheme="minorEastAsia"/>
                <w:color w:val="auto"/>
                <w:sz w:val="18"/>
                <w:szCs w:val="18"/>
              </w:rPr>
            </w:pPr>
            <w:r w:rsidRPr="002840DA">
              <w:rPr>
                <w:rFonts w:eastAsiaTheme="minorEastAsia"/>
                <w:color w:val="auto"/>
                <w:sz w:val="18"/>
                <w:szCs w:val="18"/>
              </w:rPr>
              <w:t xml:space="preserve">NARSUM: Past </w:t>
            </w:r>
            <w:proofErr w:type="spellStart"/>
            <w:r w:rsidRPr="002840DA">
              <w:rPr>
                <w:rFonts w:eastAsiaTheme="minorEastAsia"/>
                <w:color w:val="auto"/>
                <w:sz w:val="18"/>
                <w:szCs w:val="18"/>
              </w:rPr>
              <w:t>Hx-Patellofemoral</w:t>
            </w:r>
            <w:proofErr w:type="spellEnd"/>
            <w:r w:rsidRPr="002840DA">
              <w:rPr>
                <w:rFonts w:eastAsiaTheme="minorEastAsia"/>
                <w:color w:val="auto"/>
                <w:sz w:val="18"/>
                <w:szCs w:val="18"/>
              </w:rPr>
              <w:t xml:space="preserve"> Syndrome</w:t>
            </w:r>
            <w:r w:rsidR="000A0689">
              <w:rPr>
                <w:rFonts w:eastAsiaTheme="minorEastAsia"/>
                <w:color w:val="auto"/>
                <w:sz w:val="18"/>
                <w:szCs w:val="18"/>
              </w:rPr>
              <w:t xml:space="preserve"> and DD</w:t>
            </w:r>
            <w:r w:rsidR="00D95239">
              <w:rPr>
                <w:rFonts w:eastAsiaTheme="minorEastAsia"/>
                <w:color w:val="auto"/>
                <w:sz w:val="18"/>
                <w:szCs w:val="18"/>
              </w:rPr>
              <w:t xml:space="preserve"> Form </w:t>
            </w:r>
            <w:r w:rsidR="000A0689">
              <w:rPr>
                <w:rFonts w:eastAsiaTheme="minorEastAsia"/>
                <w:color w:val="auto"/>
                <w:sz w:val="18"/>
                <w:szCs w:val="18"/>
              </w:rPr>
              <w:t>2697</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2F3BF0" w:rsidRPr="00D820A5" w:rsidRDefault="002F3BF0" w:rsidP="00E64CEB">
            <w:pPr>
              <w:spacing w:line="240" w:lineRule="exact"/>
              <w:rPr>
                <w:rFonts w:eastAsiaTheme="minorEastAsia"/>
                <w:color w:val="auto"/>
                <w:sz w:val="18"/>
                <w:szCs w:val="18"/>
                <w:highlight w:val="yellow"/>
              </w:rPr>
            </w:pPr>
            <w:r>
              <w:rPr>
                <w:rFonts w:eastAsiaTheme="minorEastAsia"/>
                <w:color w:val="auto"/>
                <w:sz w:val="18"/>
                <w:szCs w:val="18"/>
              </w:rPr>
              <w:t xml:space="preserve">Bilateral </w:t>
            </w:r>
            <w:proofErr w:type="spellStart"/>
            <w:r>
              <w:rPr>
                <w:rFonts w:eastAsiaTheme="minorEastAsia"/>
                <w:color w:val="auto"/>
                <w:sz w:val="18"/>
                <w:szCs w:val="18"/>
              </w:rPr>
              <w:t>Patellofemoral</w:t>
            </w:r>
            <w:proofErr w:type="spellEnd"/>
            <w:r>
              <w:rPr>
                <w:rFonts w:eastAsiaTheme="minorEastAsia"/>
                <w:color w:val="auto"/>
                <w:sz w:val="18"/>
                <w:szCs w:val="18"/>
              </w:rPr>
              <w:t xml:space="preserve"> Syndrome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3BF0" w:rsidRPr="00D820A5" w:rsidRDefault="002F3BF0" w:rsidP="00E64CEB">
            <w:pPr>
              <w:spacing w:line="240" w:lineRule="exact"/>
              <w:jc w:val="center"/>
              <w:rPr>
                <w:rFonts w:eastAsiaTheme="minorEastAsia"/>
                <w:color w:val="auto"/>
                <w:sz w:val="18"/>
                <w:szCs w:val="18"/>
                <w:highlight w:val="yellow"/>
              </w:rPr>
            </w:pPr>
            <w:r w:rsidRPr="001E5489">
              <w:rPr>
                <w:rFonts w:eastAsiaTheme="minorEastAsia"/>
                <w:color w:val="auto"/>
                <w:sz w:val="18"/>
                <w:szCs w:val="18"/>
              </w:rPr>
              <w:t>5275-5010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3BF0" w:rsidRPr="000954A3" w:rsidRDefault="002F3BF0" w:rsidP="00E64CEB">
            <w:pPr>
              <w:spacing w:line="240" w:lineRule="exact"/>
              <w:jc w:val="center"/>
              <w:rPr>
                <w:rFonts w:eastAsiaTheme="minorEastAsia"/>
                <w:color w:val="auto"/>
                <w:sz w:val="18"/>
                <w:szCs w:val="18"/>
              </w:rPr>
            </w:pPr>
            <w:r w:rsidRPr="000954A3">
              <w:rPr>
                <w:rFonts w:eastAsiaTheme="minorEastAsia"/>
                <w:color w:val="auto"/>
                <w:sz w:val="18"/>
                <w:szCs w:val="18"/>
              </w:rPr>
              <w:t>0%</w:t>
            </w:r>
          </w:p>
          <w:p w:rsidR="002F3BF0" w:rsidRPr="00D820A5" w:rsidRDefault="002F3BF0" w:rsidP="00E64CEB">
            <w:pPr>
              <w:spacing w:line="240" w:lineRule="exact"/>
              <w:jc w:val="center"/>
              <w:rPr>
                <w:rFonts w:eastAsiaTheme="minorEastAsia"/>
                <w:color w:val="auto"/>
                <w:sz w:val="18"/>
                <w:szCs w:val="18"/>
                <w:highlight w:val="yellow"/>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3BF0" w:rsidRPr="007E2A52" w:rsidRDefault="002F3BF0" w:rsidP="00E64CEB">
            <w:pPr>
              <w:spacing w:line="240" w:lineRule="exact"/>
              <w:jc w:val="center"/>
              <w:rPr>
                <w:rFonts w:eastAsiaTheme="minorEastAsia"/>
                <w:b/>
                <w:color w:val="auto"/>
                <w:sz w:val="18"/>
                <w:szCs w:val="18"/>
              </w:rPr>
            </w:pPr>
            <w:r w:rsidRPr="007E2A52">
              <w:rPr>
                <w:rFonts w:eastAsiaTheme="minorEastAsia"/>
                <w:b/>
                <w:color w:val="auto"/>
                <w:sz w:val="18"/>
                <w:szCs w:val="18"/>
              </w:rPr>
              <w:t>20031124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3BF0" w:rsidRDefault="002F3BF0" w:rsidP="00E64CEB">
            <w:pPr>
              <w:spacing w:line="240" w:lineRule="exact"/>
              <w:jc w:val="center"/>
            </w:pPr>
            <w:r>
              <w:rPr>
                <w:b/>
                <w:color w:val="auto"/>
                <w:sz w:val="18"/>
                <w:szCs w:val="18"/>
              </w:rPr>
              <w:t>20030308</w:t>
            </w:r>
          </w:p>
          <w:p w:rsidR="002F3BF0" w:rsidRDefault="002F3BF0" w:rsidP="00E64CEB">
            <w:pPr>
              <w:spacing w:line="240" w:lineRule="exact"/>
            </w:pPr>
          </w:p>
          <w:p w:rsidR="002F3BF0" w:rsidRPr="00F20FA4" w:rsidRDefault="002F3BF0" w:rsidP="00E64CEB">
            <w:pPr>
              <w:spacing w:line="240" w:lineRule="exact"/>
            </w:pPr>
          </w:p>
        </w:tc>
      </w:tr>
      <w:tr w:rsidR="002F3BF0" w:rsidTr="0094003C">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3BF0" w:rsidRPr="00052C4E" w:rsidRDefault="002F3BF0" w:rsidP="00E64CEB">
            <w:pPr>
              <w:spacing w:line="240" w:lineRule="exact"/>
              <w:rPr>
                <w:sz w:val="18"/>
                <w:szCs w:val="18"/>
              </w:rPr>
            </w:pPr>
            <w:r w:rsidRPr="00052C4E">
              <w:rPr>
                <w:rFonts w:eastAsiaTheme="minorEastAsia"/>
                <w:color w:val="auto"/>
                <w:sz w:val="18"/>
                <w:szCs w:val="18"/>
              </w:rPr>
              <w:t>No PEB Entry</w:t>
            </w: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F3BF0" w:rsidRDefault="002F3BF0" w:rsidP="00E64CEB">
            <w:pPr>
              <w:spacing w:line="240" w:lineRule="exact"/>
            </w:pPr>
            <w:r w:rsidRPr="002840DA">
              <w:rPr>
                <w:rFonts w:eastAsiaTheme="minorEastAsia"/>
                <w:color w:val="auto"/>
                <w:sz w:val="18"/>
                <w:szCs w:val="18"/>
              </w:rPr>
              <w:t xml:space="preserve">NARSUM: Other </w:t>
            </w:r>
            <w:proofErr w:type="spellStart"/>
            <w:r w:rsidRPr="002840DA">
              <w:rPr>
                <w:rFonts w:eastAsiaTheme="minorEastAsia"/>
                <w:color w:val="auto"/>
                <w:sz w:val="18"/>
                <w:szCs w:val="18"/>
              </w:rPr>
              <w:t>Dx-Epididymitis</w:t>
            </w:r>
            <w:proofErr w:type="spellEnd"/>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2F3BF0" w:rsidRPr="00D820A5" w:rsidRDefault="002F3BF0" w:rsidP="00E64CEB">
            <w:pPr>
              <w:spacing w:line="240" w:lineRule="exact"/>
              <w:rPr>
                <w:rFonts w:eastAsiaTheme="minorEastAsia"/>
                <w:color w:val="auto"/>
                <w:sz w:val="18"/>
                <w:szCs w:val="18"/>
                <w:highlight w:val="yellow"/>
              </w:rPr>
            </w:pPr>
            <w:r w:rsidRPr="007D5525">
              <w:rPr>
                <w:rFonts w:eastAsiaTheme="minorEastAsia"/>
                <w:color w:val="auto"/>
                <w:sz w:val="18"/>
                <w:szCs w:val="18"/>
              </w:rPr>
              <w:t xml:space="preserve">Chronic </w:t>
            </w:r>
            <w:proofErr w:type="spellStart"/>
            <w:r w:rsidRPr="007D5525">
              <w:rPr>
                <w:rFonts w:eastAsiaTheme="minorEastAsia"/>
                <w:color w:val="auto"/>
                <w:sz w:val="18"/>
                <w:szCs w:val="18"/>
              </w:rPr>
              <w:t>Epididymitis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3BF0" w:rsidRPr="00D820A5" w:rsidRDefault="002F3BF0" w:rsidP="00E64CEB">
            <w:pPr>
              <w:spacing w:line="240" w:lineRule="exact"/>
              <w:jc w:val="center"/>
              <w:rPr>
                <w:rFonts w:eastAsiaTheme="minorEastAsia"/>
                <w:color w:val="auto"/>
                <w:sz w:val="18"/>
                <w:szCs w:val="18"/>
                <w:highlight w:val="yellow"/>
              </w:rPr>
            </w:pPr>
            <w:r w:rsidRPr="001E5489">
              <w:rPr>
                <w:rFonts w:eastAsiaTheme="minorEastAsia"/>
                <w:color w:val="auto"/>
                <w:sz w:val="18"/>
                <w:szCs w:val="18"/>
              </w:rPr>
              <w:t>7599-7522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3BF0" w:rsidRPr="000954A3" w:rsidRDefault="002F3BF0" w:rsidP="00E64CEB">
            <w:pPr>
              <w:spacing w:line="240" w:lineRule="exact"/>
              <w:jc w:val="center"/>
              <w:rPr>
                <w:rFonts w:eastAsiaTheme="minorEastAsia"/>
                <w:color w:val="auto"/>
                <w:sz w:val="18"/>
                <w:szCs w:val="18"/>
              </w:rPr>
            </w:pPr>
            <w:r w:rsidRPr="000954A3">
              <w:rPr>
                <w:rFonts w:eastAsiaTheme="minorEastAsia"/>
                <w:color w:val="auto"/>
                <w:sz w:val="18"/>
                <w:szCs w:val="18"/>
              </w:rPr>
              <w:t>0%</w:t>
            </w:r>
          </w:p>
          <w:p w:rsidR="002F3BF0" w:rsidRPr="00D820A5" w:rsidRDefault="002F3BF0" w:rsidP="00E64CEB">
            <w:pPr>
              <w:spacing w:line="240" w:lineRule="exact"/>
              <w:jc w:val="center"/>
              <w:rPr>
                <w:rFonts w:eastAsiaTheme="minorEastAsia"/>
                <w:color w:val="auto"/>
                <w:sz w:val="18"/>
                <w:szCs w:val="18"/>
                <w:highlight w:val="yellow"/>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3BF0" w:rsidRPr="007E2A52" w:rsidRDefault="002F3BF0" w:rsidP="00E64CEB">
            <w:pPr>
              <w:spacing w:line="240" w:lineRule="exact"/>
              <w:jc w:val="center"/>
              <w:rPr>
                <w:rFonts w:eastAsiaTheme="minorEastAsia"/>
                <w:b/>
                <w:color w:val="auto"/>
                <w:sz w:val="18"/>
                <w:szCs w:val="18"/>
              </w:rPr>
            </w:pPr>
            <w:r w:rsidRPr="007E2A52">
              <w:rPr>
                <w:rFonts w:eastAsiaTheme="minorEastAsia"/>
                <w:b/>
                <w:color w:val="auto"/>
                <w:sz w:val="18"/>
                <w:szCs w:val="18"/>
              </w:rPr>
              <w:t>20031124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3BF0" w:rsidRDefault="002F3BF0" w:rsidP="00E64CEB">
            <w:pPr>
              <w:spacing w:line="240" w:lineRule="exact"/>
              <w:jc w:val="center"/>
            </w:pPr>
            <w:r>
              <w:rPr>
                <w:b/>
                <w:color w:val="auto"/>
                <w:sz w:val="18"/>
                <w:szCs w:val="18"/>
              </w:rPr>
              <w:t>20030308</w:t>
            </w:r>
          </w:p>
          <w:p w:rsidR="002F3BF0" w:rsidRDefault="002F3BF0" w:rsidP="00E64CEB">
            <w:pPr>
              <w:spacing w:line="240" w:lineRule="exact"/>
            </w:pPr>
          </w:p>
          <w:p w:rsidR="002F3BF0" w:rsidRPr="00F20FA4" w:rsidRDefault="002F3BF0" w:rsidP="00E64CEB">
            <w:pPr>
              <w:spacing w:line="240" w:lineRule="exact"/>
            </w:pPr>
          </w:p>
        </w:tc>
      </w:tr>
      <w:tr w:rsidR="002F3BF0" w:rsidTr="0094003C">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F3BF0" w:rsidRPr="000812CB" w:rsidRDefault="002F3BF0" w:rsidP="00E64CEB">
            <w:pPr>
              <w:spacing w:line="240" w:lineRule="exact"/>
              <w:rPr>
                <w:color w:val="auto"/>
                <w:sz w:val="18"/>
                <w:szCs w:val="18"/>
              </w:rPr>
            </w:pPr>
            <w:r w:rsidRPr="000812CB">
              <w:rPr>
                <w:color w:val="auto"/>
                <w:sz w:val="18"/>
                <w:szCs w:val="18"/>
              </w:rPr>
              <w:t>No PEB Entry</w:t>
            </w: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2F3BF0" w:rsidRPr="000812CB" w:rsidRDefault="000A0689" w:rsidP="00E64CEB">
            <w:pPr>
              <w:spacing w:line="240" w:lineRule="exact"/>
              <w:rPr>
                <w:color w:val="auto"/>
                <w:sz w:val="18"/>
                <w:szCs w:val="18"/>
              </w:rPr>
            </w:pPr>
            <w:r>
              <w:rPr>
                <w:color w:val="auto"/>
                <w:sz w:val="18"/>
                <w:szCs w:val="18"/>
              </w:rPr>
              <w:t>DD</w:t>
            </w:r>
            <w:r w:rsidR="00D95239">
              <w:rPr>
                <w:color w:val="auto"/>
                <w:sz w:val="18"/>
                <w:szCs w:val="18"/>
              </w:rPr>
              <w:t xml:space="preserve"> Form</w:t>
            </w:r>
            <w:r w:rsidR="00C4102C">
              <w:rPr>
                <w:color w:val="auto"/>
                <w:sz w:val="18"/>
                <w:szCs w:val="18"/>
              </w:rPr>
              <w:t xml:space="preserve"> </w:t>
            </w:r>
            <w:r>
              <w:rPr>
                <w:color w:val="auto"/>
                <w:sz w:val="18"/>
                <w:szCs w:val="18"/>
              </w:rPr>
              <w:t>2697</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2F3BF0" w:rsidRPr="00D820A5" w:rsidRDefault="002F3BF0" w:rsidP="00E64CEB">
            <w:pPr>
              <w:spacing w:line="240" w:lineRule="exact"/>
              <w:rPr>
                <w:rFonts w:eastAsiaTheme="minorEastAsia"/>
                <w:color w:val="auto"/>
                <w:sz w:val="18"/>
                <w:szCs w:val="18"/>
                <w:highlight w:val="yellow"/>
              </w:rPr>
            </w:pPr>
            <w:r>
              <w:rPr>
                <w:rFonts w:eastAsiaTheme="minorEastAsia"/>
                <w:color w:val="auto"/>
                <w:sz w:val="18"/>
                <w:szCs w:val="18"/>
              </w:rPr>
              <w:t xml:space="preserve">Chronic </w:t>
            </w:r>
            <w:proofErr w:type="spellStart"/>
            <w:r>
              <w:rPr>
                <w:rFonts w:eastAsiaTheme="minorEastAsia"/>
                <w:color w:val="auto"/>
                <w:sz w:val="18"/>
                <w:szCs w:val="18"/>
              </w:rPr>
              <w:t>Prostatitis</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3BF0" w:rsidRPr="00D820A5" w:rsidRDefault="002F3BF0" w:rsidP="00E64CEB">
            <w:pPr>
              <w:spacing w:line="240" w:lineRule="exact"/>
              <w:jc w:val="center"/>
              <w:rPr>
                <w:rFonts w:eastAsiaTheme="minorEastAsia"/>
                <w:color w:val="auto"/>
                <w:sz w:val="18"/>
                <w:szCs w:val="18"/>
                <w:highlight w:val="yellow"/>
              </w:rPr>
            </w:pPr>
            <w:r w:rsidRPr="00725CDA">
              <w:rPr>
                <w:rFonts w:eastAsiaTheme="minorEastAsia"/>
                <w:color w:val="auto"/>
                <w:sz w:val="18"/>
                <w:szCs w:val="18"/>
              </w:rPr>
              <w:t>7527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3BF0" w:rsidRPr="000954A3" w:rsidRDefault="002F3BF0" w:rsidP="00E64CEB">
            <w:pPr>
              <w:spacing w:line="240" w:lineRule="exact"/>
              <w:jc w:val="center"/>
              <w:rPr>
                <w:rFonts w:eastAsiaTheme="minorEastAsia"/>
                <w:color w:val="auto"/>
                <w:sz w:val="18"/>
                <w:szCs w:val="18"/>
              </w:rPr>
            </w:pPr>
            <w:r w:rsidRPr="000954A3">
              <w:rPr>
                <w:rFonts w:eastAsiaTheme="minorEastAsia"/>
                <w:color w:val="auto"/>
                <w:sz w:val="18"/>
                <w:szCs w:val="18"/>
              </w:rPr>
              <w:t>0%</w:t>
            </w:r>
          </w:p>
          <w:p w:rsidR="002F3BF0" w:rsidRPr="00D820A5" w:rsidRDefault="002F3BF0" w:rsidP="00E64CEB">
            <w:pPr>
              <w:spacing w:line="240" w:lineRule="exact"/>
              <w:jc w:val="center"/>
              <w:rPr>
                <w:rFonts w:eastAsiaTheme="minorEastAsia"/>
                <w:color w:val="auto"/>
                <w:sz w:val="18"/>
                <w:szCs w:val="18"/>
                <w:highlight w:val="yellow"/>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3BF0" w:rsidRPr="007E2A52" w:rsidRDefault="002F3BF0" w:rsidP="00E64CEB">
            <w:pPr>
              <w:spacing w:line="240" w:lineRule="exact"/>
              <w:jc w:val="center"/>
              <w:rPr>
                <w:rFonts w:eastAsiaTheme="minorEastAsia"/>
                <w:b/>
                <w:color w:val="auto"/>
                <w:sz w:val="18"/>
                <w:szCs w:val="18"/>
              </w:rPr>
            </w:pPr>
            <w:r w:rsidRPr="007E2A52">
              <w:rPr>
                <w:rFonts w:eastAsiaTheme="minorEastAsia"/>
                <w:b/>
                <w:color w:val="auto"/>
                <w:sz w:val="18"/>
                <w:szCs w:val="18"/>
              </w:rPr>
              <w:t>20031124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F3BF0" w:rsidRDefault="002F3BF0" w:rsidP="00E64CEB">
            <w:pPr>
              <w:spacing w:line="240" w:lineRule="exact"/>
              <w:jc w:val="center"/>
            </w:pPr>
            <w:r>
              <w:rPr>
                <w:b/>
                <w:color w:val="auto"/>
                <w:sz w:val="18"/>
                <w:szCs w:val="18"/>
              </w:rPr>
              <w:t>20030308</w:t>
            </w:r>
          </w:p>
          <w:p w:rsidR="002F3BF0" w:rsidRDefault="002F3BF0" w:rsidP="00E64CEB">
            <w:pPr>
              <w:spacing w:line="240" w:lineRule="exact"/>
            </w:pPr>
          </w:p>
          <w:p w:rsidR="002F3BF0" w:rsidRPr="00F20FA4" w:rsidRDefault="002F3BF0" w:rsidP="00E64CEB">
            <w:pPr>
              <w:spacing w:line="240" w:lineRule="exact"/>
            </w:pPr>
          </w:p>
        </w:tc>
      </w:tr>
      <w:tr w:rsidR="00F20FA4" w:rsidTr="006C2A4F">
        <w:trPr>
          <w:trHeight w:val="305"/>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20FA4" w:rsidRPr="00404BB3" w:rsidRDefault="00F20FA4" w:rsidP="00E64CEB">
            <w:pPr>
              <w:pStyle w:val="ListParagraph"/>
              <w:spacing w:after="0" w:line="240" w:lineRule="exact"/>
              <w:ind w:left="0"/>
              <w:jc w:val="center"/>
              <w:rPr>
                <w:rFonts w:cs="Times New Roman"/>
                <w:b/>
              </w:rPr>
            </w:pPr>
            <w:r w:rsidRPr="00404BB3">
              <w:rPr>
                <w:rFonts w:cs="Times New Roman"/>
                <w:b/>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20FA4" w:rsidRDefault="00F20FA4" w:rsidP="00E64CEB">
            <w:pPr>
              <w:pStyle w:val="ListParagraph"/>
              <w:spacing w:after="0" w:line="240" w:lineRule="exact"/>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r w:rsidRPr="00EA6AF1">
              <w:rPr>
                <w:rFonts w:cs="Times New Roman"/>
                <w:b/>
              </w:rPr>
              <w:t>40%</w:t>
            </w:r>
          </w:p>
        </w:tc>
      </w:tr>
    </w:tbl>
    <w:p w:rsidR="00A90D55" w:rsidRPr="00842768" w:rsidRDefault="008B5D31" w:rsidP="00E64CEB">
      <w:pPr>
        <w:tabs>
          <w:tab w:val="left" w:pos="288"/>
          <w:tab w:val="left" w:pos="4752"/>
        </w:tabs>
        <w:spacing w:line="240" w:lineRule="exact"/>
        <w:jc w:val="both"/>
        <w:rPr>
          <w:rFonts w:asciiTheme="minorHAnsi" w:hAnsiTheme="minorHAnsi"/>
          <w:color w:val="auto"/>
          <w:szCs w:val="24"/>
        </w:rPr>
      </w:pPr>
      <w:r w:rsidRPr="00842768">
        <w:rPr>
          <w:rFonts w:asciiTheme="minorHAnsi" w:hAnsiTheme="minorHAnsi"/>
          <w:color w:val="auto"/>
          <w:szCs w:val="24"/>
          <w:u w:val="single"/>
        </w:rPr>
        <w:t>_______________________________</w:t>
      </w:r>
      <w:r w:rsidR="009C7D6D" w:rsidRPr="00842768">
        <w:rPr>
          <w:rFonts w:asciiTheme="minorHAnsi" w:hAnsiTheme="minorHAnsi"/>
          <w:color w:val="auto"/>
          <w:szCs w:val="24"/>
          <w:u w:val="single"/>
        </w:rPr>
        <w:t>______________</w:t>
      </w:r>
      <w:r w:rsidRPr="00842768">
        <w:rPr>
          <w:rFonts w:asciiTheme="minorHAnsi" w:hAnsiTheme="minorHAnsi"/>
          <w:color w:val="auto"/>
          <w:szCs w:val="24"/>
          <w:u w:val="single"/>
        </w:rPr>
        <w:t>_____________________________</w:t>
      </w:r>
      <w:r w:rsidR="00A90D55" w:rsidRPr="00842768">
        <w:rPr>
          <w:rFonts w:asciiTheme="minorHAnsi" w:hAnsiTheme="minorHAnsi"/>
          <w:color w:val="auto"/>
          <w:szCs w:val="24"/>
        </w:rPr>
        <w:t>_</w:t>
      </w:r>
    </w:p>
    <w:p w:rsidR="005B1A6D" w:rsidRPr="00842768" w:rsidRDefault="005B1A6D" w:rsidP="00E64CEB">
      <w:pPr>
        <w:spacing w:line="240" w:lineRule="exact"/>
        <w:rPr>
          <w:rFonts w:asciiTheme="minorHAnsi" w:hAnsiTheme="minorHAnsi"/>
          <w:color w:val="auto"/>
          <w:szCs w:val="24"/>
        </w:rPr>
      </w:pPr>
    </w:p>
    <w:p w:rsidR="00124778" w:rsidRDefault="00124778" w:rsidP="00E64CEB">
      <w:pPr>
        <w:spacing w:line="240" w:lineRule="exact"/>
        <w:jc w:val="both"/>
        <w:rPr>
          <w:color w:val="auto"/>
          <w:szCs w:val="24"/>
        </w:rPr>
      </w:pPr>
      <w:r w:rsidRPr="00842768">
        <w:rPr>
          <w:color w:val="auto"/>
          <w:szCs w:val="24"/>
          <w:u w:val="single"/>
        </w:rPr>
        <w:t>ANALYSIS SUMMARY</w:t>
      </w:r>
      <w:r w:rsidRPr="00842768">
        <w:rPr>
          <w:color w:val="auto"/>
          <w:szCs w:val="24"/>
        </w:rPr>
        <w:t>:</w:t>
      </w:r>
    </w:p>
    <w:p w:rsidR="00C4102C" w:rsidRDefault="00C4102C" w:rsidP="00E64CEB">
      <w:pPr>
        <w:spacing w:line="240" w:lineRule="exact"/>
        <w:jc w:val="both"/>
        <w:rPr>
          <w:color w:val="auto"/>
          <w:szCs w:val="24"/>
          <w:u w:val="single"/>
        </w:rPr>
      </w:pPr>
    </w:p>
    <w:p w:rsidR="000B5D2B" w:rsidRPr="000B5D2B" w:rsidRDefault="000B5D2B" w:rsidP="00E64CEB">
      <w:pPr>
        <w:spacing w:line="240" w:lineRule="exact"/>
        <w:jc w:val="both"/>
        <w:rPr>
          <w:color w:val="auto"/>
          <w:szCs w:val="24"/>
          <w:u w:val="single"/>
        </w:rPr>
      </w:pPr>
      <w:r w:rsidRPr="000B5D2B">
        <w:rPr>
          <w:color w:val="auto"/>
          <w:szCs w:val="24"/>
          <w:u w:val="single"/>
        </w:rPr>
        <w:t xml:space="preserve">Back Pain with </w:t>
      </w:r>
      <w:proofErr w:type="spellStart"/>
      <w:r w:rsidRPr="000B5D2B">
        <w:rPr>
          <w:color w:val="auto"/>
          <w:szCs w:val="24"/>
          <w:u w:val="single"/>
        </w:rPr>
        <w:t>Radiculopathy</w:t>
      </w:r>
      <w:proofErr w:type="spellEnd"/>
    </w:p>
    <w:p w:rsidR="008309E1" w:rsidRDefault="00842768" w:rsidP="00E64CEB">
      <w:pPr>
        <w:autoSpaceDE w:val="0"/>
        <w:autoSpaceDN w:val="0"/>
        <w:adjustRightInd w:val="0"/>
        <w:spacing w:line="240" w:lineRule="exact"/>
        <w:jc w:val="both"/>
        <w:rPr>
          <w:color w:val="auto"/>
          <w:szCs w:val="24"/>
        </w:rPr>
      </w:pPr>
      <w:r w:rsidRPr="008309E1">
        <w:rPr>
          <w:color w:val="auto"/>
          <w:szCs w:val="24"/>
        </w:rPr>
        <w:t xml:space="preserve">The CI was first evaluated for back pain in </w:t>
      </w:r>
      <w:r w:rsidRPr="002D6F7A">
        <w:rPr>
          <w:color w:val="auto"/>
          <w:szCs w:val="24"/>
        </w:rPr>
        <w:t xml:space="preserve">February </w:t>
      </w:r>
      <w:r w:rsidR="00E64CEB" w:rsidRPr="002D6F7A">
        <w:rPr>
          <w:color w:val="auto"/>
          <w:szCs w:val="24"/>
        </w:rPr>
        <w:t>200</w:t>
      </w:r>
      <w:r w:rsidR="002D6F7A" w:rsidRPr="002D6F7A">
        <w:rPr>
          <w:color w:val="auto"/>
          <w:szCs w:val="24"/>
        </w:rPr>
        <w:t>0</w:t>
      </w:r>
      <w:r w:rsidR="00E64CEB">
        <w:rPr>
          <w:color w:val="auto"/>
          <w:szCs w:val="24"/>
        </w:rPr>
        <w:t xml:space="preserve"> </w:t>
      </w:r>
      <w:r w:rsidRPr="008309E1">
        <w:rPr>
          <w:color w:val="auto"/>
          <w:szCs w:val="24"/>
        </w:rPr>
        <w:t>after physical fitness training in Officer Training School. He was seen periodically for back pain over the next</w:t>
      </w:r>
      <w:r w:rsidR="00891A15" w:rsidRPr="008309E1">
        <w:rPr>
          <w:color w:val="auto"/>
          <w:szCs w:val="24"/>
        </w:rPr>
        <w:t xml:space="preserve"> few years. </w:t>
      </w:r>
      <w:r w:rsidR="009F10BC">
        <w:rPr>
          <w:color w:val="auto"/>
          <w:szCs w:val="24"/>
        </w:rPr>
        <w:t xml:space="preserve"> </w:t>
      </w:r>
      <w:r w:rsidR="00891A15" w:rsidRPr="008309E1">
        <w:rPr>
          <w:color w:val="auto"/>
          <w:szCs w:val="24"/>
        </w:rPr>
        <w:t xml:space="preserve">He also had pain that radiated down his right leg to the right foot with tingling </w:t>
      </w:r>
      <w:proofErr w:type="spellStart"/>
      <w:r w:rsidR="00891A15" w:rsidRPr="008309E1">
        <w:rPr>
          <w:color w:val="auto"/>
          <w:szCs w:val="24"/>
        </w:rPr>
        <w:t>paresthesias</w:t>
      </w:r>
      <w:proofErr w:type="spellEnd"/>
      <w:r w:rsidR="00891A15" w:rsidRPr="008309E1">
        <w:rPr>
          <w:color w:val="auto"/>
          <w:szCs w:val="24"/>
        </w:rPr>
        <w:t xml:space="preserve"> in the right foot.</w:t>
      </w:r>
      <w:r w:rsidR="009F10BC">
        <w:rPr>
          <w:color w:val="auto"/>
          <w:szCs w:val="24"/>
        </w:rPr>
        <w:t xml:space="preserve"> </w:t>
      </w:r>
      <w:r w:rsidR="008309E1">
        <w:rPr>
          <w:color w:val="auto"/>
          <w:szCs w:val="24"/>
        </w:rPr>
        <w:t xml:space="preserve"> He received physical therapy, acupuncture and chiropractic manipulation as well as lumbar steroid injections but nothing relieved his pain.</w:t>
      </w:r>
    </w:p>
    <w:p w:rsidR="00AD5BEF" w:rsidRDefault="00AD5BEF" w:rsidP="00E64CEB">
      <w:pPr>
        <w:autoSpaceDE w:val="0"/>
        <w:autoSpaceDN w:val="0"/>
        <w:adjustRightInd w:val="0"/>
        <w:spacing w:line="240" w:lineRule="exact"/>
        <w:jc w:val="both"/>
        <w:rPr>
          <w:color w:val="auto"/>
          <w:szCs w:val="24"/>
        </w:rPr>
      </w:pPr>
    </w:p>
    <w:p w:rsidR="00AD5BEF" w:rsidRDefault="00AD5BEF" w:rsidP="00E64CEB">
      <w:pPr>
        <w:autoSpaceDE w:val="0"/>
        <w:autoSpaceDN w:val="0"/>
        <w:adjustRightInd w:val="0"/>
        <w:spacing w:line="240" w:lineRule="exact"/>
        <w:jc w:val="both"/>
        <w:rPr>
          <w:color w:val="auto"/>
          <w:szCs w:val="24"/>
        </w:rPr>
      </w:pPr>
      <w:r>
        <w:rPr>
          <w:color w:val="auto"/>
          <w:szCs w:val="24"/>
        </w:rPr>
        <w:t xml:space="preserve">The </w:t>
      </w:r>
      <w:r w:rsidR="009F10BC">
        <w:rPr>
          <w:color w:val="auto"/>
          <w:szCs w:val="24"/>
        </w:rPr>
        <w:t>narrative summary (</w:t>
      </w:r>
      <w:r>
        <w:rPr>
          <w:color w:val="auto"/>
          <w:szCs w:val="24"/>
        </w:rPr>
        <w:t>NARSUM</w:t>
      </w:r>
      <w:r w:rsidR="009F10BC">
        <w:rPr>
          <w:color w:val="auto"/>
          <w:szCs w:val="24"/>
        </w:rPr>
        <w:t>)</w:t>
      </w:r>
      <w:r>
        <w:rPr>
          <w:color w:val="auto"/>
          <w:szCs w:val="24"/>
        </w:rPr>
        <w:t xml:space="preserve"> examination reported no sensory or motor deficits, reflexes 2+, no </w:t>
      </w:r>
      <w:proofErr w:type="spellStart"/>
      <w:r>
        <w:rPr>
          <w:color w:val="auto"/>
          <w:szCs w:val="24"/>
        </w:rPr>
        <w:t>clonus</w:t>
      </w:r>
      <w:proofErr w:type="spellEnd"/>
      <w:r>
        <w:rPr>
          <w:color w:val="auto"/>
          <w:szCs w:val="24"/>
        </w:rPr>
        <w:t xml:space="preserve">, no foot drop, and strength 5/5. </w:t>
      </w:r>
      <w:r w:rsidR="009F10BC">
        <w:rPr>
          <w:color w:val="auto"/>
          <w:szCs w:val="24"/>
        </w:rPr>
        <w:t xml:space="preserve"> </w:t>
      </w:r>
      <w:r>
        <w:rPr>
          <w:color w:val="auto"/>
          <w:szCs w:val="24"/>
        </w:rPr>
        <w:t xml:space="preserve">The NARSUM also reported pain with extension of the </w:t>
      </w:r>
      <w:proofErr w:type="spellStart"/>
      <w:r>
        <w:rPr>
          <w:color w:val="auto"/>
          <w:szCs w:val="24"/>
        </w:rPr>
        <w:t>thoracolumbar</w:t>
      </w:r>
      <w:proofErr w:type="spellEnd"/>
      <w:r>
        <w:rPr>
          <w:color w:val="auto"/>
          <w:szCs w:val="24"/>
        </w:rPr>
        <w:t xml:space="preserve"> spine but otherwise full range of motion (ROM). </w:t>
      </w:r>
      <w:r w:rsidR="009F10BC">
        <w:rPr>
          <w:color w:val="auto"/>
          <w:szCs w:val="24"/>
        </w:rPr>
        <w:t xml:space="preserve"> </w:t>
      </w:r>
      <w:r>
        <w:rPr>
          <w:color w:val="auto"/>
          <w:szCs w:val="24"/>
        </w:rPr>
        <w:t xml:space="preserve">The VA examination done eight months after separation reported decreased sensation to pinprick in the medial aspect of the right lower leg and the anterior right foot. </w:t>
      </w:r>
      <w:r w:rsidR="009F10BC">
        <w:rPr>
          <w:color w:val="auto"/>
          <w:szCs w:val="24"/>
        </w:rPr>
        <w:t xml:space="preserve"> </w:t>
      </w:r>
      <w:r>
        <w:rPr>
          <w:color w:val="auto"/>
          <w:szCs w:val="24"/>
        </w:rPr>
        <w:t xml:space="preserve">Motor strength was 5/5 except for the right </w:t>
      </w:r>
      <w:proofErr w:type="spellStart"/>
      <w:r>
        <w:rPr>
          <w:color w:val="auto"/>
          <w:szCs w:val="24"/>
        </w:rPr>
        <w:t>tibialis</w:t>
      </w:r>
      <w:proofErr w:type="spellEnd"/>
      <w:r>
        <w:rPr>
          <w:color w:val="auto"/>
          <w:szCs w:val="24"/>
        </w:rPr>
        <w:t xml:space="preserve"> anterior which was 5-/5. </w:t>
      </w:r>
      <w:proofErr w:type="spellStart"/>
      <w:r>
        <w:rPr>
          <w:color w:val="auto"/>
          <w:szCs w:val="24"/>
        </w:rPr>
        <w:t>Thoracolumbar</w:t>
      </w:r>
      <w:proofErr w:type="spellEnd"/>
      <w:r>
        <w:rPr>
          <w:color w:val="auto"/>
          <w:szCs w:val="24"/>
        </w:rPr>
        <w:t xml:space="preserve"> ROM measurements are documented in the chart below.</w:t>
      </w:r>
    </w:p>
    <w:p w:rsidR="008309E1" w:rsidRDefault="008309E1" w:rsidP="00E64CEB">
      <w:pPr>
        <w:autoSpaceDE w:val="0"/>
        <w:autoSpaceDN w:val="0"/>
        <w:adjustRightInd w:val="0"/>
        <w:spacing w:line="240" w:lineRule="exact"/>
        <w:jc w:val="both"/>
        <w:rPr>
          <w:color w:val="auto"/>
          <w:szCs w:val="24"/>
        </w:rPr>
      </w:pPr>
    </w:p>
    <w:p w:rsidR="008309E1" w:rsidRPr="008309E1" w:rsidRDefault="008309E1" w:rsidP="00E64CEB">
      <w:pPr>
        <w:autoSpaceDE w:val="0"/>
        <w:autoSpaceDN w:val="0"/>
        <w:adjustRightInd w:val="0"/>
        <w:spacing w:line="240" w:lineRule="exact"/>
        <w:jc w:val="both"/>
        <w:rPr>
          <w:color w:val="auto"/>
          <w:szCs w:val="24"/>
        </w:rPr>
      </w:pPr>
      <w:r w:rsidRPr="008309E1">
        <w:rPr>
          <w:color w:val="auto"/>
          <w:szCs w:val="24"/>
        </w:rPr>
        <w:t xml:space="preserve">A </w:t>
      </w:r>
      <w:r w:rsidR="009F10BC" w:rsidRPr="009F10BC">
        <w:rPr>
          <w:color w:val="auto"/>
          <w:szCs w:val="24"/>
        </w:rPr>
        <w:t xml:space="preserve">Magnetic Resonance Imaging </w:t>
      </w:r>
      <w:r w:rsidR="009F10BC">
        <w:rPr>
          <w:color w:val="auto"/>
          <w:szCs w:val="24"/>
        </w:rPr>
        <w:t>(</w:t>
      </w:r>
      <w:r w:rsidRPr="008309E1">
        <w:rPr>
          <w:color w:val="auto"/>
          <w:szCs w:val="24"/>
        </w:rPr>
        <w:t>MRI</w:t>
      </w:r>
      <w:r w:rsidR="009F10BC">
        <w:rPr>
          <w:color w:val="auto"/>
          <w:szCs w:val="24"/>
        </w:rPr>
        <w:t>)</w:t>
      </w:r>
      <w:r w:rsidRPr="008309E1">
        <w:rPr>
          <w:color w:val="auto"/>
          <w:szCs w:val="24"/>
        </w:rPr>
        <w:t xml:space="preserve"> done 20021011 documented relatively short distal lumbar pedicles with secondary narrowing of the L4-5 and L5-S1 neural foramina as well as asymmetric facet joint hypertrophy at L4-5 and L5-S1, right more than left. The combination of these factors lead </w:t>
      </w:r>
      <w:r w:rsidRPr="008309E1">
        <w:rPr>
          <w:rFonts w:eastAsia="HiddenHorzOCR" w:cs="HiddenHorzOCR"/>
          <w:color w:val="auto"/>
          <w:szCs w:val="24"/>
        </w:rPr>
        <w:t>to r</w:t>
      </w:r>
      <w:r w:rsidRPr="008309E1">
        <w:rPr>
          <w:color w:val="auto"/>
          <w:szCs w:val="24"/>
        </w:rPr>
        <w:t xml:space="preserve">elative narrowing of the right L4-5 and L5-S1 neural foramina and impression of the right L5, and to lesser degree, L4 nerve root cannot be excluded. </w:t>
      </w:r>
      <w:r w:rsidR="009F10BC">
        <w:rPr>
          <w:color w:val="auto"/>
          <w:szCs w:val="24"/>
        </w:rPr>
        <w:t xml:space="preserve"> </w:t>
      </w:r>
      <w:r w:rsidRPr="008309E1">
        <w:rPr>
          <w:color w:val="auto"/>
          <w:szCs w:val="24"/>
        </w:rPr>
        <w:t xml:space="preserve">The impression was: </w:t>
      </w:r>
      <w:r w:rsidR="009F10BC">
        <w:rPr>
          <w:color w:val="auto"/>
          <w:szCs w:val="24"/>
        </w:rPr>
        <w:t xml:space="preserve"> </w:t>
      </w:r>
      <w:r w:rsidR="00E64CEB">
        <w:rPr>
          <w:color w:val="auto"/>
          <w:szCs w:val="24"/>
        </w:rPr>
        <w:t>Narrowing of the Right L</w:t>
      </w:r>
      <w:r w:rsidRPr="008309E1">
        <w:rPr>
          <w:color w:val="auto"/>
          <w:szCs w:val="24"/>
        </w:rPr>
        <w:t xml:space="preserve">4-L5 </w:t>
      </w:r>
      <w:r w:rsidR="00E64CEB">
        <w:rPr>
          <w:color w:val="auto"/>
          <w:szCs w:val="24"/>
        </w:rPr>
        <w:t xml:space="preserve">and </w:t>
      </w:r>
      <w:r w:rsidRPr="008309E1">
        <w:rPr>
          <w:color w:val="auto"/>
          <w:szCs w:val="24"/>
        </w:rPr>
        <w:t>L5-S1 N</w:t>
      </w:r>
      <w:r w:rsidR="00E64CEB">
        <w:rPr>
          <w:color w:val="auto"/>
          <w:szCs w:val="24"/>
        </w:rPr>
        <w:t>eural Foramina as described.</w:t>
      </w:r>
      <w:r w:rsidRPr="008309E1">
        <w:rPr>
          <w:color w:val="auto"/>
          <w:szCs w:val="24"/>
        </w:rPr>
        <w:t xml:space="preserve"> </w:t>
      </w:r>
      <w:r w:rsidR="009F10BC">
        <w:rPr>
          <w:color w:val="auto"/>
          <w:szCs w:val="24"/>
        </w:rPr>
        <w:t xml:space="preserve"> </w:t>
      </w:r>
      <w:r w:rsidR="00E64CEB">
        <w:rPr>
          <w:color w:val="auto"/>
          <w:szCs w:val="24"/>
        </w:rPr>
        <w:t xml:space="preserve">Clinical correlation for </w:t>
      </w:r>
      <w:r w:rsidR="00E64CEB">
        <w:rPr>
          <w:color w:val="auto"/>
          <w:szCs w:val="24"/>
        </w:rPr>
        <w:lastRenderedPageBreak/>
        <w:t>Right L</w:t>
      </w:r>
      <w:r w:rsidRPr="008309E1">
        <w:rPr>
          <w:color w:val="auto"/>
          <w:szCs w:val="24"/>
        </w:rPr>
        <w:t xml:space="preserve">4 </w:t>
      </w:r>
      <w:r w:rsidR="00E64CEB">
        <w:rPr>
          <w:color w:val="auto"/>
          <w:szCs w:val="24"/>
        </w:rPr>
        <w:t xml:space="preserve">and </w:t>
      </w:r>
      <w:r w:rsidRPr="008309E1">
        <w:rPr>
          <w:color w:val="auto"/>
          <w:szCs w:val="24"/>
        </w:rPr>
        <w:t xml:space="preserve">L5 </w:t>
      </w:r>
      <w:proofErr w:type="spellStart"/>
      <w:r w:rsidR="00E64CEB">
        <w:rPr>
          <w:color w:val="auto"/>
          <w:szCs w:val="24"/>
        </w:rPr>
        <w:t>Radiculopathy</w:t>
      </w:r>
      <w:proofErr w:type="spellEnd"/>
      <w:r w:rsidR="00E64CEB">
        <w:rPr>
          <w:color w:val="auto"/>
          <w:szCs w:val="24"/>
        </w:rPr>
        <w:t xml:space="preserve"> is suggested</w:t>
      </w:r>
      <w:r w:rsidRPr="008309E1">
        <w:rPr>
          <w:color w:val="auto"/>
          <w:szCs w:val="24"/>
        </w:rPr>
        <w:t xml:space="preserve">. </w:t>
      </w:r>
      <w:r w:rsidR="009F10BC">
        <w:rPr>
          <w:color w:val="auto"/>
          <w:szCs w:val="24"/>
        </w:rPr>
        <w:t xml:space="preserve"> </w:t>
      </w:r>
      <w:r w:rsidRPr="008309E1">
        <w:rPr>
          <w:color w:val="auto"/>
          <w:szCs w:val="24"/>
        </w:rPr>
        <w:t>A</w:t>
      </w:r>
      <w:r w:rsidR="00127EFA">
        <w:rPr>
          <w:color w:val="auto"/>
          <w:szCs w:val="24"/>
        </w:rPr>
        <w:t>n</w:t>
      </w:r>
      <w:r w:rsidRPr="008309E1">
        <w:rPr>
          <w:color w:val="auto"/>
          <w:szCs w:val="24"/>
        </w:rPr>
        <w:t xml:space="preserve"> </w:t>
      </w:r>
      <w:proofErr w:type="spellStart"/>
      <w:r w:rsidR="00B414A6" w:rsidRPr="00B414A6">
        <w:rPr>
          <w:color w:val="auto"/>
          <w:szCs w:val="24"/>
        </w:rPr>
        <w:t>Electromyogram</w:t>
      </w:r>
      <w:proofErr w:type="spellEnd"/>
      <w:r w:rsidR="00B414A6" w:rsidRPr="00B414A6">
        <w:rPr>
          <w:color w:val="auto"/>
          <w:szCs w:val="24"/>
        </w:rPr>
        <w:t xml:space="preserve"> </w:t>
      </w:r>
      <w:r w:rsidR="009F10BC">
        <w:rPr>
          <w:color w:val="auto"/>
          <w:szCs w:val="24"/>
        </w:rPr>
        <w:t>(</w:t>
      </w:r>
      <w:r w:rsidRPr="008309E1">
        <w:rPr>
          <w:color w:val="auto"/>
          <w:szCs w:val="24"/>
        </w:rPr>
        <w:t>EMG</w:t>
      </w:r>
      <w:r w:rsidR="009F10BC">
        <w:rPr>
          <w:color w:val="auto"/>
          <w:szCs w:val="24"/>
        </w:rPr>
        <w:t>)</w:t>
      </w:r>
      <w:r w:rsidRPr="008309E1">
        <w:rPr>
          <w:color w:val="auto"/>
          <w:szCs w:val="24"/>
        </w:rPr>
        <w:t xml:space="preserve"> and </w:t>
      </w:r>
      <w:r w:rsidR="009F10BC" w:rsidRPr="009F10BC">
        <w:rPr>
          <w:color w:val="auto"/>
          <w:szCs w:val="24"/>
        </w:rPr>
        <w:t xml:space="preserve">Nerve Conduction Velocity </w:t>
      </w:r>
      <w:r w:rsidR="009F10BC">
        <w:rPr>
          <w:color w:val="auto"/>
          <w:szCs w:val="24"/>
        </w:rPr>
        <w:t>(</w:t>
      </w:r>
      <w:r w:rsidRPr="008309E1">
        <w:rPr>
          <w:color w:val="auto"/>
          <w:szCs w:val="24"/>
        </w:rPr>
        <w:t>NCV</w:t>
      </w:r>
      <w:r w:rsidR="009F10BC">
        <w:rPr>
          <w:color w:val="auto"/>
          <w:szCs w:val="24"/>
        </w:rPr>
        <w:t>)</w:t>
      </w:r>
      <w:r w:rsidRPr="008309E1">
        <w:rPr>
          <w:color w:val="auto"/>
          <w:szCs w:val="24"/>
        </w:rPr>
        <w:t xml:space="preserve"> test done 20020821 was consistent with a </w:t>
      </w:r>
      <w:r w:rsidR="00E64CEB">
        <w:rPr>
          <w:color w:val="auto"/>
          <w:szCs w:val="24"/>
        </w:rPr>
        <w:t>R</w:t>
      </w:r>
      <w:r w:rsidRPr="008309E1">
        <w:rPr>
          <w:color w:val="auto"/>
          <w:szCs w:val="24"/>
        </w:rPr>
        <w:t xml:space="preserve">ight L5 </w:t>
      </w:r>
      <w:proofErr w:type="spellStart"/>
      <w:r w:rsidR="00E64CEB">
        <w:rPr>
          <w:color w:val="auto"/>
          <w:szCs w:val="24"/>
        </w:rPr>
        <w:t>R</w:t>
      </w:r>
      <w:r w:rsidRPr="008309E1">
        <w:rPr>
          <w:color w:val="auto"/>
          <w:szCs w:val="24"/>
        </w:rPr>
        <w:t>adiculopathy</w:t>
      </w:r>
      <w:proofErr w:type="spellEnd"/>
      <w:r w:rsidRPr="008309E1">
        <w:rPr>
          <w:color w:val="auto"/>
          <w:szCs w:val="24"/>
        </w:rPr>
        <w:t xml:space="preserve"> with evidence of </w:t>
      </w:r>
      <w:proofErr w:type="spellStart"/>
      <w:r w:rsidR="00E64CEB">
        <w:rPr>
          <w:color w:val="auto"/>
          <w:szCs w:val="24"/>
        </w:rPr>
        <w:t>D</w:t>
      </w:r>
      <w:r w:rsidRPr="008309E1">
        <w:rPr>
          <w:color w:val="auto"/>
          <w:szCs w:val="24"/>
        </w:rPr>
        <w:t>enervation</w:t>
      </w:r>
      <w:proofErr w:type="spellEnd"/>
      <w:r w:rsidRPr="008309E1">
        <w:rPr>
          <w:color w:val="auto"/>
          <w:szCs w:val="24"/>
        </w:rPr>
        <w:t xml:space="preserve"> in </w:t>
      </w:r>
      <w:proofErr w:type="spellStart"/>
      <w:r w:rsidRPr="008309E1">
        <w:rPr>
          <w:color w:val="auto"/>
          <w:szCs w:val="24"/>
        </w:rPr>
        <w:t>Tibialis</w:t>
      </w:r>
      <w:proofErr w:type="spellEnd"/>
      <w:r w:rsidRPr="008309E1">
        <w:rPr>
          <w:color w:val="auto"/>
          <w:szCs w:val="24"/>
        </w:rPr>
        <w:t xml:space="preserve"> </w:t>
      </w:r>
      <w:r w:rsidRPr="008309E1">
        <w:rPr>
          <w:rFonts w:eastAsia="HiddenHorzOCR" w:cs="HiddenHorzOCR"/>
          <w:color w:val="auto"/>
          <w:szCs w:val="24"/>
        </w:rPr>
        <w:t xml:space="preserve">Anterior, </w:t>
      </w:r>
      <w:r w:rsidR="002746F4" w:rsidRPr="002746F4">
        <w:rPr>
          <w:rFonts w:eastAsia="HiddenHorzOCR" w:cs="HiddenHorzOCR"/>
          <w:color w:val="auto"/>
          <w:szCs w:val="24"/>
        </w:rPr>
        <w:t xml:space="preserve">Extensor </w:t>
      </w:r>
      <w:proofErr w:type="spellStart"/>
      <w:r w:rsidR="002746F4" w:rsidRPr="002746F4">
        <w:rPr>
          <w:rFonts w:eastAsia="HiddenHorzOCR" w:cs="HiddenHorzOCR"/>
          <w:color w:val="auto"/>
          <w:szCs w:val="24"/>
        </w:rPr>
        <w:t>Hallicus</w:t>
      </w:r>
      <w:proofErr w:type="spellEnd"/>
      <w:r w:rsidR="002746F4" w:rsidRPr="002746F4">
        <w:rPr>
          <w:rFonts w:eastAsia="HiddenHorzOCR" w:cs="HiddenHorzOCR"/>
          <w:color w:val="auto"/>
          <w:szCs w:val="24"/>
        </w:rPr>
        <w:t xml:space="preserve"> </w:t>
      </w:r>
      <w:proofErr w:type="spellStart"/>
      <w:r w:rsidR="002746F4" w:rsidRPr="002746F4">
        <w:rPr>
          <w:rFonts w:eastAsia="HiddenHorzOCR" w:cs="HiddenHorzOCR"/>
          <w:color w:val="auto"/>
          <w:szCs w:val="24"/>
        </w:rPr>
        <w:t>Longus</w:t>
      </w:r>
      <w:proofErr w:type="spellEnd"/>
      <w:r w:rsidR="002746F4">
        <w:rPr>
          <w:rFonts w:eastAsia="HiddenHorzOCR" w:cs="HiddenHorzOCR"/>
          <w:color w:val="auto"/>
          <w:szCs w:val="24"/>
        </w:rPr>
        <w:t xml:space="preserve"> (</w:t>
      </w:r>
      <w:r w:rsidRPr="008309E1">
        <w:rPr>
          <w:color w:val="auto"/>
          <w:szCs w:val="24"/>
        </w:rPr>
        <w:t>EHL</w:t>
      </w:r>
      <w:r w:rsidR="002746F4">
        <w:rPr>
          <w:color w:val="auto"/>
          <w:szCs w:val="24"/>
        </w:rPr>
        <w:t>)</w:t>
      </w:r>
      <w:r w:rsidRPr="008309E1">
        <w:rPr>
          <w:color w:val="auto"/>
          <w:szCs w:val="24"/>
        </w:rPr>
        <w:t xml:space="preserve">, </w:t>
      </w:r>
      <w:proofErr w:type="spellStart"/>
      <w:r w:rsidRPr="008309E1">
        <w:rPr>
          <w:color w:val="auto"/>
          <w:szCs w:val="24"/>
        </w:rPr>
        <w:t>Peroneus</w:t>
      </w:r>
      <w:proofErr w:type="spellEnd"/>
      <w:r w:rsidRPr="008309E1">
        <w:rPr>
          <w:color w:val="auto"/>
          <w:szCs w:val="24"/>
        </w:rPr>
        <w:t xml:space="preserve"> </w:t>
      </w:r>
      <w:proofErr w:type="spellStart"/>
      <w:r w:rsidRPr="008309E1">
        <w:rPr>
          <w:color w:val="auto"/>
          <w:szCs w:val="24"/>
        </w:rPr>
        <w:t>Longus</w:t>
      </w:r>
      <w:proofErr w:type="spellEnd"/>
      <w:r w:rsidRPr="008309E1">
        <w:rPr>
          <w:color w:val="auto"/>
          <w:szCs w:val="24"/>
        </w:rPr>
        <w:t xml:space="preserve">, and </w:t>
      </w:r>
      <w:proofErr w:type="spellStart"/>
      <w:r w:rsidR="00E64CEB">
        <w:rPr>
          <w:color w:val="auto"/>
          <w:szCs w:val="24"/>
        </w:rPr>
        <w:t>P</w:t>
      </w:r>
      <w:r w:rsidRPr="008309E1">
        <w:rPr>
          <w:color w:val="auto"/>
          <w:szCs w:val="24"/>
        </w:rPr>
        <w:t>araspinals</w:t>
      </w:r>
      <w:proofErr w:type="spellEnd"/>
      <w:r w:rsidRPr="008309E1">
        <w:rPr>
          <w:color w:val="auto"/>
          <w:szCs w:val="24"/>
        </w:rPr>
        <w:t>.</w:t>
      </w:r>
      <w:r w:rsidR="00D95239">
        <w:rPr>
          <w:color w:val="auto"/>
          <w:szCs w:val="24"/>
        </w:rPr>
        <w:t xml:space="preserve"> </w:t>
      </w:r>
      <w:r w:rsidRPr="008309E1">
        <w:rPr>
          <w:color w:val="auto"/>
          <w:szCs w:val="24"/>
        </w:rPr>
        <w:t xml:space="preserve"> X-rays of the spine done 20031124 were normal.</w:t>
      </w:r>
      <w:r>
        <w:rPr>
          <w:color w:val="auto"/>
          <w:szCs w:val="24"/>
        </w:rPr>
        <w:t xml:space="preserve"> </w:t>
      </w:r>
    </w:p>
    <w:p w:rsidR="000441E6" w:rsidRDefault="000441E6" w:rsidP="00E64CEB">
      <w:pPr>
        <w:tabs>
          <w:tab w:val="left" w:pos="288"/>
          <w:tab w:val="left" w:pos="4752"/>
        </w:tabs>
        <w:spacing w:line="240" w:lineRule="exact"/>
        <w:jc w:val="both"/>
        <w:rPr>
          <w:rFonts w:asciiTheme="minorHAnsi" w:hAnsiTheme="minorHAnsi"/>
          <w:color w:val="auto"/>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990"/>
        <w:gridCol w:w="3240"/>
        <w:gridCol w:w="3690"/>
      </w:tblGrid>
      <w:tr w:rsidR="000441E6" w:rsidRPr="00140096" w:rsidTr="0094003C">
        <w:tc>
          <w:tcPr>
            <w:tcW w:w="1440" w:type="dxa"/>
          </w:tcPr>
          <w:p w:rsidR="000441E6" w:rsidRDefault="000441E6" w:rsidP="00E64CEB">
            <w:pPr>
              <w:pStyle w:val="ListParagraph"/>
              <w:spacing w:after="0" w:line="240" w:lineRule="exact"/>
              <w:ind w:left="0"/>
              <w:rPr>
                <w:rFonts w:ascii="Calibri" w:eastAsia="Calibri" w:hAnsi="Calibri" w:cs="Times New Roman"/>
                <w:b/>
              </w:rPr>
            </w:pPr>
            <w:proofErr w:type="spellStart"/>
            <w:r w:rsidRPr="00140096">
              <w:rPr>
                <w:rFonts w:ascii="Calibri" w:eastAsia="Calibri" w:hAnsi="Calibri" w:cs="Times New Roman"/>
                <w:b/>
              </w:rPr>
              <w:t>Thoraco</w:t>
            </w:r>
            <w:proofErr w:type="spellEnd"/>
            <w:r>
              <w:rPr>
                <w:rFonts w:ascii="Calibri" w:eastAsia="Calibri" w:hAnsi="Calibri" w:cs="Times New Roman"/>
                <w:b/>
              </w:rPr>
              <w:t>-</w:t>
            </w:r>
            <w:r w:rsidRPr="00140096">
              <w:rPr>
                <w:rFonts w:ascii="Calibri" w:eastAsia="Calibri" w:hAnsi="Calibri" w:cs="Times New Roman"/>
                <w:b/>
              </w:rPr>
              <w:t>lumbar</w:t>
            </w:r>
          </w:p>
          <w:p w:rsidR="000441E6" w:rsidRDefault="000441E6" w:rsidP="00E64CEB">
            <w:pPr>
              <w:pStyle w:val="ListParagraph"/>
              <w:spacing w:after="0" w:line="240" w:lineRule="exact"/>
              <w:ind w:left="0"/>
              <w:rPr>
                <w:rFonts w:ascii="Calibri" w:eastAsia="Calibri" w:hAnsi="Calibri" w:cs="Times New Roman"/>
              </w:rPr>
            </w:pPr>
            <w:r>
              <w:rPr>
                <w:rFonts w:ascii="Calibri" w:eastAsia="Calibri" w:hAnsi="Calibri" w:cs="Times New Roman"/>
              </w:rPr>
              <w:t>5235-5243</w:t>
            </w:r>
          </w:p>
          <w:p w:rsidR="000441E6" w:rsidRPr="00140096" w:rsidRDefault="000441E6" w:rsidP="00E64CEB">
            <w:pPr>
              <w:pStyle w:val="ListParagraph"/>
              <w:spacing w:after="0" w:line="240" w:lineRule="exact"/>
              <w:ind w:left="0"/>
              <w:rPr>
                <w:rFonts w:ascii="Calibri" w:eastAsia="Calibri" w:hAnsi="Calibri" w:cs="Times New Roman"/>
              </w:rPr>
            </w:pPr>
            <w:r w:rsidRPr="00140096">
              <w:rPr>
                <w:rFonts w:ascii="Calibri" w:eastAsia="Calibri" w:hAnsi="Calibri" w:cs="Times New Roman"/>
              </w:rPr>
              <w:t>Movement</w:t>
            </w:r>
          </w:p>
          <w:p w:rsidR="000441E6" w:rsidRPr="00140096" w:rsidRDefault="000441E6" w:rsidP="00E64CEB">
            <w:pPr>
              <w:pStyle w:val="ListParagraph"/>
              <w:spacing w:after="0" w:line="240" w:lineRule="exact"/>
              <w:ind w:left="0"/>
              <w:rPr>
                <w:rFonts w:ascii="Calibri" w:eastAsia="Calibri" w:hAnsi="Calibri" w:cs="Times New Roman"/>
                <w:b/>
              </w:rPr>
            </w:pPr>
          </w:p>
        </w:tc>
        <w:tc>
          <w:tcPr>
            <w:tcW w:w="990" w:type="dxa"/>
          </w:tcPr>
          <w:p w:rsidR="000441E6" w:rsidRPr="00140096" w:rsidRDefault="000441E6" w:rsidP="00E64CEB">
            <w:pPr>
              <w:pStyle w:val="ListParagraph"/>
              <w:spacing w:after="0" w:line="240" w:lineRule="exact"/>
              <w:ind w:left="0"/>
              <w:rPr>
                <w:rFonts w:ascii="Calibri" w:eastAsia="Calibri" w:hAnsi="Calibri" w:cs="Times New Roman"/>
              </w:rPr>
            </w:pPr>
            <w:r w:rsidRPr="00140096">
              <w:rPr>
                <w:rFonts w:ascii="Calibri" w:eastAsia="Calibri" w:hAnsi="Calibri" w:cs="Times New Roman"/>
              </w:rPr>
              <w:t>Normal ROM</w:t>
            </w:r>
          </w:p>
          <w:p w:rsidR="000441E6" w:rsidRPr="00140096" w:rsidRDefault="000441E6" w:rsidP="00E64CEB">
            <w:pPr>
              <w:pStyle w:val="ListParagraph"/>
              <w:spacing w:after="0" w:line="240" w:lineRule="exact"/>
              <w:ind w:left="0"/>
              <w:rPr>
                <w:rFonts w:ascii="Calibri" w:eastAsia="Calibri" w:hAnsi="Calibri" w:cs="Times New Roman"/>
              </w:rPr>
            </w:pPr>
          </w:p>
        </w:tc>
        <w:tc>
          <w:tcPr>
            <w:tcW w:w="3240" w:type="dxa"/>
          </w:tcPr>
          <w:p w:rsidR="000441E6" w:rsidRPr="00140096" w:rsidRDefault="000441E6" w:rsidP="00E64CEB">
            <w:pPr>
              <w:pStyle w:val="ListParagraph"/>
              <w:spacing w:after="0" w:line="240" w:lineRule="exact"/>
              <w:ind w:left="0"/>
              <w:rPr>
                <w:rFonts w:ascii="Calibri" w:eastAsia="Calibri" w:hAnsi="Calibri" w:cs="Times New Roman"/>
              </w:rPr>
            </w:pPr>
            <w:r>
              <w:t xml:space="preserve">NARSUM </w:t>
            </w:r>
          </w:p>
          <w:p w:rsidR="000441E6" w:rsidRPr="00140096" w:rsidRDefault="000441E6" w:rsidP="00E64CEB">
            <w:pPr>
              <w:pStyle w:val="ListParagraph"/>
              <w:spacing w:after="0" w:line="240" w:lineRule="exact"/>
              <w:ind w:left="0"/>
              <w:rPr>
                <w:rFonts w:ascii="Calibri" w:eastAsia="Calibri" w:hAnsi="Calibri" w:cs="Times New Roman"/>
              </w:rPr>
            </w:pPr>
          </w:p>
        </w:tc>
        <w:tc>
          <w:tcPr>
            <w:tcW w:w="3690" w:type="dxa"/>
          </w:tcPr>
          <w:p w:rsidR="00AD5BEF" w:rsidRDefault="00AD5BEF" w:rsidP="00E64CEB">
            <w:pPr>
              <w:pStyle w:val="ListParagraph"/>
              <w:spacing w:after="0" w:line="240" w:lineRule="exact"/>
              <w:ind w:left="0"/>
              <w:rPr>
                <w:rFonts w:ascii="Calibri" w:eastAsia="Calibri" w:hAnsi="Calibri" w:cs="Times New Roman"/>
              </w:rPr>
            </w:pPr>
            <w:r>
              <w:rPr>
                <w:rFonts w:ascii="Calibri" w:eastAsia="Calibri" w:hAnsi="Calibri" w:cs="Times New Roman"/>
              </w:rPr>
              <w:t>C&amp;P (Neurological D/O</w:t>
            </w:r>
            <w:r w:rsidR="000441E6">
              <w:rPr>
                <w:rFonts w:ascii="Calibri" w:eastAsia="Calibri" w:hAnsi="Calibri" w:cs="Times New Roman"/>
              </w:rPr>
              <w:t xml:space="preserve">) </w:t>
            </w:r>
          </w:p>
          <w:p w:rsidR="000441E6" w:rsidRDefault="000441E6" w:rsidP="00E64CEB">
            <w:pPr>
              <w:pStyle w:val="ListParagraph"/>
              <w:spacing w:after="0" w:line="240" w:lineRule="exact"/>
              <w:ind w:left="0"/>
              <w:rPr>
                <w:rFonts w:ascii="Calibri" w:eastAsia="Calibri" w:hAnsi="Calibri" w:cs="Times New Roman"/>
              </w:rPr>
            </w:pPr>
            <w:r>
              <w:rPr>
                <w:rFonts w:ascii="Calibri" w:eastAsia="Calibri" w:hAnsi="Calibri" w:cs="Times New Roman"/>
              </w:rPr>
              <w:t>20031124</w:t>
            </w:r>
          </w:p>
          <w:p w:rsidR="000441E6" w:rsidRPr="00140096" w:rsidRDefault="000441E6" w:rsidP="00E64CEB">
            <w:pPr>
              <w:pStyle w:val="ListParagraph"/>
              <w:spacing w:after="0" w:line="240" w:lineRule="exact"/>
              <w:ind w:left="0"/>
              <w:rPr>
                <w:rFonts w:ascii="Calibri" w:eastAsia="Calibri" w:hAnsi="Calibri" w:cs="Times New Roman"/>
              </w:rPr>
            </w:pPr>
          </w:p>
        </w:tc>
      </w:tr>
      <w:tr w:rsidR="000441E6" w:rsidRPr="00472186" w:rsidTr="0094003C">
        <w:tc>
          <w:tcPr>
            <w:tcW w:w="14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Flex</w:t>
            </w:r>
          </w:p>
        </w:tc>
        <w:tc>
          <w:tcPr>
            <w:tcW w:w="99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0-90</w:t>
            </w:r>
          </w:p>
        </w:tc>
        <w:tc>
          <w:tcPr>
            <w:tcW w:w="32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Not measured</w:t>
            </w:r>
          </w:p>
        </w:tc>
        <w:tc>
          <w:tcPr>
            <w:tcW w:w="369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t>45</w:t>
            </w:r>
          </w:p>
        </w:tc>
      </w:tr>
      <w:tr w:rsidR="000441E6" w:rsidRPr="00472186" w:rsidTr="0094003C">
        <w:tc>
          <w:tcPr>
            <w:tcW w:w="14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Ext</w:t>
            </w:r>
          </w:p>
        </w:tc>
        <w:tc>
          <w:tcPr>
            <w:tcW w:w="99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0-30</w:t>
            </w:r>
          </w:p>
        </w:tc>
        <w:tc>
          <w:tcPr>
            <w:tcW w:w="32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Not measured</w:t>
            </w:r>
          </w:p>
        </w:tc>
        <w:tc>
          <w:tcPr>
            <w:tcW w:w="369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t>15</w:t>
            </w:r>
          </w:p>
        </w:tc>
      </w:tr>
      <w:tr w:rsidR="000441E6" w:rsidRPr="00472186" w:rsidTr="0094003C">
        <w:tc>
          <w:tcPr>
            <w:tcW w:w="14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R Lat flex</w:t>
            </w:r>
          </w:p>
        </w:tc>
        <w:tc>
          <w:tcPr>
            <w:tcW w:w="99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0-30</w:t>
            </w:r>
          </w:p>
        </w:tc>
        <w:tc>
          <w:tcPr>
            <w:tcW w:w="32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Not measured</w:t>
            </w:r>
          </w:p>
        </w:tc>
        <w:tc>
          <w:tcPr>
            <w:tcW w:w="369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t>45</w:t>
            </w:r>
            <w:r w:rsidR="00AD5BEF">
              <w:t xml:space="preserve"> (30)</w:t>
            </w:r>
          </w:p>
        </w:tc>
      </w:tr>
      <w:tr w:rsidR="000441E6" w:rsidRPr="00472186" w:rsidTr="0094003C">
        <w:tc>
          <w:tcPr>
            <w:tcW w:w="14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L lat flex</w:t>
            </w:r>
          </w:p>
        </w:tc>
        <w:tc>
          <w:tcPr>
            <w:tcW w:w="99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0-30</w:t>
            </w:r>
          </w:p>
        </w:tc>
        <w:tc>
          <w:tcPr>
            <w:tcW w:w="32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Not measured</w:t>
            </w:r>
          </w:p>
        </w:tc>
        <w:tc>
          <w:tcPr>
            <w:tcW w:w="369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t>45</w:t>
            </w:r>
            <w:r w:rsidR="00AD5BEF">
              <w:t xml:space="preserve"> (30)</w:t>
            </w:r>
          </w:p>
        </w:tc>
      </w:tr>
      <w:tr w:rsidR="000441E6" w:rsidRPr="00472186" w:rsidTr="0094003C">
        <w:tc>
          <w:tcPr>
            <w:tcW w:w="14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R rotation</w:t>
            </w:r>
          </w:p>
        </w:tc>
        <w:tc>
          <w:tcPr>
            <w:tcW w:w="99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0-30</w:t>
            </w:r>
          </w:p>
        </w:tc>
        <w:tc>
          <w:tcPr>
            <w:tcW w:w="32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Not measured</w:t>
            </w:r>
          </w:p>
        </w:tc>
        <w:tc>
          <w:tcPr>
            <w:tcW w:w="369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t>30</w:t>
            </w:r>
          </w:p>
        </w:tc>
      </w:tr>
      <w:tr w:rsidR="000441E6" w:rsidRPr="00472186" w:rsidTr="0094003C">
        <w:tc>
          <w:tcPr>
            <w:tcW w:w="14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L rotation</w:t>
            </w:r>
          </w:p>
        </w:tc>
        <w:tc>
          <w:tcPr>
            <w:tcW w:w="99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0-30</w:t>
            </w:r>
          </w:p>
        </w:tc>
        <w:tc>
          <w:tcPr>
            <w:tcW w:w="32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Not measured</w:t>
            </w:r>
          </w:p>
        </w:tc>
        <w:tc>
          <w:tcPr>
            <w:tcW w:w="369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t>30</w:t>
            </w:r>
          </w:p>
        </w:tc>
      </w:tr>
      <w:tr w:rsidR="000441E6" w:rsidRPr="00472186" w:rsidTr="0094003C">
        <w:tc>
          <w:tcPr>
            <w:tcW w:w="14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TOTAL</w:t>
            </w:r>
          </w:p>
        </w:tc>
        <w:tc>
          <w:tcPr>
            <w:tcW w:w="99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 xml:space="preserve"> 240=VA normal</w:t>
            </w:r>
          </w:p>
        </w:tc>
        <w:tc>
          <w:tcPr>
            <w:tcW w:w="32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Not measured</w:t>
            </w:r>
          </w:p>
        </w:tc>
        <w:tc>
          <w:tcPr>
            <w:tcW w:w="3690" w:type="dxa"/>
          </w:tcPr>
          <w:p w:rsidR="000441E6" w:rsidRPr="00B93433" w:rsidRDefault="00AD5BEF" w:rsidP="00E64CEB">
            <w:pPr>
              <w:pStyle w:val="ListParagraph"/>
              <w:spacing w:after="0" w:line="240" w:lineRule="exact"/>
              <w:ind w:left="0"/>
              <w:rPr>
                <w:rFonts w:ascii="Calibri" w:eastAsia="Calibri" w:hAnsi="Calibri" w:cs="Times New Roman"/>
              </w:rPr>
            </w:pPr>
            <w:r>
              <w:t>180</w:t>
            </w:r>
          </w:p>
        </w:tc>
      </w:tr>
      <w:tr w:rsidR="000441E6" w:rsidRPr="00472186" w:rsidTr="0094003C">
        <w:tc>
          <w:tcPr>
            <w:tcW w:w="1440" w:type="dxa"/>
          </w:tcPr>
          <w:p w:rsidR="000441E6" w:rsidRPr="00B93433" w:rsidRDefault="000441E6" w:rsidP="00E64CEB">
            <w:pPr>
              <w:pStyle w:val="ListParagraph"/>
              <w:spacing w:after="0" w:line="240" w:lineRule="exact"/>
              <w:ind w:left="0"/>
              <w:rPr>
                <w:rFonts w:ascii="Calibri" w:eastAsia="Calibri" w:hAnsi="Calibri" w:cs="Times New Roman"/>
              </w:rPr>
            </w:pPr>
            <w:r w:rsidRPr="00B93433">
              <w:rPr>
                <w:rFonts w:ascii="Calibri" w:eastAsia="Calibri" w:hAnsi="Calibri" w:cs="Times New Roman"/>
              </w:rPr>
              <w:t>Notes:</w:t>
            </w:r>
          </w:p>
        </w:tc>
        <w:tc>
          <w:tcPr>
            <w:tcW w:w="990" w:type="dxa"/>
          </w:tcPr>
          <w:p w:rsidR="000441E6" w:rsidRPr="00B93433" w:rsidRDefault="000441E6" w:rsidP="00E64CEB">
            <w:pPr>
              <w:pStyle w:val="ListParagraph"/>
              <w:spacing w:after="0" w:line="240" w:lineRule="exact"/>
              <w:ind w:left="0"/>
              <w:rPr>
                <w:rFonts w:ascii="Calibri" w:eastAsia="Calibri" w:hAnsi="Calibri" w:cs="Times New Roman"/>
              </w:rPr>
            </w:pPr>
          </w:p>
        </w:tc>
        <w:tc>
          <w:tcPr>
            <w:tcW w:w="3240" w:type="dxa"/>
          </w:tcPr>
          <w:p w:rsidR="00393EB9" w:rsidRPr="00AD5BEF" w:rsidRDefault="00393EB9" w:rsidP="00E64CEB">
            <w:pPr>
              <w:pStyle w:val="ListParagraph"/>
              <w:spacing w:after="0" w:line="240" w:lineRule="exact"/>
              <w:ind w:left="0"/>
              <w:rPr>
                <w:rFonts w:ascii="Calibri" w:eastAsia="Calibri" w:hAnsi="Calibri" w:cs="Times New Roman"/>
              </w:rPr>
            </w:pPr>
            <w:r w:rsidRPr="00AD5BEF">
              <w:rPr>
                <w:rFonts w:ascii="Calibri" w:eastAsia="Calibri" w:hAnsi="Calibri" w:cs="Times New Roman"/>
              </w:rPr>
              <w:t>Pain with extension, o/w full ROM; no motor or sensory deficits</w:t>
            </w:r>
          </w:p>
          <w:p w:rsidR="000441E6" w:rsidRPr="00AD5BEF" w:rsidRDefault="000441E6" w:rsidP="00E64CEB">
            <w:pPr>
              <w:pStyle w:val="ListParagraph"/>
              <w:spacing w:after="0" w:line="240" w:lineRule="exact"/>
              <w:ind w:left="0"/>
              <w:rPr>
                <w:rFonts w:ascii="Calibri" w:eastAsia="Calibri" w:hAnsi="Calibri" w:cs="Times New Roman"/>
              </w:rPr>
            </w:pPr>
            <w:r w:rsidRPr="00AD5BEF">
              <w:rPr>
                <w:rFonts w:ascii="Calibri" w:eastAsia="Calibri" w:hAnsi="Calibri" w:cs="Times New Roman"/>
              </w:rPr>
              <w:t xml:space="preserve"> </w:t>
            </w:r>
          </w:p>
        </w:tc>
        <w:tc>
          <w:tcPr>
            <w:tcW w:w="3690" w:type="dxa"/>
          </w:tcPr>
          <w:p w:rsidR="000441E6" w:rsidRPr="00AD5BEF" w:rsidRDefault="000441E6" w:rsidP="00E64CEB">
            <w:pPr>
              <w:pStyle w:val="ListParagraph"/>
              <w:spacing w:after="0" w:line="240" w:lineRule="exact"/>
              <w:ind w:left="0"/>
              <w:rPr>
                <w:rFonts w:ascii="Calibri" w:eastAsia="Calibri" w:hAnsi="Calibri" w:cs="Times New Roman"/>
              </w:rPr>
            </w:pPr>
            <w:r w:rsidRPr="00AD5BEF">
              <w:rPr>
                <w:rFonts w:ascii="Calibri" w:eastAsia="Calibri" w:hAnsi="Calibri" w:cs="Times New Roman"/>
              </w:rPr>
              <w:t>- Motor strength 5/5 except 5</w:t>
            </w:r>
            <w:r w:rsidR="003772EA" w:rsidRPr="00AD5BEF">
              <w:rPr>
                <w:rFonts w:ascii="Calibri" w:eastAsia="Calibri" w:hAnsi="Calibri" w:cs="Times New Roman"/>
              </w:rPr>
              <w:t>-</w:t>
            </w:r>
            <w:r w:rsidRPr="00AD5BEF">
              <w:rPr>
                <w:rFonts w:ascii="Calibri" w:eastAsia="Calibri" w:hAnsi="Calibri" w:cs="Times New Roman"/>
              </w:rPr>
              <w:t xml:space="preserve">/5 in the right </w:t>
            </w:r>
            <w:proofErr w:type="spellStart"/>
            <w:r w:rsidRPr="00AD5BEF">
              <w:rPr>
                <w:rFonts w:ascii="Calibri" w:eastAsia="Calibri" w:hAnsi="Calibri" w:cs="Times New Roman"/>
              </w:rPr>
              <w:t>tibialis</w:t>
            </w:r>
            <w:proofErr w:type="spellEnd"/>
            <w:r w:rsidRPr="00AD5BEF">
              <w:rPr>
                <w:rFonts w:ascii="Calibri" w:eastAsia="Calibri" w:hAnsi="Calibri" w:cs="Times New Roman"/>
              </w:rPr>
              <w:t xml:space="preserve"> anterior</w:t>
            </w:r>
          </w:p>
          <w:p w:rsidR="000441E6" w:rsidRDefault="000441E6" w:rsidP="00E64CEB">
            <w:pPr>
              <w:pStyle w:val="ListParagraph"/>
              <w:spacing w:after="0" w:line="240" w:lineRule="exact"/>
              <w:ind w:left="0"/>
            </w:pPr>
            <w:r w:rsidRPr="00AD5BEF">
              <w:rPr>
                <w:rFonts w:ascii="Calibri" w:eastAsia="Calibri" w:hAnsi="Calibri" w:cs="Times New Roman"/>
              </w:rPr>
              <w:t xml:space="preserve">- </w:t>
            </w:r>
            <w:r w:rsidRPr="00AD5BEF">
              <w:t xml:space="preserve">Pin sensation is decreased in the medial aspect of the right lower leg and the right </w:t>
            </w:r>
            <w:r w:rsidR="003772EA" w:rsidRPr="00AD5BEF">
              <w:t>f</w:t>
            </w:r>
            <w:r w:rsidRPr="00AD5BEF">
              <w:t xml:space="preserve">oot. </w:t>
            </w:r>
          </w:p>
          <w:p w:rsidR="00AD5BEF" w:rsidRPr="00AD5BEF" w:rsidRDefault="00AD5BEF" w:rsidP="00E64CEB">
            <w:pPr>
              <w:pStyle w:val="ListParagraph"/>
              <w:spacing w:after="0" w:line="240" w:lineRule="exact"/>
              <w:ind w:left="0"/>
            </w:pPr>
            <w:r>
              <w:t>-Tender to palpation</w:t>
            </w:r>
          </w:p>
          <w:p w:rsidR="000441E6" w:rsidRPr="00AD5BEF" w:rsidRDefault="000441E6" w:rsidP="00E64CEB">
            <w:pPr>
              <w:pStyle w:val="ListParagraph"/>
              <w:spacing w:after="0" w:line="240" w:lineRule="exact"/>
              <w:ind w:left="0"/>
              <w:rPr>
                <w:rFonts w:ascii="Calibri" w:eastAsia="Calibri" w:hAnsi="Calibri" w:cs="Times New Roman"/>
              </w:rPr>
            </w:pPr>
            <w:r w:rsidRPr="00AD5BEF">
              <w:t>- Gait is normal with good tandem</w:t>
            </w:r>
          </w:p>
        </w:tc>
      </w:tr>
    </w:tbl>
    <w:p w:rsidR="000441E6" w:rsidRPr="006004CE" w:rsidRDefault="000441E6" w:rsidP="00E64CEB">
      <w:pPr>
        <w:tabs>
          <w:tab w:val="left" w:pos="288"/>
          <w:tab w:val="left" w:pos="4752"/>
        </w:tabs>
        <w:spacing w:line="240" w:lineRule="exact"/>
        <w:jc w:val="both"/>
        <w:rPr>
          <w:rFonts w:asciiTheme="minorHAnsi" w:hAnsiTheme="minorHAnsi"/>
          <w:color w:val="auto"/>
          <w:szCs w:val="24"/>
        </w:rPr>
      </w:pPr>
    </w:p>
    <w:p w:rsidR="000312C1" w:rsidRDefault="00AD5BEF" w:rsidP="00E64CEB">
      <w:pPr>
        <w:spacing w:line="240" w:lineRule="exact"/>
        <w:jc w:val="both"/>
        <w:rPr>
          <w:color w:val="auto"/>
          <w:szCs w:val="24"/>
        </w:rPr>
      </w:pPr>
      <w:r>
        <w:rPr>
          <w:color w:val="auto"/>
          <w:szCs w:val="24"/>
        </w:rPr>
        <w:t xml:space="preserve">The </w:t>
      </w:r>
      <w:r w:rsidR="000312C1" w:rsidRPr="000312C1">
        <w:rPr>
          <w:color w:val="auto"/>
          <w:szCs w:val="24"/>
        </w:rPr>
        <w:t>VA exam</w:t>
      </w:r>
      <w:r>
        <w:rPr>
          <w:color w:val="auto"/>
          <w:szCs w:val="24"/>
        </w:rPr>
        <w:t>ination</w:t>
      </w:r>
      <w:r w:rsidR="000312C1" w:rsidRPr="000312C1">
        <w:rPr>
          <w:color w:val="auto"/>
          <w:szCs w:val="24"/>
        </w:rPr>
        <w:t xml:space="preserve"> eight</w:t>
      </w:r>
      <w:r w:rsidR="000312C1">
        <w:rPr>
          <w:color w:val="auto"/>
          <w:szCs w:val="24"/>
        </w:rPr>
        <w:t xml:space="preserve"> months after separation shows </w:t>
      </w:r>
      <w:proofErr w:type="spellStart"/>
      <w:r w:rsidR="000312C1">
        <w:rPr>
          <w:color w:val="auto"/>
          <w:szCs w:val="24"/>
        </w:rPr>
        <w:t>thoracolumbar</w:t>
      </w:r>
      <w:proofErr w:type="spellEnd"/>
      <w:r w:rsidR="000312C1">
        <w:rPr>
          <w:color w:val="auto"/>
          <w:szCs w:val="24"/>
        </w:rPr>
        <w:t xml:space="preserve"> flexion limited to 45 degrees. </w:t>
      </w:r>
      <w:r w:rsidR="00D95239">
        <w:rPr>
          <w:color w:val="auto"/>
          <w:szCs w:val="24"/>
        </w:rPr>
        <w:t xml:space="preserve"> </w:t>
      </w:r>
      <w:r>
        <w:rPr>
          <w:color w:val="auto"/>
          <w:szCs w:val="24"/>
        </w:rPr>
        <w:t>The s</w:t>
      </w:r>
      <w:r w:rsidR="000312C1">
        <w:rPr>
          <w:color w:val="auto"/>
          <w:szCs w:val="24"/>
        </w:rPr>
        <w:t xml:space="preserve">ervice exam did not measure ROM but stated pain with extension otherwise full ROM. </w:t>
      </w:r>
      <w:r w:rsidR="005B5A81">
        <w:rPr>
          <w:color w:val="auto"/>
          <w:szCs w:val="24"/>
        </w:rPr>
        <w:t xml:space="preserve"> </w:t>
      </w:r>
      <w:r w:rsidR="000312C1">
        <w:rPr>
          <w:color w:val="auto"/>
          <w:szCs w:val="24"/>
        </w:rPr>
        <w:t>The VA exam is more complete</w:t>
      </w:r>
      <w:r>
        <w:rPr>
          <w:color w:val="auto"/>
          <w:szCs w:val="24"/>
        </w:rPr>
        <w:t>,</w:t>
      </w:r>
      <w:r w:rsidR="000312C1">
        <w:rPr>
          <w:color w:val="auto"/>
          <w:szCs w:val="24"/>
        </w:rPr>
        <w:t xml:space="preserve"> was done within 12 months of separation</w:t>
      </w:r>
      <w:r>
        <w:rPr>
          <w:color w:val="auto"/>
          <w:szCs w:val="24"/>
        </w:rPr>
        <w:t>,</w:t>
      </w:r>
      <w:r w:rsidR="000312C1">
        <w:rPr>
          <w:color w:val="auto"/>
          <w:szCs w:val="24"/>
        </w:rPr>
        <w:t xml:space="preserve"> and there is no evidence of an intervening event. </w:t>
      </w:r>
      <w:r w:rsidR="005B5A81">
        <w:rPr>
          <w:color w:val="auto"/>
          <w:szCs w:val="24"/>
        </w:rPr>
        <w:t xml:space="preserve"> </w:t>
      </w:r>
      <w:r w:rsidR="000312C1">
        <w:rPr>
          <w:color w:val="auto"/>
          <w:szCs w:val="24"/>
        </w:rPr>
        <w:t xml:space="preserve">More likely than not, the VA ROM exam was representative of </w:t>
      </w:r>
      <w:r>
        <w:rPr>
          <w:color w:val="auto"/>
          <w:szCs w:val="24"/>
        </w:rPr>
        <w:t>the CI’s</w:t>
      </w:r>
      <w:r w:rsidR="000312C1">
        <w:rPr>
          <w:color w:val="auto"/>
          <w:szCs w:val="24"/>
        </w:rPr>
        <w:t xml:space="preserve"> ROM at the time of separation.</w:t>
      </w:r>
    </w:p>
    <w:p w:rsidR="000312C1" w:rsidRDefault="000312C1" w:rsidP="00E64CEB">
      <w:pPr>
        <w:spacing w:line="240" w:lineRule="exact"/>
        <w:jc w:val="both"/>
        <w:rPr>
          <w:color w:val="auto"/>
          <w:szCs w:val="24"/>
        </w:rPr>
      </w:pPr>
    </w:p>
    <w:p w:rsidR="000312C1" w:rsidRPr="000312C1" w:rsidRDefault="00AD5BEF" w:rsidP="00E64CEB">
      <w:pPr>
        <w:spacing w:line="240" w:lineRule="exact"/>
        <w:jc w:val="both"/>
        <w:rPr>
          <w:color w:val="auto"/>
          <w:szCs w:val="24"/>
        </w:rPr>
      </w:pPr>
      <w:r>
        <w:rPr>
          <w:color w:val="auto"/>
          <w:szCs w:val="24"/>
        </w:rPr>
        <w:t xml:space="preserve">New </w:t>
      </w:r>
      <w:r w:rsidR="000B5D2B">
        <w:rPr>
          <w:color w:val="auto"/>
          <w:szCs w:val="24"/>
        </w:rPr>
        <w:t xml:space="preserve">VASRD </w:t>
      </w:r>
      <w:r>
        <w:rPr>
          <w:color w:val="auto"/>
          <w:szCs w:val="24"/>
        </w:rPr>
        <w:t>rating criteria for diseases and injuries of the spine were in effect soon after the CI</w:t>
      </w:r>
      <w:r w:rsidR="00127EFA">
        <w:rPr>
          <w:color w:val="auto"/>
          <w:szCs w:val="24"/>
        </w:rPr>
        <w:t>’s</w:t>
      </w:r>
      <w:r>
        <w:rPr>
          <w:color w:val="auto"/>
          <w:szCs w:val="24"/>
        </w:rPr>
        <w:t xml:space="preserve"> separation. </w:t>
      </w:r>
      <w:r w:rsidR="005B5A81">
        <w:rPr>
          <w:color w:val="auto"/>
          <w:szCs w:val="24"/>
        </w:rPr>
        <w:t xml:space="preserve"> </w:t>
      </w:r>
      <w:r w:rsidR="000312C1">
        <w:rPr>
          <w:color w:val="auto"/>
          <w:szCs w:val="24"/>
        </w:rPr>
        <w:t xml:space="preserve">If new criteria were applied this limited ROM would warrant a 20% rating. </w:t>
      </w:r>
      <w:r w:rsidR="005B5A81">
        <w:rPr>
          <w:color w:val="auto"/>
          <w:szCs w:val="24"/>
        </w:rPr>
        <w:t xml:space="preserve"> </w:t>
      </w:r>
      <w:r w:rsidR="000312C1">
        <w:rPr>
          <w:color w:val="auto"/>
          <w:szCs w:val="24"/>
        </w:rPr>
        <w:t xml:space="preserve">Under the VASRD in effect at the time, a 20% rating for moderate, recurrent attacks of </w:t>
      </w:r>
      <w:proofErr w:type="spellStart"/>
      <w:r w:rsidR="000312C1">
        <w:rPr>
          <w:color w:val="auto"/>
          <w:szCs w:val="24"/>
        </w:rPr>
        <w:t>intervertebral</w:t>
      </w:r>
      <w:proofErr w:type="spellEnd"/>
      <w:r w:rsidR="000312C1">
        <w:rPr>
          <w:color w:val="auto"/>
          <w:szCs w:val="24"/>
        </w:rPr>
        <w:t xml:space="preserve"> disc disease appears appropriate.</w:t>
      </w:r>
    </w:p>
    <w:p w:rsidR="000312C1" w:rsidRDefault="000312C1" w:rsidP="00E64CEB">
      <w:pPr>
        <w:spacing w:line="240" w:lineRule="exact"/>
        <w:jc w:val="both"/>
        <w:rPr>
          <w:b/>
          <w:color w:val="auto"/>
          <w:szCs w:val="24"/>
          <w:u w:val="single"/>
        </w:rPr>
      </w:pPr>
    </w:p>
    <w:p w:rsidR="000312C1" w:rsidRDefault="000B5D2B" w:rsidP="00E64CEB">
      <w:pPr>
        <w:spacing w:line="240" w:lineRule="exact"/>
        <w:jc w:val="both"/>
        <w:rPr>
          <w:color w:val="auto"/>
          <w:szCs w:val="24"/>
        </w:rPr>
      </w:pPr>
      <w:r>
        <w:rPr>
          <w:color w:val="auto"/>
          <w:szCs w:val="24"/>
        </w:rPr>
        <w:t xml:space="preserve">The </w:t>
      </w:r>
      <w:r w:rsidR="006670AF" w:rsidRPr="005B1A6D">
        <w:rPr>
          <w:color w:val="auto"/>
          <w:szCs w:val="24"/>
        </w:rPr>
        <w:t xml:space="preserve">MRI </w:t>
      </w:r>
      <w:r>
        <w:rPr>
          <w:color w:val="auto"/>
          <w:szCs w:val="24"/>
        </w:rPr>
        <w:t xml:space="preserve">was </w:t>
      </w:r>
      <w:r w:rsidR="006670AF" w:rsidRPr="005B1A6D">
        <w:rPr>
          <w:color w:val="auto"/>
          <w:szCs w:val="24"/>
        </w:rPr>
        <w:t xml:space="preserve">consistent with </w:t>
      </w:r>
      <w:r w:rsidR="00E64CEB">
        <w:rPr>
          <w:color w:val="auto"/>
          <w:szCs w:val="24"/>
        </w:rPr>
        <w:t>R</w:t>
      </w:r>
      <w:r w:rsidR="006670AF" w:rsidRPr="005B1A6D">
        <w:rPr>
          <w:color w:val="auto"/>
          <w:szCs w:val="24"/>
        </w:rPr>
        <w:t xml:space="preserve">ight L5 and possibly L4 </w:t>
      </w:r>
      <w:proofErr w:type="spellStart"/>
      <w:r w:rsidR="00E64CEB">
        <w:rPr>
          <w:color w:val="auto"/>
          <w:szCs w:val="24"/>
        </w:rPr>
        <w:t>R</w:t>
      </w:r>
      <w:r w:rsidR="006670AF" w:rsidRPr="005B1A6D">
        <w:rPr>
          <w:color w:val="auto"/>
          <w:szCs w:val="24"/>
        </w:rPr>
        <w:t>adiculopathy</w:t>
      </w:r>
      <w:proofErr w:type="spellEnd"/>
      <w:r w:rsidR="006670AF" w:rsidRPr="005B1A6D">
        <w:rPr>
          <w:color w:val="auto"/>
          <w:szCs w:val="24"/>
        </w:rPr>
        <w:t>.</w:t>
      </w:r>
      <w:r w:rsidR="005B5A81">
        <w:rPr>
          <w:color w:val="auto"/>
          <w:szCs w:val="24"/>
        </w:rPr>
        <w:t xml:space="preserve"> </w:t>
      </w:r>
      <w:r w:rsidR="006670AF" w:rsidRPr="005B1A6D">
        <w:rPr>
          <w:color w:val="auto"/>
          <w:szCs w:val="24"/>
        </w:rPr>
        <w:t xml:space="preserve"> </w:t>
      </w:r>
      <w:r>
        <w:rPr>
          <w:color w:val="auto"/>
          <w:szCs w:val="24"/>
        </w:rPr>
        <w:t xml:space="preserve">The </w:t>
      </w:r>
      <w:r w:rsidR="006670AF" w:rsidRPr="005B1A6D">
        <w:rPr>
          <w:color w:val="auto"/>
          <w:szCs w:val="24"/>
        </w:rPr>
        <w:t xml:space="preserve">EMG was abnormal and consistent with Right L5 </w:t>
      </w:r>
      <w:proofErr w:type="spellStart"/>
      <w:r w:rsidR="00E64CEB">
        <w:rPr>
          <w:color w:val="auto"/>
          <w:szCs w:val="24"/>
        </w:rPr>
        <w:t>R</w:t>
      </w:r>
      <w:r w:rsidR="006670AF" w:rsidRPr="005B1A6D">
        <w:rPr>
          <w:color w:val="auto"/>
          <w:szCs w:val="24"/>
        </w:rPr>
        <w:t>adiculopathy</w:t>
      </w:r>
      <w:proofErr w:type="spellEnd"/>
      <w:r w:rsidR="006670AF" w:rsidRPr="005B1A6D">
        <w:rPr>
          <w:color w:val="auto"/>
          <w:szCs w:val="24"/>
        </w:rPr>
        <w:t xml:space="preserve"> with evidence of </w:t>
      </w:r>
      <w:proofErr w:type="spellStart"/>
      <w:r w:rsidR="006670AF" w:rsidRPr="005B1A6D">
        <w:rPr>
          <w:color w:val="auto"/>
          <w:szCs w:val="24"/>
        </w:rPr>
        <w:t>denervation</w:t>
      </w:r>
      <w:proofErr w:type="spellEnd"/>
      <w:r w:rsidR="006670AF" w:rsidRPr="005B1A6D">
        <w:rPr>
          <w:color w:val="auto"/>
          <w:szCs w:val="24"/>
        </w:rPr>
        <w:t xml:space="preserve"> in </w:t>
      </w:r>
      <w:proofErr w:type="spellStart"/>
      <w:r w:rsidR="006670AF" w:rsidRPr="005B1A6D">
        <w:rPr>
          <w:color w:val="auto"/>
          <w:szCs w:val="24"/>
        </w:rPr>
        <w:t>Tibialis</w:t>
      </w:r>
      <w:proofErr w:type="spellEnd"/>
      <w:r w:rsidR="006670AF" w:rsidRPr="005B1A6D">
        <w:rPr>
          <w:color w:val="auto"/>
          <w:szCs w:val="24"/>
        </w:rPr>
        <w:t xml:space="preserve"> </w:t>
      </w:r>
      <w:r w:rsidR="006670AF" w:rsidRPr="005B1A6D">
        <w:rPr>
          <w:rFonts w:eastAsia="HiddenHorzOCR" w:cs="HiddenHorzOCR"/>
          <w:color w:val="auto"/>
          <w:szCs w:val="24"/>
        </w:rPr>
        <w:t xml:space="preserve">Anterior, </w:t>
      </w:r>
      <w:r w:rsidR="006670AF" w:rsidRPr="005B1A6D">
        <w:rPr>
          <w:color w:val="auto"/>
          <w:szCs w:val="24"/>
        </w:rPr>
        <w:t xml:space="preserve">EHL, </w:t>
      </w:r>
      <w:proofErr w:type="spellStart"/>
      <w:r w:rsidR="006670AF" w:rsidRPr="005B1A6D">
        <w:rPr>
          <w:color w:val="auto"/>
          <w:szCs w:val="24"/>
        </w:rPr>
        <w:t>Peroneus</w:t>
      </w:r>
      <w:proofErr w:type="spellEnd"/>
      <w:r w:rsidR="006670AF" w:rsidRPr="005B1A6D">
        <w:rPr>
          <w:color w:val="auto"/>
          <w:szCs w:val="24"/>
        </w:rPr>
        <w:t xml:space="preserve"> </w:t>
      </w:r>
      <w:proofErr w:type="spellStart"/>
      <w:r w:rsidR="006670AF" w:rsidRPr="005B1A6D">
        <w:rPr>
          <w:color w:val="auto"/>
          <w:szCs w:val="24"/>
        </w:rPr>
        <w:t>Longus</w:t>
      </w:r>
      <w:proofErr w:type="spellEnd"/>
      <w:r w:rsidR="006670AF" w:rsidRPr="005B1A6D">
        <w:rPr>
          <w:color w:val="auto"/>
          <w:szCs w:val="24"/>
        </w:rPr>
        <w:t xml:space="preserve"> and </w:t>
      </w:r>
      <w:proofErr w:type="spellStart"/>
      <w:r w:rsidR="00E64CEB">
        <w:rPr>
          <w:color w:val="auto"/>
          <w:szCs w:val="24"/>
        </w:rPr>
        <w:t>P</w:t>
      </w:r>
      <w:r w:rsidR="006670AF" w:rsidRPr="005B1A6D">
        <w:rPr>
          <w:color w:val="auto"/>
          <w:szCs w:val="24"/>
        </w:rPr>
        <w:t>araspinals</w:t>
      </w:r>
      <w:proofErr w:type="spellEnd"/>
      <w:r w:rsidR="006670AF" w:rsidRPr="005B1A6D">
        <w:rPr>
          <w:color w:val="auto"/>
          <w:szCs w:val="24"/>
        </w:rPr>
        <w:t xml:space="preserve">. </w:t>
      </w:r>
      <w:r w:rsidR="00D95239">
        <w:rPr>
          <w:color w:val="auto"/>
          <w:szCs w:val="24"/>
        </w:rPr>
        <w:t xml:space="preserve"> </w:t>
      </w:r>
      <w:r w:rsidR="006670AF" w:rsidRPr="005B1A6D">
        <w:rPr>
          <w:color w:val="auto"/>
          <w:szCs w:val="24"/>
        </w:rPr>
        <w:t xml:space="preserve">NARSUM exam simply </w:t>
      </w:r>
      <w:r w:rsidR="00E003A7" w:rsidRPr="005B1A6D">
        <w:rPr>
          <w:color w:val="auto"/>
          <w:szCs w:val="24"/>
        </w:rPr>
        <w:t>stated no</w:t>
      </w:r>
      <w:r w:rsidR="006670AF" w:rsidRPr="005B1A6D">
        <w:rPr>
          <w:color w:val="auto"/>
          <w:szCs w:val="24"/>
        </w:rPr>
        <w:t xml:space="preserve"> motor or sensory deficits but did not document</w:t>
      </w:r>
      <w:r w:rsidR="00E003A7" w:rsidRPr="005B1A6D">
        <w:rPr>
          <w:color w:val="auto"/>
          <w:szCs w:val="24"/>
        </w:rPr>
        <w:t xml:space="preserve"> how testing was accomplished and which muscles and nerves were tested. </w:t>
      </w:r>
      <w:r w:rsidR="00D95239">
        <w:rPr>
          <w:color w:val="auto"/>
          <w:szCs w:val="24"/>
        </w:rPr>
        <w:t xml:space="preserve"> </w:t>
      </w:r>
      <w:r w:rsidR="005B5A81">
        <w:rPr>
          <w:color w:val="auto"/>
          <w:szCs w:val="24"/>
        </w:rPr>
        <w:t>Informal Physical Evaluation Board (</w:t>
      </w:r>
      <w:r w:rsidR="00E003A7" w:rsidRPr="005B1A6D">
        <w:rPr>
          <w:color w:val="auto"/>
          <w:szCs w:val="24"/>
        </w:rPr>
        <w:t>IPEB</w:t>
      </w:r>
      <w:r w:rsidR="005B5A81">
        <w:rPr>
          <w:color w:val="auto"/>
          <w:szCs w:val="24"/>
        </w:rPr>
        <w:t>)</w:t>
      </w:r>
      <w:r w:rsidR="00E003A7" w:rsidRPr="005B1A6D">
        <w:rPr>
          <w:color w:val="auto"/>
          <w:szCs w:val="24"/>
        </w:rPr>
        <w:t xml:space="preserve"> considered </w:t>
      </w:r>
      <w:r w:rsidR="00E003A7" w:rsidRPr="005B1A6D">
        <w:rPr>
          <w:rFonts w:hAnsiTheme="minorHAnsi"/>
          <w:color w:val="auto"/>
          <w:szCs w:val="24"/>
        </w:rPr>
        <w:t>“</w:t>
      </w:r>
      <w:r w:rsidR="00E003A7" w:rsidRPr="005B1A6D">
        <w:rPr>
          <w:color w:val="auto"/>
          <w:szCs w:val="24"/>
        </w:rPr>
        <w:t xml:space="preserve">Chronic </w:t>
      </w:r>
      <w:r w:rsidR="00253D61">
        <w:rPr>
          <w:color w:val="auto"/>
          <w:szCs w:val="24"/>
        </w:rPr>
        <w:t>L</w:t>
      </w:r>
      <w:r w:rsidR="00E003A7" w:rsidRPr="005B1A6D">
        <w:rPr>
          <w:color w:val="auto"/>
          <w:szCs w:val="24"/>
        </w:rPr>
        <w:t xml:space="preserve">ow </w:t>
      </w:r>
      <w:r w:rsidR="00253D61">
        <w:rPr>
          <w:color w:val="auto"/>
          <w:szCs w:val="24"/>
        </w:rPr>
        <w:t>B</w:t>
      </w:r>
      <w:r w:rsidR="00E003A7" w:rsidRPr="005B1A6D">
        <w:rPr>
          <w:color w:val="auto"/>
          <w:szCs w:val="24"/>
        </w:rPr>
        <w:t xml:space="preserve">ack </w:t>
      </w:r>
      <w:r w:rsidR="00253D61">
        <w:rPr>
          <w:color w:val="auto"/>
          <w:szCs w:val="24"/>
        </w:rPr>
        <w:t>P</w:t>
      </w:r>
      <w:r w:rsidR="00E003A7" w:rsidRPr="005B1A6D">
        <w:rPr>
          <w:color w:val="auto"/>
          <w:szCs w:val="24"/>
        </w:rPr>
        <w:t xml:space="preserve">ain with </w:t>
      </w:r>
      <w:r w:rsidR="00253D61">
        <w:rPr>
          <w:color w:val="auto"/>
          <w:szCs w:val="24"/>
        </w:rPr>
        <w:t>W</w:t>
      </w:r>
      <w:r w:rsidR="00E003A7" w:rsidRPr="005B1A6D">
        <w:rPr>
          <w:color w:val="auto"/>
          <w:szCs w:val="24"/>
        </w:rPr>
        <w:t xml:space="preserve">eakness of </w:t>
      </w:r>
      <w:r w:rsidR="00E64CEB">
        <w:rPr>
          <w:color w:val="auto"/>
          <w:szCs w:val="24"/>
        </w:rPr>
        <w:t>A</w:t>
      </w:r>
      <w:r w:rsidR="00E003A7" w:rsidRPr="005B1A6D">
        <w:rPr>
          <w:color w:val="auto"/>
          <w:szCs w:val="24"/>
        </w:rPr>
        <w:t xml:space="preserve">nterior </w:t>
      </w:r>
      <w:proofErr w:type="spellStart"/>
      <w:r w:rsidR="00E64CEB">
        <w:rPr>
          <w:color w:val="auto"/>
          <w:szCs w:val="24"/>
        </w:rPr>
        <w:t>T</w:t>
      </w:r>
      <w:r w:rsidR="00E003A7" w:rsidRPr="005B1A6D">
        <w:rPr>
          <w:color w:val="auto"/>
          <w:szCs w:val="24"/>
        </w:rPr>
        <w:t>ibial</w:t>
      </w:r>
      <w:proofErr w:type="spellEnd"/>
      <w:r w:rsidR="00E003A7" w:rsidRPr="005B1A6D">
        <w:rPr>
          <w:color w:val="auto"/>
          <w:szCs w:val="24"/>
        </w:rPr>
        <w:t xml:space="preserve"> </w:t>
      </w:r>
      <w:r w:rsidR="00E64CEB">
        <w:rPr>
          <w:color w:val="auto"/>
          <w:szCs w:val="24"/>
        </w:rPr>
        <w:t>N</w:t>
      </w:r>
      <w:r w:rsidR="00E003A7" w:rsidRPr="005B1A6D">
        <w:rPr>
          <w:color w:val="auto"/>
          <w:szCs w:val="24"/>
        </w:rPr>
        <w:t>erve</w:t>
      </w:r>
      <w:r w:rsidR="00E003A7" w:rsidRPr="005B1A6D">
        <w:rPr>
          <w:rFonts w:hAnsiTheme="minorHAnsi"/>
          <w:color w:val="auto"/>
          <w:szCs w:val="24"/>
        </w:rPr>
        <w:t>”</w:t>
      </w:r>
      <w:r w:rsidR="00E003A7" w:rsidRPr="005B1A6D">
        <w:rPr>
          <w:color w:val="auto"/>
          <w:szCs w:val="24"/>
        </w:rPr>
        <w:t xml:space="preserve"> as an unfitting condition and rated it as 5293-8523 at 10% stating </w:t>
      </w:r>
      <w:r w:rsidR="00E003A7" w:rsidRPr="005B1A6D">
        <w:rPr>
          <w:rFonts w:hAnsiTheme="minorHAnsi"/>
          <w:color w:val="auto"/>
          <w:szCs w:val="24"/>
        </w:rPr>
        <w:t>“</w:t>
      </w:r>
      <w:r w:rsidR="00E003A7" w:rsidRPr="005B1A6D">
        <w:rPr>
          <w:color w:val="auto"/>
          <w:szCs w:val="24"/>
        </w:rPr>
        <w:t xml:space="preserve">lack of objective findings precludes award of a higher </w:t>
      </w:r>
      <w:r w:rsidR="00E003A7" w:rsidRPr="005B1A6D">
        <w:rPr>
          <w:color w:val="auto"/>
          <w:szCs w:val="24"/>
        </w:rPr>
        <w:lastRenderedPageBreak/>
        <w:t>disability rating.</w:t>
      </w:r>
      <w:r w:rsidR="00E003A7" w:rsidRPr="005B1A6D">
        <w:rPr>
          <w:rFonts w:hAnsiTheme="minorHAnsi"/>
          <w:color w:val="auto"/>
          <w:szCs w:val="24"/>
        </w:rPr>
        <w:t>”</w:t>
      </w:r>
      <w:r w:rsidR="00E003A7" w:rsidRPr="005B1A6D">
        <w:rPr>
          <w:color w:val="auto"/>
          <w:szCs w:val="24"/>
        </w:rPr>
        <w:t xml:space="preserve"> </w:t>
      </w:r>
      <w:r w:rsidR="00D95239">
        <w:rPr>
          <w:color w:val="auto"/>
          <w:szCs w:val="24"/>
        </w:rPr>
        <w:t xml:space="preserve"> </w:t>
      </w:r>
      <w:r w:rsidR="00E003A7" w:rsidRPr="005B1A6D">
        <w:rPr>
          <w:color w:val="auto"/>
          <w:szCs w:val="24"/>
        </w:rPr>
        <w:t>However, the MRI and EMG both show objective f</w:t>
      </w:r>
      <w:r>
        <w:rPr>
          <w:color w:val="auto"/>
          <w:szCs w:val="24"/>
        </w:rPr>
        <w:t xml:space="preserve">indings of </w:t>
      </w:r>
      <w:proofErr w:type="spellStart"/>
      <w:r w:rsidR="00E64CEB">
        <w:rPr>
          <w:color w:val="auto"/>
          <w:szCs w:val="24"/>
        </w:rPr>
        <w:t>R</w:t>
      </w:r>
      <w:r>
        <w:rPr>
          <w:color w:val="auto"/>
          <w:szCs w:val="24"/>
        </w:rPr>
        <w:t>adiculopathy</w:t>
      </w:r>
      <w:proofErr w:type="spellEnd"/>
      <w:r>
        <w:rPr>
          <w:color w:val="auto"/>
          <w:szCs w:val="24"/>
        </w:rPr>
        <w:t xml:space="preserve">. </w:t>
      </w:r>
      <w:r w:rsidR="00D95239">
        <w:rPr>
          <w:color w:val="auto"/>
          <w:szCs w:val="24"/>
        </w:rPr>
        <w:t xml:space="preserve"> </w:t>
      </w:r>
      <w:r>
        <w:rPr>
          <w:color w:val="auto"/>
          <w:szCs w:val="24"/>
        </w:rPr>
        <w:t>T</w:t>
      </w:r>
      <w:r w:rsidR="00E003A7" w:rsidRPr="005B1A6D">
        <w:rPr>
          <w:color w:val="auto"/>
          <w:szCs w:val="24"/>
        </w:rPr>
        <w:t>he VA sensory exam was much more detailed and documented both motor and sensory deficits</w:t>
      </w:r>
      <w:r>
        <w:rPr>
          <w:color w:val="auto"/>
          <w:szCs w:val="24"/>
        </w:rPr>
        <w:t xml:space="preserve">. </w:t>
      </w:r>
    </w:p>
    <w:p w:rsidR="00E003A7" w:rsidRPr="005B1A6D" w:rsidRDefault="00E003A7" w:rsidP="00E64CEB">
      <w:pPr>
        <w:spacing w:line="240" w:lineRule="exact"/>
        <w:jc w:val="both"/>
        <w:rPr>
          <w:color w:val="auto"/>
          <w:szCs w:val="24"/>
        </w:rPr>
      </w:pPr>
    </w:p>
    <w:p w:rsidR="003C0B12" w:rsidRDefault="00E003A7" w:rsidP="00E64CEB">
      <w:pPr>
        <w:spacing w:line="240" w:lineRule="exact"/>
        <w:jc w:val="both"/>
        <w:rPr>
          <w:color w:val="auto"/>
          <w:szCs w:val="24"/>
        </w:rPr>
      </w:pPr>
      <w:r w:rsidRPr="005B1A6D">
        <w:rPr>
          <w:color w:val="auto"/>
          <w:szCs w:val="24"/>
        </w:rPr>
        <w:t xml:space="preserve">The VA rated this </w:t>
      </w:r>
      <w:proofErr w:type="spellStart"/>
      <w:r w:rsidR="00253D61">
        <w:rPr>
          <w:color w:val="auto"/>
          <w:szCs w:val="24"/>
        </w:rPr>
        <w:t>R</w:t>
      </w:r>
      <w:r w:rsidRPr="005B1A6D">
        <w:rPr>
          <w:color w:val="auto"/>
          <w:szCs w:val="24"/>
        </w:rPr>
        <w:t>adiculopathy</w:t>
      </w:r>
      <w:proofErr w:type="spellEnd"/>
      <w:r w:rsidRPr="005B1A6D">
        <w:rPr>
          <w:color w:val="auto"/>
          <w:szCs w:val="24"/>
        </w:rPr>
        <w:t xml:space="preserve"> at 10% for moderate incomplete paralysis. </w:t>
      </w:r>
      <w:r w:rsidR="00D95239">
        <w:rPr>
          <w:color w:val="auto"/>
          <w:szCs w:val="24"/>
        </w:rPr>
        <w:t xml:space="preserve"> </w:t>
      </w:r>
      <w:r w:rsidRPr="005B1A6D">
        <w:rPr>
          <w:color w:val="auto"/>
          <w:szCs w:val="24"/>
        </w:rPr>
        <w:t xml:space="preserve">However, the </w:t>
      </w:r>
      <w:r w:rsidR="00744F95" w:rsidRPr="005B1A6D">
        <w:rPr>
          <w:color w:val="auto"/>
          <w:szCs w:val="24"/>
        </w:rPr>
        <w:t>functional impairment f</w:t>
      </w:r>
      <w:r w:rsidR="003C0B12">
        <w:rPr>
          <w:color w:val="auto"/>
          <w:szCs w:val="24"/>
        </w:rPr>
        <w:t>ro</w:t>
      </w:r>
      <w:r w:rsidR="00744F95" w:rsidRPr="005B1A6D">
        <w:rPr>
          <w:color w:val="auto"/>
          <w:szCs w:val="24"/>
        </w:rPr>
        <w:t>m this condition appears to be mild, not moderate and therefore warrants a 0% rating.</w:t>
      </w:r>
    </w:p>
    <w:p w:rsidR="003C0B12" w:rsidRDefault="003C0B12" w:rsidP="00E64CEB">
      <w:pPr>
        <w:spacing w:line="240" w:lineRule="exact"/>
        <w:jc w:val="both"/>
        <w:rPr>
          <w:color w:val="auto"/>
          <w:szCs w:val="24"/>
        </w:rPr>
      </w:pPr>
    </w:p>
    <w:p w:rsidR="000A0689" w:rsidRPr="00F118CE" w:rsidRDefault="000A0689" w:rsidP="00D95239">
      <w:pPr>
        <w:spacing w:line="240" w:lineRule="exact"/>
        <w:jc w:val="both"/>
        <w:rPr>
          <w:color w:val="auto"/>
          <w:szCs w:val="24"/>
        </w:rPr>
      </w:pPr>
      <w:r w:rsidRPr="000B5D2B">
        <w:rPr>
          <w:color w:val="auto"/>
          <w:szCs w:val="24"/>
          <w:u w:val="single"/>
        </w:rPr>
        <w:t>O</w:t>
      </w:r>
      <w:r w:rsidR="00C759EC" w:rsidRPr="000B5D2B">
        <w:rPr>
          <w:color w:val="auto"/>
          <w:szCs w:val="24"/>
          <w:u w:val="single"/>
        </w:rPr>
        <w:t>ther conditions rated by the VA</w:t>
      </w:r>
      <w:r w:rsidR="000B5D2B" w:rsidRPr="000B5D2B">
        <w:rPr>
          <w:color w:val="auto"/>
          <w:szCs w:val="24"/>
          <w:u w:val="single"/>
        </w:rPr>
        <w:t>--</w:t>
      </w:r>
      <w:r w:rsidRPr="000B5D2B">
        <w:rPr>
          <w:color w:val="auto"/>
          <w:szCs w:val="24"/>
          <w:u w:val="single"/>
        </w:rPr>
        <w:t>Mentioned either in NARSUM or DD</w:t>
      </w:r>
      <w:r w:rsidR="00D95239">
        <w:rPr>
          <w:color w:val="auto"/>
          <w:szCs w:val="24"/>
          <w:u w:val="single"/>
        </w:rPr>
        <w:t xml:space="preserve"> Form </w:t>
      </w:r>
      <w:r w:rsidRPr="000B5D2B">
        <w:rPr>
          <w:color w:val="auto"/>
          <w:szCs w:val="24"/>
          <w:u w:val="single"/>
        </w:rPr>
        <w:t>2697</w:t>
      </w:r>
      <w:r w:rsidR="00D95239">
        <w:rPr>
          <w:color w:val="auto"/>
          <w:szCs w:val="24"/>
          <w:u w:val="single"/>
        </w:rPr>
        <w:t>:</w:t>
      </w:r>
      <w:r w:rsidR="00D95239" w:rsidRPr="00D95239">
        <w:rPr>
          <w:color w:val="auto"/>
          <w:szCs w:val="24"/>
        </w:rPr>
        <w:t xml:space="preserve">  </w:t>
      </w:r>
      <w:r w:rsidR="00F118CE" w:rsidRPr="00D95239">
        <w:rPr>
          <w:color w:val="auto"/>
          <w:szCs w:val="24"/>
        </w:rPr>
        <w:t xml:space="preserve">Tinnitus, Left </w:t>
      </w:r>
      <w:proofErr w:type="spellStart"/>
      <w:r w:rsidR="00F118CE" w:rsidRPr="00D95239">
        <w:rPr>
          <w:color w:val="auto"/>
          <w:szCs w:val="24"/>
        </w:rPr>
        <w:t>Patellofemoral</w:t>
      </w:r>
      <w:proofErr w:type="spellEnd"/>
      <w:r w:rsidR="00F118CE" w:rsidRPr="00D95239">
        <w:rPr>
          <w:color w:val="auto"/>
          <w:szCs w:val="24"/>
        </w:rPr>
        <w:t xml:space="preserve"> Syndrome, Chronic </w:t>
      </w:r>
      <w:proofErr w:type="spellStart"/>
      <w:r w:rsidR="00F118CE" w:rsidRPr="00D95239">
        <w:rPr>
          <w:color w:val="auto"/>
          <w:szCs w:val="24"/>
        </w:rPr>
        <w:t>Epididymitis</w:t>
      </w:r>
      <w:proofErr w:type="spellEnd"/>
      <w:r w:rsidR="00F118CE" w:rsidRPr="00D95239">
        <w:rPr>
          <w:color w:val="auto"/>
          <w:szCs w:val="24"/>
        </w:rPr>
        <w:t xml:space="preserve">, </w:t>
      </w:r>
      <w:proofErr w:type="gramStart"/>
      <w:r w:rsidR="00F118CE" w:rsidRPr="00D95239">
        <w:rPr>
          <w:color w:val="auto"/>
          <w:szCs w:val="24"/>
        </w:rPr>
        <w:t>Chronic</w:t>
      </w:r>
      <w:proofErr w:type="gramEnd"/>
      <w:r w:rsidR="00F118CE" w:rsidRPr="00D95239">
        <w:rPr>
          <w:color w:val="auto"/>
          <w:szCs w:val="24"/>
        </w:rPr>
        <w:t xml:space="preserve"> </w:t>
      </w:r>
      <w:proofErr w:type="spellStart"/>
      <w:r w:rsidR="00F118CE" w:rsidRPr="00D95239">
        <w:rPr>
          <w:color w:val="auto"/>
          <w:szCs w:val="24"/>
        </w:rPr>
        <w:t>Prostatitis</w:t>
      </w:r>
      <w:proofErr w:type="spellEnd"/>
      <w:r w:rsidR="00D95239">
        <w:rPr>
          <w:color w:val="auto"/>
          <w:szCs w:val="24"/>
          <w:u w:val="single"/>
        </w:rPr>
        <w:t>:</w:t>
      </w:r>
      <w:r w:rsidR="00D95239">
        <w:rPr>
          <w:color w:val="auto"/>
          <w:szCs w:val="24"/>
        </w:rPr>
        <w:t xml:space="preserve">  </w:t>
      </w:r>
      <w:r w:rsidRPr="00F118CE">
        <w:rPr>
          <w:color w:val="auto"/>
          <w:szCs w:val="24"/>
        </w:rPr>
        <w:t xml:space="preserve">No evidence any of these </w:t>
      </w:r>
      <w:r w:rsidR="000B5D2B">
        <w:rPr>
          <w:color w:val="auto"/>
          <w:szCs w:val="24"/>
        </w:rPr>
        <w:t xml:space="preserve">conditions </w:t>
      </w:r>
      <w:r w:rsidRPr="00F118CE">
        <w:rPr>
          <w:color w:val="auto"/>
          <w:szCs w:val="24"/>
        </w:rPr>
        <w:t xml:space="preserve">were unfitting. </w:t>
      </w:r>
      <w:r w:rsidR="00D95239">
        <w:rPr>
          <w:color w:val="auto"/>
          <w:szCs w:val="24"/>
        </w:rPr>
        <w:t xml:space="preserve"> </w:t>
      </w:r>
      <w:r w:rsidR="000B5D2B">
        <w:rPr>
          <w:color w:val="auto"/>
          <w:szCs w:val="24"/>
        </w:rPr>
        <w:t>There is n</w:t>
      </w:r>
      <w:r w:rsidRPr="00F118CE">
        <w:rPr>
          <w:color w:val="auto"/>
          <w:szCs w:val="24"/>
        </w:rPr>
        <w:t>o information in the Commander</w:t>
      </w:r>
      <w:r w:rsidRPr="00F118CE">
        <w:rPr>
          <w:rFonts w:hAnsi="Calibri"/>
          <w:color w:val="auto"/>
          <w:szCs w:val="24"/>
        </w:rPr>
        <w:t>’</w:t>
      </w:r>
      <w:r w:rsidRPr="00F118CE">
        <w:rPr>
          <w:color w:val="auto"/>
          <w:szCs w:val="24"/>
        </w:rPr>
        <w:t>s letter and no duty restrictions attributable to any of these conditions.</w:t>
      </w:r>
    </w:p>
    <w:p w:rsidR="000A0689" w:rsidRPr="00F118CE" w:rsidRDefault="000A0689" w:rsidP="00E64CEB">
      <w:pPr>
        <w:autoSpaceDE w:val="0"/>
        <w:autoSpaceDN w:val="0"/>
        <w:adjustRightInd w:val="0"/>
        <w:spacing w:line="240" w:lineRule="exact"/>
        <w:jc w:val="both"/>
        <w:rPr>
          <w:color w:val="auto"/>
          <w:szCs w:val="24"/>
        </w:rPr>
      </w:pPr>
    </w:p>
    <w:p w:rsidR="000A0689" w:rsidRPr="000B5D2B" w:rsidRDefault="000A0689" w:rsidP="00E64CEB">
      <w:pPr>
        <w:autoSpaceDE w:val="0"/>
        <w:autoSpaceDN w:val="0"/>
        <w:adjustRightInd w:val="0"/>
        <w:spacing w:line="240" w:lineRule="exact"/>
        <w:jc w:val="both"/>
        <w:rPr>
          <w:color w:val="auto"/>
          <w:szCs w:val="24"/>
          <w:u w:val="single"/>
        </w:rPr>
      </w:pPr>
      <w:r w:rsidRPr="000B5D2B">
        <w:rPr>
          <w:color w:val="auto"/>
          <w:szCs w:val="24"/>
          <w:u w:val="single"/>
        </w:rPr>
        <w:t xml:space="preserve">Not in </w:t>
      </w:r>
      <w:r w:rsidR="00D95239">
        <w:rPr>
          <w:color w:val="auto"/>
          <w:szCs w:val="24"/>
          <w:u w:val="single"/>
        </w:rPr>
        <w:t>Disability Evaluation System (</w:t>
      </w:r>
      <w:r w:rsidRPr="000B5D2B">
        <w:rPr>
          <w:color w:val="auto"/>
          <w:szCs w:val="24"/>
          <w:u w:val="single"/>
        </w:rPr>
        <w:t>DES</w:t>
      </w:r>
      <w:r w:rsidR="00D95239">
        <w:rPr>
          <w:color w:val="auto"/>
          <w:szCs w:val="24"/>
          <w:u w:val="single"/>
        </w:rPr>
        <w:t>)</w:t>
      </w:r>
      <w:r w:rsidRPr="000B5D2B">
        <w:rPr>
          <w:color w:val="auto"/>
          <w:szCs w:val="24"/>
          <w:u w:val="single"/>
        </w:rPr>
        <w:t xml:space="preserve"> Package</w:t>
      </w:r>
      <w:r w:rsidR="00D95239">
        <w:rPr>
          <w:color w:val="auto"/>
          <w:szCs w:val="24"/>
          <w:u w:val="single"/>
        </w:rPr>
        <w:t>:</w:t>
      </w:r>
      <w:r w:rsidR="00D95239" w:rsidRPr="00D95239">
        <w:rPr>
          <w:color w:val="auto"/>
          <w:szCs w:val="24"/>
        </w:rPr>
        <w:t xml:space="preserve">  </w:t>
      </w:r>
      <w:r w:rsidRPr="00D95239">
        <w:rPr>
          <w:color w:val="auto"/>
          <w:szCs w:val="24"/>
        </w:rPr>
        <w:t xml:space="preserve">Right </w:t>
      </w:r>
      <w:proofErr w:type="spellStart"/>
      <w:r w:rsidRPr="00D95239">
        <w:rPr>
          <w:color w:val="auto"/>
          <w:szCs w:val="24"/>
        </w:rPr>
        <w:t>Patellofemoral</w:t>
      </w:r>
      <w:proofErr w:type="spellEnd"/>
      <w:r w:rsidRPr="00D95239">
        <w:rPr>
          <w:color w:val="auto"/>
          <w:szCs w:val="24"/>
        </w:rPr>
        <w:t xml:space="preserve"> Syndrome</w:t>
      </w:r>
    </w:p>
    <w:p w:rsidR="00A90D55" w:rsidRPr="00F118CE" w:rsidRDefault="008B5D31" w:rsidP="00E64CEB">
      <w:pPr>
        <w:tabs>
          <w:tab w:val="left" w:pos="288"/>
          <w:tab w:val="left" w:pos="4752"/>
        </w:tabs>
        <w:spacing w:line="240" w:lineRule="exact"/>
        <w:jc w:val="both"/>
        <w:rPr>
          <w:color w:val="auto"/>
          <w:szCs w:val="24"/>
        </w:rPr>
      </w:pPr>
      <w:r w:rsidRPr="00F118CE">
        <w:rPr>
          <w:color w:val="auto"/>
          <w:szCs w:val="24"/>
          <w:u w:val="single"/>
        </w:rPr>
        <w:t>_____________________</w:t>
      </w:r>
      <w:r w:rsidR="00144BF9" w:rsidRPr="00F118CE">
        <w:rPr>
          <w:color w:val="auto"/>
          <w:szCs w:val="24"/>
          <w:u w:val="single"/>
        </w:rPr>
        <w:t>______________</w:t>
      </w:r>
      <w:r w:rsidRPr="00F118CE">
        <w:rPr>
          <w:color w:val="auto"/>
          <w:szCs w:val="24"/>
          <w:u w:val="single"/>
        </w:rPr>
        <w:t>____________________________</w:t>
      </w:r>
      <w:r w:rsidRPr="00F118CE">
        <w:rPr>
          <w:color w:val="auto"/>
          <w:szCs w:val="24"/>
        </w:rPr>
        <w:t>_</w:t>
      </w:r>
    </w:p>
    <w:p w:rsidR="00A90D55" w:rsidRPr="00F118CE" w:rsidRDefault="00A90D55" w:rsidP="00E64CEB">
      <w:pPr>
        <w:tabs>
          <w:tab w:val="left" w:pos="288"/>
          <w:tab w:val="left" w:pos="4752"/>
        </w:tabs>
        <w:spacing w:line="240" w:lineRule="exact"/>
        <w:jc w:val="both"/>
        <w:rPr>
          <w:color w:val="auto"/>
          <w:szCs w:val="24"/>
        </w:rPr>
      </w:pPr>
    </w:p>
    <w:p w:rsidR="00EC0E65" w:rsidRPr="00F118CE" w:rsidRDefault="00FB593A" w:rsidP="00E64CEB">
      <w:pPr>
        <w:tabs>
          <w:tab w:val="left" w:pos="288"/>
          <w:tab w:val="left" w:pos="4752"/>
        </w:tabs>
        <w:spacing w:line="240" w:lineRule="exact"/>
        <w:jc w:val="both"/>
        <w:rPr>
          <w:rFonts w:eastAsiaTheme="minorHAnsi"/>
          <w:color w:val="auto"/>
          <w:szCs w:val="24"/>
        </w:rPr>
      </w:pPr>
      <w:r w:rsidRPr="00F118CE">
        <w:rPr>
          <w:color w:val="auto"/>
          <w:szCs w:val="24"/>
          <w:u w:val="single"/>
        </w:rPr>
        <w:t>BOARD FINDINGS</w:t>
      </w:r>
      <w:r w:rsidRPr="00F118CE">
        <w:rPr>
          <w:color w:val="auto"/>
          <w:szCs w:val="24"/>
        </w:rPr>
        <w:t>:</w:t>
      </w:r>
      <w:r w:rsidRPr="00F118CE">
        <w:rPr>
          <w:rFonts w:eastAsiaTheme="minorHAnsi"/>
          <w:color w:val="auto"/>
          <w:szCs w:val="24"/>
        </w:rPr>
        <w:t xml:space="preserve">  IAW </w:t>
      </w:r>
      <w:proofErr w:type="spellStart"/>
      <w:r w:rsidRPr="00F118CE">
        <w:rPr>
          <w:rFonts w:eastAsiaTheme="minorHAnsi"/>
          <w:color w:val="auto"/>
          <w:szCs w:val="24"/>
        </w:rPr>
        <w:t>DoDI</w:t>
      </w:r>
      <w:proofErr w:type="spellEnd"/>
      <w:r w:rsidRPr="00F118CE">
        <w:rPr>
          <w:rFonts w:eastAsiaTheme="minorHAnsi"/>
          <w:color w:val="auto"/>
          <w:szCs w:val="24"/>
        </w:rPr>
        <w:t xml:space="preserve"> 6040.44, provisions of DoD or Military Department regulations or guidelines relied upon by the PEB will not be considered by the </w:t>
      </w:r>
      <w:r w:rsidR="007165CE" w:rsidRPr="00F118CE">
        <w:rPr>
          <w:rFonts w:eastAsiaTheme="minorHAnsi"/>
          <w:color w:val="auto"/>
          <w:szCs w:val="24"/>
        </w:rPr>
        <w:t>Board</w:t>
      </w:r>
      <w:r w:rsidRPr="00F118CE">
        <w:rPr>
          <w:rFonts w:eastAsiaTheme="minorHAnsi"/>
          <w:color w:val="auto"/>
          <w:szCs w:val="24"/>
        </w:rPr>
        <w:t xml:space="preserve"> to the extent they were inconsistent with the VASRD in effect at the time of the adjudication. </w:t>
      </w:r>
      <w:r w:rsidR="00F118CE" w:rsidRPr="00F118CE">
        <w:rPr>
          <w:rFonts w:eastAsiaTheme="minorHAnsi"/>
          <w:color w:val="auto"/>
          <w:szCs w:val="24"/>
        </w:rPr>
        <w:t xml:space="preserve"> After </w:t>
      </w:r>
      <w:r w:rsidR="00F118CE" w:rsidRPr="000B5D2B">
        <w:rPr>
          <w:rFonts w:eastAsiaTheme="minorHAnsi"/>
          <w:color w:val="auto"/>
          <w:szCs w:val="24"/>
        </w:rPr>
        <w:t>careful consideration of all available information the Board determined by simple majority that the CI</w:t>
      </w:r>
      <w:r w:rsidR="00F118CE" w:rsidRPr="000B5D2B">
        <w:rPr>
          <w:rFonts w:eastAsiaTheme="minorHAnsi" w:hAnsiTheme="minorHAnsi"/>
          <w:color w:val="auto"/>
          <w:szCs w:val="24"/>
        </w:rPr>
        <w:t>’</w:t>
      </w:r>
      <w:r w:rsidR="00F118CE" w:rsidRPr="000B5D2B">
        <w:rPr>
          <w:rFonts w:eastAsiaTheme="minorHAnsi"/>
          <w:color w:val="auto"/>
          <w:szCs w:val="24"/>
        </w:rPr>
        <w:t>s condition is most appropriately rated at a combined</w:t>
      </w:r>
      <w:r w:rsidR="00F118CE" w:rsidRPr="00F118CE">
        <w:rPr>
          <w:rFonts w:eastAsiaTheme="minorHAnsi"/>
          <w:color w:val="auto"/>
          <w:szCs w:val="24"/>
        </w:rPr>
        <w:t xml:space="preserve"> </w:t>
      </w:r>
      <w:r w:rsidR="000B5D2B">
        <w:rPr>
          <w:rFonts w:eastAsiaTheme="minorHAnsi"/>
          <w:color w:val="auto"/>
          <w:szCs w:val="24"/>
        </w:rPr>
        <w:t>20</w:t>
      </w:r>
      <w:r w:rsidR="00F118CE" w:rsidRPr="00F118CE">
        <w:rPr>
          <w:rFonts w:eastAsiaTheme="minorHAnsi"/>
          <w:color w:val="auto"/>
          <w:szCs w:val="24"/>
        </w:rPr>
        <w:t xml:space="preserve">% with </w:t>
      </w:r>
      <w:r w:rsidR="000B5D2B">
        <w:rPr>
          <w:rFonts w:eastAsiaTheme="minorHAnsi"/>
          <w:color w:val="auto"/>
          <w:szCs w:val="24"/>
        </w:rPr>
        <w:t>20</w:t>
      </w:r>
      <w:r w:rsidR="00F118CE" w:rsidRPr="00F118CE">
        <w:rPr>
          <w:rFonts w:eastAsiaTheme="minorHAnsi"/>
          <w:color w:val="auto"/>
          <w:szCs w:val="24"/>
        </w:rPr>
        <w:t xml:space="preserve">% for </w:t>
      </w:r>
      <w:r w:rsidR="000B5D2B">
        <w:rPr>
          <w:rFonts w:eastAsiaTheme="minorHAnsi"/>
          <w:color w:val="auto"/>
          <w:szCs w:val="24"/>
        </w:rPr>
        <w:t>5293</w:t>
      </w:r>
      <w:r w:rsidR="00F118CE" w:rsidRPr="00F118CE">
        <w:rPr>
          <w:rFonts w:eastAsiaTheme="minorHAnsi"/>
          <w:color w:val="auto"/>
          <w:szCs w:val="24"/>
        </w:rPr>
        <w:t xml:space="preserve"> </w:t>
      </w:r>
      <w:r w:rsidR="000B5D2B" w:rsidRPr="00F118CE">
        <w:rPr>
          <w:rFonts w:cs="Courier New"/>
          <w:color w:val="auto"/>
          <w:szCs w:val="24"/>
        </w:rPr>
        <w:t>Chronic Lower Back  Pain</w:t>
      </w:r>
      <w:r w:rsidR="00F118CE" w:rsidRPr="00F118CE">
        <w:rPr>
          <w:rFonts w:eastAsiaTheme="minorHAnsi"/>
          <w:color w:val="auto"/>
          <w:szCs w:val="24"/>
        </w:rPr>
        <w:t xml:space="preserve"> and </w:t>
      </w:r>
      <w:r w:rsidR="000B5D2B">
        <w:rPr>
          <w:rFonts w:eastAsiaTheme="minorHAnsi"/>
          <w:color w:val="auto"/>
          <w:szCs w:val="24"/>
        </w:rPr>
        <w:t>0</w:t>
      </w:r>
      <w:r w:rsidR="00F118CE" w:rsidRPr="00F118CE">
        <w:rPr>
          <w:rFonts w:eastAsiaTheme="minorHAnsi"/>
          <w:color w:val="auto"/>
          <w:szCs w:val="24"/>
        </w:rPr>
        <w:t xml:space="preserve">% for </w:t>
      </w:r>
      <w:r w:rsidR="000B5D2B">
        <w:rPr>
          <w:rFonts w:eastAsiaTheme="minorHAnsi"/>
          <w:color w:val="auto"/>
          <w:szCs w:val="24"/>
        </w:rPr>
        <w:t>8523</w:t>
      </w:r>
      <w:r w:rsidR="00F118CE" w:rsidRPr="00F118CE">
        <w:rPr>
          <w:rFonts w:eastAsiaTheme="minorHAnsi"/>
          <w:color w:val="auto"/>
          <w:szCs w:val="24"/>
        </w:rPr>
        <w:t xml:space="preserve"> </w:t>
      </w:r>
      <w:r w:rsidR="000B5D2B" w:rsidRPr="00F118CE">
        <w:rPr>
          <w:rFonts w:cs="Courier New"/>
          <w:color w:val="auto"/>
          <w:szCs w:val="24"/>
        </w:rPr>
        <w:t xml:space="preserve">Weakness of Anterior </w:t>
      </w:r>
      <w:proofErr w:type="spellStart"/>
      <w:r w:rsidR="000B5D2B" w:rsidRPr="00F118CE">
        <w:rPr>
          <w:rFonts w:cs="Courier New"/>
          <w:color w:val="auto"/>
          <w:szCs w:val="24"/>
        </w:rPr>
        <w:t>Tibial</w:t>
      </w:r>
      <w:proofErr w:type="spellEnd"/>
      <w:r w:rsidR="000B5D2B" w:rsidRPr="00F118CE">
        <w:rPr>
          <w:rFonts w:cs="Courier New"/>
          <w:color w:val="auto"/>
          <w:szCs w:val="24"/>
        </w:rPr>
        <w:t xml:space="preserve"> Nerve</w:t>
      </w:r>
      <w:r w:rsidR="00F118CE" w:rsidRPr="00F118CE">
        <w:rPr>
          <w:rFonts w:eastAsiaTheme="minorHAnsi"/>
          <w:color w:val="auto"/>
          <w:szCs w:val="24"/>
        </w:rPr>
        <w:t>.</w:t>
      </w:r>
      <w:r w:rsidR="000B5D2B">
        <w:rPr>
          <w:rFonts w:eastAsiaTheme="minorHAnsi"/>
          <w:color w:val="auto"/>
          <w:szCs w:val="24"/>
        </w:rPr>
        <w:t xml:space="preserve"> </w:t>
      </w:r>
      <w:r w:rsidR="00D95239">
        <w:rPr>
          <w:rFonts w:eastAsiaTheme="minorHAnsi"/>
          <w:color w:val="auto"/>
          <w:szCs w:val="24"/>
        </w:rPr>
        <w:t xml:space="preserve"> </w:t>
      </w:r>
      <w:r w:rsidR="000B5D2B" w:rsidRPr="00F118CE">
        <w:rPr>
          <w:rFonts w:eastAsiaTheme="minorHAnsi"/>
          <w:color w:val="auto"/>
          <w:szCs w:val="24"/>
        </w:rPr>
        <w:t xml:space="preserve">The single voter for dissent (who recommended </w:t>
      </w:r>
      <w:r w:rsidR="000B5D2B">
        <w:rPr>
          <w:rFonts w:eastAsiaTheme="minorHAnsi"/>
          <w:color w:val="auto"/>
          <w:szCs w:val="24"/>
        </w:rPr>
        <w:t xml:space="preserve">rating 5293 at 20% and a determination of not unfitting for the Anterior </w:t>
      </w:r>
      <w:proofErr w:type="spellStart"/>
      <w:r w:rsidR="000B5D2B">
        <w:rPr>
          <w:rFonts w:eastAsiaTheme="minorHAnsi"/>
          <w:color w:val="auto"/>
          <w:szCs w:val="24"/>
        </w:rPr>
        <w:t>Tibial</w:t>
      </w:r>
      <w:proofErr w:type="spellEnd"/>
      <w:r w:rsidR="000B5D2B">
        <w:rPr>
          <w:rFonts w:eastAsiaTheme="minorHAnsi"/>
          <w:color w:val="auto"/>
          <w:szCs w:val="24"/>
        </w:rPr>
        <w:t xml:space="preserve"> Nerve Weakness</w:t>
      </w:r>
      <w:r w:rsidR="000B5D2B" w:rsidRPr="00F118CE">
        <w:rPr>
          <w:rFonts w:eastAsiaTheme="minorHAnsi"/>
          <w:color w:val="auto"/>
          <w:szCs w:val="24"/>
        </w:rPr>
        <w:t>) did not elect to submit a minority opinion</w:t>
      </w:r>
    </w:p>
    <w:p w:rsidR="00F118CE" w:rsidRPr="00F118CE" w:rsidRDefault="00F118CE" w:rsidP="00E64CEB">
      <w:pPr>
        <w:spacing w:line="240" w:lineRule="exact"/>
        <w:jc w:val="both"/>
        <w:rPr>
          <w:rFonts w:eastAsiaTheme="minorHAnsi"/>
          <w:color w:val="auto"/>
          <w:szCs w:val="24"/>
        </w:rPr>
      </w:pPr>
    </w:p>
    <w:p w:rsidR="000B5D2B" w:rsidRPr="00F118CE" w:rsidRDefault="00C55D6E" w:rsidP="00E64CEB">
      <w:pPr>
        <w:spacing w:line="240" w:lineRule="exact"/>
        <w:jc w:val="both"/>
        <w:rPr>
          <w:rFonts w:eastAsiaTheme="minorHAnsi"/>
          <w:color w:val="auto"/>
          <w:szCs w:val="24"/>
        </w:rPr>
      </w:pPr>
      <w:r>
        <w:rPr>
          <w:rFonts w:eastAsiaTheme="minorHAnsi"/>
          <w:color w:val="auto"/>
          <w:szCs w:val="24"/>
        </w:rPr>
        <w:t xml:space="preserve">A 20% rating is warranted for the back pain based on </w:t>
      </w:r>
      <w:proofErr w:type="spellStart"/>
      <w:r>
        <w:rPr>
          <w:rFonts w:eastAsiaTheme="minorHAnsi"/>
          <w:color w:val="auto"/>
          <w:szCs w:val="24"/>
        </w:rPr>
        <w:t>thoracolumbar</w:t>
      </w:r>
      <w:proofErr w:type="spellEnd"/>
      <w:r>
        <w:rPr>
          <w:rFonts w:eastAsiaTheme="minorHAnsi"/>
          <w:color w:val="auto"/>
          <w:szCs w:val="24"/>
        </w:rPr>
        <w:t xml:space="preserve"> f</w:t>
      </w:r>
      <w:r w:rsidR="00CC26AE">
        <w:rPr>
          <w:rFonts w:eastAsiaTheme="minorHAnsi"/>
          <w:color w:val="auto"/>
          <w:szCs w:val="24"/>
        </w:rPr>
        <w:t xml:space="preserve">lexion limited to 45 degrees. </w:t>
      </w:r>
      <w:r w:rsidR="00D95239">
        <w:rPr>
          <w:rFonts w:eastAsiaTheme="minorHAnsi"/>
          <w:color w:val="auto"/>
          <w:szCs w:val="24"/>
        </w:rPr>
        <w:t xml:space="preserve"> </w:t>
      </w:r>
      <w:r w:rsidR="00CC26AE">
        <w:rPr>
          <w:rFonts w:eastAsiaTheme="minorHAnsi"/>
          <w:color w:val="auto"/>
          <w:szCs w:val="24"/>
        </w:rPr>
        <w:t xml:space="preserve">A </w:t>
      </w:r>
      <w:proofErr w:type="spellStart"/>
      <w:r w:rsidR="00E64CEB">
        <w:rPr>
          <w:rFonts w:eastAsiaTheme="minorHAnsi"/>
          <w:color w:val="auto"/>
          <w:szCs w:val="24"/>
        </w:rPr>
        <w:t>R</w:t>
      </w:r>
      <w:r w:rsidR="00CC26AE">
        <w:rPr>
          <w:rFonts w:eastAsiaTheme="minorHAnsi"/>
          <w:color w:val="auto"/>
          <w:szCs w:val="24"/>
        </w:rPr>
        <w:t>adiculopathy</w:t>
      </w:r>
      <w:proofErr w:type="spellEnd"/>
      <w:r w:rsidR="00CC26AE">
        <w:rPr>
          <w:rFonts w:eastAsiaTheme="minorHAnsi"/>
          <w:color w:val="auto"/>
          <w:szCs w:val="24"/>
        </w:rPr>
        <w:t xml:space="preserve"> was present but the Board considered the functional limitation due to the incomplete paralysis of foot movements to be mild. The decrease in strength was minimal and there was no affect on gait or ability to ambulate. </w:t>
      </w:r>
      <w:r w:rsidR="00D95239">
        <w:rPr>
          <w:rFonts w:eastAsiaTheme="minorHAnsi"/>
          <w:color w:val="auto"/>
          <w:szCs w:val="24"/>
        </w:rPr>
        <w:t xml:space="preserve"> </w:t>
      </w:r>
      <w:r w:rsidR="00CC26AE">
        <w:rPr>
          <w:rFonts w:eastAsiaTheme="minorHAnsi"/>
          <w:color w:val="auto"/>
          <w:szCs w:val="24"/>
        </w:rPr>
        <w:t>A mild incomplete paralysis is properly rated at 0%.</w:t>
      </w:r>
    </w:p>
    <w:p w:rsidR="00457BCF" w:rsidRPr="00F118CE" w:rsidRDefault="00457BCF" w:rsidP="00E64CEB">
      <w:pPr>
        <w:tabs>
          <w:tab w:val="left" w:pos="288"/>
          <w:tab w:val="left" w:pos="4752"/>
        </w:tabs>
        <w:spacing w:line="240" w:lineRule="exact"/>
        <w:jc w:val="both"/>
        <w:rPr>
          <w:color w:val="000080"/>
          <w:szCs w:val="24"/>
        </w:rPr>
      </w:pPr>
    </w:p>
    <w:p w:rsidR="00F118CE" w:rsidRPr="00F118CE" w:rsidRDefault="00F118CE" w:rsidP="00E64CEB">
      <w:pPr>
        <w:autoSpaceDE w:val="0"/>
        <w:autoSpaceDN w:val="0"/>
        <w:adjustRightInd w:val="0"/>
        <w:spacing w:line="240" w:lineRule="exact"/>
        <w:jc w:val="both"/>
        <w:rPr>
          <w:color w:val="auto"/>
        </w:rPr>
      </w:pPr>
      <w:r w:rsidRPr="00F118CE">
        <w:rPr>
          <w:color w:val="auto"/>
        </w:rPr>
        <w:t xml:space="preserve">The Board also considered </w:t>
      </w:r>
      <w:r w:rsidRPr="00F118CE">
        <w:rPr>
          <w:color w:val="auto"/>
          <w:szCs w:val="24"/>
        </w:rPr>
        <w:t xml:space="preserve">Tinnitus, Left </w:t>
      </w:r>
      <w:proofErr w:type="spellStart"/>
      <w:r w:rsidRPr="00F118CE">
        <w:rPr>
          <w:color w:val="auto"/>
          <w:szCs w:val="24"/>
        </w:rPr>
        <w:t>Patellofemoral</w:t>
      </w:r>
      <w:proofErr w:type="spellEnd"/>
      <w:r w:rsidRPr="00F118CE">
        <w:rPr>
          <w:color w:val="auto"/>
          <w:szCs w:val="24"/>
        </w:rPr>
        <w:t xml:space="preserve"> Syndrome, Chronic </w:t>
      </w:r>
      <w:proofErr w:type="spellStart"/>
      <w:r w:rsidRPr="00F118CE">
        <w:rPr>
          <w:color w:val="auto"/>
          <w:szCs w:val="24"/>
        </w:rPr>
        <w:t>Epididymitis</w:t>
      </w:r>
      <w:proofErr w:type="spellEnd"/>
      <w:r w:rsidRPr="00F118CE">
        <w:rPr>
          <w:color w:val="auto"/>
          <w:szCs w:val="24"/>
        </w:rPr>
        <w:t xml:space="preserve">, and Chronic </w:t>
      </w:r>
      <w:proofErr w:type="spellStart"/>
      <w:r w:rsidRPr="00F118CE">
        <w:rPr>
          <w:color w:val="auto"/>
          <w:szCs w:val="24"/>
        </w:rPr>
        <w:t>Prostatitis</w:t>
      </w:r>
      <w:proofErr w:type="spellEnd"/>
      <w:r w:rsidRPr="00F118CE">
        <w:rPr>
          <w:color w:val="auto"/>
          <w:szCs w:val="24"/>
        </w:rPr>
        <w:t xml:space="preserve"> and unanimously determined that none of these conditions were unfitting at the time of separation form service and therefore no rating is applied.</w:t>
      </w:r>
    </w:p>
    <w:p w:rsidR="00F118CE" w:rsidRPr="00F118CE" w:rsidRDefault="00F118CE" w:rsidP="00E64CEB">
      <w:pPr>
        <w:tabs>
          <w:tab w:val="left" w:pos="288"/>
          <w:tab w:val="left" w:pos="4752"/>
        </w:tabs>
        <w:spacing w:line="240" w:lineRule="exact"/>
        <w:jc w:val="both"/>
        <w:rPr>
          <w:color w:val="auto"/>
        </w:rPr>
      </w:pPr>
    </w:p>
    <w:p w:rsidR="001E5815" w:rsidRPr="00F118CE" w:rsidRDefault="00F118CE" w:rsidP="00E64CEB">
      <w:pPr>
        <w:tabs>
          <w:tab w:val="left" w:pos="288"/>
          <w:tab w:val="left" w:pos="4752"/>
        </w:tabs>
        <w:spacing w:line="240" w:lineRule="exact"/>
        <w:jc w:val="both"/>
        <w:rPr>
          <w:color w:val="auto"/>
          <w:szCs w:val="24"/>
        </w:rPr>
      </w:pPr>
      <w:r w:rsidRPr="000B5D2B">
        <w:rPr>
          <w:color w:val="auto"/>
        </w:rPr>
        <w:t xml:space="preserve">The other diagnosis </w:t>
      </w:r>
      <w:r w:rsidR="001E5815" w:rsidRPr="000B5D2B">
        <w:rPr>
          <w:color w:val="auto"/>
        </w:rPr>
        <w:t xml:space="preserve">rated by the VA </w:t>
      </w:r>
      <w:r w:rsidRPr="000B5D2B">
        <w:rPr>
          <w:color w:val="auto"/>
        </w:rPr>
        <w:t>(</w:t>
      </w:r>
      <w:r w:rsidR="00E64CEB">
        <w:rPr>
          <w:color w:val="auto"/>
        </w:rPr>
        <w:t>R</w:t>
      </w:r>
      <w:r w:rsidRPr="000B5D2B">
        <w:rPr>
          <w:color w:val="auto"/>
        </w:rPr>
        <w:t xml:space="preserve">ight </w:t>
      </w:r>
      <w:proofErr w:type="spellStart"/>
      <w:r w:rsidR="00E64CEB">
        <w:rPr>
          <w:color w:val="auto"/>
        </w:rPr>
        <w:t>P</w:t>
      </w:r>
      <w:r w:rsidRPr="000B5D2B">
        <w:rPr>
          <w:color w:val="auto"/>
        </w:rPr>
        <w:t>atellofemoral</w:t>
      </w:r>
      <w:proofErr w:type="spellEnd"/>
      <w:r w:rsidRPr="000B5D2B">
        <w:rPr>
          <w:color w:val="auto"/>
        </w:rPr>
        <w:t xml:space="preserve"> </w:t>
      </w:r>
      <w:r w:rsidR="00E64CEB">
        <w:rPr>
          <w:color w:val="auto"/>
        </w:rPr>
        <w:t>S</w:t>
      </w:r>
      <w:r w:rsidRPr="000B5D2B">
        <w:rPr>
          <w:color w:val="auto"/>
        </w:rPr>
        <w:t xml:space="preserve">yndrome) </w:t>
      </w:r>
      <w:r w:rsidR="001E5815" w:rsidRPr="000B5D2B">
        <w:rPr>
          <w:color w:val="auto"/>
        </w:rPr>
        <w:t>w</w:t>
      </w:r>
      <w:r w:rsidRPr="000B5D2B">
        <w:rPr>
          <w:color w:val="auto"/>
        </w:rPr>
        <w:t>as</w:t>
      </w:r>
      <w:r w:rsidR="001E5815" w:rsidRPr="000B5D2B">
        <w:rPr>
          <w:color w:val="auto"/>
        </w:rPr>
        <w:t xml:space="preserve"> </w:t>
      </w:r>
      <w:r w:rsidR="001E5815" w:rsidRPr="000B5D2B">
        <w:rPr>
          <w:color w:val="auto"/>
          <w:szCs w:val="24"/>
        </w:rPr>
        <w:t xml:space="preserve">not mentioned in the </w:t>
      </w:r>
      <w:r w:rsidR="00D95239">
        <w:rPr>
          <w:color w:val="auto"/>
          <w:szCs w:val="24"/>
        </w:rPr>
        <w:t xml:space="preserve">DES </w:t>
      </w:r>
      <w:r w:rsidR="001E5815" w:rsidRPr="000B5D2B">
        <w:rPr>
          <w:color w:val="auto"/>
          <w:szCs w:val="24"/>
        </w:rPr>
        <w:t>package</w:t>
      </w:r>
      <w:r w:rsidR="001E5815" w:rsidRPr="00F118CE">
        <w:rPr>
          <w:color w:val="auto"/>
          <w:szCs w:val="24"/>
        </w:rPr>
        <w:t xml:space="preserve"> and </w:t>
      </w:r>
      <w:r w:rsidR="001E5815" w:rsidRPr="00F118CE">
        <w:rPr>
          <w:color w:val="auto"/>
        </w:rPr>
        <w:t xml:space="preserve">are therefore outside the scope of the Board. </w:t>
      </w:r>
      <w:r w:rsidR="00D95239">
        <w:rPr>
          <w:color w:val="auto"/>
        </w:rPr>
        <w:t xml:space="preserve"> </w:t>
      </w:r>
      <w:r w:rsidR="001E5815" w:rsidRPr="00F118CE">
        <w:rPr>
          <w:color w:val="auto"/>
        </w:rPr>
        <w:t>The CI retains the right to request his service Board of Correction for Military Records (BCMR) to consider adding these conditions as unfitting.</w:t>
      </w:r>
    </w:p>
    <w:p w:rsidR="00FB593A" w:rsidRPr="00F118CE" w:rsidRDefault="008B5D31" w:rsidP="00E64CEB">
      <w:pPr>
        <w:tabs>
          <w:tab w:val="left" w:pos="288"/>
          <w:tab w:val="left" w:pos="4752"/>
        </w:tabs>
        <w:spacing w:line="240" w:lineRule="exact"/>
        <w:jc w:val="both"/>
        <w:rPr>
          <w:color w:val="auto"/>
          <w:szCs w:val="24"/>
        </w:rPr>
      </w:pPr>
      <w:r w:rsidRPr="00F118CE">
        <w:rPr>
          <w:color w:val="auto"/>
          <w:szCs w:val="24"/>
          <w:u w:val="single"/>
        </w:rPr>
        <w:t>________________________________</w:t>
      </w:r>
      <w:r w:rsidR="00F118CE">
        <w:rPr>
          <w:color w:val="auto"/>
          <w:szCs w:val="24"/>
          <w:u w:val="single"/>
        </w:rPr>
        <w:t>______</w:t>
      </w:r>
      <w:r w:rsidRPr="00F118CE">
        <w:rPr>
          <w:color w:val="auto"/>
          <w:szCs w:val="24"/>
          <w:u w:val="single"/>
        </w:rPr>
        <w:t>_________________________</w:t>
      </w:r>
      <w:r w:rsidRPr="00F118CE">
        <w:rPr>
          <w:color w:val="auto"/>
          <w:szCs w:val="24"/>
        </w:rPr>
        <w:t>_</w:t>
      </w:r>
    </w:p>
    <w:p w:rsidR="00FB593A" w:rsidRPr="00F118CE" w:rsidRDefault="00FB593A" w:rsidP="00E64CEB">
      <w:pPr>
        <w:tabs>
          <w:tab w:val="left" w:pos="288"/>
          <w:tab w:val="left" w:pos="4752"/>
        </w:tabs>
        <w:spacing w:line="240" w:lineRule="exact"/>
        <w:jc w:val="both"/>
        <w:rPr>
          <w:color w:val="auto"/>
          <w:szCs w:val="24"/>
        </w:rPr>
      </w:pPr>
    </w:p>
    <w:p w:rsidR="00B400B0" w:rsidRPr="00F118CE" w:rsidRDefault="00FB593A" w:rsidP="00E64CEB">
      <w:pPr>
        <w:tabs>
          <w:tab w:val="left" w:pos="288"/>
          <w:tab w:val="left" w:pos="4752"/>
        </w:tabs>
        <w:spacing w:line="240" w:lineRule="exact"/>
        <w:jc w:val="both"/>
        <w:rPr>
          <w:color w:val="000080"/>
          <w:szCs w:val="24"/>
        </w:rPr>
      </w:pPr>
      <w:r w:rsidRPr="00F118CE">
        <w:rPr>
          <w:color w:val="auto"/>
          <w:szCs w:val="24"/>
          <w:u w:val="single"/>
        </w:rPr>
        <w:lastRenderedPageBreak/>
        <w:t>RECOMMENDATION</w:t>
      </w:r>
      <w:r w:rsidRPr="00F118CE">
        <w:rPr>
          <w:color w:val="auto"/>
          <w:szCs w:val="24"/>
        </w:rPr>
        <w:t>:</w:t>
      </w:r>
      <w:r w:rsidRPr="00F118CE">
        <w:rPr>
          <w:color w:val="000080"/>
          <w:szCs w:val="24"/>
        </w:rPr>
        <w:t xml:space="preserve"> </w:t>
      </w:r>
      <w:r w:rsidR="00B400B0" w:rsidRPr="00F118CE">
        <w:rPr>
          <w:color w:val="auto"/>
          <w:szCs w:val="24"/>
        </w:rPr>
        <w:t>The Board recommends that the CI</w:t>
      </w:r>
      <w:r w:rsidR="00B400B0" w:rsidRPr="00F118CE">
        <w:rPr>
          <w:rFonts w:hAnsiTheme="minorHAnsi"/>
          <w:color w:val="auto"/>
          <w:szCs w:val="24"/>
        </w:rPr>
        <w:t>’</w:t>
      </w:r>
      <w:r w:rsidR="00B400B0" w:rsidRPr="00F118CE">
        <w:rPr>
          <w:color w:val="auto"/>
          <w:szCs w:val="24"/>
        </w:rPr>
        <w:t>s prior determination be modified as follows, effective as of the date of his prior medical separation.</w:t>
      </w:r>
    </w:p>
    <w:p w:rsidR="00FB593A" w:rsidRPr="00F118CE" w:rsidRDefault="00FB593A" w:rsidP="00E64CEB">
      <w:pPr>
        <w:tabs>
          <w:tab w:val="left" w:pos="288"/>
          <w:tab w:val="left" w:pos="4752"/>
        </w:tabs>
        <w:spacing w:line="240" w:lineRule="exact"/>
        <w:jc w:val="both"/>
        <w:rPr>
          <w:color w:val="000080"/>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0"/>
        <w:gridCol w:w="1710"/>
        <w:gridCol w:w="1084"/>
      </w:tblGrid>
      <w:tr w:rsidR="00FB593A" w:rsidRPr="00F118CE" w:rsidTr="006670AF">
        <w:trPr>
          <w:trHeight w:val="287"/>
        </w:trPr>
        <w:tc>
          <w:tcPr>
            <w:tcW w:w="6390" w:type="dxa"/>
            <w:shd w:val="clear" w:color="auto" w:fill="D9D9D9"/>
          </w:tcPr>
          <w:p w:rsidR="00FB593A" w:rsidRPr="000B5D2B" w:rsidRDefault="00FB593A" w:rsidP="00E64CEB">
            <w:pPr>
              <w:tabs>
                <w:tab w:val="left" w:pos="288"/>
                <w:tab w:val="left" w:pos="4752"/>
              </w:tabs>
              <w:spacing w:line="240" w:lineRule="exact"/>
              <w:jc w:val="both"/>
              <w:rPr>
                <w:rFonts w:cs="Courier New"/>
                <w:color w:val="auto"/>
                <w:szCs w:val="24"/>
              </w:rPr>
            </w:pPr>
            <w:r w:rsidRPr="000B5D2B">
              <w:rPr>
                <w:rFonts w:cs="Courier New"/>
                <w:color w:val="auto"/>
                <w:szCs w:val="24"/>
              </w:rPr>
              <w:t>UNFITTING CONDITION</w:t>
            </w:r>
          </w:p>
        </w:tc>
        <w:tc>
          <w:tcPr>
            <w:tcW w:w="1710" w:type="dxa"/>
            <w:shd w:val="clear" w:color="auto" w:fill="D9D9D9"/>
          </w:tcPr>
          <w:p w:rsidR="00FB593A" w:rsidRPr="000B5D2B" w:rsidRDefault="00FB593A" w:rsidP="00E64CEB">
            <w:pPr>
              <w:tabs>
                <w:tab w:val="left" w:pos="288"/>
                <w:tab w:val="left" w:pos="4752"/>
              </w:tabs>
              <w:spacing w:line="240" w:lineRule="exact"/>
              <w:jc w:val="center"/>
              <w:rPr>
                <w:rFonts w:cs="Courier New"/>
                <w:color w:val="auto"/>
                <w:szCs w:val="24"/>
              </w:rPr>
            </w:pPr>
            <w:r w:rsidRPr="000B5D2B">
              <w:rPr>
                <w:rFonts w:cs="Courier New"/>
                <w:color w:val="auto"/>
                <w:szCs w:val="24"/>
              </w:rPr>
              <w:t>VASRD CODE</w:t>
            </w:r>
          </w:p>
        </w:tc>
        <w:tc>
          <w:tcPr>
            <w:tcW w:w="1081" w:type="dxa"/>
            <w:shd w:val="clear" w:color="auto" w:fill="D9D9D9"/>
          </w:tcPr>
          <w:p w:rsidR="00FB593A" w:rsidRPr="000B5D2B" w:rsidRDefault="00FB593A" w:rsidP="00E64CEB">
            <w:pPr>
              <w:tabs>
                <w:tab w:val="left" w:pos="288"/>
                <w:tab w:val="left" w:pos="4752"/>
              </w:tabs>
              <w:spacing w:line="240" w:lineRule="exact"/>
              <w:jc w:val="center"/>
              <w:rPr>
                <w:rFonts w:cs="Courier New"/>
                <w:color w:val="auto"/>
                <w:szCs w:val="24"/>
              </w:rPr>
            </w:pPr>
            <w:r w:rsidRPr="000B5D2B">
              <w:rPr>
                <w:rFonts w:cs="Courier New"/>
                <w:color w:val="auto"/>
                <w:szCs w:val="24"/>
              </w:rPr>
              <w:t>RATING</w:t>
            </w:r>
          </w:p>
        </w:tc>
      </w:tr>
      <w:tr w:rsidR="00FB593A" w:rsidRPr="00F118CE" w:rsidTr="006670AF">
        <w:tc>
          <w:tcPr>
            <w:tcW w:w="6390" w:type="dxa"/>
          </w:tcPr>
          <w:p w:rsidR="00FB593A" w:rsidRPr="000B5D2B" w:rsidRDefault="006670AF" w:rsidP="00E64CEB">
            <w:pPr>
              <w:tabs>
                <w:tab w:val="left" w:pos="288"/>
                <w:tab w:val="left" w:pos="4752"/>
              </w:tabs>
              <w:spacing w:line="240" w:lineRule="exact"/>
              <w:jc w:val="both"/>
              <w:rPr>
                <w:rFonts w:cs="Courier New"/>
                <w:color w:val="auto"/>
                <w:szCs w:val="24"/>
              </w:rPr>
            </w:pPr>
            <w:r w:rsidRPr="000B5D2B">
              <w:rPr>
                <w:rFonts w:cs="Courier New"/>
                <w:color w:val="auto"/>
                <w:szCs w:val="24"/>
              </w:rPr>
              <w:t>Chronic Lower Back  Pain</w:t>
            </w:r>
          </w:p>
        </w:tc>
        <w:tc>
          <w:tcPr>
            <w:tcW w:w="1710" w:type="dxa"/>
          </w:tcPr>
          <w:p w:rsidR="00FB593A" w:rsidRPr="000B5D2B" w:rsidRDefault="006670AF" w:rsidP="00E64CEB">
            <w:pPr>
              <w:tabs>
                <w:tab w:val="left" w:pos="288"/>
                <w:tab w:val="left" w:pos="4752"/>
              </w:tabs>
              <w:spacing w:line="240" w:lineRule="exact"/>
              <w:jc w:val="center"/>
              <w:rPr>
                <w:rFonts w:cs="Courier New"/>
                <w:color w:val="auto"/>
                <w:szCs w:val="24"/>
              </w:rPr>
            </w:pPr>
            <w:r w:rsidRPr="000B5D2B">
              <w:rPr>
                <w:rFonts w:cs="Courier New"/>
                <w:color w:val="auto"/>
                <w:szCs w:val="24"/>
              </w:rPr>
              <w:t>5293</w:t>
            </w:r>
          </w:p>
        </w:tc>
        <w:tc>
          <w:tcPr>
            <w:tcW w:w="1081" w:type="dxa"/>
          </w:tcPr>
          <w:p w:rsidR="00FB593A" w:rsidRPr="000B5D2B" w:rsidRDefault="006670AF" w:rsidP="00E64CEB">
            <w:pPr>
              <w:tabs>
                <w:tab w:val="left" w:pos="288"/>
                <w:tab w:val="left" w:pos="4752"/>
              </w:tabs>
              <w:spacing w:line="240" w:lineRule="exact"/>
              <w:jc w:val="center"/>
              <w:rPr>
                <w:rFonts w:cs="Courier New"/>
                <w:color w:val="auto"/>
                <w:szCs w:val="24"/>
              </w:rPr>
            </w:pPr>
            <w:r w:rsidRPr="000B5D2B">
              <w:rPr>
                <w:rFonts w:cs="Courier New"/>
                <w:color w:val="auto"/>
                <w:szCs w:val="24"/>
              </w:rPr>
              <w:t>20%</w:t>
            </w:r>
          </w:p>
        </w:tc>
      </w:tr>
      <w:tr w:rsidR="006670AF" w:rsidRPr="00F118CE" w:rsidTr="006670AF">
        <w:tc>
          <w:tcPr>
            <w:tcW w:w="6390" w:type="dxa"/>
          </w:tcPr>
          <w:p w:rsidR="006670AF" w:rsidRPr="000B5D2B" w:rsidRDefault="006670AF" w:rsidP="00E64CEB">
            <w:pPr>
              <w:tabs>
                <w:tab w:val="left" w:pos="288"/>
                <w:tab w:val="left" w:pos="4752"/>
              </w:tabs>
              <w:spacing w:line="240" w:lineRule="exact"/>
              <w:jc w:val="both"/>
              <w:rPr>
                <w:rFonts w:cs="Courier New"/>
                <w:color w:val="auto"/>
                <w:szCs w:val="24"/>
              </w:rPr>
            </w:pPr>
            <w:r w:rsidRPr="000B5D2B">
              <w:rPr>
                <w:rFonts w:cs="Courier New"/>
                <w:color w:val="auto"/>
                <w:szCs w:val="24"/>
              </w:rPr>
              <w:t xml:space="preserve">Weakness of Anterior </w:t>
            </w:r>
            <w:proofErr w:type="spellStart"/>
            <w:r w:rsidRPr="000B5D2B">
              <w:rPr>
                <w:rFonts w:cs="Courier New"/>
                <w:color w:val="auto"/>
                <w:szCs w:val="24"/>
              </w:rPr>
              <w:t>Tibial</w:t>
            </w:r>
            <w:proofErr w:type="spellEnd"/>
            <w:r w:rsidRPr="000B5D2B">
              <w:rPr>
                <w:rFonts w:cs="Courier New"/>
                <w:color w:val="auto"/>
                <w:szCs w:val="24"/>
              </w:rPr>
              <w:t xml:space="preserve"> Nerve</w:t>
            </w:r>
          </w:p>
        </w:tc>
        <w:tc>
          <w:tcPr>
            <w:tcW w:w="1710" w:type="dxa"/>
          </w:tcPr>
          <w:p w:rsidR="006670AF" w:rsidRPr="000B5D2B" w:rsidRDefault="006670AF" w:rsidP="00E64CEB">
            <w:pPr>
              <w:tabs>
                <w:tab w:val="left" w:pos="288"/>
                <w:tab w:val="left" w:pos="4752"/>
              </w:tabs>
              <w:spacing w:line="240" w:lineRule="exact"/>
              <w:jc w:val="center"/>
              <w:rPr>
                <w:rFonts w:cs="Courier New"/>
                <w:color w:val="auto"/>
                <w:szCs w:val="24"/>
              </w:rPr>
            </w:pPr>
            <w:r w:rsidRPr="000B5D2B">
              <w:rPr>
                <w:rFonts w:cs="Courier New"/>
                <w:color w:val="auto"/>
                <w:szCs w:val="24"/>
              </w:rPr>
              <w:t>8523</w:t>
            </w:r>
          </w:p>
        </w:tc>
        <w:tc>
          <w:tcPr>
            <w:tcW w:w="1081" w:type="dxa"/>
          </w:tcPr>
          <w:p w:rsidR="006670AF" w:rsidRPr="000B5D2B" w:rsidRDefault="006670AF" w:rsidP="00E64CEB">
            <w:pPr>
              <w:tabs>
                <w:tab w:val="left" w:pos="288"/>
                <w:tab w:val="left" w:pos="4752"/>
              </w:tabs>
              <w:spacing w:line="240" w:lineRule="exact"/>
              <w:jc w:val="center"/>
              <w:rPr>
                <w:rFonts w:cs="Courier New"/>
                <w:color w:val="auto"/>
                <w:szCs w:val="24"/>
              </w:rPr>
            </w:pPr>
            <w:r w:rsidRPr="000B5D2B">
              <w:rPr>
                <w:rFonts w:cs="Courier New"/>
                <w:color w:val="auto"/>
                <w:szCs w:val="24"/>
              </w:rPr>
              <w:t>0%</w:t>
            </w:r>
            <w:r w:rsidR="00B400B0" w:rsidRPr="000B5D2B">
              <w:rPr>
                <w:rFonts w:cs="Courier New"/>
                <w:color w:val="auto"/>
                <w:szCs w:val="24"/>
              </w:rPr>
              <w:t xml:space="preserve"> </w:t>
            </w:r>
          </w:p>
        </w:tc>
      </w:tr>
      <w:tr w:rsidR="00FB593A" w:rsidRPr="00F118CE" w:rsidTr="006670AF">
        <w:tblPrEx>
          <w:tblLook w:val="0000"/>
        </w:tblPrEx>
        <w:trPr>
          <w:gridBefore w:val="1"/>
          <w:wBefore w:w="6390" w:type="dxa"/>
          <w:trHeight w:val="287"/>
        </w:trPr>
        <w:tc>
          <w:tcPr>
            <w:tcW w:w="1710" w:type="dxa"/>
            <w:tcBorders>
              <w:left w:val="single" w:sz="4" w:space="0" w:color="auto"/>
              <w:bottom w:val="single" w:sz="4" w:space="0" w:color="000000"/>
            </w:tcBorders>
            <w:shd w:val="clear" w:color="auto" w:fill="D9D9D9" w:themeFill="background1" w:themeFillShade="D9"/>
          </w:tcPr>
          <w:p w:rsidR="00FB593A" w:rsidRPr="000B5D2B" w:rsidRDefault="00FB593A" w:rsidP="00E64CEB">
            <w:pPr>
              <w:tabs>
                <w:tab w:val="left" w:pos="288"/>
                <w:tab w:val="left" w:pos="4752"/>
              </w:tabs>
              <w:spacing w:line="240" w:lineRule="exact"/>
              <w:jc w:val="center"/>
              <w:rPr>
                <w:rFonts w:cs="Courier New"/>
                <w:color w:val="auto"/>
                <w:szCs w:val="24"/>
              </w:rPr>
            </w:pPr>
            <w:r w:rsidRPr="000B5D2B">
              <w:rPr>
                <w:rFonts w:cs="Courier New"/>
                <w:color w:val="auto"/>
                <w:szCs w:val="24"/>
              </w:rPr>
              <w:t>COMBINED</w:t>
            </w:r>
          </w:p>
        </w:tc>
        <w:tc>
          <w:tcPr>
            <w:tcW w:w="1081" w:type="dxa"/>
            <w:tcBorders>
              <w:bottom w:val="single" w:sz="4" w:space="0" w:color="000000"/>
            </w:tcBorders>
            <w:shd w:val="clear" w:color="auto" w:fill="D9D9D9" w:themeFill="background1" w:themeFillShade="D9"/>
          </w:tcPr>
          <w:p w:rsidR="00FB593A" w:rsidRPr="000B5D2B" w:rsidRDefault="002B40A4" w:rsidP="00E64CEB">
            <w:pPr>
              <w:tabs>
                <w:tab w:val="left" w:pos="288"/>
                <w:tab w:val="left" w:pos="4752"/>
              </w:tabs>
              <w:spacing w:line="240" w:lineRule="exact"/>
              <w:jc w:val="center"/>
              <w:rPr>
                <w:rFonts w:cs="Courier New"/>
                <w:color w:val="auto"/>
                <w:szCs w:val="24"/>
              </w:rPr>
            </w:pPr>
            <w:r w:rsidRPr="000B5D2B">
              <w:rPr>
                <w:rFonts w:cs="Courier New"/>
                <w:color w:val="auto"/>
                <w:szCs w:val="24"/>
              </w:rPr>
              <w:t>20</w:t>
            </w:r>
            <w:r w:rsidR="00FB593A" w:rsidRPr="000B5D2B">
              <w:rPr>
                <w:rFonts w:cs="Courier New"/>
                <w:color w:val="auto"/>
                <w:szCs w:val="24"/>
              </w:rPr>
              <w:t>%</w:t>
            </w:r>
            <w:r w:rsidR="00B400B0" w:rsidRPr="000B5D2B">
              <w:rPr>
                <w:rFonts w:cs="Courier New"/>
                <w:color w:val="auto"/>
                <w:szCs w:val="24"/>
              </w:rPr>
              <w:t xml:space="preserve"> </w:t>
            </w:r>
          </w:p>
        </w:tc>
      </w:tr>
    </w:tbl>
    <w:p w:rsidR="00B522CD" w:rsidRPr="000B5D2B" w:rsidRDefault="008B5D31" w:rsidP="00E64CEB">
      <w:pPr>
        <w:tabs>
          <w:tab w:val="left" w:pos="288"/>
          <w:tab w:val="left" w:pos="4752"/>
        </w:tabs>
        <w:spacing w:line="240" w:lineRule="exact"/>
        <w:jc w:val="both"/>
        <w:rPr>
          <w:color w:val="auto"/>
          <w:szCs w:val="24"/>
          <w:u w:val="single"/>
        </w:rPr>
      </w:pPr>
      <w:r w:rsidRPr="00F118CE">
        <w:rPr>
          <w:color w:val="auto"/>
          <w:szCs w:val="24"/>
          <w:u w:val="single"/>
        </w:rPr>
        <w:t>_______________________________________________________________</w:t>
      </w:r>
      <w:r w:rsidRPr="00F118CE">
        <w:rPr>
          <w:color w:val="auto"/>
          <w:szCs w:val="24"/>
        </w:rPr>
        <w:t>_</w:t>
      </w:r>
    </w:p>
    <w:p w:rsidR="00D91DA6" w:rsidRPr="00F118CE" w:rsidRDefault="00D91DA6" w:rsidP="00E64CEB">
      <w:pPr>
        <w:tabs>
          <w:tab w:val="left" w:pos="288"/>
          <w:tab w:val="left" w:pos="4752"/>
        </w:tabs>
        <w:spacing w:line="240" w:lineRule="exact"/>
        <w:jc w:val="both"/>
        <w:rPr>
          <w:color w:val="auto"/>
          <w:szCs w:val="24"/>
        </w:rPr>
      </w:pPr>
    </w:p>
    <w:p w:rsidR="00D91DA6" w:rsidRPr="00F118CE" w:rsidRDefault="00114F20" w:rsidP="00E64CEB">
      <w:pPr>
        <w:tabs>
          <w:tab w:val="left" w:pos="288"/>
          <w:tab w:val="left" w:pos="4752"/>
        </w:tabs>
        <w:spacing w:line="240" w:lineRule="exact"/>
        <w:jc w:val="both"/>
        <w:rPr>
          <w:color w:val="auto"/>
          <w:szCs w:val="24"/>
        </w:rPr>
      </w:pPr>
      <w:r w:rsidRPr="00F118CE">
        <w:rPr>
          <w:color w:val="auto"/>
          <w:szCs w:val="24"/>
        </w:rPr>
        <w:t>The following documentary evidence was considered:</w:t>
      </w:r>
    </w:p>
    <w:p w:rsidR="00114F20" w:rsidRPr="00F118CE" w:rsidRDefault="00114F20" w:rsidP="00E64CEB">
      <w:pPr>
        <w:tabs>
          <w:tab w:val="left" w:pos="288"/>
          <w:tab w:val="left" w:pos="4752"/>
        </w:tabs>
        <w:spacing w:line="240" w:lineRule="exact"/>
        <w:jc w:val="both"/>
        <w:rPr>
          <w:color w:val="auto"/>
          <w:szCs w:val="24"/>
        </w:rPr>
      </w:pPr>
    </w:p>
    <w:p w:rsidR="00114F20" w:rsidRPr="00F118CE" w:rsidRDefault="0051146C" w:rsidP="00E64CEB">
      <w:pPr>
        <w:tabs>
          <w:tab w:val="left" w:pos="288"/>
          <w:tab w:val="left" w:pos="4752"/>
        </w:tabs>
        <w:spacing w:line="240" w:lineRule="exact"/>
        <w:jc w:val="both"/>
        <w:rPr>
          <w:color w:val="auto"/>
          <w:szCs w:val="24"/>
        </w:rPr>
      </w:pPr>
      <w:r w:rsidRPr="00F118CE">
        <w:rPr>
          <w:color w:val="auto"/>
          <w:szCs w:val="24"/>
        </w:rPr>
        <w:t xml:space="preserve">Exhibit A.  DD Form </w:t>
      </w:r>
      <w:proofErr w:type="gramStart"/>
      <w:r w:rsidRPr="00F118CE">
        <w:rPr>
          <w:color w:val="auto"/>
          <w:szCs w:val="24"/>
        </w:rPr>
        <w:t>294,</w:t>
      </w:r>
      <w:proofErr w:type="gramEnd"/>
      <w:r w:rsidRPr="00F118CE">
        <w:rPr>
          <w:color w:val="auto"/>
          <w:szCs w:val="24"/>
        </w:rPr>
        <w:t xml:space="preserve"> dated</w:t>
      </w:r>
      <w:r w:rsidR="005E07BB" w:rsidRPr="00F118CE">
        <w:rPr>
          <w:color w:val="auto"/>
          <w:szCs w:val="24"/>
        </w:rPr>
        <w:t xml:space="preserve"> </w:t>
      </w:r>
      <w:r w:rsidR="005E07BB" w:rsidRPr="00F118CE">
        <w:rPr>
          <w:caps/>
          <w:color w:val="auto"/>
          <w:szCs w:val="24"/>
        </w:rPr>
        <w:t>2009020</w:t>
      </w:r>
      <w:r w:rsidR="00CC2C00" w:rsidRPr="00F118CE">
        <w:rPr>
          <w:caps/>
          <w:color w:val="auto"/>
          <w:szCs w:val="24"/>
        </w:rPr>
        <w:t>3</w:t>
      </w:r>
      <w:r w:rsidR="00114F20" w:rsidRPr="00F118CE">
        <w:rPr>
          <w:color w:val="auto"/>
          <w:szCs w:val="24"/>
        </w:rPr>
        <w:t>, w/</w:t>
      </w:r>
      <w:proofErr w:type="spellStart"/>
      <w:r w:rsidR="00114F20" w:rsidRPr="00F118CE">
        <w:rPr>
          <w:color w:val="auto"/>
          <w:szCs w:val="24"/>
        </w:rPr>
        <w:t>atchs</w:t>
      </w:r>
      <w:proofErr w:type="spellEnd"/>
      <w:r w:rsidR="00114F20" w:rsidRPr="00F118CE">
        <w:rPr>
          <w:color w:val="auto"/>
          <w:szCs w:val="24"/>
        </w:rPr>
        <w:t>.</w:t>
      </w:r>
    </w:p>
    <w:p w:rsidR="00114F20" w:rsidRPr="00F118CE" w:rsidRDefault="00114F20" w:rsidP="00E64CEB">
      <w:pPr>
        <w:tabs>
          <w:tab w:val="left" w:pos="288"/>
          <w:tab w:val="left" w:pos="4752"/>
        </w:tabs>
        <w:spacing w:line="240" w:lineRule="exact"/>
        <w:jc w:val="both"/>
        <w:rPr>
          <w:color w:val="auto"/>
          <w:szCs w:val="24"/>
        </w:rPr>
      </w:pPr>
      <w:r w:rsidRPr="00F118CE">
        <w:rPr>
          <w:color w:val="auto"/>
          <w:szCs w:val="24"/>
        </w:rPr>
        <w:t xml:space="preserve">Exhibit B.  </w:t>
      </w:r>
      <w:proofErr w:type="gramStart"/>
      <w:r w:rsidRPr="00F118CE">
        <w:rPr>
          <w:color w:val="auto"/>
          <w:szCs w:val="24"/>
        </w:rPr>
        <w:t>Service Treatment Record.</w:t>
      </w:r>
      <w:proofErr w:type="gramEnd"/>
    </w:p>
    <w:p w:rsidR="00114F20" w:rsidRPr="00F118CE" w:rsidRDefault="00114F20" w:rsidP="00E64CEB">
      <w:pPr>
        <w:tabs>
          <w:tab w:val="left" w:pos="288"/>
          <w:tab w:val="left" w:pos="4752"/>
        </w:tabs>
        <w:spacing w:line="240" w:lineRule="exact"/>
        <w:jc w:val="both"/>
        <w:rPr>
          <w:color w:val="auto"/>
          <w:szCs w:val="24"/>
        </w:rPr>
      </w:pPr>
      <w:r w:rsidRPr="00F118CE">
        <w:rPr>
          <w:color w:val="auto"/>
          <w:szCs w:val="24"/>
        </w:rPr>
        <w:t xml:space="preserve">Exhibit C.  </w:t>
      </w:r>
      <w:proofErr w:type="gramStart"/>
      <w:r w:rsidRPr="00F118CE">
        <w:rPr>
          <w:color w:val="auto"/>
          <w:szCs w:val="24"/>
        </w:rPr>
        <w:t>Department of Veterans</w:t>
      </w:r>
      <w:r w:rsidR="00385D6F" w:rsidRPr="00F118CE">
        <w:rPr>
          <w:color w:val="auto"/>
          <w:szCs w:val="24"/>
        </w:rPr>
        <w:t>'</w:t>
      </w:r>
      <w:r w:rsidRPr="00F118CE">
        <w:rPr>
          <w:color w:val="auto"/>
          <w:szCs w:val="24"/>
        </w:rPr>
        <w:t xml:space="preserve"> Affairs Treatment Record.</w:t>
      </w:r>
      <w:proofErr w:type="gramEnd"/>
    </w:p>
    <w:p w:rsidR="00D91DA6" w:rsidRPr="00F118CE" w:rsidRDefault="00D91DA6" w:rsidP="00E64CEB">
      <w:pPr>
        <w:tabs>
          <w:tab w:val="left" w:pos="288"/>
          <w:tab w:val="left" w:pos="4752"/>
        </w:tabs>
        <w:spacing w:line="240" w:lineRule="exact"/>
        <w:jc w:val="both"/>
        <w:rPr>
          <w:color w:val="auto"/>
          <w:szCs w:val="24"/>
        </w:rPr>
      </w:pPr>
    </w:p>
    <w:p w:rsidR="00114F20" w:rsidRPr="00F118CE" w:rsidRDefault="00114F20" w:rsidP="00E64CEB">
      <w:pPr>
        <w:tabs>
          <w:tab w:val="left" w:pos="288"/>
          <w:tab w:val="left" w:pos="4752"/>
        </w:tabs>
        <w:spacing w:line="240" w:lineRule="exact"/>
        <w:jc w:val="both"/>
        <w:rPr>
          <w:color w:val="auto"/>
          <w:szCs w:val="24"/>
        </w:rPr>
      </w:pPr>
    </w:p>
    <w:p w:rsidR="00A81C6F" w:rsidRDefault="00A81C6F">
      <w:pPr>
        <w:rPr>
          <w:color w:val="auto"/>
          <w:szCs w:val="24"/>
        </w:rPr>
      </w:pPr>
      <w:r>
        <w:rPr>
          <w:color w:val="auto"/>
          <w:szCs w:val="24"/>
        </w:rPr>
        <w:br w:type="page"/>
      </w:r>
    </w:p>
    <w:p w:rsidR="00A81C6F" w:rsidRDefault="00A81C6F" w:rsidP="00A81C6F">
      <w:pPr>
        <w:pStyle w:val="Default"/>
        <w:framePr w:w="17144" w:wrap="auto" w:vAnchor="page" w:hAnchor="page" w:x="1" w:y="1"/>
      </w:pPr>
    </w:p>
    <w:p w:rsidR="00A70BF1" w:rsidRDefault="00A70BF1" w:rsidP="00A70BF1">
      <w:pPr>
        <w:tabs>
          <w:tab w:val="left" w:pos="6624"/>
        </w:tabs>
        <w:spacing w:line="240" w:lineRule="exact"/>
        <w:ind w:right="-360"/>
        <w:rPr>
          <w:color w:val="000080"/>
        </w:rPr>
      </w:pPr>
    </w:p>
    <w:p w:rsidR="00A70BF1" w:rsidRDefault="00A70BF1" w:rsidP="00A70BF1">
      <w:pPr>
        <w:tabs>
          <w:tab w:val="left" w:pos="6624"/>
        </w:tabs>
        <w:spacing w:line="240" w:lineRule="exact"/>
        <w:ind w:right="-360"/>
        <w:rPr>
          <w:color w:val="000080"/>
        </w:rPr>
      </w:pPr>
    </w:p>
    <w:p w:rsidR="00A70BF1" w:rsidRDefault="00A70BF1" w:rsidP="00A70BF1">
      <w:pPr>
        <w:tabs>
          <w:tab w:val="left" w:pos="720"/>
        </w:tabs>
        <w:spacing w:line="240" w:lineRule="exact"/>
        <w:ind w:right="-360"/>
        <w:outlineLvl w:val="0"/>
        <w:rPr>
          <w:rFonts w:ascii="Times New Roman" w:hAnsi="Times New Roman"/>
          <w:color w:val="000080"/>
        </w:rPr>
      </w:pPr>
      <w:r>
        <w:rPr>
          <w:rFonts w:ascii="Times New Roman" w:hAnsi="Times New Roman"/>
          <w:color w:val="000080"/>
        </w:rPr>
        <w:t>PDBR PD-2009-00100</w:t>
      </w:r>
    </w:p>
    <w:p w:rsidR="00A70BF1" w:rsidRDefault="00A70BF1" w:rsidP="00A70BF1">
      <w:pPr>
        <w:tabs>
          <w:tab w:val="left" w:pos="720"/>
        </w:tabs>
        <w:spacing w:line="240" w:lineRule="exact"/>
        <w:ind w:right="-360"/>
        <w:rPr>
          <w:rFonts w:ascii="Times New Roman" w:hAnsi="Times New Roman"/>
          <w:color w:val="000080"/>
        </w:rPr>
      </w:pPr>
    </w:p>
    <w:p w:rsidR="00A70BF1" w:rsidRDefault="00A70BF1" w:rsidP="00A70BF1">
      <w:pPr>
        <w:tabs>
          <w:tab w:val="left" w:pos="720"/>
        </w:tabs>
        <w:spacing w:line="240" w:lineRule="exact"/>
        <w:ind w:right="-360"/>
        <w:rPr>
          <w:rFonts w:ascii="Times New Roman" w:hAnsi="Times New Roman"/>
          <w:color w:val="000080"/>
        </w:rPr>
      </w:pPr>
    </w:p>
    <w:p w:rsidR="00A70BF1" w:rsidRDefault="00A70BF1" w:rsidP="00A70BF1">
      <w:pPr>
        <w:tabs>
          <w:tab w:val="left" w:pos="720"/>
        </w:tabs>
        <w:spacing w:line="240" w:lineRule="exact"/>
        <w:ind w:right="-360"/>
        <w:rPr>
          <w:rFonts w:ascii="Times New Roman" w:hAnsi="Times New Roman"/>
          <w:color w:val="000080"/>
        </w:rPr>
      </w:pPr>
    </w:p>
    <w:p w:rsidR="00A70BF1" w:rsidRDefault="00A70BF1" w:rsidP="00A70BF1">
      <w:pPr>
        <w:tabs>
          <w:tab w:val="left" w:pos="720"/>
        </w:tabs>
        <w:spacing w:line="240" w:lineRule="exact"/>
        <w:ind w:right="-360"/>
        <w:rPr>
          <w:rFonts w:ascii="Times New Roman" w:hAnsi="Times New Roman"/>
          <w:color w:val="000080"/>
        </w:rPr>
      </w:pPr>
    </w:p>
    <w:p w:rsidR="00A70BF1" w:rsidRDefault="00A70BF1" w:rsidP="00A70BF1">
      <w:pPr>
        <w:tabs>
          <w:tab w:val="left" w:pos="720"/>
        </w:tabs>
        <w:spacing w:line="240" w:lineRule="exact"/>
        <w:ind w:right="-360"/>
        <w:outlineLvl w:val="0"/>
        <w:rPr>
          <w:rFonts w:ascii="Times New Roman" w:hAnsi="Times New Roman"/>
          <w:color w:val="000080"/>
        </w:rPr>
      </w:pPr>
      <w:r>
        <w:rPr>
          <w:rFonts w:ascii="Times New Roman" w:hAnsi="Times New Roman"/>
          <w:color w:val="000080"/>
        </w:rPr>
        <w:t>MEMORANDUM FOR THE CHIEF OF STAFF</w:t>
      </w:r>
    </w:p>
    <w:p w:rsidR="00A70BF1" w:rsidRDefault="00A70BF1" w:rsidP="00A70BF1">
      <w:pPr>
        <w:tabs>
          <w:tab w:val="left" w:pos="720"/>
        </w:tabs>
        <w:spacing w:line="240" w:lineRule="exact"/>
        <w:ind w:right="-360"/>
        <w:rPr>
          <w:rFonts w:ascii="Times New Roman" w:hAnsi="Times New Roman"/>
          <w:color w:val="000080"/>
        </w:rPr>
      </w:pPr>
    </w:p>
    <w:p w:rsidR="00A70BF1" w:rsidRDefault="00A70BF1" w:rsidP="00A70BF1">
      <w:pPr>
        <w:tabs>
          <w:tab w:val="left" w:pos="720"/>
        </w:tabs>
        <w:spacing w:line="240" w:lineRule="exact"/>
        <w:ind w:right="-360"/>
        <w:rPr>
          <w:rFonts w:ascii="Times New Roman" w:hAnsi="Times New Roman"/>
          <w:color w:val="000080"/>
        </w:rPr>
      </w:pPr>
      <w:r>
        <w:rPr>
          <w:rFonts w:ascii="Times New Roman" w:hAnsi="Times New Roman"/>
          <w:color w:val="000080"/>
        </w:rPr>
        <w:tab/>
        <w:t>Having received and considered the recommendation of the Physical Disability Board of Review and under the authority of Section 1554, Title 10, United States Code (122 Stat. 466) it is directed that:</w:t>
      </w:r>
    </w:p>
    <w:p w:rsidR="00A70BF1" w:rsidRDefault="00A70BF1" w:rsidP="00A70BF1">
      <w:pPr>
        <w:tabs>
          <w:tab w:val="left" w:pos="720"/>
        </w:tabs>
        <w:spacing w:line="240" w:lineRule="exact"/>
        <w:ind w:right="-360"/>
        <w:rPr>
          <w:rFonts w:ascii="Times New Roman" w:hAnsi="Times New Roman"/>
          <w:color w:val="000080"/>
        </w:rPr>
      </w:pPr>
    </w:p>
    <w:p w:rsidR="00A70BF1" w:rsidRDefault="00A70BF1" w:rsidP="00A70BF1">
      <w:pPr>
        <w:tabs>
          <w:tab w:val="left" w:pos="720"/>
        </w:tabs>
        <w:spacing w:line="240" w:lineRule="exact"/>
        <w:ind w:right="-360"/>
        <w:rPr>
          <w:rFonts w:ascii="Times New Roman" w:hAnsi="Times New Roman"/>
          <w:color w:val="000080"/>
        </w:rPr>
      </w:pPr>
      <w:r>
        <w:rPr>
          <w:rFonts w:ascii="Times New Roman" w:hAnsi="Times New Roman"/>
          <w:color w:val="000080"/>
        </w:rPr>
        <w:tab/>
        <w:t xml:space="preserve">The pertinent military records of the Department of the Air Force relating XXXX be corrected to show that the AF Form 356, </w:t>
      </w:r>
      <w:r>
        <w:rPr>
          <w:rFonts w:ascii="Times New Roman" w:hAnsi="Times New Roman"/>
          <w:i/>
          <w:color w:val="000080"/>
        </w:rPr>
        <w:t xml:space="preserve">Findings and Recommended Disposition of USAF Physical Evaluation Board, </w:t>
      </w:r>
      <w:r>
        <w:rPr>
          <w:rFonts w:ascii="Times New Roman" w:hAnsi="Times New Roman"/>
          <w:color w:val="000080"/>
        </w:rPr>
        <w:t xml:space="preserve">dated 23 </w:t>
      </w:r>
      <w:proofErr w:type="spellStart"/>
      <w:r>
        <w:rPr>
          <w:rFonts w:ascii="Times New Roman" w:hAnsi="Times New Roman"/>
          <w:color w:val="000080"/>
        </w:rPr>
        <w:t>Janunary</w:t>
      </w:r>
      <w:proofErr w:type="spellEnd"/>
      <w:r>
        <w:rPr>
          <w:rFonts w:ascii="Times New Roman" w:hAnsi="Times New Roman"/>
          <w:color w:val="000080"/>
        </w:rPr>
        <w:t xml:space="preserve"> 2003, be corrected in Section 9(A) to reflect “1) Chronic Lower Back Pain, VASRD code 5293, rated at 20% and 2) Weakness of Anterior </w:t>
      </w:r>
      <w:proofErr w:type="spellStart"/>
      <w:r>
        <w:rPr>
          <w:rFonts w:ascii="Times New Roman" w:hAnsi="Times New Roman"/>
          <w:color w:val="000080"/>
        </w:rPr>
        <w:t>Tibial</w:t>
      </w:r>
      <w:proofErr w:type="spellEnd"/>
      <w:r>
        <w:rPr>
          <w:rFonts w:ascii="Times New Roman" w:hAnsi="Times New Roman"/>
          <w:color w:val="000080"/>
        </w:rPr>
        <w:t xml:space="preserve"> Nerve, VASRD code 8523, rated at 0%” rather than “Chronic Low Back Pain with Weakness of Anterior </w:t>
      </w:r>
      <w:proofErr w:type="spellStart"/>
      <w:r>
        <w:rPr>
          <w:rFonts w:ascii="Times New Roman" w:hAnsi="Times New Roman"/>
          <w:color w:val="000080"/>
        </w:rPr>
        <w:t>Tibial</w:t>
      </w:r>
      <w:proofErr w:type="spellEnd"/>
      <w:r>
        <w:rPr>
          <w:rFonts w:ascii="Times New Roman" w:hAnsi="Times New Roman"/>
          <w:color w:val="000080"/>
        </w:rPr>
        <w:t xml:space="preserve"> Nerve, VASRD code 5293-8523, rated at 10%.”  </w:t>
      </w:r>
    </w:p>
    <w:p w:rsidR="00A70BF1" w:rsidRDefault="00A70BF1" w:rsidP="00A70BF1">
      <w:pPr>
        <w:tabs>
          <w:tab w:val="left" w:pos="720"/>
        </w:tabs>
        <w:spacing w:line="240" w:lineRule="exact"/>
        <w:ind w:right="-360"/>
        <w:rPr>
          <w:rFonts w:ascii="Times New Roman" w:hAnsi="Times New Roman"/>
          <w:color w:val="000080"/>
        </w:rPr>
      </w:pPr>
    </w:p>
    <w:p w:rsidR="00A70BF1" w:rsidRDefault="00A70BF1" w:rsidP="00A70BF1">
      <w:pPr>
        <w:tabs>
          <w:tab w:val="left" w:pos="720"/>
        </w:tabs>
        <w:spacing w:line="240" w:lineRule="exact"/>
        <w:ind w:right="-360"/>
        <w:rPr>
          <w:rFonts w:ascii="Times New Roman" w:hAnsi="Times New Roman"/>
          <w:color w:val="000080"/>
        </w:rPr>
      </w:pPr>
    </w:p>
    <w:p w:rsidR="00A70BF1" w:rsidRDefault="00A70BF1" w:rsidP="00A70BF1">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p>
    <w:p w:rsidR="00A70BF1" w:rsidRDefault="00A70BF1" w:rsidP="00A70BF1">
      <w:pPr>
        <w:pStyle w:val="BodyText"/>
      </w:pPr>
    </w:p>
    <w:p w:rsidR="00A70BF1" w:rsidRDefault="00A70BF1" w:rsidP="00A70BF1">
      <w:pPr>
        <w:pStyle w:val="BodyText"/>
      </w:pPr>
    </w:p>
    <w:p w:rsidR="00A70BF1" w:rsidRDefault="00A70BF1" w:rsidP="00A70BF1">
      <w:pPr>
        <w:tabs>
          <w:tab w:val="left" w:pos="720"/>
        </w:tabs>
        <w:spacing w:line="240" w:lineRule="exact"/>
        <w:ind w:right="-360"/>
        <w:rPr>
          <w:rFonts w:ascii="Times New Roman" w:hAnsi="Times New Roman"/>
          <w:color w:val="000080"/>
        </w:rPr>
      </w:pPr>
    </w:p>
    <w:p w:rsidR="00A70BF1" w:rsidRDefault="00A70BF1" w:rsidP="00A70BF1">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JOE G. LINEBERGER</w:t>
      </w:r>
    </w:p>
    <w:p w:rsidR="00A70BF1" w:rsidRDefault="00A70BF1" w:rsidP="00A70BF1">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A70BF1" w:rsidRDefault="00A70BF1" w:rsidP="00A70BF1">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114F20" w:rsidRPr="00F118CE" w:rsidRDefault="00114F20" w:rsidP="00E64CEB">
      <w:pPr>
        <w:tabs>
          <w:tab w:val="left" w:pos="288"/>
          <w:tab w:val="left" w:pos="4752"/>
        </w:tabs>
        <w:spacing w:line="240" w:lineRule="exact"/>
        <w:jc w:val="both"/>
        <w:rPr>
          <w:color w:val="auto"/>
          <w:szCs w:val="24"/>
        </w:rPr>
      </w:pPr>
    </w:p>
    <w:sectPr w:rsidR="00114F20" w:rsidRPr="00F118CE"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C67" w:rsidRDefault="00A66C67">
      <w:r>
        <w:separator/>
      </w:r>
    </w:p>
  </w:endnote>
  <w:endnote w:type="continuationSeparator" w:id="0">
    <w:p w:rsidR="00A66C67" w:rsidRDefault="00A66C67">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6E" w:rsidRDefault="005679DE">
    <w:pPr>
      <w:pStyle w:val="Footer"/>
      <w:framePr w:wrap="around" w:vAnchor="text" w:hAnchor="margin" w:xAlign="center" w:y="1"/>
      <w:rPr>
        <w:rStyle w:val="PageNumber"/>
      </w:rPr>
    </w:pPr>
    <w:r>
      <w:rPr>
        <w:rStyle w:val="PageNumber"/>
      </w:rPr>
      <w:fldChar w:fldCharType="begin"/>
    </w:r>
    <w:r w:rsidR="00C55D6E">
      <w:rPr>
        <w:rStyle w:val="PageNumber"/>
      </w:rPr>
      <w:instrText xml:space="preserve">PAGE  </w:instrText>
    </w:r>
    <w:r>
      <w:rPr>
        <w:rStyle w:val="PageNumber"/>
      </w:rPr>
      <w:fldChar w:fldCharType="separate"/>
    </w:r>
    <w:r w:rsidR="00C55D6E">
      <w:rPr>
        <w:rStyle w:val="PageNumber"/>
        <w:noProof/>
      </w:rPr>
      <w:t>2</w:t>
    </w:r>
    <w:r>
      <w:rPr>
        <w:rStyle w:val="PageNumber"/>
      </w:rPr>
      <w:fldChar w:fldCharType="end"/>
    </w:r>
  </w:p>
  <w:p w:rsidR="00C55D6E" w:rsidRDefault="00C55D6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D6E" w:rsidRPr="00DA0A1F" w:rsidRDefault="005679DE" w:rsidP="00DA0A1F">
    <w:pPr>
      <w:pStyle w:val="Footer"/>
      <w:framePr w:wrap="around" w:vAnchor="text" w:hAnchor="page" w:x="6091" w:y="3"/>
      <w:rPr>
        <w:rStyle w:val="PageNumber"/>
        <w:color w:val="auto"/>
      </w:rPr>
    </w:pPr>
    <w:r w:rsidRPr="00DA0A1F">
      <w:rPr>
        <w:rStyle w:val="PageNumber"/>
        <w:color w:val="auto"/>
      </w:rPr>
      <w:fldChar w:fldCharType="begin"/>
    </w:r>
    <w:r w:rsidR="00C55D6E" w:rsidRPr="00DA0A1F">
      <w:rPr>
        <w:rStyle w:val="PageNumber"/>
        <w:color w:val="auto"/>
      </w:rPr>
      <w:instrText xml:space="preserve">PAGE  </w:instrText>
    </w:r>
    <w:r w:rsidRPr="00DA0A1F">
      <w:rPr>
        <w:rStyle w:val="PageNumber"/>
        <w:color w:val="auto"/>
      </w:rPr>
      <w:fldChar w:fldCharType="separate"/>
    </w:r>
    <w:r w:rsidR="00A70BF1">
      <w:rPr>
        <w:rStyle w:val="PageNumber"/>
        <w:noProof/>
        <w:color w:val="auto"/>
      </w:rPr>
      <w:t>6</w:t>
    </w:r>
    <w:r w:rsidRPr="00DA0A1F">
      <w:rPr>
        <w:rStyle w:val="PageNumber"/>
        <w:color w:val="auto"/>
      </w:rPr>
      <w:fldChar w:fldCharType="end"/>
    </w:r>
  </w:p>
  <w:p w:rsidR="00C55D6E" w:rsidRPr="00DA0A1F" w:rsidRDefault="00C55D6E" w:rsidP="002B0749">
    <w:pPr>
      <w:pStyle w:val="Footer"/>
      <w:jc w:val="right"/>
      <w:rPr>
        <w:color w:val="auto"/>
      </w:rPr>
    </w:pPr>
    <w:r>
      <w:tab/>
    </w:r>
    <w:r>
      <w:tab/>
    </w:r>
    <w:r w:rsidRPr="00DA0A1F">
      <w:rPr>
        <w:caps/>
        <w:color w:val="auto"/>
      </w:rPr>
      <w:t>PD0900100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C67" w:rsidRDefault="00A66C67">
      <w:r>
        <w:separator/>
      </w:r>
    </w:p>
  </w:footnote>
  <w:footnote w:type="continuationSeparator" w:id="0">
    <w:p w:rsidR="00A66C67" w:rsidRDefault="00A66C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6D0"/>
    <w:rsid w:val="000059FA"/>
    <w:rsid w:val="0000622F"/>
    <w:rsid w:val="000101C7"/>
    <w:rsid w:val="00010ABA"/>
    <w:rsid w:val="000145C2"/>
    <w:rsid w:val="00020CF5"/>
    <w:rsid w:val="00023D43"/>
    <w:rsid w:val="00026979"/>
    <w:rsid w:val="000312C1"/>
    <w:rsid w:val="0003324F"/>
    <w:rsid w:val="00035C3A"/>
    <w:rsid w:val="000379D0"/>
    <w:rsid w:val="000416F8"/>
    <w:rsid w:val="000441E6"/>
    <w:rsid w:val="00051622"/>
    <w:rsid w:val="00051C8B"/>
    <w:rsid w:val="00051D3F"/>
    <w:rsid w:val="00052C4E"/>
    <w:rsid w:val="00063CA1"/>
    <w:rsid w:val="00072433"/>
    <w:rsid w:val="0007410E"/>
    <w:rsid w:val="0007500A"/>
    <w:rsid w:val="000812CB"/>
    <w:rsid w:val="0008376F"/>
    <w:rsid w:val="00087DCE"/>
    <w:rsid w:val="000915E1"/>
    <w:rsid w:val="000954A3"/>
    <w:rsid w:val="00095FCF"/>
    <w:rsid w:val="00096348"/>
    <w:rsid w:val="0009762A"/>
    <w:rsid w:val="000A0689"/>
    <w:rsid w:val="000A2BCE"/>
    <w:rsid w:val="000A3E5F"/>
    <w:rsid w:val="000A4BBA"/>
    <w:rsid w:val="000B2297"/>
    <w:rsid w:val="000B5D2B"/>
    <w:rsid w:val="000C527B"/>
    <w:rsid w:val="000C7662"/>
    <w:rsid w:val="000C7DE4"/>
    <w:rsid w:val="000D15E7"/>
    <w:rsid w:val="000D43F9"/>
    <w:rsid w:val="000D4717"/>
    <w:rsid w:val="000D7D55"/>
    <w:rsid w:val="000F2D8F"/>
    <w:rsid w:val="000F427B"/>
    <w:rsid w:val="000F56F6"/>
    <w:rsid w:val="0010417F"/>
    <w:rsid w:val="0010530E"/>
    <w:rsid w:val="0010580D"/>
    <w:rsid w:val="00106EBD"/>
    <w:rsid w:val="00114C34"/>
    <w:rsid w:val="00114F20"/>
    <w:rsid w:val="00116804"/>
    <w:rsid w:val="001231DC"/>
    <w:rsid w:val="00124778"/>
    <w:rsid w:val="00124B63"/>
    <w:rsid w:val="00124EB5"/>
    <w:rsid w:val="00127EFA"/>
    <w:rsid w:val="001315DD"/>
    <w:rsid w:val="00135385"/>
    <w:rsid w:val="001364D1"/>
    <w:rsid w:val="00143FF9"/>
    <w:rsid w:val="00144BF9"/>
    <w:rsid w:val="001453CE"/>
    <w:rsid w:val="00145B82"/>
    <w:rsid w:val="00147D4A"/>
    <w:rsid w:val="00151EFC"/>
    <w:rsid w:val="001541C5"/>
    <w:rsid w:val="00161F5B"/>
    <w:rsid w:val="00177659"/>
    <w:rsid w:val="00185ECB"/>
    <w:rsid w:val="0018729A"/>
    <w:rsid w:val="0019273F"/>
    <w:rsid w:val="001A28A6"/>
    <w:rsid w:val="001A7538"/>
    <w:rsid w:val="001B287D"/>
    <w:rsid w:val="001B5B59"/>
    <w:rsid w:val="001C181A"/>
    <w:rsid w:val="001C2053"/>
    <w:rsid w:val="001C28D1"/>
    <w:rsid w:val="001C3B94"/>
    <w:rsid w:val="001C5B1C"/>
    <w:rsid w:val="001C7418"/>
    <w:rsid w:val="001D0051"/>
    <w:rsid w:val="001D2224"/>
    <w:rsid w:val="001D33FF"/>
    <w:rsid w:val="001D5842"/>
    <w:rsid w:val="001D6A8C"/>
    <w:rsid w:val="001D7A56"/>
    <w:rsid w:val="001E1778"/>
    <w:rsid w:val="001E3E8C"/>
    <w:rsid w:val="001E5489"/>
    <w:rsid w:val="001E5815"/>
    <w:rsid w:val="001F48A5"/>
    <w:rsid w:val="0020237E"/>
    <w:rsid w:val="002039BC"/>
    <w:rsid w:val="002172DA"/>
    <w:rsid w:val="00217C09"/>
    <w:rsid w:val="00225196"/>
    <w:rsid w:val="00225CB4"/>
    <w:rsid w:val="002276EA"/>
    <w:rsid w:val="002338CA"/>
    <w:rsid w:val="00236DC5"/>
    <w:rsid w:val="00240A63"/>
    <w:rsid w:val="0024227D"/>
    <w:rsid w:val="0024386F"/>
    <w:rsid w:val="00246860"/>
    <w:rsid w:val="00247BD0"/>
    <w:rsid w:val="0025183C"/>
    <w:rsid w:val="0025251E"/>
    <w:rsid w:val="0025325C"/>
    <w:rsid w:val="00253D61"/>
    <w:rsid w:val="00260157"/>
    <w:rsid w:val="0026318D"/>
    <w:rsid w:val="00264675"/>
    <w:rsid w:val="0026620C"/>
    <w:rsid w:val="0027159C"/>
    <w:rsid w:val="00274549"/>
    <w:rsid w:val="002746F4"/>
    <w:rsid w:val="00274C4D"/>
    <w:rsid w:val="00274E46"/>
    <w:rsid w:val="00276C86"/>
    <w:rsid w:val="00283BC0"/>
    <w:rsid w:val="002840DA"/>
    <w:rsid w:val="002905AD"/>
    <w:rsid w:val="0029223F"/>
    <w:rsid w:val="00292EB4"/>
    <w:rsid w:val="00293A88"/>
    <w:rsid w:val="002A6469"/>
    <w:rsid w:val="002B03B2"/>
    <w:rsid w:val="002B0749"/>
    <w:rsid w:val="002B28BF"/>
    <w:rsid w:val="002B40A4"/>
    <w:rsid w:val="002C3DB4"/>
    <w:rsid w:val="002C4380"/>
    <w:rsid w:val="002C5367"/>
    <w:rsid w:val="002D18B4"/>
    <w:rsid w:val="002D3A10"/>
    <w:rsid w:val="002D45C5"/>
    <w:rsid w:val="002D6F7A"/>
    <w:rsid w:val="002E1C31"/>
    <w:rsid w:val="002E3474"/>
    <w:rsid w:val="002E5CF3"/>
    <w:rsid w:val="002E5DAE"/>
    <w:rsid w:val="002E68DD"/>
    <w:rsid w:val="002E764B"/>
    <w:rsid w:val="002F11BE"/>
    <w:rsid w:val="002F37A0"/>
    <w:rsid w:val="002F3BF0"/>
    <w:rsid w:val="002F413A"/>
    <w:rsid w:val="002F480E"/>
    <w:rsid w:val="002F7F81"/>
    <w:rsid w:val="003000B4"/>
    <w:rsid w:val="003022BF"/>
    <w:rsid w:val="003050DD"/>
    <w:rsid w:val="0030748E"/>
    <w:rsid w:val="003105D3"/>
    <w:rsid w:val="00314B0C"/>
    <w:rsid w:val="00315091"/>
    <w:rsid w:val="00323E70"/>
    <w:rsid w:val="00325DD2"/>
    <w:rsid w:val="00325F8D"/>
    <w:rsid w:val="00330DC6"/>
    <w:rsid w:val="003325EA"/>
    <w:rsid w:val="00342C93"/>
    <w:rsid w:val="00344BEF"/>
    <w:rsid w:val="00346AF8"/>
    <w:rsid w:val="00351428"/>
    <w:rsid w:val="00363362"/>
    <w:rsid w:val="00367304"/>
    <w:rsid w:val="00367F85"/>
    <w:rsid w:val="0037520D"/>
    <w:rsid w:val="003772EA"/>
    <w:rsid w:val="00377BD2"/>
    <w:rsid w:val="00385D6F"/>
    <w:rsid w:val="00393651"/>
    <w:rsid w:val="00393EB9"/>
    <w:rsid w:val="00394FBA"/>
    <w:rsid w:val="003A41BA"/>
    <w:rsid w:val="003A6A99"/>
    <w:rsid w:val="003B227A"/>
    <w:rsid w:val="003C0B12"/>
    <w:rsid w:val="003C5BAD"/>
    <w:rsid w:val="003C75C7"/>
    <w:rsid w:val="003D2BA3"/>
    <w:rsid w:val="003D7DDB"/>
    <w:rsid w:val="003E0543"/>
    <w:rsid w:val="003E3848"/>
    <w:rsid w:val="003E3B36"/>
    <w:rsid w:val="003E7B1E"/>
    <w:rsid w:val="003E7CD1"/>
    <w:rsid w:val="003F58B0"/>
    <w:rsid w:val="003F607E"/>
    <w:rsid w:val="003F6CF3"/>
    <w:rsid w:val="004007E9"/>
    <w:rsid w:val="004015E2"/>
    <w:rsid w:val="00401BBC"/>
    <w:rsid w:val="00404B45"/>
    <w:rsid w:val="00404BB3"/>
    <w:rsid w:val="00405A10"/>
    <w:rsid w:val="00406407"/>
    <w:rsid w:val="00406CC5"/>
    <w:rsid w:val="004074A4"/>
    <w:rsid w:val="00412BE0"/>
    <w:rsid w:val="00415E8F"/>
    <w:rsid w:val="00416543"/>
    <w:rsid w:val="00417240"/>
    <w:rsid w:val="004172DB"/>
    <w:rsid w:val="00422B75"/>
    <w:rsid w:val="00427290"/>
    <w:rsid w:val="004309DC"/>
    <w:rsid w:val="0043464E"/>
    <w:rsid w:val="0043503A"/>
    <w:rsid w:val="004357F9"/>
    <w:rsid w:val="0044384F"/>
    <w:rsid w:val="004525F9"/>
    <w:rsid w:val="004543BC"/>
    <w:rsid w:val="004574C6"/>
    <w:rsid w:val="00457BCF"/>
    <w:rsid w:val="00462CFC"/>
    <w:rsid w:val="004718E7"/>
    <w:rsid w:val="00475B11"/>
    <w:rsid w:val="004761CC"/>
    <w:rsid w:val="00480196"/>
    <w:rsid w:val="0048187A"/>
    <w:rsid w:val="00491EC9"/>
    <w:rsid w:val="00492966"/>
    <w:rsid w:val="00494055"/>
    <w:rsid w:val="004A1290"/>
    <w:rsid w:val="004A24D2"/>
    <w:rsid w:val="004A34FC"/>
    <w:rsid w:val="004A4136"/>
    <w:rsid w:val="004A5A7C"/>
    <w:rsid w:val="004A7DAD"/>
    <w:rsid w:val="004B03F3"/>
    <w:rsid w:val="004B07E2"/>
    <w:rsid w:val="004B61C4"/>
    <w:rsid w:val="004B7169"/>
    <w:rsid w:val="004B7B1F"/>
    <w:rsid w:val="004E32EA"/>
    <w:rsid w:val="004E453F"/>
    <w:rsid w:val="004F0D4F"/>
    <w:rsid w:val="004F23FC"/>
    <w:rsid w:val="0050177B"/>
    <w:rsid w:val="0050363F"/>
    <w:rsid w:val="00503731"/>
    <w:rsid w:val="00506125"/>
    <w:rsid w:val="00510588"/>
    <w:rsid w:val="0051146C"/>
    <w:rsid w:val="0052279C"/>
    <w:rsid w:val="0052590B"/>
    <w:rsid w:val="00526591"/>
    <w:rsid w:val="005350A5"/>
    <w:rsid w:val="00536379"/>
    <w:rsid w:val="00540BEF"/>
    <w:rsid w:val="005436C2"/>
    <w:rsid w:val="00553390"/>
    <w:rsid w:val="00560759"/>
    <w:rsid w:val="00561D62"/>
    <w:rsid w:val="00566C4C"/>
    <w:rsid w:val="00566DFA"/>
    <w:rsid w:val="005679DE"/>
    <w:rsid w:val="00570092"/>
    <w:rsid w:val="0057175F"/>
    <w:rsid w:val="00572EA5"/>
    <w:rsid w:val="00573B97"/>
    <w:rsid w:val="005754CE"/>
    <w:rsid w:val="005806DB"/>
    <w:rsid w:val="0058789E"/>
    <w:rsid w:val="00593444"/>
    <w:rsid w:val="005956D6"/>
    <w:rsid w:val="00597EC8"/>
    <w:rsid w:val="005A1EF9"/>
    <w:rsid w:val="005A258C"/>
    <w:rsid w:val="005A3560"/>
    <w:rsid w:val="005B011A"/>
    <w:rsid w:val="005B151F"/>
    <w:rsid w:val="005B1A6D"/>
    <w:rsid w:val="005B223E"/>
    <w:rsid w:val="005B5A81"/>
    <w:rsid w:val="005B6F05"/>
    <w:rsid w:val="005C0DC3"/>
    <w:rsid w:val="005D6BED"/>
    <w:rsid w:val="005E07BB"/>
    <w:rsid w:val="005E6AAE"/>
    <w:rsid w:val="005E754C"/>
    <w:rsid w:val="005E7CC5"/>
    <w:rsid w:val="005F1115"/>
    <w:rsid w:val="005F27F2"/>
    <w:rsid w:val="005F424D"/>
    <w:rsid w:val="005F531E"/>
    <w:rsid w:val="005F6DEC"/>
    <w:rsid w:val="006004CE"/>
    <w:rsid w:val="00615641"/>
    <w:rsid w:val="00634C4A"/>
    <w:rsid w:val="00635369"/>
    <w:rsid w:val="006357C6"/>
    <w:rsid w:val="00636977"/>
    <w:rsid w:val="0063791E"/>
    <w:rsid w:val="006418C9"/>
    <w:rsid w:val="00644B5C"/>
    <w:rsid w:val="00645046"/>
    <w:rsid w:val="0065254A"/>
    <w:rsid w:val="0065451D"/>
    <w:rsid w:val="00662F08"/>
    <w:rsid w:val="00663589"/>
    <w:rsid w:val="006670AF"/>
    <w:rsid w:val="00670DB9"/>
    <w:rsid w:val="0067443B"/>
    <w:rsid w:val="0067603C"/>
    <w:rsid w:val="006810A9"/>
    <w:rsid w:val="00684E2B"/>
    <w:rsid w:val="00685131"/>
    <w:rsid w:val="00690FDA"/>
    <w:rsid w:val="006918A4"/>
    <w:rsid w:val="00696476"/>
    <w:rsid w:val="006977CF"/>
    <w:rsid w:val="006A376D"/>
    <w:rsid w:val="006A40E6"/>
    <w:rsid w:val="006A51C5"/>
    <w:rsid w:val="006A5B59"/>
    <w:rsid w:val="006A5DD8"/>
    <w:rsid w:val="006A6137"/>
    <w:rsid w:val="006A75FA"/>
    <w:rsid w:val="006B31D0"/>
    <w:rsid w:val="006B37E7"/>
    <w:rsid w:val="006B5923"/>
    <w:rsid w:val="006C2A4F"/>
    <w:rsid w:val="006C502F"/>
    <w:rsid w:val="006C52BB"/>
    <w:rsid w:val="006D2D39"/>
    <w:rsid w:val="006D6E9C"/>
    <w:rsid w:val="006E06D1"/>
    <w:rsid w:val="006E220A"/>
    <w:rsid w:val="006E7356"/>
    <w:rsid w:val="006F1761"/>
    <w:rsid w:val="006F1A46"/>
    <w:rsid w:val="00700FB3"/>
    <w:rsid w:val="007018E8"/>
    <w:rsid w:val="0070456F"/>
    <w:rsid w:val="00710F30"/>
    <w:rsid w:val="007165CE"/>
    <w:rsid w:val="00716F71"/>
    <w:rsid w:val="00721D12"/>
    <w:rsid w:val="00721F8B"/>
    <w:rsid w:val="00723D65"/>
    <w:rsid w:val="00725CDA"/>
    <w:rsid w:val="00735157"/>
    <w:rsid w:val="00735D2B"/>
    <w:rsid w:val="00736A49"/>
    <w:rsid w:val="00741737"/>
    <w:rsid w:val="00744EBB"/>
    <w:rsid w:val="00744F95"/>
    <w:rsid w:val="00746AE2"/>
    <w:rsid w:val="00752A29"/>
    <w:rsid w:val="0076100C"/>
    <w:rsid w:val="00767EA3"/>
    <w:rsid w:val="0077175A"/>
    <w:rsid w:val="00771DE0"/>
    <w:rsid w:val="007722C3"/>
    <w:rsid w:val="00775293"/>
    <w:rsid w:val="007774EE"/>
    <w:rsid w:val="00781BD4"/>
    <w:rsid w:val="00784832"/>
    <w:rsid w:val="00786B0E"/>
    <w:rsid w:val="007874F9"/>
    <w:rsid w:val="00791F1E"/>
    <w:rsid w:val="007948CB"/>
    <w:rsid w:val="00797A6D"/>
    <w:rsid w:val="007A0B39"/>
    <w:rsid w:val="007A168F"/>
    <w:rsid w:val="007A28E4"/>
    <w:rsid w:val="007A5AD1"/>
    <w:rsid w:val="007B0A06"/>
    <w:rsid w:val="007B3CD9"/>
    <w:rsid w:val="007B47C2"/>
    <w:rsid w:val="007B7C41"/>
    <w:rsid w:val="007C0729"/>
    <w:rsid w:val="007C433E"/>
    <w:rsid w:val="007D0292"/>
    <w:rsid w:val="007D4D84"/>
    <w:rsid w:val="007D5525"/>
    <w:rsid w:val="007D5581"/>
    <w:rsid w:val="007E13B6"/>
    <w:rsid w:val="007E2046"/>
    <w:rsid w:val="007E2A52"/>
    <w:rsid w:val="007E446F"/>
    <w:rsid w:val="007E4FBB"/>
    <w:rsid w:val="007E6986"/>
    <w:rsid w:val="007F6278"/>
    <w:rsid w:val="0080136E"/>
    <w:rsid w:val="0080147C"/>
    <w:rsid w:val="00802D35"/>
    <w:rsid w:val="00803DF6"/>
    <w:rsid w:val="00811D5B"/>
    <w:rsid w:val="008161B7"/>
    <w:rsid w:val="00817713"/>
    <w:rsid w:val="008226B4"/>
    <w:rsid w:val="00830999"/>
    <w:rsid w:val="008309E1"/>
    <w:rsid w:val="00830D5E"/>
    <w:rsid w:val="00830F69"/>
    <w:rsid w:val="00834458"/>
    <w:rsid w:val="00837465"/>
    <w:rsid w:val="00841457"/>
    <w:rsid w:val="00842768"/>
    <w:rsid w:val="0084374E"/>
    <w:rsid w:val="00844398"/>
    <w:rsid w:val="0084798F"/>
    <w:rsid w:val="00851261"/>
    <w:rsid w:val="0085206E"/>
    <w:rsid w:val="00853718"/>
    <w:rsid w:val="008541EF"/>
    <w:rsid w:val="00855696"/>
    <w:rsid w:val="00856967"/>
    <w:rsid w:val="008570E4"/>
    <w:rsid w:val="00860C41"/>
    <w:rsid w:val="0086162B"/>
    <w:rsid w:val="008644FE"/>
    <w:rsid w:val="00865207"/>
    <w:rsid w:val="00871163"/>
    <w:rsid w:val="00871262"/>
    <w:rsid w:val="00875B51"/>
    <w:rsid w:val="00875F2D"/>
    <w:rsid w:val="00877D06"/>
    <w:rsid w:val="00885CBF"/>
    <w:rsid w:val="00891A15"/>
    <w:rsid w:val="008920A2"/>
    <w:rsid w:val="008A63A9"/>
    <w:rsid w:val="008B27D0"/>
    <w:rsid w:val="008B3A23"/>
    <w:rsid w:val="008B5D31"/>
    <w:rsid w:val="008B647E"/>
    <w:rsid w:val="008C4F87"/>
    <w:rsid w:val="008D0422"/>
    <w:rsid w:val="008D18DD"/>
    <w:rsid w:val="008D1F33"/>
    <w:rsid w:val="008D4C61"/>
    <w:rsid w:val="008E23BF"/>
    <w:rsid w:val="008E2D99"/>
    <w:rsid w:val="008E3FD4"/>
    <w:rsid w:val="008E4A60"/>
    <w:rsid w:val="008F2153"/>
    <w:rsid w:val="008F3AA0"/>
    <w:rsid w:val="008F6EEA"/>
    <w:rsid w:val="00901809"/>
    <w:rsid w:val="00901E73"/>
    <w:rsid w:val="009021AB"/>
    <w:rsid w:val="009026E8"/>
    <w:rsid w:val="00907771"/>
    <w:rsid w:val="00914ADB"/>
    <w:rsid w:val="009230A6"/>
    <w:rsid w:val="00923B25"/>
    <w:rsid w:val="00930BD6"/>
    <w:rsid w:val="009316D4"/>
    <w:rsid w:val="0093416A"/>
    <w:rsid w:val="0094003C"/>
    <w:rsid w:val="00940223"/>
    <w:rsid w:val="00942645"/>
    <w:rsid w:val="00943724"/>
    <w:rsid w:val="0095340A"/>
    <w:rsid w:val="00954581"/>
    <w:rsid w:val="0095466C"/>
    <w:rsid w:val="0096093B"/>
    <w:rsid w:val="0096168C"/>
    <w:rsid w:val="00964F53"/>
    <w:rsid w:val="00966F5E"/>
    <w:rsid w:val="0096766D"/>
    <w:rsid w:val="009705A7"/>
    <w:rsid w:val="009732B8"/>
    <w:rsid w:val="00977CB4"/>
    <w:rsid w:val="00985099"/>
    <w:rsid w:val="0099093C"/>
    <w:rsid w:val="00990F8C"/>
    <w:rsid w:val="009A0DE3"/>
    <w:rsid w:val="009B1534"/>
    <w:rsid w:val="009B5C0A"/>
    <w:rsid w:val="009B69D3"/>
    <w:rsid w:val="009B7BA7"/>
    <w:rsid w:val="009C0938"/>
    <w:rsid w:val="009C22FF"/>
    <w:rsid w:val="009C321C"/>
    <w:rsid w:val="009C3D79"/>
    <w:rsid w:val="009C3F82"/>
    <w:rsid w:val="009C7D6D"/>
    <w:rsid w:val="009C7DF5"/>
    <w:rsid w:val="009D1ADE"/>
    <w:rsid w:val="009D2441"/>
    <w:rsid w:val="009D2892"/>
    <w:rsid w:val="009D3176"/>
    <w:rsid w:val="009D526B"/>
    <w:rsid w:val="009D5EE4"/>
    <w:rsid w:val="009D6487"/>
    <w:rsid w:val="009D6B61"/>
    <w:rsid w:val="009E0007"/>
    <w:rsid w:val="009E1283"/>
    <w:rsid w:val="009F10BC"/>
    <w:rsid w:val="009F29CB"/>
    <w:rsid w:val="00A01FDE"/>
    <w:rsid w:val="00A05826"/>
    <w:rsid w:val="00A1105B"/>
    <w:rsid w:val="00A12AA4"/>
    <w:rsid w:val="00A13D66"/>
    <w:rsid w:val="00A15020"/>
    <w:rsid w:val="00A15CAD"/>
    <w:rsid w:val="00A16876"/>
    <w:rsid w:val="00A200AA"/>
    <w:rsid w:val="00A2186F"/>
    <w:rsid w:val="00A2270B"/>
    <w:rsid w:val="00A2496E"/>
    <w:rsid w:val="00A258B7"/>
    <w:rsid w:val="00A31803"/>
    <w:rsid w:val="00A35A1F"/>
    <w:rsid w:val="00A443E3"/>
    <w:rsid w:val="00A46A18"/>
    <w:rsid w:val="00A47AA2"/>
    <w:rsid w:val="00A47CF1"/>
    <w:rsid w:val="00A50418"/>
    <w:rsid w:val="00A608FB"/>
    <w:rsid w:val="00A62C31"/>
    <w:rsid w:val="00A650BB"/>
    <w:rsid w:val="00A66C67"/>
    <w:rsid w:val="00A70BF1"/>
    <w:rsid w:val="00A70E7B"/>
    <w:rsid w:val="00A76094"/>
    <w:rsid w:val="00A81C6F"/>
    <w:rsid w:val="00A82DD8"/>
    <w:rsid w:val="00A8306A"/>
    <w:rsid w:val="00A86123"/>
    <w:rsid w:val="00A86CB6"/>
    <w:rsid w:val="00A90D55"/>
    <w:rsid w:val="00A96B48"/>
    <w:rsid w:val="00AA04B3"/>
    <w:rsid w:val="00AB0380"/>
    <w:rsid w:val="00AB247E"/>
    <w:rsid w:val="00AB6934"/>
    <w:rsid w:val="00AC439D"/>
    <w:rsid w:val="00AC4C54"/>
    <w:rsid w:val="00AD5BEF"/>
    <w:rsid w:val="00AE2D29"/>
    <w:rsid w:val="00AE3316"/>
    <w:rsid w:val="00AF653F"/>
    <w:rsid w:val="00AF699F"/>
    <w:rsid w:val="00B00AA0"/>
    <w:rsid w:val="00B03A90"/>
    <w:rsid w:val="00B05FA5"/>
    <w:rsid w:val="00B06761"/>
    <w:rsid w:val="00B13178"/>
    <w:rsid w:val="00B170BB"/>
    <w:rsid w:val="00B20AFC"/>
    <w:rsid w:val="00B227D6"/>
    <w:rsid w:val="00B24F31"/>
    <w:rsid w:val="00B25E6D"/>
    <w:rsid w:val="00B31211"/>
    <w:rsid w:val="00B32179"/>
    <w:rsid w:val="00B37B62"/>
    <w:rsid w:val="00B400B0"/>
    <w:rsid w:val="00B40A3E"/>
    <w:rsid w:val="00B414A6"/>
    <w:rsid w:val="00B47EDE"/>
    <w:rsid w:val="00B522CD"/>
    <w:rsid w:val="00B52406"/>
    <w:rsid w:val="00B55917"/>
    <w:rsid w:val="00B609A9"/>
    <w:rsid w:val="00B6259D"/>
    <w:rsid w:val="00B63B64"/>
    <w:rsid w:val="00B64C87"/>
    <w:rsid w:val="00B72303"/>
    <w:rsid w:val="00B75477"/>
    <w:rsid w:val="00B82277"/>
    <w:rsid w:val="00B85753"/>
    <w:rsid w:val="00B865F6"/>
    <w:rsid w:val="00B866B7"/>
    <w:rsid w:val="00B87636"/>
    <w:rsid w:val="00B911D2"/>
    <w:rsid w:val="00B914E9"/>
    <w:rsid w:val="00B91A6E"/>
    <w:rsid w:val="00B93433"/>
    <w:rsid w:val="00B945D2"/>
    <w:rsid w:val="00B96530"/>
    <w:rsid w:val="00B97B45"/>
    <w:rsid w:val="00BA2D98"/>
    <w:rsid w:val="00BA30D1"/>
    <w:rsid w:val="00BA3E2C"/>
    <w:rsid w:val="00BA4FAB"/>
    <w:rsid w:val="00BA5BE2"/>
    <w:rsid w:val="00BA5F59"/>
    <w:rsid w:val="00BA7F46"/>
    <w:rsid w:val="00BB0A0A"/>
    <w:rsid w:val="00BB77DB"/>
    <w:rsid w:val="00BB7CF4"/>
    <w:rsid w:val="00BD3F5C"/>
    <w:rsid w:val="00BD59ED"/>
    <w:rsid w:val="00BD6806"/>
    <w:rsid w:val="00BD7831"/>
    <w:rsid w:val="00BD7C10"/>
    <w:rsid w:val="00BE0DEB"/>
    <w:rsid w:val="00BF70CD"/>
    <w:rsid w:val="00C05191"/>
    <w:rsid w:val="00C113CB"/>
    <w:rsid w:val="00C12D9F"/>
    <w:rsid w:val="00C13B34"/>
    <w:rsid w:val="00C1605E"/>
    <w:rsid w:val="00C20C48"/>
    <w:rsid w:val="00C261C6"/>
    <w:rsid w:val="00C30A97"/>
    <w:rsid w:val="00C31DDC"/>
    <w:rsid w:val="00C34326"/>
    <w:rsid w:val="00C36E6B"/>
    <w:rsid w:val="00C4102C"/>
    <w:rsid w:val="00C449B7"/>
    <w:rsid w:val="00C54DF3"/>
    <w:rsid w:val="00C55D6E"/>
    <w:rsid w:val="00C60EED"/>
    <w:rsid w:val="00C64096"/>
    <w:rsid w:val="00C71BEC"/>
    <w:rsid w:val="00C759EC"/>
    <w:rsid w:val="00C765A1"/>
    <w:rsid w:val="00C76F0F"/>
    <w:rsid w:val="00C777B9"/>
    <w:rsid w:val="00C81FAB"/>
    <w:rsid w:val="00C846EA"/>
    <w:rsid w:val="00C84AD1"/>
    <w:rsid w:val="00C85579"/>
    <w:rsid w:val="00C85D98"/>
    <w:rsid w:val="00C915C9"/>
    <w:rsid w:val="00C960EF"/>
    <w:rsid w:val="00CA068D"/>
    <w:rsid w:val="00CA0771"/>
    <w:rsid w:val="00CA282D"/>
    <w:rsid w:val="00CB23DC"/>
    <w:rsid w:val="00CB28E2"/>
    <w:rsid w:val="00CB3616"/>
    <w:rsid w:val="00CB4813"/>
    <w:rsid w:val="00CB5AE6"/>
    <w:rsid w:val="00CB7FF7"/>
    <w:rsid w:val="00CC2044"/>
    <w:rsid w:val="00CC2690"/>
    <w:rsid w:val="00CC26AE"/>
    <w:rsid w:val="00CC2C00"/>
    <w:rsid w:val="00CC69EC"/>
    <w:rsid w:val="00CD34C7"/>
    <w:rsid w:val="00CE1AA2"/>
    <w:rsid w:val="00CE64FA"/>
    <w:rsid w:val="00CE7412"/>
    <w:rsid w:val="00CF4394"/>
    <w:rsid w:val="00CF54ED"/>
    <w:rsid w:val="00D01541"/>
    <w:rsid w:val="00D106D2"/>
    <w:rsid w:val="00D1648B"/>
    <w:rsid w:val="00D20AC0"/>
    <w:rsid w:val="00D254FE"/>
    <w:rsid w:val="00D336C8"/>
    <w:rsid w:val="00D339E8"/>
    <w:rsid w:val="00D34952"/>
    <w:rsid w:val="00D357AC"/>
    <w:rsid w:val="00D40B1F"/>
    <w:rsid w:val="00D44056"/>
    <w:rsid w:val="00D45A71"/>
    <w:rsid w:val="00D50C8C"/>
    <w:rsid w:val="00D52393"/>
    <w:rsid w:val="00D5782E"/>
    <w:rsid w:val="00D60DBC"/>
    <w:rsid w:val="00D70153"/>
    <w:rsid w:val="00D734D6"/>
    <w:rsid w:val="00D76AB2"/>
    <w:rsid w:val="00D820A5"/>
    <w:rsid w:val="00D829AD"/>
    <w:rsid w:val="00D87788"/>
    <w:rsid w:val="00D910C2"/>
    <w:rsid w:val="00D9189B"/>
    <w:rsid w:val="00D91DA6"/>
    <w:rsid w:val="00D9509F"/>
    <w:rsid w:val="00D95239"/>
    <w:rsid w:val="00D957CF"/>
    <w:rsid w:val="00D972D4"/>
    <w:rsid w:val="00DA0A1F"/>
    <w:rsid w:val="00DA195B"/>
    <w:rsid w:val="00DA3ED0"/>
    <w:rsid w:val="00DA4E39"/>
    <w:rsid w:val="00DA68CD"/>
    <w:rsid w:val="00DB6FBE"/>
    <w:rsid w:val="00DC1655"/>
    <w:rsid w:val="00DC2269"/>
    <w:rsid w:val="00DC233D"/>
    <w:rsid w:val="00DC2878"/>
    <w:rsid w:val="00DC3866"/>
    <w:rsid w:val="00DD3593"/>
    <w:rsid w:val="00DD5616"/>
    <w:rsid w:val="00DD5B8C"/>
    <w:rsid w:val="00DD5EFD"/>
    <w:rsid w:val="00DE029C"/>
    <w:rsid w:val="00DE7E74"/>
    <w:rsid w:val="00DF09E8"/>
    <w:rsid w:val="00E003A7"/>
    <w:rsid w:val="00E017F0"/>
    <w:rsid w:val="00E041E4"/>
    <w:rsid w:val="00E11812"/>
    <w:rsid w:val="00E12377"/>
    <w:rsid w:val="00E12F6B"/>
    <w:rsid w:val="00E14581"/>
    <w:rsid w:val="00E14A45"/>
    <w:rsid w:val="00E15539"/>
    <w:rsid w:val="00E16541"/>
    <w:rsid w:val="00E2632B"/>
    <w:rsid w:val="00E318E3"/>
    <w:rsid w:val="00E32289"/>
    <w:rsid w:val="00E369B3"/>
    <w:rsid w:val="00E36F3E"/>
    <w:rsid w:val="00E405EA"/>
    <w:rsid w:val="00E40F19"/>
    <w:rsid w:val="00E41669"/>
    <w:rsid w:val="00E42789"/>
    <w:rsid w:val="00E465C5"/>
    <w:rsid w:val="00E47031"/>
    <w:rsid w:val="00E475C0"/>
    <w:rsid w:val="00E50BEB"/>
    <w:rsid w:val="00E51389"/>
    <w:rsid w:val="00E5432F"/>
    <w:rsid w:val="00E55F25"/>
    <w:rsid w:val="00E64129"/>
    <w:rsid w:val="00E64CEB"/>
    <w:rsid w:val="00E66A29"/>
    <w:rsid w:val="00E67234"/>
    <w:rsid w:val="00E73B7C"/>
    <w:rsid w:val="00E82B6D"/>
    <w:rsid w:val="00E83F78"/>
    <w:rsid w:val="00E866F8"/>
    <w:rsid w:val="00E9232C"/>
    <w:rsid w:val="00E93458"/>
    <w:rsid w:val="00E96B79"/>
    <w:rsid w:val="00EA11B6"/>
    <w:rsid w:val="00EA2DD8"/>
    <w:rsid w:val="00EA681F"/>
    <w:rsid w:val="00EA6AF1"/>
    <w:rsid w:val="00EB76E4"/>
    <w:rsid w:val="00EC0E65"/>
    <w:rsid w:val="00EC2004"/>
    <w:rsid w:val="00EC3AA3"/>
    <w:rsid w:val="00EC63F1"/>
    <w:rsid w:val="00EC713B"/>
    <w:rsid w:val="00EC764B"/>
    <w:rsid w:val="00EC797E"/>
    <w:rsid w:val="00ED2508"/>
    <w:rsid w:val="00ED3C1A"/>
    <w:rsid w:val="00ED75B8"/>
    <w:rsid w:val="00EE0B44"/>
    <w:rsid w:val="00EE293A"/>
    <w:rsid w:val="00EF40CA"/>
    <w:rsid w:val="00EF56C8"/>
    <w:rsid w:val="00EF608E"/>
    <w:rsid w:val="00F01B39"/>
    <w:rsid w:val="00F0706C"/>
    <w:rsid w:val="00F118CE"/>
    <w:rsid w:val="00F1516A"/>
    <w:rsid w:val="00F20FA4"/>
    <w:rsid w:val="00F22A26"/>
    <w:rsid w:val="00F258E2"/>
    <w:rsid w:val="00F30325"/>
    <w:rsid w:val="00F32139"/>
    <w:rsid w:val="00F34E08"/>
    <w:rsid w:val="00F35AA7"/>
    <w:rsid w:val="00F40FFD"/>
    <w:rsid w:val="00F41BA4"/>
    <w:rsid w:val="00F41BD4"/>
    <w:rsid w:val="00F41D91"/>
    <w:rsid w:val="00F41E61"/>
    <w:rsid w:val="00F46964"/>
    <w:rsid w:val="00F5126A"/>
    <w:rsid w:val="00F62A75"/>
    <w:rsid w:val="00F663BC"/>
    <w:rsid w:val="00F70145"/>
    <w:rsid w:val="00F708F3"/>
    <w:rsid w:val="00F718A8"/>
    <w:rsid w:val="00F72183"/>
    <w:rsid w:val="00F7606A"/>
    <w:rsid w:val="00F82981"/>
    <w:rsid w:val="00F8311F"/>
    <w:rsid w:val="00F83248"/>
    <w:rsid w:val="00F853AE"/>
    <w:rsid w:val="00F91F15"/>
    <w:rsid w:val="00F9398B"/>
    <w:rsid w:val="00F93DCC"/>
    <w:rsid w:val="00F9435D"/>
    <w:rsid w:val="00F94A5D"/>
    <w:rsid w:val="00FB593A"/>
    <w:rsid w:val="00FB6E82"/>
    <w:rsid w:val="00FC4576"/>
    <w:rsid w:val="00FC7DBC"/>
    <w:rsid w:val="00FD1D5A"/>
    <w:rsid w:val="00FE3349"/>
    <w:rsid w:val="00FE593F"/>
    <w:rsid w:val="00FE7817"/>
    <w:rsid w:val="00FF3C25"/>
    <w:rsid w:val="00FF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link w:val="BodyTextChar"/>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Revision">
    <w:name w:val="Revision"/>
    <w:hidden/>
    <w:uiPriority w:val="99"/>
    <w:semiHidden/>
    <w:rsid w:val="009F10BC"/>
    <w:rPr>
      <w:color w:val="008080"/>
      <w:sz w:val="24"/>
    </w:rPr>
  </w:style>
  <w:style w:type="paragraph" w:customStyle="1" w:styleId="Default">
    <w:name w:val="Default"/>
    <w:rsid w:val="00A81C6F"/>
    <w:pPr>
      <w:widowControl w:val="0"/>
      <w:autoSpaceDE w:val="0"/>
      <w:autoSpaceDN w:val="0"/>
      <w:adjustRightInd w:val="0"/>
    </w:pPr>
    <w:rPr>
      <w:rFonts w:ascii="Times New Roman" w:eastAsiaTheme="minorEastAsia" w:hAnsi="Times New Roman"/>
      <w:color w:val="000000"/>
      <w:sz w:val="24"/>
      <w:szCs w:val="24"/>
    </w:rPr>
  </w:style>
  <w:style w:type="character" w:customStyle="1" w:styleId="BodyTextChar">
    <w:name w:val="Body Text Char"/>
    <w:basedOn w:val="DefaultParagraphFont"/>
    <w:link w:val="BodyText"/>
    <w:rsid w:val="00A70BF1"/>
    <w:rPr>
      <w:rFonts w:ascii="Times New Roman" w:hAnsi="Times New Roman"/>
      <w:color w:val="000080"/>
      <w:sz w:val="24"/>
    </w:rPr>
  </w:style>
</w:styles>
</file>

<file path=word/webSettings.xml><?xml version="1.0" encoding="utf-8"?>
<w:webSettings xmlns:r="http://schemas.openxmlformats.org/officeDocument/2006/relationships" xmlns:w="http://schemas.openxmlformats.org/wordprocessingml/2006/main">
  <w:divs>
    <w:div w:id="63383430">
      <w:bodyDiv w:val="1"/>
      <w:marLeft w:val="0"/>
      <w:marRight w:val="0"/>
      <w:marTop w:val="0"/>
      <w:marBottom w:val="0"/>
      <w:divBdr>
        <w:top w:val="none" w:sz="0" w:space="0" w:color="auto"/>
        <w:left w:val="none" w:sz="0" w:space="0" w:color="auto"/>
        <w:bottom w:val="none" w:sz="0" w:space="0" w:color="auto"/>
        <w:right w:val="none" w:sz="0" w:space="0" w:color="auto"/>
      </w:divBdr>
    </w:div>
    <w:div w:id="106438748">
      <w:bodyDiv w:val="1"/>
      <w:marLeft w:val="0"/>
      <w:marRight w:val="0"/>
      <w:marTop w:val="0"/>
      <w:marBottom w:val="0"/>
      <w:divBdr>
        <w:top w:val="none" w:sz="0" w:space="0" w:color="auto"/>
        <w:left w:val="none" w:sz="0" w:space="0" w:color="auto"/>
        <w:bottom w:val="none" w:sz="0" w:space="0" w:color="auto"/>
        <w:right w:val="none" w:sz="0" w:space="0" w:color="auto"/>
      </w:divBdr>
    </w:div>
    <w:div w:id="386301542">
      <w:bodyDiv w:val="1"/>
      <w:marLeft w:val="0"/>
      <w:marRight w:val="0"/>
      <w:marTop w:val="0"/>
      <w:marBottom w:val="0"/>
      <w:divBdr>
        <w:top w:val="none" w:sz="0" w:space="0" w:color="auto"/>
        <w:left w:val="none" w:sz="0" w:space="0" w:color="auto"/>
        <w:bottom w:val="none" w:sz="0" w:space="0" w:color="auto"/>
        <w:right w:val="none" w:sz="0" w:space="0" w:color="auto"/>
      </w:divBdr>
    </w:div>
    <w:div w:id="543099993">
      <w:bodyDiv w:val="1"/>
      <w:marLeft w:val="0"/>
      <w:marRight w:val="0"/>
      <w:marTop w:val="0"/>
      <w:marBottom w:val="0"/>
      <w:divBdr>
        <w:top w:val="none" w:sz="0" w:space="0" w:color="auto"/>
        <w:left w:val="none" w:sz="0" w:space="0" w:color="auto"/>
        <w:bottom w:val="none" w:sz="0" w:space="0" w:color="auto"/>
        <w:right w:val="none" w:sz="0" w:space="0" w:color="auto"/>
      </w:divBdr>
    </w:div>
    <w:div w:id="866912545">
      <w:bodyDiv w:val="1"/>
      <w:marLeft w:val="0"/>
      <w:marRight w:val="0"/>
      <w:marTop w:val="0"/>
      <w:marBottom w:val="0"/>
      <w:divBdr>
        <w:top w:val="none" w:sz="0" w:space="0" w:color="auto"/>
        <w:left w:val="none" w:sz="0" w:space="0" w:color="auto"/>
        <w:bottom w:val="none" w:sz="0" w:space="0" w:color="auto"/>
        <w:right w:val="none" w:sz="0" w:space="0" w:color="auto"/>
      </w:divBdr>
    </w:div>
    <w:div w:id="1004745817">
      <w:bodyDiv w:val="1"/>
      <w:marLeft w:val="0"/>
      <w:marRight w:val="0"/>
      <w:marTop w:val="0"/>
      <w:marBottom w:val="0"/>
      <w:divBdr>
        <w:top w:val="none" w:sz="0" w:space="0" w:color="auto"/>
        <w:left w:val="none" w:sz="0" w:space="0" w:color="auto"/>
        <w:bottom w:val="none" w:sz="0" w:space="0" w:color="auto"/>
        <w:right w:val="none" w:sz="0" w:space="0" w:color="auto"/>
      </w:divBdr>
    </w:div>
    <w:div w:id="1189564039">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696150631">
      <w:bodyDiv w:val="1"/>
      <w:marLeft w:val="0"/>
      <w:marRight w:val="0"/>
      <w:marTop w:val="0"/>
      <w:marBottom w:val="0"/>
      <w:divBdr>
        <w:top w:val="none" w:sz="0" w:space="0" w:color="auto"/>
        <w:left w:val="none" w:sz="0" w:space="0" w:color="auto"/>
        <w:bottom w:val="none" w:sz="0" w:space="0" w:color="auto"/>
        <w:right w:val="none" w:sz="0" w:space="0" w:color="auto"/>
      </w:divBdr>
    </w:div>
    <w:div w:id="1697929075">
      <w:bodyDiv w:val="1"/>
      <w:marLeft w:val="0"/>
      <w:marRight w:val="0"/>
      <w:marTop w:val="0"/>
      <w:marBottom w:val="0"/>
      <w:divBdr>
        <w:top w:val="none" w:sz="0" w:space="0" w:color="auto"/>
        <w:left w:val="none" w:sz="0" w:space="0" w:color="auto"/>
        <w:bottom w:val="none" w:sz="0" w:space="0" w:color="auto"/>
        <w:right w:val="none" w:sz="0" w:space="0" w:color="auto"/>
      </w:divBdr>
    </w:div>
    <w:div w:id="1998224403">
      <w:bodyDiv w:val="1"/>
      <w:marLeft w:val="0"/>
      <w:marRight w:val="0"/>
      <w:marTop w:val="0"/>
      <w:marBottom w:val="0"/>
      <w:divBdr>
        <w:top w:val="none" w:sz="0" w:space="0" w:color="auto"/>
        <w:left w:val="none" w:sz="0" w:space="0" w:color="auto"/>
        <w:bottom w:val="none" w:sz="0" w:space="0" w:color="auto"/>
        <w:right w:val="none" w:sz="0" w:space="0" w:color="auto"/>
      </w:divBdr>
    </w:div>
    <w:div w:id="201309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1631</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12</cp:revision>
  <cp:lastPrinted>2010-03-03T11:33:00Z</cp:lastPrinted>
  <dcterms:created xsi:type="dcterms:W3CDTF">2010-03-31T20:24:00Z</dcterms:created>
  <dcterms:modified xsi:type="dcterms:W3CDTF">2012-01-24T16:23:00Z</dcterms:modified>
</cp:coreProperties>
</file>