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237C0B" w:rsidRPr="00237C0B" w:rsidRDefault="00237C0B" w:rsidP="00237C0B">
      <w:pPr>
        <w:tabs>
          <w:tab w:val="left" w:pos="288"/>
          <w:tab w:val="left" w:pos="4752"/>
        </w:tabs>
        <w:spacing w:line="240" w:lineRule="exact"/>
        <w:rPr>
          <w:color w:val="000080"/>
        </w:rPr>
      </w:pPr>
      <w:r w:rsidRPr="00237C0B">
        <w:rPr>
          <w:color w:val="000080"/>
        </w:rPr>
        <w:t>NAME:</w:t>
      </w:r>
      <w:r w:rsidRPr="00237C0B">
        <w:rPr>
          <w:color w:val="000080"/>
        </w:rPr>
        <w:tab/>
      </w:r>
      <w:r w:rsidRPr="00237C0B">
        <w:rPr>
          <w:color w:val="000080"/>
        </w:rPr>
        <w:tab/>
        <w:t>BRANCH OF SERVICE: ARMY</w:t>
      </w:r>
    </w:p>
    <w:p w:rsidR="00092D56" w:rsidRDefault="00237C0B" w:rsidP="00237C0B">
      <w:pPr>
        <w:tabs>
          <w:tab w:val="left" w:pos="288"/>
          <w:tab w:val="left" w:pos="4752"/>
        </w:tabs>
        <w:spacing w:line="240" w:lineRule="exact"/>
        <w:rPr>
          <w:color w:val="000080"/>
        </w:rPr>
      </w:pPr>
      <w:r w:rsidRPr="00237C0B">
        <w:rPr>
          <w:color w:val="000080"/>
        </w:rPr>
        <w:t>CASE NUMBER:  PD0900098</w:t>
      </w:r>
      <w:r w:rsidRPr="00237C0B">
        <w:rPr>
          <w:color w:val="000080"/>
        </w:rPr>
        <w:tab/>
      </w:r>
      <w:r w:rsidRPr="00237C0B">
        <w:rPr>
          <w:color w:val="000080"/>
        </w:rPr>
        <w:tab/>
        <w:t>BOARD DATE: 2010</w:t>
      </w:r>
      <w:r>
        <w:rPr>
          <w:color w:val="000080"/>
        </w:rPr>
        <w:t>0429</w:t>
      </w:r>
    </w:p>
    <w:p w:rsidR="00540BEF" w:rsidRDefault="00237C0B" w:rsidP="00237C0B">
      <w:pPr>
        <w:tabs>
          <w:tab w:val="left" w:pos="288"/>
          <w:tab w:val="left" w:pos="4752"/>
        </w:tabs>
        <w:spacing w:line="240" w:lineRule="exact"/>
        <w:rPr>
          <w:color w:val="000080"/>
        </w:rPr>
      </w:pPr>
      <w:r w:rsidRPr="00237C0B">
        <w:rPr>
          <w:color w:val="000080"/>
        </w:rPr>
        <w:t>SEPARATION DATE: 20030425</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2A0B88" w:rsidRPr="00E74CDC" w:rsidRDefault="002C6E5B" w:rsidP="00E74CDC">
      <w:pPr>
        <w:tabs>
          <w:tab w:val="left" w:pos="288"/>
          <w:tab w:val="left" w:pos="4752"/>
        </w:tabs>
        <w:spacing w:line="240" w:lineRule="exact"/>
        <w:jc w:val="both"/>
        <w:rPr>
          <w:color w:val="000080"/>
        </w:rPr>
      </w:pPr>
      <w:r w:rsidRPr="00E74CDC">
        <w:rPr>
          <w:color w:val="000080"/>
          <w:u w:val="single"/>
        </w:rPr>
        <w:t>SUMMARY OF CASE</w:t>
      </w:r>
      <w:r w:rsidRPr="00E74CDC">
        <w:rPr>
          <w:color w:val="000080"/>
        </w:rPr>
        <w:t xml:space="preserve">:  This covered individual (CI) was </w:t>
      </w:r>
      <w:r w:rsidR="00E322F7" w:rsidRPr="00E74CDC">
        <w:rPr>
          <w:color w:val="000080"/>
        </w:rPr>
        <w:t xml:space="preserve">an active duty </w:t>
      </w:r>
      <w:r w:rsidR="00237C0B" w:rsidRPr="00E74CDC">
        <w:rPr>
          <w:color w:val="000080"/>
        </w:rPr>
        <w:t>SSG</w:t>
      </w:r>
      <w:r w:rsidR="00092D56">
        <w:rPr>
          <w:color w:val="000080"/>
        </w:rPr>
        <w:t>/</w:t>
      </w:r>
      <w:r w:rsidR="00237C0B" w:rsidRPr="00E74CDC">
        <w:rPr>
          <w:color w:val="000080"/>
        </w:rPr>
        <w:t>Patient Administration</w:t>
      </w:r>
      <w:r w:rsidR="00092D56">
        <w:rPr>
          <w:color w:val="000080"/>
        </w:rPr>
        <w:t>,</w:t>
      </w:r>
      <w:r w:rsidR="00E322F7" w:rsidRPr="00E74CDC">
        <w:rPr>
          <w:color w:val="000080"/>
        </w:rPr>
        <w:t xml:space="preserve"> </w:t>
      </w:r>
      <w:r w:rsidRPr="00E74CDC">
        <w:rPr>
          <w:color w:val="000080"/>
        </w:rPr>
        <w:t>medically separated from the Army</w:t>
      </w:r>
      <w:r w:rsidR="00237C0B" w:rsidRPr="00E74CDC">
        <w:rPr>
          <w:color w:val="000080"/>
        </w:rPr>
        <w:t xml:space="preserve"> in 2003 after 17</w:t>
      </w:r>
      <w:r w:rsidRPr="00E74CDC">
        <w:rPr>
          <w:color w:val="000080"/>
        </w:rPr>
        <w:t xml:space="preserve"> yea</w:t>
      </w:r>
      <w:r w:rsidR="00237C0B" w:rsidRPr="00E74CDC">
        <w:rPr>
          <w:color w:val="000080"/>
        </w:rPr>
        <w:t>rs of service.  The medical base</w:t>
      </w:r>
      <w:r w:rsidRPr="00E74CDC">
        <w:rPr>
          <w:color w:val="000080"/>
        </w:rPr>
        <w:t xml:space="preserve">s for the separation </w:t>
      </w:r>
      <w:r w:rsidR="00237C0B" w:rsidRPr="00E74CDC">
        <w:rPr>
          <w:color w:val="000080"/>
        </w:rPr>
        <w:t xml:space="preserve">were a back condition and obstructive sleep apnea (OSA).  </w:t>
      </w:r>
      <w:r w:rsidR="00CF1E09" w:rsidRPr="00E74CDC">
        <w:rPr>
          <w:color w:val="000080"/>
        </w:rPr>
        <w:t xml:space="preserve">He had a 16 year history of worsening back pain without any specific precipitating trauma.  This was managed with physical therapy (PT), other conservative measures and temporary profiles.  There were occasional left sciatic </w:t>
      </w:r>
      <w:proofErr w:type="spellStart"/>
      <w:r w:rsidR="00CF1E09" w:rsidRPr="00E74CDC">
        <w:rPr>
          <w:color w:val="000080"/>
        </w:rPr>
        <w:t>radicular</w:t>
      </w:r>
      <w:proofErr w:type="spellEnd"/>
      <w:r w:rsidR="00CF1E09" w:rsidRPr="00E74CDC">
        <w:rPr>
          <w:color w:val="000080"/>
        </w:rPr>
        <w:t xml:space="preserve"> symptoms, but no clinically established </w:t>
      </w:r>
      <w:proofErr w:type="spellStart"/>
      <w:r w:rsidR="00CF1E09" w:rsidRPr="00E74CDC">
        <w:rPr>
          <w:color w:val="000080"/>
        </w:rPr>
        <w:t>radiculopathies</w:t>
      </w:r>
      <w:proofErr w:type="spellEnd"/>
      <w:r w:rsidR="00CF1E09" w:rsidRPr="00E74CDC">
        <w:rPr>
          <w:color w:val="000080"/>
        </w:rPr>
        <w:t xml:space="preserve"> </w:t>
      </w:r>
      <w:r w:rsidR="001C1C89">
        <w:rPr>
          <w:color w:val="000080"/>
        </w:rPr>
        <w:t>or neurologic abnormalities.  A</w:t>
      </w:r>
      <w:r w:rsidR="00CF1E09" w:rsidRPr="00E74CDC">
        <w:rPr>
          <w:color w:val="000080"/>
        </w:rPr>
        <w:t xml:space="preserve"> </w:t>
      </w:r>
      <w:r w:rsidR="001C1C89" w:rsidRPr="001C1C89">
        <w:rPr>
          <w:color w:val="000080"/>
        </w:rPr>
        <w:t xml:space="preserve">Magnetic Resonance Imaging </w:t>
      </w:r>
      <w:r w:rsidR="001C1C89">
        <w:rPr>
          <w:color w:val="000080"/>
        </w:rPr>
        <w:t>(</w:t>
      </w:r>
      <w:r w:rsidR="00CF1E09" w:rsidRPr="00E74CDC">
        <w:rPr>
          <w:color w:val="000080"/>
        </w:rPr>
        <w:t>MRI</w:t>
      </w:r>
      <w:r w:rsidR="001C1C89">
        <w:rPr>
          <w:color w:val="000080"/>
        </w:rPr>
        <w:t>)</w:t>
      </w:r>
      <w:r w:rsidR="00CF1E09" w:rsidRPr="00E74CDC">
        <w:rPr>
          <w:color w:val="000080"/>
        </w:rPr>
        <w:t xml:space="preserve"> in 2001 demonstrated multi-level degenerative changes with two-level disc disease at L4</w:t>
      </w:r>
      <w:r w:rsidR="006B41D1" w:rsidRPr="00E74CDC">
        <w:rPr>
          <w:color w:val="000080"/>
        </w:rPr>
        <w:t xml:space="preserve"> - </w:t>
      </w:r>
      <w:r w:rsidR="00CF1E09" w:rsidRPr="00E74CDC">
        <w:rPr>
          <w:color w:val="000080"/>
        </w:rPr>
        <w:t xml:space="preserve">S1.  He was not a surgical candidate and conservative measures were continued.  He did not respond adequately to perform within his </w:t>
      </w:r>
      <w:r w:rsidR="001C1C89">
        <w:rPr>
          <w:color w:val="000080"/>
        </w:rPr>
        <w:t>military occupational specialty (</w:t>
      </w:r>
      <w:r w:rsidR="00CF1E09" w:rsidRPr="00E74CDC">
        <w:rPr>
          <w:color w:val="000080"/>
        </w:rPr>
        <w:t>MOS</w:t>
      </w:r>
      <w:r w:rsidR="001C1C89">
        <w:rPr>
          <w:color w:val="000080"/>
        </w:rPr>
        <w:t>)</w:t>
      </w:r>
      <w:r w:rsidR="00CF1E09" w:rsidRPr="00E74CDC">
        <w:rPr>
          <w:color w:val="000080"/>
        </w:rPr>
        <w:t xml:space="preserve"> or participate in the </w:t>
      </w:r>
      <w:r w:rsidR="001C1C89">
        <w:rPr>
          <w:color w:val="000080"/>
        </w:rPr>
        <w:t>Army Physical Fitness Test (</w:t>
      </w:r>
      <w:r w:rsidR="00CF1E09" w:rsidRPr="00E74CDC">
        <w:rPr>
          <w:color w:val="000080"/>
        </w:rPr>
        <w:t>APFT</w:t>
      </w:r>
      <w:r w:rsidR="001C1C89">
        <w:rPr>
          <w:color w:val="000080"/>
        </w:rPr>
        <w:t>)</w:t>
      </w:r>
      <w:r w:rsidR="006B41D1" w:rsidRPr="00E74CDC">
        <w:rPr>
          <w:color w:val="000080"/>
        </w:rPr>
        <w:t>,</w:t>
      </w:r>
      <w:r w:rsidR="00CF1E09" w:rsidRPr="00E74CDC">
        <w:rPr>
          <w:color w:val="000080"/>
        </w:rPr>
        <w:t xml:space="preserve"> was issued a permanent L3 profile and underwent a </w:t>
      </w:r>
      <w:r w:rsidR="001C1C89">
        <w:rPr>
          <w:color w:val="000080"/>
        </w:rPr>
        <w:t>Medical Evaluation Board (</w:t>
      </w:r>
      <w:r w:rsidR="00CF1E09" w:rsidRPr="00E74CDC">
        <w:rPr>
          <w:color w:val="000080"/>
        </w:rPr>
        <w:t>MEB</w:t>
      </w:r>
      <w:r w:rsidR="001C1C89">
        <w:rPr>
          <w:color w:val="000080"/>
        </w:rPr>
        <w:t>)</w:t>
      </w:r>
      <w:r w:rsidR="00CF1E09" w:rsidRPr="00E74CDC">
        <w:rPr>
          <w:color w:val="000080"/>
        </w:rPr>
        <w:t xml:space="preserve">.  The CI was diagnosed with OSA in 1992.  At the time of his </w:t>
      </w:r>
      <w:r w:rsidR="002A0B88" w:rsidRPr="00E74CDC">
        <w:rPr>
          <w:color w:val="000080"/>
        </w:rPr>
        <w:t xml:space="preserve">MEB, this was treated by CPAP (nocturnal breathing device) and judged to be below retention standards by </w:t>
      </w:r>
      <w:r w:rsidR="00C45D0E">
        <w:rPr>
          <w:color w:val="000080"/>
        </w:rPr>
        <w:t>the MEB pulmonary consultant.  Both t</w:t>
      </w:r>
      <w:r w:rsidR="002A0B88" w:rsidRPr="00E74CDC">
        <w:rPr>
          <w:color w:val="000080"/>
        </w:rPr>
        <w:t xml:space="preserve">he lumbar condition and OSA </w:t>
      </w:r>
      <w:proofErr w:type="gramStart"/>
      <w:r w:rsidR="002A0B88" w:rsidRPr="00E74CDC">
        <w:rPr>
          <w:color w:val="000080"/>
        </w:rPr>
        <w:t>were</w:t>
      </w:r>
      <w:proofErr w:type="gramEnd"/>
      <w:r w:rsidR="002A0B88" w:rsidRPr="00E74CDC">
        <w:rPr>
          <w:color w:val="000080"/>
        </w:rPr>
        <w:t xml:space="preserve"> forwarded for PEB adjudication as </w:t>
      </w:r>
      <w:r w:rsidR="00C45D0E">
        <w:rPr>
          <w:color w:val="000080"/>
        </w:rPr>
        <w:t>medically unacceptable conditions</w:t>
      </w:r>
      <w:r w:rsidR="002A0B88" w:rsidRPr="00E74CDC">
        <w:rPr>
          <w:color w:val="000080"/>
        </w:rPr>
        <w:t xml:space="preserve">.  Five other conditions, as identified in the rating chart below, were forwarded on the DA </w:t>
      </w:r>
      <w:r w:rsidR="001C1C89">
        <w:rPr>
          <w:color w:val="000080"/>
        </w:rPr>
        <w:t xml:space="preserve">Form </w:t>
      </w:r>
      <w:r w:rsidR="002A0B88" w:rsidRPr="00E74CDC">
        <w:rPr>
          <w:color w:val="000080"/>
        </w:rPr>
        <w:t xml:space="preserve">3947 as medically acceptable conditions IAW AR 40-501.  All were covered by specialty addendums to the </w:t>
      </w:r>
      <w:r w:rsidR="001C1C89">
        <w:rPr>
          <w:color w:val="000080"/>
        </w:rPr>
        <w:t>narrative summary (</w:t>
      </w:r>
      <w:r w:rsidR="002A0B88" w:rsidRPr="00E74CDC">
        <w:rPr>
          <w:color w:val="000080"/>
        </w:rPr>
        <w:t>NARSUM</w:t>
      </w:r>
      <w:r w:rsidR="001C1C89">
        <w:rPr>
          <w:color w:val="000080"/>
        </w:rPr>
        <w:t>)</w:t>
      </w:r>
      <w:r w:rsidR="002A0B88" w:rsidRPr="00E74CDC">
        <w:rPr>
          <w:color w:val="000080"/>
        </w:rPr>
        <w:t xml:space="preserve"> and are discussed below.  Additional conditions supported in the </w:t>
      </w:r>
      <w:r w:rsidR="000C6641">
        <w:rPr>
          <w:color w:val="000080"/>
        </w:rPr>
        <w:t>Disability Evaluation System (</w:t>
      </w:r>
      <w:r w:rsidR="002A0B88" w:rsidRPr="00E74CDC">
        <w:rPr>
          <w:color w:val="000080"/>
        </w:rPr>
        <w:t>DES</w:t>
      </w:r>
      <w:r w:rsidR="000C6641">
        <w:rPr>
          <w:color w:val="000080"/>
        </w:rPr>
        <w:t>)</w:t>
      </w:r>
      <w:r w:rsidR="002A0B88" w:rsidRPr="00E74CDC">
        <w:rPr>
          <w:color w:val="000080"/>
        </w:rPr>
        <w:t xml:space="preserve"> packet are discussed below, but were not forwarded for PEB adjudication on the DA </w:t>
      </w:r>
      <w:r w:rsidR="000C6641">
        <w:rPr>
          <w:color w:val="000080"/>
        </w:rPr>
        <w:t xml:space="preserve">Form </w:t>
      </w:r>
      <w:r w:rsidR="002A0B88" w:rsidRPr="00E74CDC">
        <w:rPr>
          <w:color w:val="000080"/>
        </w:rPr>
        <w:t>947.</w:t>
      </w:r>
      <w:r w:rsidR="009A326B" w:rsidRPr="00E74CDC">
        <w:rPr>
          <w:color w:val="000080"/>
        </w:rPr>
        <w:t xml:space="preserve">  The </w:t>
      </w:r>
      <w:r w:rsidR="000C6641">
        <w:rPr>
          <w:color w:val="000080"/>
        </w:rPr>
        <w:t>Physical Evaluation Board (</w:t>
      </w:r>
      <w:r w:rsidR="009A326B" w:rsidRPr="00E74CDC">
        <w:rPr>
          <w:color w:val="000080"/>
        </w:rPr>
        <w:t>PEB</w:t>
      </w:r>
      <w:r w:rsidR="000C6641">
        <w:rPr>
          <w:color w:val="000080"/>
        </w:rPr>
        <w:t>)</w:t>
      </w:r>
      <w:r w:rsidR="009A326B" w:rsidRPr="00E74CDC">
        <w:rPr>
          <w:color w:val="000080"/>
        </w:rPr>
        <w:t xml:space="preserve"> adjudicated the back condition (rated 10%) and OSA (rated 0%) as unfitting.  The remaining conditions were adjudicated as not unfitting.  The CI was thus medically separated with a combined disability rating of 10%. </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3E0B5A" w:rsidRPr="00E74CDC" w:rsidRDefault="002C6E5B" w:rsidP="00E74CDC">
      <w:pPr>
        <w:tabs>
          <w:tab w:val="left" w:pos="288"/>
          <w:tab w:val="left" w:pos="4752"/>
        </w:tabs>
        <w:spacing w:line="240" w:lineRule="exact"/>
        <w:jc w:val="both"/>
        <w:rPr>
          <w:color w:val="000080"/>
        </w:rPr>
      </w:pPr>
      <w:r w:rsidRPr="00C45D0E">
        <w:rPr>
          <w:color w:val="000080"/>
          <w:u w:val="single"/>
        </w:rPr>
        <w:t>CI CONTENTION</w:t>
      </w:r>
      <w:r w:rsidRPr="00E74CDC">
        <w:rPr>
          <w:color w:val="000080"/>
        </w:rPr>
        <w:t>:  The CI states:</w:t>
      </w:r>
      <w:r w:rsidR="00C932C5" w:rsidRPr="00E74CDC">
        <w:rPr>
          <w:color w:val="000080"/>
        </w:rPr>
        <w:t xml:space="preserve"> ‘</w:t>
      </w:r>
      <w:r w:rsidR="003802F9" w:rsidRPr="00E74CDC">
        <w:rPr>
          <w:color w:val="000080"/>
        </w:rPr>
        <w:t>I believe the circumstances of my PEB were influenced by my Troop Commander and Command Sergeant Major and I was deliberately denied a fair evaluation by the PEB.’</w:t>
      </w:r>
      <w:r w:rsidR="00896535" w:rsidRPr="00E74CDC">
        <w:rPr>
          <w:color w:val="000080"/>
        </w:rPr>
        <w:t xml:space="preserve">  </w:t>
      </w:r>
      <w:r w:rsidR="001E706C" w:rsidRPr="00E74CDC">
        <w:rPr>
          <w:color w:val="000080"/>
        </w:rPr>
        <w:t xml:space="preserve">He contends for higher ratings for his back condition and OSA, and believes he was unfairly denied a rating for depression (later diagnosed as PTSD by the VA).  </w:t>
      </w:r>
      <w:r w:rsidR="003E0B5A" w:rsidRPr="00E74CDC">
        <w:rPr>
          <w:color w:val="000080"/>
        </w:rPr>
        <w:t>He notes other VA-rated conditions on the application, but does not specifically contend for service ratings for them.</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0C6641" w:rsidRDefault="000C6641" w:rsidP="00C45D0E">
      <w:pPr>
        <w:tabs>
          <w:tab w:val="left" w:pos="288"/>
          <w:tab w:val="left" w:pos="4752"/>
        </w:tabs>
        <w:spacing w:line="240" w:lineRule="exact"/>
        <w:jc w:val="both"/>
        <w:rPr>
          <w:color w:val="000080"/>
          <w:u w:val="single"/>
        </w:rPr>
      </w:pPr>
    </w:p>
    <w:p w:rsidR="002338CA" w:rsidRPr="00C45D0E" w:rsidRDefault="002C6E5B" w:rsidP="00C45D0E">
      <w:pPr>
        <w:tabs>
          <w:tab w:val="left" w:pos="288"/>
          <w:tab w:val="left" w:pos="4752"/>
        </w:tabs>
        <w:spacing w:line="240" w:lineRule="exact"/>
        <w:jc w:val="both"/>
        <w:rPr>
          <w:color w:val="000080"/>
        </w:rPr>
      </w:pPr>
      <w:r w:rsidRPr="00C45D0E">
        <w:rPr>
          <w:color w:val="000080"/>
          <w:u w:val="single"/>
        </w:rPr>
        <w:lastRenderedPageBreak/>
        <w:t>RATING COMPARISON</w:t>
      </w:r>
      <w:r w:rsidRPr="00C45D0E">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2160"/>
        <w:gridCol w:w="360"/>
        <w:gridCol w:w="720"/>
        <w:gridCol w:w="810"/>
        <w:gridCol w:w="2340"/>
        <w:gridCol w:w="360"/>
        <w:gridCol w:w="720"/>
        <w:gridCol w:w="810"/>
        <w:gridCol w:w="990"/>
      </w:tblGrid>
      <w:tr w:rsidR="00684E2B" w:rsidRPr="002A685E" w:rsidTr="001008C1">
        <w:trPr>
          <w:trHeight w:val="233"/>
        </w:trPr>
        <w:tc>
          <w:tcPr>
            <w:tcW w:w="4050" w:type="dxa"/>
            <w:gridSpan w:val="4"/>
            <w:tcBorders>
              <w:right w:val="thinThickThinSmallGap" w:sz="24" w:space="0" w:color="auto"/>
            </w:tcBorders>
            <w:shd w:val="clear" w:color="auto" w:fill="C6D9F1" w:themeFill="text2" w:themeFillTint="33"/>
          </w:tcPr>
          <w:p w:rsidR="00684E2B" w:rsidRPr="002A685E" w:rsidRDefault="00684E2B" w:rsidP="00470DBB">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Service PEB</w:t>
            </w:r>
            <w:r w:rsidR="002B2645" w:rsidRPr="002A685E">
              <w:rPr>
                <w:rFonts w:cs="Times New Roman"/>
                <w:b/>
                <w:color w:val="002060"/>
                <w:sz w:val="20"/>
                <w:szCs w:val="20"/>
              </w:rPr>
              <w:t xml:space="preserve"> – Dated </w:t>
            </w:r>
            <w:r w:rsidR="00470DBB">
              <w:rPr>
                <w:rFonts w:cs="Times New Roman"/>
                <w:b/>
                <w:color w:val="002060"/>
                <w:sz w:val="20"/>
                <w:szCs w:val="20"/>
              </w:rPr>
              <w:t>20030212</w:t>
            </w:r>
          </w:p>
        </w:tc>
        <w:tc>
          <w:tcPr>
            <w:tcW w:w="5220" w:type="dxa"/>
            <w:gridSpan w:val="5"/>
            <w:tcBorders>
              <w:left w:val="thinThickThinSmallGap" w:sz="24" w:space="0" w:color="auto"/>
            </w:tcBorders>
            <w:shd w:val="clear" w:color="auto" w:fill="C6D9F1" w:themeFill="text2" w:themeFillTint="33"/>
          </w:tcPr>
          <w:p w:rsidR="00684E2B" w:rsidRPr="002A685E" w:rsidRDefault="00684E2B" w:rsidP="00CB13E1">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VA (</w:t>
            </w:r>
            <w:r w:rsidR="00CB13E1">
              <w:rPr>
                <w:rFonts w:cs="Times New Roman"/>
                <w:b/>
                <w:color w:val="002060"/>
                <w:sz w:val="20"/>
                <w:szCs w:val="20"/>
              </w:rPr>
              <w:t>Pre-</w:t>
            </w:r>
            <w:r w:rsidRPr="002A685E">
              <w:rPr>
                <w:rFonts w:cs="Times New Roman"/>
                <w:b/>
                <w:color w:val="002060"/>
                <w:sz w:val="20"/>
                <w:szCs w:val="20"/>
              </w:rPr>
              <w:t>Separation)</w:t>
            </w:r>
            <w:r w:rsidR="000C3C13" w:rsidRPr="002A685E">
              <w:rPr>
                <w:rFonts w:cs="Times New Roman"/>
                <w:b/>
                <w:color w:val="002060"/>
                <w:sz w:val="20"/>
                <w:szCs w:val="20"/>
              </w:rPr>
              <w:t xml:space="preserve"> – All Effective </w:t>
            </w:r>
            <w:r w:rsidR="00CB13E1">
              <w:rPr>
                <w:rFonts w:cs="Times New Roman"/>
                <w:b/>
                <w:color w:val="002060"/>
                <w:sz w:val="20"/>
                <w:szCs w:val="20"/>
              </w:rPr>
              <w:t>20030426</w:t>
            </w:r>
          </w:p>
        </w:tc>
      </w:tr>
      <w:tr w:rsidR="002B2645" w:rsidRPr="002A685E" w:rsidTr="001008C1">
        <w:trPr>
          <w:trHeight w:val="233"/>
        </w:trPr>
        <w:tc>
          <w:tcPr>
            <w:tcW w:w="2520" w:type="dxa"/>
            <w:gridSpan w:val="2"/>
            <w:tcBorders>
              <w:bottom w:val="single" w:sz="4" w:space="0" w:color="000000" w:themeColor="text1"/>
            </w:tcBorders>
            <w:shd w:val="clear" w:color="auto" w:fill="C6D9F1" w:themeFill="text2" w:themeFillTint="33"/>
          </w:tcPr>
          <w:p w:rsidR="002B2645" w:rsidRPr="002A685E" w:rsidRDefault="002B2645" w:rsidP="001C62D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1C62D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2A685E" w:rsidRDefault="002B2645" w:rsidP="001C62D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2700" w:type="dxa"/>
            <w:gridSpan w:val="2"/>
            <w:tcBorders>
              <w:left w:val="thinThickThinSmallGap" w:sz="24" w:space="0" w:color="auto"/>
              <w:bottom w:val="single" w:sz="4" w:space="0" w:color="000000" w:themeColor="text1"/>
            </w:tcBorders>
            <w:shd w:val="clear" w:color="auto" w:fill="C6D9F1" w:themeFill="text2" w:themeFillTint="33"/>
          </w:tcPr>
          <w:p w:rsidR="002B2645" w:rsidRPr="002A685E" w:rsidRDefault="002B2645" w:rsidP="001C62D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1C62D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tcBorders>
            <w:shd w:val="clear" w:color="auto" w:fill="C6D9F1" w:themeFill="text2" w:themeFillTint="33"/>
          </w:tcPr>
          <w:p w:rsidR="002B2645" w:rsidRPr="002A685E" w:rsidRDefault="002B2645" w:rsidP="001C62D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990" w:type="dxa"/>
            <w:tcBorders>
              <w:bottom w:val="single" w:sz="4" w:space="0" w:color="000000" w:themeColor="text1"/>
            </w:tcBorders>
            <w:shd w:val="clear" w:color="auto" w:fill="C6D9F1" w:themeFill="text2" w:themeFillTint="33"/>
          </w:tcPr>
          <w:p w:rsidR="002B2645" w:rsidRPr="002A685E" w:rsidRDefault="002B2645" w:rsidP="001C62D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Exam</w:t>
            </w:r>
          </w:p>
        </w:tc>
      </w:tr>
      <w:tr w:rsidR="00CB13E1" w:rsidRPr="002A685E" w:rsidTr="00CB13E1">
        <w:trPr>
          <w:trHeight w:val="152"/>
        </w:trPr>
        <w:tc>
          <w:tcPr>
            <w:tcW w:w="2160" w:type="dxa"/>
            <w:tcBorders>
              <w:right w:val="single" w:sz="4" w:space="0" w:color="auto"/>
            </w:tcBorders>
            <w:shd w:val="clear" w:color="auto" w:fill="FFFFFF" w:themeFill="background1"/>
          </w:tcPr>
          <w:p w:rsidR="00CB13E1" w:rsidRPr="00FD0AA0" w:rsidRDefault="00CB13E1" w:rsidP="001C62D7">
            <w:pPr>
              <w:pStyle w:val="ListParagraph"/>
              <w:spacing w:after="0" w:line="240" w:lineRule="auto"/>
              <w:ind w:left="0"/>
              <w:rPr>
                <w:rFonts w:cs="Times New Roman"/>
                <w:color w:val="002060"/>
                <w:sz w:val="18"/>
                <w:szCs w:val="18"/>
              </w:rPr>
            </w:pPr>
            <w:r>
              <w:rPr>
                <w:rFonts w:cs="Times New Roman"/>
                <w:color w:val="002060"/>
                <w:sz w:val="18"/>
                <w:szCs w:val="18"/>
              </w:rPr>
              <w:t>Lumbar Degenerative Disc Disease…</w:t>
            </w:r>
          </w:p>
        </w:tc>
        <w:tc>
          <w:tcPr>
            <w:tcW w:w="1080" w:type="dxa"/>
            <w:gridSpan w:val="2"/>
            <w:tcBorders>
              <w:left w:val="single" w:sz="4" w:space="0" w:color="auto"/>
            </w:tcBorders>
            <w:shd w:val="clear" w:color="auto" w:fill="FFFFFF" w:themeFill="background1"/>
          </w:tcPr>
          <w:p w:rsidR="00CB13E1" w:rsidRDefault="00CB13E1" w:rsidP="001C62D7">
            <w:pPr>
              <w:pStyle w:val="ListParagraph"/>
              <w:spacing w:after="0" w:line="240" w:lineRule="auto"/>
              <w:ind w:left="0"/>
              <w:jc w:val="center"/>
              <w:rPr>
                <w:rFonts w:cs="Times New Roman"/>
                <w:color w:val="002060"/>
                <w:sz w:val="18"/>
                <w:szCs w:val="18"/>
              </w:rPr>
            </w:pPr>
            <w:r>
              <w:rPr>
                <w:rFonts w:cs="Times New Roman"/>
                <w:color w:val="002060"/>
                <w:sz w:val="18"/>
                <w:szCs w:val="18"/>
              </w:rPr>
              <w:t xml:space="preserve">5293 </w:t>
            </w:r>
          </w:p>
          <w:p w:rsidR="00CB13E1" w:rsidRPr="00FD0AA0" w:rsidRDefault="00CB13E1" w:rsidP="001C62D7">
            <w:pPr>
              <w:pStyle w:val="ListParagraph"/>
              <w:spacing w:after="0" w:line="240" w:lineRule="auto"/>
              <w:ind w:left="0"/>
              <w:jc w:val="center"/>
              <w:rPr>
                <w:rFonts w:cs="Times New Roman"/>
                <w:color w:val="002060"/>
                <w:sz w:val="18"/>
                <w:szCs w:val="18"/>
              </w:rPr>
            </w:pPr>
            <w:r>
              <w:rPr>
                <w:rFonts w:cs="Times New Roman"/>
                <w:color w:val="002060"/>
                <w:sz w:val="18"/>
                <w:szCs w:val="18"/>
              </w:rPr>
              <w:t>5299-5295</w:t>
            </w:r>
          </w:p>
        </w:tc>
        <w:tc>
          <w:tcPr>
            <w:tcW w:w="810" w:type="dxa"/>
            <w:tcBorders>
              <w:right w:val="thinThickThinSmallGap" w:sz="24" w:space="0" w:color="auto"/>
            </w:tcBorders>
            <w:shd w:val="clear" w:color="auto" w:fill="FFFFFF" w:themeFill="background1"/>
          </w:tcPr>
          <w:p w:rsidR="00CB13E1" w:rsidRPr="00FD0AA0" w:rsidRDefault="00CB13E1" w:rsidP="001C62D7">
            <w:pPr>
              <w:pStyle w:val="ListParagraph"/>
              <w:spacing w:after="0" w:line="240" w:lineRule="auto"/>
              <w:ind w:left="0"/>
              <w:jc w:val="center"/>
              <w:rPr>
                <w:rFonts w:cs="Times New Roman"/>
                <w:color w:val="002060"/>
                <w:sz w:val="18"/>
                <w:szCs w:val="18"/>
              </w:rPr>
            </w:pPr>
            <w:r>
              <w:rPr>
                <w:rFonts w:cs="Times New Roman"/>
                <w:color w:val="002060"/>
                <w:sz w:val="18"/>
                <w:szCs w:val="18"/>
              </w:rPr>
              <w:t>10%</w:t>
            </w:r>
          </w:p>
        </w:tc>
        <w:tc>
          <w:tcPr>
            <w:tcW w:w="2700" w:type="dxa"/>
            <w:gridSpan w:val="2"/>
            <w:tcBorders>
              <w:left w:val="thinThickThinSmallGap" w:sz="24" w:space="0" w:color="auto"/>
            </w:tcBorders>
            <w:shd w:val="clear" w:color="auto" w:fill="FFFFFF" w:themeFill="background1"/>
          </w:tcPr>
          <w:p w:rsidR="00CB13E1" w:rsidRPr="00FD0AA0" w:rsidRDefault="00CB13E1" w:rsidP="001C62D7">
            <w:pPr>
              <w:pStyle w:val="ListParagraph"/>
              <w:spacing w:after="0" w:line="240" w:lineRule="auto"/>
              <w:ind w:left="0"/>
              <w:rPr>
                <w:rFonts w:cs="Times New Roman"/>
                <w:color w:val="002060"/>
                <w:sz w:val="18"/>
                <w:szCs w:val="18"/>
              </w:rPr>
            </w:pPr>
            <w:r>
              <w:rPr>
                <w:rFonts w:cs="Times New Roman"/>
                <w:color w:val="002060"/>
                <w:sz w:val="18"/>
                <w:szCs w:val="18"/>
              </w:rPr>
              <w:t>Degenerative Disc Disease…L4-5, L5-S1</w:t>
            </w:r>
          </w:p>
        </w:tc>
        <w:tc>
          <w:tcPr>
            <w:tcW w:w="720" w:type="dxa"/>
            <w:shd w:val="clear" w:color="auto" w:fill="FFFFFF" w:themeFill="background1"/>
          </w:tcPr>
          <w:p w:rsidR="00CB13E1" w:rsidRPr="00470DBB" w:rsidRDefault="00CB13E1" w:rsidP="00470DBB">
            <w:pPr>
              <w:pStyle w:val="ListParagraph"/>
              <w:spacing w:after="0" w:line="240" w:lineRule="auto"/>
              <w:ind w:left="0"/>
              <w:jc w:val="center"/>
              <w:rPr>
                <w:rFonts w:cs="Times New Roman"/>
                <w:color w:val="002060"/>
                <w:sz w:val="18"/>
                <w:szCs w:val="18"/>
              </w:rPr>
            </w:pPr>
            <w:r w:rsidRPr="00470DBB">
              <w:rPr>
                <w:rFonts w:cs="Times New Roman"/>
                <w:color w:val="002060"/>
                <w:sz w:val="18"/>
                <w:szCs w:val="18"/>
              </w:rPr>
              <w:t>5293-5295</w:t>
            </w:r>
          </w:p>
        </w:tc>
        <w:tc>
          <w:tcPr>
            <w:tcW w:w="810" w:type="dxa"/>
            <w:shd w:val="clear" w:color="auto" w:fill="FFFFFF" w:themeFill="background1"/>
          </w:tcPr>
          <w:p w:rsidR="00CB13E1" w:rsidRPr="00470DBB" w:rsidRDefault="00CB13E1" w:rsidP="00470DBB">
            <w:pPr>
              <w:pStyle w:val="ListParagraph"/>
              <w:spacing w:after="0" w:line="240" w:lineRule="auto"/>
              <w:ind w:left="0"/>
              <w:jc w:val="center"/>
              <w:rPr>
                <w:rFonts w:cs="Times New Roman"/>
                <w:color w:val="002060"/>
                <w:sz w:val="18"/>
                <w:szCs w:val="18"/>
              </w:rPr>
            </w:pPr>
            <w:r w:rsidRPr="00470DBB">
              <w:rPr>
                <w:rFonts w:cs="Times New Roman"/>
                <w:color w:val="002060"/>
                <w:sz w:val="18"/>
                <w:szCs w:val="18"/>
              </w:rPr>
              <w:t>40%</w:t>
            </w:r>
          </w:p>
        </w:tc>
        <w:tc>
          <w:tcPr>
            <w:tcW w:w="990" w:type="dxa"/>
            <w:shd w:val="clear" w:color="auto" w:fill="FFFFFF" w:themeFill="background1"/>
          </w:tcPr>
          <w:p w:rsidR="00CB13E1" w:rsidRPr="00FD0AA0" w:rsidRDefault="00CB13E1" w:rsidP="00470DBB">
            <w:pPr>
              <w:pStyle w:val="ListParagraph"/>
              <w:spacing w:after="0" w:line="240" w:lineRule="auto"/>
              <w:ind w:left="0"/>
              <w:rPr>
                <w:rFonts w:cs="Times New Roman"/>
                <w:color w:val="002060"/>
                <w:sz w:val="18"/>
                <w:szCs w:val="18"/>
              </w:rPr>
            </w:pPr>
            <w:r>
              <w:rPr>
                <w:rFonts w:cs="Times New Roman"/>
                <w:color w:val="002060"/>
                <w:sz w:val="18"/>
                <w:szCs w:val="18"/>
              </w:rPr>
              <w:t>20030310</w:t>
            </w:r>
          </w:p>
        </w:tc>
      </w:tr>
      <w:tr w:rsidR="00C31803" w:rsidRPr="002A685E" w:rsidTr="001008C1">
        <w:trPr>
          <w:trHeight w:val="125"/>
        </w:trPr>
        <w:tc>
          <w:tcPr>
            <w:tcW w:w="2520" w:type="dxa"/>
            <w:gridSpan w:val="2"/>
            <w:shd w:val="clear" w:color="auto" w:fill="FFFFFF" w:themeFill="background1"/>
          </w:tcPr>
          <w:p w:rsidR="00C31803" w:rsidRPr="00470DBB" w:rsidRDefault="00C31803" w:rsidP="00C31803">
            <w:pPr>
              <w:pStyle w:val="ListParagraph"/>
              <w:spacing w:after="0" w:line="240" w:lineRule="auto"/>
              <w:ind w:left="0"/>
              <w:rPr>
                <w:rFonts w:cs="Times New Roman"/>
                <w:color w:val="002060"/>
                <w:sz w:val="18"/>
                <w:szCs w:val="18"/>
              </w:rPr>
            </w:pPr>
            <w:r w:rsidRPr="00470DBB">
              <w:rPr>
                <w:rFonts w:cs="Times New Roman"/>
                <w:color w:val="002060"/>
                <w:sz w:val="18"/>
                <w:szCs w:val="18"/>
              </w:rPr>
              <w:t>Obstructive Sleep Apnea</w:t>
            </w:r>
          </w:p>
        </w:tc>
        <w:tc>
          <w:tcPr>
            <w:tcW w:w="720" w:type="dxa"/>
            <w:shd w:val="clear" w:color="auto" w:fill="FFFFFF" w:themeFill="background1"/>
          </w:tcPr>
          <w:p w:rsidR="00C31803" w:rsidRPr="00470DBB" w:rsidRDefault="00C31803" w:rsidP="00C31803">
            <w:pPr>
              <w:pStyle w:val="ListParagraph"/>
              <w:spacing w:after="0" w:line="240" w:lineRule="auto"/>
              <w:ind w:left="0"/>
              <w:jc w:val="center"/>
              <w:rPr>
                <w:rFonts w:cs="Times New Roman"/>
                <w:color w:val="002060"/>
                <w:sz w:val="18"/>
                <w:szCs w:val="18"/>
              </w:rPr>
            </w:pPr>
            <w:r w:rsidRPr="00470DBB">
              <w:rPr>
                <w:rFonts w:cs="Times New Roman"/>
                <w:color w:val="002060"/>
                <w:sz w:val="18"/>
                <w:szCs w:val="18"/>
              </w:rPr>
              <w:t>6847</w:t>
            </w:r>
          </w:p>
        </w:tc>
        <w:tc>
          <w:tcPr>
            <w:tcW w:w="810" w:type="dxa"/>
            <w:tcBorders>
              <w:right w:val="thinThickThinSmallGap" w:sz="24" w:space="0" w:color="auto"/>
            </w:tcBorders>
            <w:shd w:val="clear" w:color="auto" w:fill="FFFFFF" w:themeFill="background1"/>
          </w:tcPr>
          <w:p w:rsidR="00C31803" w:rsidRPr="00470DBB" w:rsidRDefault="00C31803" w:rsidP="00C31803">
            <w:pPr>
              <w:pStyle w:val="ListParagraph"/>
              <w:spacing w:after="0" w:line="240" w:lineRule="auto"/>
              <w:ind w:left="0"/>
              <w:jc w:val="center"/>
              <w:rPr>
                <w:rFonts w:cs="Times New Roman"/>
                <w:color w:val="002060"/>
                <w:sz w:val="18"/>
                <w:szCs w:val="18"/>
              </w:rPr>
            </w:pPr>
            <w:r w:rsidRPr="00470DBB">
              <w:rPr>
                <w:rFonts w:cs="Times New Roman"/>
                <w:color w:val="002060"/>
                <w:sz w:val="18"/>
                <w:szCs w:val="18"/>
              </w:rPr>
              <w:t>0%</w:t>
            </w:r>
          </w:p>
        </w:tc>
        <w:tc>
          <w:tcPr>
            <w:tcW w:w="2700" w:type="dxa"/>
            <w:gridSpan w:val="2"/>
            <w:tcBorders>
              <w:left w:val="thinThickThinSmallGap" w:sz="24" w:space="0" w:color="auto"/>
            </w:tcBorders>
            <w:shd w:val="clear" w:color="auto" w:fill="FFFFFF" w:themeFill="background1"/>
          </w:tcPr>
          <w:p w:rsidR="00C31803" w:rsidRPr="00470DBB" w:rsidRDefault="00C31803" w:rsidP="001C62D7">
            <w:pPr>
              <w:pStyle w:val="ListParagraph"/>
              <w:spacing w:after="0" w:line="240" w:lineRule="auto"/>
              <w:ind w:left="0"/>
              <w:rPr>
                <w:rFonts w:cs="Times New Roman"/>
                <w:color w:val="002060"/>
                <w:sz w:val="18"/>
                <w:szCs w:val="18"/>
              </w:rPr>
            </w:pPr>
            <w:r w:rsidRPr="00470DBB">
              <w:rPr>
                <w:rFonts w:cs="Times New Roman"/>
                <w:color w:val="002060"/>
                <w:sz w:val="18"/>
                <w:szCs w:val="18"/>
              </w:rPr>
              <w:t>Obstructive Sleep Apnea</w:t>
            </w:r>
          </w:p>
        </w:tc>
        <w:tc>
          <w:tcPr>
            <w:tcW w:w="720" w:type="dxa"/>
            <w:shd w:val="clear" w:color="auto" w:fill="FFFFFF" w:themeFill="background1"/>
          </w:tcPr>
          <w:p w:rsidR="00C31803" w:rsidRPr="00470DBB" w:rsidRDefault="00C31803" w:rsidP="00470DBB">
            <w:pPr>
              <w:pStyle w:val="ListParagraph"/>
              <w:spacing w:after="0" w:line="240" w:lineRule="auto"/>
              <w:ind w:left="0"/>
              <w:jc w:val="center"/>
              <w:rPr>
                <w:rFonts w:cs="Times New Roman"/>
                <w:color w:val="002060"/>
                <w:sz w:val="18"/>
                <w:szCs w:val="18"/>
              </w:rPr>
            </w:pPr>
            <w:r w:rsidRPr="00470DBB">
              <w:rPr>
                <w:rFonts w:cs="Times New Roman"/>
                <w:color w:val="002060"/>
                <w:sz w:val="18"/>
                <w:szCs w:val="18"/>
              </w:rPr>
              <w:t>6847</w:t>
            </w:r>
          </w:p>
        </w:tc>
        <w:tc>
          <w:tcPr>
            <w:tcW w:w="810" w:type="dxa"/>
            <w:shd w:val="clear" w:color="auto" w:fill="FFFFFF" w:themeFill="background1"/>
          </w:tcPr>
          <w:p w:rsidR="00C31803" w:rsidRPr="00470DBB" w:rsidRDefault="00C31803" w:rsidP="00470DBB">
            <w:pPr>
              <w:pStyle w:val="ListParagraph"/>
              <w:spacing w:after="0" w:line="240" w:lineRule="auto"/>
              <w:ind w:left="0"/>
              <w:jc w:val="center"/>
              <w:rPr>
                <w:rFonts w:cs="Times New Roman"/>
                <w:color w:val="002060"/>
                <w:sz w:val="18"/>
                <w:szCs w:val="18"/>
              </w:rPr>
            </w:pPr>
            <w:r w:rsidRPr="00470DBB">
              <w:rPr>
                <w:rFonts w:cs="Times New Roman"/>
                <w:color w:val="002060"/>
                <w:sz w:val="18"/>
                <w:szCs w:val="18"/>
              </w:rPr>
              <w:t>50%</w:t>
            </w:r>
          </w:p>
        </w:tc>
        <w:tc>
          <w:tcPr>
            <w:tcW w:w="990" w:type="dxa"/>
            <w:shd w:val="clear" w:color="auto" w:fill="FFFFFF" w:themeFill="background1"/>
          </w:tcPr>
          <w:p w:rsidR="00C31803" w:rsidRPr="00FD0AA0" w:rsidRDefault="00A814FB" w:rsidP="00470DBB">
            <w:pPr>
              <w:pStyle w:val="ListParagraph"/>
              <w:spacing w:after="0" w:line="240" w:lineRule="auto"/>
              <w:ind w:left="0"/>
              <w:rPr>
                <w:rFonts w:cs="Times New Roman"/>
                <w:color w:val="002060"/>
                <w:sz w:val="18"/>
                <w:szCs w:val="18"/>
              </w:rPr>
            </w:pPr>
            <w:r>
              <w:rPr>
                <w:rFonts w:cs="Times New Roman"/>
                <w:color w:val="002060"/>
                <w:sz w:val="18"/>
                <w:szCs w:val="18"/>
              </w:rPr>
              <w:t>20030310</w:t>
            </w:r>
          </w:p>
        </w:tc>
      </w:tr>
      <w:tr w:rsidR="00C31803" w:rsidRPr="002A685E" w:rsidTr="001008C1">
        <w:trPr>
          <w:trHeight w:val="188"/>
        </w:trPr>
        <w:tc>
          <w:tcPr>
            <w:tcW w:w="2520" w:type="dxa"/>
            <w:gridSpan w:val="2"/>
            <w:shd w:val="clear" w:color="auto" w:fill="FFFFFF" w:themeFill="background1"/>
          </w:tcPr>
          <w:p w:rsidR="00C31803" w:rsidRPr="00FD0AA0" w:rsidRDefault="00C31803" w:rsidP="001C62D7">
            <w:pPr>
              <w:pStyle w:val="ListParagraph"/>
              <w:spacing w:after="0" w:line="240" w:lineRule="auto"/>
              <w:ind w:left="0"/>
              <w:rPr>
                <w:rFonts w:cs="Times New Roman"/>
                <w:color w:val="002060"/>
                <w:sz w:val="18"/>
                <w:szCs w:val="18"/>
              </w:rPr>
            </w:pPr>
            <w:r>
              <w:rPr>
                <w:rFonts w:cs="Times New Roman"/>
                <w:color w:val="002060"/>
                <w:sz w:val="18"/>
                <w:szCs w:val="18"/>
              </w:rPr>
              <w:t>Hypertension</w:t>
            </w:r>
          </w:p>
        </w:tc>
        <w:tc>
          <w:tcPr>
            <w:tcW w:w="1530" w:type="dxa"/>
            <w:gridSpan w:val="2"/>
            <w:tcBorders>
              <w:right w:val="thinThickThinSmallGap" w:sz="24" w:space="0" w:color="auto"/>
            </w:tcBorders>
            <w:shd w:val="clear" w:color="auto" w:fill="FFFFFF" w:themeFill="background1"/>
          </w:tcPr>
          <w:p w:rsidR="00C31803" w:rsidRPr="00FD0AA0" w:rsidRDefault="00C31803" w:rsidP="001C62D7">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Not Unfitting</w:t>
            </w:r>
          </w:p>
        </w:tc>
        <w:tc>
          <w:tcPr>
            <w:tcW w:w="2700" w:type="dxa"/>
            <w:gridSpan w:val="2"/>
            <w:tcBorders>
              <w:left w:val="thinThickThinSmallGap" w:sz="24" w:space="0" w:color="auto"/>
            </w:tcBorders>
            <w:shd w:val="clear" w:color="auto" w:fill="FFFFFF" w:themeFill="background1"/>
          </w:tcPr>
          <w:p w:rsidR="00C31803" w:rsidRPr="00FD0AA0" w:rsidRDefault="00A814FB" w:rsidP="001C62D7">
            <w:pPr>
              <w:pStyle w:val="ListParagraph"/>
              <w:spacing w:after="0" w:line="240" w:lineRule="auto"/>
              <w:ind w:left="0"/>
              <w:rPr>
                <w:rFonts w:cs="Times New Roman"/>
                <w:color w:val="002060"/>
                <w:sz w:val="18"/>
                <w:szCs w:val="18"/>
              </w:rPr>
            </w:pPr>
            <w:r>
              <w:rPr>
                <w:rFonts w:cs="Times New Roman"/>
                <w:color w:val="002060"/>
                <w:sz w:val="18"/>
                <w:szCs w:val="18"/>
              </w:rPr>
              <w:t>Hypertension</w:t>
            </w:r>
          </w:p>
        </w:tc>
        <w:tc>
          <w:tcPr>
            <w:tcW w:w="720" w:type="dxa"/>
            <w:shd w:val="clear" w:color="auto" w:fill="FFFFFF" w:themeFill="background1"/>
          </w:tcPr>
          <w:p w:rsidR="00C31803" w:rsidRPr="00FD0AA0" w:rsidRDefault="00A814FB" w:rsidP="00470DBB">
            <w:pPr>
              <w:pStyle w:val="ListParagraph"/>
              <w:spacing w:after="0" w:line="240" w:lineRule="auto"/>
              <w:ind w:left="0"/>
              <w:jc w:val="center"/>
              <w:rPr>
                <w:rFonts w:cs="Times New Roman"/>
                <w:color w:val="002060"/>
                <w:sz w:val="18"/>
                <w:szCs w:val="18"/>
              </w:rPr>
            </w:pPr>
            <w:r>
              <w:rPr>
                <w:rFonts w:cs="Times New Roman"/>
                <w:color w:val="002060"/>
                <w:sz w:val="18"/>
                <w:szCs w:val="18"/>
              </w:rPr>
              <w:t>7102</w:t>
            </w:r>
          </w:p>
        </w:tc>
        <w:tc>
          <w:tcPr>
            <w:tcW w:w="810" w:type="dxa"/>
            <w:shd w:val="clear" w:color="auto" w:fill="FFFFFF" w:themeFill="background1"/>
          </w:tcPr>
          <w:p w:rsidR="00C31803" w:rsidRPr="00FD0AA0" w:rsidRDefault="00A814FB" w:rsidP="00470DBB">
            <w:pPr>
              <w:pStyle w:val="ListParagraph"/>
              <w:spacing w:after="0" w:line="240" w:lineRule="auto"/>
              <w:ind w:left="0"/>
              <w:jc w:val="center"/>
              <w:rPr>
                <w:rFonts w:cs="Times New Roman"/>
                <w:color w:val="002060"/>
                <w:sz w:val="18"/>
                <w:szCs w:val="18"/>
              </w:rPr>
            </w:pPr>
            <w:r>
              <w:rPr>
                <w:rFonts w:cs="Times New Roman"/>
                <w:color w:val="002060"/>
                <w:sz w:val="18"/>
                <w:szCs w:val="18"/>
              </w:rPr>
              <w:t>10%</w:t>
            </w:r>
          </w:p>
        </w:tc>
        <w:tc>
          <w:tcPr>
            <w:tcW w:w="990" w:type="dxa"/>
            <w:shd w:val="clear" w:color="auto" w:fill="FFFFFF" w:themeFill="background1"/>
          </w:tcPr>
          <w:p w:rsidR="00C31803" w:rsidRPr="00FD0AA0" w:rsidRDefault="00A814FB" w:rsidP="00470DBB">
            <w:pPr>
              <w:pStyle w:val="ListParagraph"/>
              <w:spacing w:after="0" w:line="240" w:lineRule="auto"/>
              <w:ind w:left="0"/>
              <w:rPr>
                <w:rFonts w:cs="Times New Roman"/>
                <w:color w:val="002060"/>
                <w:sz w:val="18"/>
                <w:szCs w:val="18"/>
              </w:rPr>
            </w:pPr>
            <w:r>
              <w:rPr>
                <w:rFonts w:cs="Times New Roman"/>
                <w:color w:val="002060"/>
                <w:sz w:val="18"/>
                <w:szCs w:val="18"/>
              </w:rPr>
              <w:t>20030310</w:t>
            </w:r>
          </w:p>
        </w:tc>
      </w:tr>
      <w:tr w:rsidR="00795DF1" w:rsidRPr="002A685E" w:rsidTr="00795DF1">
        <w:trPr>
          <w:trHeight w:val="188"/>
        </w:trPr>
        <w:tc>
          <w:tcPr>
            <w:tcW w:w="2520" w:type="dxa"/>
            <w:gridSpan w:val="2"/>
            <w:shd w:val="clear" w:color="auto" w:fill="FFFFFF" w:themeFill="background1"/>
          </w:tcPr>
          <w:p w:rsidR="00795DF1" w:rsidRPr="00FD0AA0" w:rsidRDefault="00795DF1" w:rsidP="001C62D7">
            <w:pPr>
              <w:pStyle w:val="ListParagraph"/>
              <w:spacing w:after="0" w:line="240" w:lineRule="auto"/>
              <w:ind w:left="0"/>
              <w:rPr>
                <w:rFonts w:cs="Times New Roman"/>
                <w:color w:val="002060"/>
                <w:sz w:val="18"/>
                <w:szCs w:val="18"/>
              </w:rPr>
            </w:pPr>
            <w:r>
              <w:rPr>
                <w:rFonts w:cs="Times New Roman"/>
                <w:color w:val="002060"/>
                <w:sz w:val="18"/>
                <w:szCs w:val="18"/>
              </w:rPr>
              <w:t>Hypothyroidism</w:t>
            </w:r>
          </w:p>
        </w:tc>
        <w:tc>
          <w:tcPr>
            <w:tcW w:w="1530" w:type="dxa"/>
            <w:gridSpan w:val="2"/>
            <w:tcBorders>
              <w:right w:val="thinThickThinSmallGap" w:sz="24" w:space="0" w:color="auto"/>
            </w:tcBorders>
            <w:shd w:val="clear" w:color="auto" w:fill="FFFFFF" w:themeFill="background1"/>
          </w:tcPr>
          <w:p w:rsidR="00795DF1" w:rsidRPr="00470DBB" w:rsidRDefault="00795DF1" w:rsidP="00795DF1">
            <w:pPr>
              <w:jc w:val="center"/>
              <w:rPr>
                <w:rFonts w:cs="Times New Roman"/>
                <w:color w:val="002060"/>
                <w:sz w:val="18"/>
                <w:szCs w:val="18"/>
              </w:rPr>
            </w:pPr>
            <w:r w:rsidRPr="00CC5577">
              <w:rPr>
                <w:rFonts w:cs="Times New Roman"/>
                <w:color w:val="002060"/>
                <w:sz w:val="18"/>
                <w:szCs w:val="18"/>
              </w:rPr>
              <w:t>Not Unfitting</w:t>
            </w:r>
          </w:p>
        </w:tc>
        <w:tc>
          <w:tcPr>
            <w:tcW w:w="2700" w:type="dxa"/>
            <w:gridSpan w:val="2"/>
            <w:tcBorders>
              <w:left w:val="thinThickThinSmallGap" w:sz="24" w:space="0" w:color="auto"/>
              <w:right w:val="single" w:sz="4" w:space="0" w:color="auto"/>
            </w:tcBorders>
            <w:shd w:val="clear" w:color="auto" w:fill="FFFFFF" w:themeFill="background1"/>
          </w:tcPr>
          <w:p w:rsidR="00795DF1" w:rsidRPr="00FD0AA0" w:rsidRDefault="00795DF1" w:rsidP="00795DF1">
            <w:pPr>
              <w:pStyle w:val="ListParagraph"/>
              <w:spacing w:after="0" w:line="240" w:lineRule="auto"/>
              <w:ind w:left="0"/>
              <w:rPr>
                <w:rFonts w:cs="Times New Roman"/>
                <w:color w:val="002060"/>
                <w:sz w:val="18"/>
                <w:szCs w:val="18"/>
              </w:rPr>
            </w:pPr>
            <w:r>
              <w:rPr>
                <w:rFonts w:cs="Times New Roman"/>
                <w:color w:val="002060"/>
                <w:sz w:val="18"/>
                <w:szCs w:val="18"/>
              </w:rPr>
              <w:t>Hypothyroidism</w:t>
            </w:r>
          </w:p>
        </w:tc>
        <w:tc>
          <w:tcPr>
            <w:tcW w:w="720" w:type="dxa"/>
            <w:tcBorders>
              <w:left w:val="single" w:sz="4" w:space="0" w:color="auto"/>
              <w:right w:val="single" w:sz="4" w:space="0" w:color="auto"/>
            </w:tcBorders>
            <w:shd w:val="clear" w:color="auto" w:fill="FFFFFF" w:themeFill="background1"/>
          </w:tcPr>
          <w:p w:rsidR="00795DF1" w:rsidRPr="00FD0AA0" w:rsidRDefault="00795DF1" w:rsidP="00470DBB">
            <w:pPr>
              <w:pStyle w:val="ListParagraph"/>
              <w:spacing w:after="0" w:line="240" w:lineRule="auto"/>
              <w:ind w:left="0"/>
              <w:jc w:val="center"/>
              <w:rPr>
                <w:rFonts w:cs="Times New Roman"/>
                <w:color w:val="002060"/>
                <w:sz w:val="18"/>
                <w:szCs w:val="18"/>
              </w:rPr>
            </w:pPr>
            <w:r>
              <w:rPr>
                <w:rFonts w:cs="Times New Roman"/>
                <w:color w:val="002060"/>
                <w:sz w:val="18"/>
                <w:szCs w:val="18"/>
              </w:rPr>
              <w:t>7903</w:t>
            </w:r>
          </w:p>
        </w:tc>
        <w:tc>
          <w:tcPr>
            <w:tcW w:w="810" w:type="dxa"/>
            <w:tcBorders>
              <w:left w:val="single" w:sz="4" w:space="0" w:color="auto"/>
            </w:tcBorders>
            <w:shd w:val="clear" w:color="auto" w:fill="FFFFFF" w:themeFill="background1"/>
          </w:tcPr>
          <w:p w:rsidR="00795DF1" w:rsidRPr="00FD0AA0" w:rsidRDefault="00795DF1" w:rsidP="00470DBB">
            <w:pPr>
              <w:pStyle w:val="ListParagraph"/>
              <w:spacing w:after="0" w:line="240" w:lineRule="auto"/>
              <w:ind w:left="0"/>
              <w:jc w:val="center"/>
              <w:rPr>
                <w:rFonts w:cs="Times New Roman"/>
                <w:color w:val="002060"/>
                <w:sz w:val="18"/>
                <w:szCs w:val="18"/>
              </w:rPr>
            </w:pPr>
            <w:r>
              <w:rPr>
                <w:rFonts w:cs="Times New Roman"/>
                <w:color w:val="002060"/>
                <w:sz w:val="18"/>
                <w:szCs w:val="18"/>
              </w:rPr>
              <w:t>10%</w:t>
            </w:r>
          </w:p>
        </w:tc>
        <w:tc>
          <w:tcPr>
            <w:tcW w:w="990" w:type="dxa"/>
            <w:shd w:val="clear" w:color="auto" w:fill="FFFFFF" w:themeFill="background1"/>
          </w:tcPr>
          <w:p w:rsidR="00795DF1" w:rsidRPr="00FD0AA0" w:rsidRDefault="00795DF1" w:rsidP="00470DBB">
            <w:pPr>
              <w:pStyle w:val="ListParagraph"/>
              <w:spacing w:after="0" w:line="240" w:lineRule="auto"/>
              <w:ind w:left="0"/>
              <w:rPr>
                <w:rFonts w:cs="Times New Roman"/>
                <w:color w:val="002060"/>
                <w:sz w:val="18"/>
                <w:szCs w:val="18"/>
              </w:rPr>
            </w:pPr>
            <w:r>
              <w:rPr>
                <w:rFonts w:cs="Times New Roman"/>
                <w:color w:val="002060"/>
                <w:sz w:val="18"/>
                <w:szCs w:val="18"/>
              </w:rPr>
              <w:t>20030310</w:t>
            </w:r>
          </w:p>
        </w:tc>
      </w:tr>
      <w:tr w:rsidR="00795DF1" w:rsidRPr="002A685E" w:rsidTr="001C62D7">
        <w:trPr>
          <w:trHeight w:val="188"/>
        </w:trPr>
        <w:tc>
          <w:tcPr>
            <w:tcW w:w="2520" w:type="dxa"/>
            <w:gridSpan w:val="2"/>
            <w:shd w:val="clear" w:color="auto" w:fill="FFFFFF" w:themeFill="background1"/>
          </w:tcPr>
          <w:p w:rsidR="00795DF1" w:rsidRPr="00FD0AA0" w:rsidRDefault="00795DF1" w:rsidP="001C62D7">
            <w:pPr>
              <w:pStyle w:val="ListParagraph"/>
              <w:spacing w:after="0" w:line="240" w:lineRule="auto"/>
              <w:ind w:left="0"/>
              <w:rPr>
                <w:rFonts w:cs="Times New Roman"/>
                <w:color w:val="002060"/>
                <w:sz w:val="18"/>
                <w:szCs w:val="18"/>
              </w:rPr>
            </w:pPr>
            <w:r>
              <w:rPr>
                <w:rFonts w:cs="Times New Roman"/>
                <w:color w:val="002060"/>
                <w:sz w:val="18"/>
                <w:szCs w:val="18"/>
              </w:rPr>
              <w:t>Hearing Loss</w:t>
            </w:r>
          </w:p>
        </w:tc>
        <w:tc>
          <w:tcPr>
            <w:tcW w:w="1530" w:type="dxa"/>
            <w:gridSpan w:val="2"/>
            <w:tcBorders>
              <w:right w:val="thinThickThinSmallGap" w:sz="24" w:space="0" w:color="auto"/>
            </w:tcBorders>
            <w:shd w:val="clear" w:color="auto" w:fill="FFFFFF" w:themeFill="background1"/>
          </w:tcPr>
          <w:p w:rsidR="00795DF1" w:rsidRPr="00470DBB" w:rsidRDefault="00795DF1" w:rsidP="00795DF1">
            <w:pPr>
              <w:jc w:val="center"/>
              <w:rPr>
                <w:rFonts w:cs="Times New Roman"/>
                <w:color w:val="002060"/>
                <w:sz w:val="18"/>
                <w:szCs w:val="18"/>
              </w:rPr>
            </w:pPr>
            <w:r w:rsidRPr="00CC5577">
              <w:rPr>
                <w:rFonts w:cs="Times New Roman"/>
                <w:color w:val="002060"/>
                <w:sz w:val="18"/>
                <w:szCs w:val="18"/>
              </w:rPr>
              <w:t>Not Unfitting</w:t>
            </w:r>
          </w:p>
        </w:tc>
        <w:tc>
          <w:tcPr>
            <w:tcW w:w="4230" w:type="dxa"/>
            <w:gridSpan w:val="4"/>
            <w:tcBorders>
              <w:left w:val="thinThickThinSmallGap" w:sz="24" w:space="0" w:color="auto"/>
            </w:tcBorders>
            <w:shd w:val="clear" w:color="auto" w:fill="FFFFFF" w:themeFill="background1"/>
          </w:tcPr>
          <w:p w:rsidR="00795DF1" w:rsidRPr="00FD0AA0" w:rsidRDefault="00795DF1" w:rsidP="00470DBB">
            <w:pPr>
              <w:pStyle w:val="ListParagraph"/>
              <w:spacing w:after="0" w:line="240" w:lineRule="auto"/>
              <w:ind w:left="0"/>
              <w:jc w:val="center"/>
              <w:rPr>
                <w:rFonts w:cs="Times New Roman"/>
                <w:color w:val="002060"/>
                <w:sz w:val="18"/>
                <w:szCs w:val="18"/>
              </w:rPr>
            </w:pPr>
            <w:r>
              <w:rPr>
                <w:rFonts w:cs="Times New Roman"/>
                <w:color w:val="002060"/>
                <w:sz w:val="18"/>
                <w:szCs w:val="18"/>
              </w:rPr>
              <w:t>NSC, Hearing Normal for VA Purposes.</w:t>
            </w:r>
          </w:p>
        </w:tc>
        <w:tc>
          <w:tcPr>
            <w:tcW w:w="990" w:type="dxa"/>
            <w:shd w:val="clear" w:color="auto" w:fill="FFFFFF" w:themeFill="background1"/>
          </w:tcPr>
          <w:p w:rsidR="00795DF1" w:rsidRPr="00FD0AA0" w:rsidRDefault="00795DF1" w:rsidP="00470DBB">
            <w:pPr>
              <w:pStyle w:val="ListParagraph"/>
              <w:spacing w:after="0" w:line="240" w:lineRule="auto"/>
              <w:ind w:left="0"/>
              <w:rPr>
                <w:rFonts w:cs="Times New Roman"/>
                <w:color w:val="002060"/>
                <w:sz w:val="18"/>
                <w:szCs w:val="18"/>
              </w:rPr>
            </w:pPr>
            <w:r>
              <w:rPr>
                <w:rFonts w:cs="Times New Roman"/>
                <w:color w:val="002060"/>
                <w:sz w:val="18"/>
                <w:szCs w:val="18"/>
              </w:rPr>
              <w:t>20030310</w:t>
            </w:r>
          </w:p>
        </w:tc>
      </w:tr>
      <w:tr w:rsidR="00795DF1" w:rsidRPr="002A685E" w:rsidTr="001008C1">
        <w:trPr>
          <w:trHeight w:val="188"/>
        </w:trPr>
        <w:tc>
          <w:tcPr>
            <w:tcW w:w="2520" w:type="dxa"/>
            <w:gridSpan w:val="2"/>
            <w:shd w:val="clear" w:color="auto" w:fill="FFFFFF" w:themeFill="background1"/>
          </w:tcPr>
          <w:p w:rsidR="00795DF1" w:rsidRPr="00FD0AA0" w:rsidRDefault="00795DF1" w:rsidP="001C62D7">
            <w:pPr>
              <w:pStyle w:val="ListParagraph"/>
              <w:spacing w:after="0" w:line="240" w:lineRule="auto"/>
              <w:ind w:left="0"/>
              <w:rPr>
                <w:rFonts w:cs="Times New Roman"/>
                <w:color w:val="002060"/>
                <w:sz w:val="18"/>
                <w:szCs w:val="18"/>
              </w:rPr>
            </w:pPr>
            <w:r>
              <w:rPr>
                <w:rFonts w:cs="Times New Roman"/>
                <w:color w:val="002060"/>
                <w:sz w:val="18"/>
                <w:szCs w:val="18"/>
              </w:rPr>
              <w:t>Depression</w:t>
            </w:r>
            <w:r w:rsidR="008058C4">
              <w:rPr>
                <w:rFonts w:cs="Times New Roman"/>
                <w:color w:val="002060"/>
                <w:sz w:val="18"/>
                <w:szCs w:val="18"/>
              </w:rPr>
              <w:t>/Antisocial Traits</w:t>
            </w:r>
          </w:p>
        </w:tc>
        <w:tc>
          <w:tcPr>
            <w:tcW w:w="1530" w:type="dxa"/>
            <w:gridSpan w:val="2"/>
            <w:tcBorders>
              <w:right w:val="thinThickThinSmallGap" w:sz="24" w:space="0" w:color="auto"/>
            </w:tcBorders>
            <w:shd w:val="clear" w:color="auto" w:fill="FFFFFF" w:themeFill="background1"/>
          </w:tcPr>
          <w:p w:rsidR="00795DF1" w:rsidRPr="00470DBB" w:rsidRDefault="00795DF1" w:rsidP="00795DF1">
            <w:pPr>
              <w:jc w:val="center"/>
              <w:rPr>
                <w:rFonts w:cs="Times New Roman"/>
                <w:color w:val="002060"/>
                <w:sz w:val="18"/>
                <w:szCs w:val="18"/>
              </w:rPr>
            </w:pPr>
            <w:r w:rsidRPr="00CC5577">
              <w:rPr>
                <w:rFonts w:cs="Times New Roman"/>
                <w:color w:val="002060"/>
                <w:sz w:val="18"/>
                <w:szCs w:val="18"/>
              </w:rPr>
              <w:t>Not Unfitting</w:t>
            </w:r>
          </w:p>
        </w:tc>
        <w:tc>
          <w:tcPr>
            <w:tcW w:w="2700" w:type="dxa"/>
            <w:gridSpan w:val="2"/>
            <w:tcBorders>
              <w:left w:val="thinThickThinSmallGap" w:sz="24" w:space="0" w:color="auto"/>
            </w:tcBorders>
            <w:shd w:val="clear" w:color="auto" w:fill="FFFFFF" w:themeFill="background1"/>
          </w:tcPr>
          <w:p w:rsidR="00795DF1" w:rsidRPr="00FD0AA0" w:rsidRDefault="00795DF1" w:rsidP="001C62D7">
            <w:pPr>
              <w:pStyle w:val="ListParagraph"/>
              <w:spacing w:after="0" w:line="240" w:lineRule="auto"/>
              <w:ind w:left="0"/>
              <w:rPr>
                <w:rFonts w:cs="Times New Roman"/>
                <w:color w:val="002060"/>
                <w:sz w:val="18"/>
                <w:szCs w:val="18"/>
              </w:rPr>
            </w:pPr>
            <w:r>
              <w:rPr>
                <w:rFonts w:cs="Times New Roman"/>
                <w:color w:val="002060"/>
                <w:sz w:val="18"/>
                <w:szCs w:val="18"/>
              </w:rPr>
              <w:t>Mood Disorder, NOS</w:t>
            </w:r>
          </w:p>
        </w:tc>
        <w:tc>
          <w:tcPr>
            <w:tcW w:w="720" w:type="dxa"/>
            <w:shd w:val="clear" w:color="auto" w:fill="FFFFFF" w:themeFill="background1"/>
          </w:tcPr>
          <w:p w:rsidR="00795DF1" w:rsidRPr="00FD0AA0" w:rsidRDefault="00795DF1" w:rsidP="00470DBB">
            <w:pPr>
              <w:pStyle w:val="ListParagraph"/>
              <w:spacing w:after="0" w:line="240" w:lineRule="auto"/>
              <w:ind w:left="0"/>
              <w:jc w:val="center"/>
              <w:rPr>
                <w:rFonts w:cs="Times New Roman"/>
                <w:color w:val="002060"/>
                <w:sz w:val="18"/>
                <w:szCs w:val="18"/>
              </w:rPr>
            </w:pPr>
            <w:r>
              <w:rPr>
                <w:rFonts w:cs="Times New Roman"/>
                <w:color w:val="002060"/>
                <w:sz w:val="18"/>
                <w:szCs w:val="18"/>
              </w:rPr>
              <w:t>9435</w:t>
            </w:r>
          </w:p>
        </w:tc>
        <w:tc>
          <w:tcPr>
            <w:tcW w:w="810" w:type="dxa"/>
            <w:shd w:val="clear" w:color="auto" w:fill="FFFFFF" w:themeFill="background1"/>
          </w:tcPr>
          <w:p w:rsidR="00795DF1" w:rsidRPr="00FD0AA0" w:rsidRDefault="00795DF1" w:rsidP="00470DBB">
            <w:pPr>
              <w:pStyle w:val="ListParagraph"/>
              <w:spacing w:after="0" w:line="240" w:lineRule="auto"/>
              <w:ind w:left="0"/>
              <w:jc w:val="center"/>
              <w:rPr>
                <w:rFonts w:cs="Times New Roman"/>
                <w:color w:val="002060"/>
                <w:sz w:val="18"/>
                <w:szCs w:val="18"/>
              </w:rPr>
            </w:pPr>
            <w:r>
              <w:rPr>
                <w:rFonts w:cs="Times New Roman"/>
                <w:color w:val="002060"/>
                <w:sz w:val="18"/>
                <w:szCs w:val="18"/>
              </w:rPr>
              <w:t>30%</w:t>
            </w:r>
          </w:p>
        </w:tc>
        <w:tc>
          <w:tcPr>
            <w:tcW w:w="990" w:type="dxa"/>
            <w:shd w:val="clear" w:color="auto" w:fill="FFFFFF" w:themeFill="background1"/>
          </w:tcPr>
          <w:p w:rsidR="00795DF1" w:rsidRPr="00FD0AA0" w:rsidRDefault="00795DF1" w:rsidP="00470DBB">
            <w:pPr>
              <w:pStyle w:val="ListParagraph"/>
              <w:spacing w:after="0" w:line="240" w:lineRule="auto"/>
              <w:ind w:left="0"/>
              <w:rPr>
                <w:rFonts w:cs="Times New Roman"/>
                <w:color w:val="002060"/>
                <w:sz w:val="18"/>
                <w:szCs w:val="18"/>
              </w:rPr>
            </w:pPr>
            <w:r>
              <w:rPr>
                <w:rFonts w:cs="Times New Roman"/>
                <w:color w:val="002060"/>
                <w:sz w:val="18"/>
                <w:szCs w:val="18"/>
              </w:rPr>
              <w:t>20030305</w:t>
            </w:r>
          </w:p>
        </w:tc>
      </w:tr>
      <w:tr w:rsidR="00795DF1" w:rsidRPr="002A685E" w:rsidTr="00795DF1">
        <w:trPr>
          <w:trHeight w:val="188"/>
        </w:trPr>
        <w:tc>
          <w:tcPr>
            <w:tcW w:w="2520" w:type="dxa"/>
            <w:gridSpan w:val="2"/>
            <w:shd w:val="clear" w:color="auto" w:fill="FFFFFF" w:themeFill="background1"/>
          </w:tcPr>
          <w:p w:rsidR="00795DF1" w:rsidRPr="00FD0AA0" w:rsidRDefault="00795DF1" w:rsidP="001C62D7">
            <w:pPr>
              <w:pStyle w:val="ListParagraph"/>
              <w:spacing w:after="0" w:line="240" w:lineRule="auto"/>
              <w:ind w:left="0"/>
              <w:rPr>
                <w:rFonts w:cs="Times New Roman"/>
                <w:color w:val="002060"/>
                <w:sz w:val="18"/>
                <w:szCs w:val="18"/>
              </w:rPr>
            </w:pPr>
            <w:r>
              <w:rPr>
                <w:rFonts w:cs="Times New Roman"/>
                <w:color w:val="002060"/>
                <w:sz w:val="18"/>
                <w:szCs w:val="18"/>
              </w:rPr>
              <w:t>Migraines</w:t>
            </w:r>
          </w:p>
        </w:tc>
        <w:tc>
          <w:tcPr>
            <w:tcW w:w="1530" w:type="dxa"/>
            <w:gridSpan w:val="2"/>
            <w:tcBorders>
              <w:right w:val="thinThickThinSmallGap" w:sz="24" w:space="0" w:color="auto"/>
            </w:tcBorders>
            <w:shd w:val="clear" w:color="auto" w:fill="FFFFFF" w:themeFill="background1"/>
          </w:tcPr>
          <w:p w:rsidR="00795DF1" w:rsidRPr="00470DBB" w:rsidRDefault="00795DF1" w:rsidP="00795DF1">
            <w:pPr>
              <w:jc w:val="center"/>
              <w:rPr>
                <w:rFonts w:cs="Times New Roman"/>
                <w:color w:val="002060"/>
                <w:sz w:val="18"/>
                <w:szCs w:val="18"/>
              </w:rPr>
            </w:pPr>
            <w:r w:rsidRPr="00CC5577">
              <w:rPr>
                <w:rFonts w:cs="Times New Roman"/>
                <w:color w:val="002060"/>
                <w:sz w:val="18"/>
                <w:szCs w:val="18"/>
              </w:rPr>
              <w:t>Not Unfitting</w:t>
            </w:r>
          </w:p>
        </w:tc>
        <w:tc>
          <w:tcPr>
            <w:tcW w:w="2340" w:type="dxa"/>
            <w:tcBorders>
              <w:left w:val="thinThickThinSmallGap" w:sz="24" w:space="0" w:color="auto"/>
              <w:right w:val="single" w:sz="4" w:space="0" w:color="auto"/>
            </w:tcBorders>
            <w:shd w:val="clear" w:color="auto" w:fill="FFFFFF" w:themeFill="background1"/>
          </w:tcPr>
          <w:p w:rsidR="00795DF1" w:rsidRPr="00FD0AA0" w:rsidRDefault="00795DF1" w:rsidP="001C62D7">
            <w:pPr>
              <w:pStyle w:val="ListParagraph"/>
              <w:spacing w:after="0" w:line="240" w:lineRule="auto"/>
              <w:ind w:left="0"/>
              <w:rPr>
                <w:rFonts w:cs="Times New Roman"/>
                <w:color w:val="002060"/>
                <w:sz w:val="18"/>
                <w:szCs w:val="18"/>
              </w:rPr>
            </w:pPr>
            <w:r>
              <w:rPr>
                <w:rFonts w:cs="Times New Roman"/>
                <w:color w:val="002060"/>
                <w:sz w:val="18"/>
                <w:szCs w:val="18"/>
              </w:rPr>
              <w:t>Vascular Headaches</w:t>
            </w:r>
          </w:p>
        </w:tc>
        <w:tc>
          <w:tcPr>
            <w:tcW w:w="1080" w:type="dxa"/>
            <w:gridSpan w:val="2"/>
            <w:tcBorders>
              <w:left w:val="single" w:sz="4" w:space="0" w:color="auto"/>
            </w:tcBorders>
            <w:shd w:val="clear" w:color="auto" w:fill="FFFFFF" w:themeFill="background1"/>
          </w:tcPr>
          <w:p w:rsidR="00795DF1" w:rsidRPr="00FD0AA0" w:rsidRDefault="00795DF1" w:rsidP="00470DBB">
            <w:pPr>
              <w:pStyle w:val="ListParagraph"/>
              <w:spacing w:after="0" w:line="240" w:lineRule="auto"/>
              <w:ind w:left="0"/>
              <w:jc w:val="center"/>
              <w:rPr>
                <w:rFonts w:cs="Times New Roman"/>
                <w:color w:val="002060"/>
                <w:sz w:val="18"/>
                <w:szCs w:val="18"/>
              </w:rPr>
            </w:pPr>
            <w:r>
              <w:rPr>
                <w:rFonts w:cs="Times New Roman"/>
                <w:color w:val="002060"/>
                <w:sz w:val="18"/>
                <w:szCs w:val="18"/>
              </w:rPr>
              <w:t>8199-8045</w:t>
            </w:r>
          </w:p>
        </w:tc>
        <w:tc>
          <w:tcPr>
            <w:tcW w:w="810" w:type="dxa"/>
            <w:shd w:val="clear" w:color="auto" w:fill="FFFFFF" w:themeFill="background1"/>
          </w:tcPr>
          <w:p w:rsidR="00795DF1" w:rsidRPr="00FD0AA0" w:rsidRDefault="00795DF1" w:rsidP="00470DBB">
            <w:pPr>
              <w:pStyle w:val="ListParagraph"/>
              <w:spacing w:after="0" w:line="240" w:lineRule="auto"/>
              <w:ind w:left="0"/>
              <w:jc w:val="center"/>
              <w:rPr>
                <w:rFonts w:cs="Times New Roman"/>
                <w:color w:val="002060"/>
                <w:sz w:val="18"/>
                <w:szCs w:val="18"/>
              </w:rPr>
            </w:pPr>
            <w:r>
              <w:rPr>
                <w:rFonts w:cs="Times New Roman"/>
                <w:color w:val="002060"/>
                <w:sz w:val="18"/>
                <w:szCs w:val="18"/>
              </w:rPr>
              <w:t>10%</w:t>
            </w:r>
          </w:p>
        </w:tc>
        <w:tc>
          <w:tcPr>
            <w:tcW w:w="990" w:type="dxa"/>
            <w:shd w:val="clear" w:color="auto" w:fill="FFFFFF" w:themeFill="background1"/>
          </w:tcPr>
          <w:p w:rsidR="00795DF1" w:rsidRPr="00FD0AA0" w:rsidRDefault="00795DF1" w:rsidP="00470DBB">
            <w:pPr>
              <w:pStyle w:val="ListParagraph"/>
              <w:spacing w:after="0" w:line="240" w:lineRule="auto"/>
              <w:ind w:left="0"/>
              <w:rPr>
                <w:rFonts w:cs="Times New Roman"/>
                <w:color w:val="002060"/>
                <w:sz w:val="18"/>
                <w:szCs w:val="18"/>
              </w:rPr>
            </w:pPr>
            <w:r>
              <w:rPr>
                <w:rFonts w:cs="Times New Roman"/>
                <w:color w:val="002060"/>
                <w:sz w:val="18"/>
                <w:szCs w:val="18"/>
              </w:rPr>
              <w:t>20030310</w:t>
            </w:r>
          </w:p>
        </w:tc>
      </w:tr>
      <w:tr w:rsidR="00795DF1" w:rsidRPr="002A685E" w:rsidTr="001008C1">
        <w:trPr>
          <w:trHeight w:val="197"/>
        </w:trPr>
        <w:tc>
          <w:tcPr>
            <w:tcW w:w="4050" w:type="dxa"/>
            <w:gridSpan w:val="4"/>
            <w:tcBorders>
              <w:right w:val="thinThickThinSmallGap" w:sz="24" w:space="0" w:color="auto"/>
            </w:tcBorders>
            <w:shd w:val="clear" w:color="auto" w:fill="FFFFFF" w:themeFill="background1"/>
          </w:tcPr>
          <w:p w:rsidR="00795DF1" w:rsidRPr="00470DBB" w:rsidRDefault="00795DF1" w:rsidP="00470DBB">
            <w:pPr>
              <w:pStyle w:val="ListParagraph"/>
              <w:spacing w:after="0" w:line="240" w:lineRule="auto"/>
              <w:ind w:left="0"/>
              <w:jc w:val="center"/>
              <w:rPr>
                <w:rFonts w:cs="Times New Roman"/>
                <w:color w:val="002060"/>
                <w:sz w:val="18"/>
                <w:szCs w:val="18"/>
              </w:rPr>
            </w:pPr>
            <w:r w:rsidRPr="00470DBB">
              <w:rPr>
                <w:rFonts w:cs="Times New Roman"/>
                <w:color w:val="002060"/>
                <w:sz w:val="18"/>
                <w:szCs w:val="18"/>
              </w:rPr>
              <w:t xml:space="preserve">No Additional DA </w:t>
            </w:r>
            <w:r w:rsidR="000C6641">
              <w:rPr>
                <w:rFonts w:cs="Times New Roman"/>
                <w:color w:val="002060"/>
                <w:sz w:val="18"/>
                <w:szCs w:val="18"/>
              </w:rPr>
              <w:t xml:space="preserve">Form </w:t>
            </w:r>
            <w:r w:rsidRPr="00470DBB">
              <w:rPr>
                <w:rFonts w:cs="Times New Roman"/>
                <w:color w:val="002060"/>
                <w:sz w:val="18"/>
                <w:szCs w:val="18"/>
              </w:rPr>
              <w:t>3947 Entries.</w:t>
            </w:r>
          </w:p>
        </w:tc>
        <w:tc>
          <w:tcPr>
            <w:tcW w:w="4230" w:type="dxa"/>
            <w:gridSpan w:val="4"/>
            <w:tcBorders>
              <w:left w:val="thinThickThinSmallGap" w:sz="24" w:space="0" w:color="auto"/>
            </w:tcBorders>
            <w:shd w:val="clear" w:color="auto" w:fill="FFFFFF" w:themeFill="background1"/>
          </w:tcPr>
          <w:p w:rsidR="00795DF1" w:rsidRPr="00FD0AA0" w:rsidRDefault="00795DF1" w:rsidP="00470DBB">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 xml:space="preserve">Non-PEB X  </w:t>
            </w:r>
            <w:r w:rsidR="00470DBB">
              <w:rPr>
                <w:rFonts w:cs="Times New Roman"/>
                <w:color w:val="002060"/>
                <w:sz w:val="18"/>
                <w:szCs w:val="18"/>
              </w:rPr>
              <w:t>5</w:t>
            </w:r>
            <w:r w:rsidRPr="00FD0AA0">
              <w:rPr>
                <w:rFonts w:cs="Times New Roman"/>
                <w:color w:val="002060"/>
                <w:sz w:val="18"/>
                <w:szCs w:val="18"/>
              </w:rPr>
              <w:t xml:space="preserve"> / NSC X </w:t>
            </w:r>
            <w:r w:rsidR="00470DBB">
              <w:rPr>
                <w:rFonts w:cs="Times New Roman"/>
                <w:color w:val="002060"/>
                <w:sz w:val="18"/>
                <w:szCs w:val="18"/>
              </w:rPr>
              <w:t>6</w:t>
            </w:r>
          </w:p>
        </w:tc>
        <w:tc>
          <w:tcPr>
            <w:tcW w:w="990" w:type="dxa"/>
            <w:shd w:val="clear" w:color="auto" w:fill="FFFFFF" w:themeFill="background1"/>
          </w:tcPr>
          <w:p w:rsidR="00795DF1" w:rsidRPr="00FD0AA0" w:rsidRDefault="00470DBB" w:rsidP="00470DBB">
            <w:pPr>
              <w:pStyle w:val="ListParagraph"/>
              <w:spacing w:after="0" w:line="240" w:lineRule="auto"/>
              <w:ind w:left="0"/>
              <w:rPr>
                <w:rFonts w:cs="Times New Roman"/>
                <w:color w:val="002060"/>
                <w:sz w:val="18"/>
                <w:szCs w:val="18"/>
              </w:rPr>
            </w:pPr>
            <w:r>
              <w:rPr>
                <w:rFonts w:cs="Times New Roman"/>
                <w:color w:val="002060"/>
                <w:sz w:val="18"/>
                <w:szCs w:val="18"/>
              </w:rPr>
              <w:t>20030310</w:t>
            </w:r>
          </w:p>
        </w:tc>
      </w:tr>
      <w:tr w:rsidR="00795DF1" w:rsidRPr="002A685E" w:rsidTr="001008C1">
        <w:trPr>
          <w:trHeight w:val="242"/>
        </w:trPr>
        <w:tc>
          <w:tcPr>
            <w:tcW w:w="4050" w:type="dxa"/>
            <w:gridSpan w:val="4"/>
            <w:tcBorders>
              <w:right w:val="thinThickThinSmallGap" w:sz="24" w:space="0" w:color="auto"/>
            </w:tcBorders>
            <w:shd w:val="clear" w:color="auto" w:fill="C6D9F1" w:themeFill="text2" w:themeFillTint="33"/>
          </w:tcPr>
          <w:p w:rsidR="00795DF1" w:rsidRPr="002A685E" w:rsidRDefault="00795DF1" w:rsidP="001C62D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TOTAL Combined:  </w:t>
            </w:r>
            <w:r w:rsidR="00470DBB">
              <w:rPr>
                <w:rFonts w:cs="Times New Roman"/>
                <w:b/>
                <w:color w:val="002060"/>
                <w:sz w:val="20"/>
                <w:szCs w:val="20"/>
              </w:rPr>
              <w:t>1</w:t>
            </w:r>
            <w:r w:rsidRPr="002A685E">
              <w:rPr>
                <w:rFonts w:cs="Times New Roman"/>
                <w:b/>
                <w:color w:val="002060"/>
                <w:sz w:val="20"/>
                <w:szCs w:val="20"/>
              </w:rPr>
              <w:t>0%</w:t>
            </w:r>
          </w:p>
        </w:tc>
        <w:tc>
          <w:tcPr>
            <w:tcW w:w="5220" w:type="dxa"/>
            <w:gridSpan w:val="5"/>
            <w:tcBorders>
              <w:left w:val="thinThickThinSmallGap" w:sz="24" w:space="0" w:color="auto"/>
            </w:tcBorders>
            <w:shd w:val="clear" w:color="auto" w:fill="C6D9F1" w:themeFill="text2" w:themeFillTint="33"/>
          </w:tcPr>
          <w:p w:rsidR="00795DF1" w:rsidRPr="002A685E" w:rsidRDefault="00795DF1" w:rsidP="001C62D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TOTAL Combined (</w:t>
            </w:r>
            <w:r w:rsidRPr="002A685E">
              <w:rPr>
                <w:rFonts w:cs="Times New Roman"/>
                <w:b/>
                <w:i/>
                <w:color w:val="002060"/>
                <w:sz w:val="20"/>
                <w:szCs w:val="20"/>
              </w:rPr>
              <w:t>Includes Non-PEB Conditions</w:t>
            </w:r>
            <w:r w:rsidRPr="002A685E">
              <w:rPr>
                <w:rFonts w:cs="Times New Roman"/>
                <w:b/>
                <w:color w:val="002060"/>
                <w:sz w:val="20"/>
                <w:szCs w:val="20"/>
              </w:rPr>
              <w:t xml:space="preserve">): </w:t>
            </w:r>
            <w:r w:rsidR="00470DBB">
              <w:rPr>
                <w:rFonts w:cs="Times New Roman"/>
                <w:b/>
                <w:color w:val="002060"/>
                <w:sz w:val="20"/>
                <w:szCs w:val="20"/>
              </w:rPr>
              <w:t>9</w:t>
            </w:r>
            <w:r w:rsidRPr="002A685E">
              <w:rPr>
                <w:rFonts w:cs="Times New Roman"/>
                <w:b/>
                <w:color w:val="002060"/>
                <w:sz w:val="20"/>
                <w:szCs w:val="20"/>
              </w:rPr>
              <w:t xml:space="preserve">0%                                                                         </w:t>
            </w:r>
            <w:r w:rsidRPr="002A685E">
              <w:rPr>
                <w:rFonts w:cs="Times New Roman"/>
                <w:color w:val="00206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C45D0E" w:rsidRDefault="002C6E5B" w:rsidP="002C6E5B">
      <w:pPr>
        <w:tabs>
          <w:tab w:val="left" w:pos="288"/>
          <w:tab w:val="left" w:pos="4752"/>
        </w:tabs>
        <w:spacing w:line="240" w:lineRule="exact"/>
        <w:jc w:val="both"/>
        <w:rPr>
          <w:color w:val="000080"/>
        </w:rPr>
      </w:pPr>
      <w:r w:rsidRPr="00C45D0E">
        <w:rPr>
          <w:color w:val="000080"/>
          <w:u w:val="single"/>
        </w:rPr>
        <w:t>ANALYSIS SUMMARY</w:t>
      </w:r>
      <w:r w:rsidRPr="00C45D0E">
        <w:rPr>
          <w:color w:val="000080"/>
        </w:rPr>
        <w:t>:</w:t>
      </w:r>
    </w:p>
    <w:p w:rsidR="002C6E5B" w:rsidRPr="00C45D0E" w:rsidRDefault="002C6E5B" w:rsidP="002C6E5B">
      <w:pPr>
        <w:tabs>
          <w:tab w:val="left" w:pos="288"/>
          <w:tab w:val="left" w:pos="4752"/>
        </w:tabs>
        <w:spacing w:line="240" w:lineRule="exact"/>
        <w:jc w:val="both"/>
        <w:rPr>
          <w:color w:val="000080"/>
        </w:rPr>
      </w:pPr>
    </w:p>
    <w:p w:rsidR="00745255" w:rsidRPr="00C45D0E" w:rsidRDefault="00745255" w:rsidP="00C45D0E">
      <w:pPr>
        <w:tabs>
          <w:tab w:val="left" w:pos="288"/>
          <w:tab w:val="left" w:pos="4752"/>
        </w:tabs>
        <w:spacing w:line="240" w:lineRule="exact"/>
        <w:jc w:val="both"/>
        <w:rPr>
          <w:color w:val="000080"/>
        </w:rPr>
      </w:pPr>
      <w:r w:rsidRPr="00C45D0E">
        <w:rPr>
          <w:color w:val="000080"/>
        </w:rPr>
        <w:t xml:space="preserve">It is noted for the record that the Board has neither the jurisdiction nor authority to scrutinize or render opinions </w:t>
      </w:r>
      <w:r w:rsidR="00DD4EE0" w:rsidRPr="00C45D0E">
        <w:rPr>
          <w:color w:val="000080"/>
        </w:rPr>
        <w:t>in reference to</w:t>
      </w:r>
      <w:r w:rsidRPr="00C45D0E">
        <w:rPr>
          <w:color w:val="000080"/>
        </w:rPr>
        <w:t xml:space="preserve"> the CI’s statements in the application regarding </w:t>
      </w:r>
      <w:r w:rsidR="00DD4EE0" w:rsidRPr="00C45D0E">
        <w:rPr>
          <w:color w:val="000080"/>
        </w:rPr>
        <w:t xml:space="preserve">suspected </w:t>
      </w:r>
      <w:r w:rsidR="00525085" w:rsidRPr="00C45D0E">
        <w:rPr>
          <w:color w:val="000080"/>
        </w:rPr>
        <w:t>DES</w:t>
      </w:r>
      <w:r w:rsidR="00DD4EE0" w:rsidRPr="00C45D0E">
        <w:rPr>
          <w:color w:val="000080"/>
        </w:rPr>
        <w:t xml:space="preserve"> </w:t>
      </w:r>
      <w:r w:rsidR="00525085" w:rsidRPr="00C45D0E">
        <w:rPr>
          <w:color w:val="000080"/>
        </w:rPr>
        <w:t>improprieties</w:t>
      </w:r>
      <w:r w:rsidR="00DD4EE0" w:rsidRPr="00C45D0E">
        <w:rPr>
          <w:color w:val="000080"/>
        </w:rPr>
        <w:t xml:space="preserve"> in the processing of his case</w:t>
      </w:r>
      <w:r w:rsidRPr="00C45D0E">
        <w:rPr>
          <w:color w:val="000080"/>
        </w:rPr>
        <w:t xml:space="preserve">.   The Board’s role is confined to the review of medical records and all evidence at hand to assess the fairness of PEB rating determinations compared to </w:t>
      </w:r>
      <w:r w:rsidR="000C6641">
        <w:rPr>
          <w:color w:val="000080"/>
        </w:rPr>
        <w:t>Veterans Administration Schedule for Rating Disabilities (</w:t>
      </w:r>
      <w:r w:rsidRPr="00C45D0E">
        <w:rPr>
          <w:color w:val="000080"/>
        </w:rPr>
        <w:t>VASRD</w:t>
      </w:r>
      <w:r w:rsidR="000C6641">
        <w:rPr>
          <w:color w:val="000080"/>
        </w:rPr>
        <w:t>)</w:t>
      </w:r>
      <w:r w:rsidRPr="00C45D0E">
        <w:rPr>
          <w:color w:val="000080"/>
        </w:rPr>
        <w:t xml:space="preserve"> standards, as well as the fairness of PEB fitness adjudications.</w:t>
      </w:r>
    </w:p>
    <w:p w:rsidR="00DD4EE0" w:rsidRPr="00C45D0E" w:rsidRDefault="00DD4EE0" w:rsidP="00C45D0E">
      <w:pPr>
        <w:tabs>
          <w:tab w:val="left" w:pos="288"/>
          <w:tab w:val="left" w:pos="4752"/>
        </w:tabs>
        <w:spacing w:line="240" w:lineRule="exact"/>
        <w:jc w:val="both"/>
        <w:rPr>
          <w:color w:val="000080"/>
        </w:rPr>
      </w:pPr>
    </w:p>
    <w:p w:rsidR="00E42172" w:rsidRPr="00C45D0E" w:rsidRDefault="00926FCB" w:rsidP="00C45D0E">
      <w:pPr>
        <w:tabs>
          <w:tab w:val="left" w:pos="288"/>
          <w:tab w:val="left" w:pos="4752"/>
        </w:tabs>
        <w:spacing w:line="240" w:lineRule="exact"/>
        <w:jc w:val="both"/>
        <w:rPr>
          <w:color w:val="000080"/>
        </w:rPr>
      </w:pPr>
      <w:r w:rsidRPr="00C45D0E">
        <w:rPr>
          <w:color w:val="000080"/>
          <w:u w:val="single"/>
        </w:rPr>
        <w:t>Back</w:t>
      </w:r>
      <w:r w:rsidR="002C6E5B" w:rsidRPr="00C45D0E">
        <w:rPr>
          <w:color w:val="000080"/>
          <w:u w:val="single"/>
        </w:rPr>
        <w:t xml:space="preserve"> Condition</w:t>
      </w:r>
      <w:r w:rsidR="002C6E5B" w:rsidRPr="00C45D0E">
        <w:rPr>
          <w:color w:val="000080"/>
        </w:rPr>
        <w:t xml:space="preserve">.  </w:t>
      </w:r>
      <w:r w:rsidR="007C6046" w:rsidRPr="00C45D0E">
        <w:rPr>
          <w:color w:val="000080"/>
        </w:rPr>
        <w:t xml:space="preserve">There were </w:t>
      </w:r>
      <w:r w:rsidR="008C6602" w:rsidRPr="00C45D0E">
        <w:rPr>
          <w:color w:val="000080"/>
        </w:rPr>
        <w:t>three</w:t>
      </w:r>
      <w:r w:rsidR="007C6046" w:rsidRPr="00C45D0E">
        <w:rPr>
          <w:color w:val="000080"/>
        </w:rPr>
        <w:t xml:space="preserve"> goniometric range-of-motion (ROM) evaluations in evidence which the Board </w:t>
      </w:r>
      <w:r w:rsidR="00C45D0E">
        <w:rPr>
          <w:color w:val="000080"/>
        </w:rPr>
        <w:t>weighed in arriving at</w:t>
      </w:r>
      <w:r w:rsidR="007C6046" w:rsidRPr="00C45D0E">
        <w:rPr>
          <w:color w:val="000080"/>
        </w:rPr>
        <w:t xml:space="preserve"> </w:t>
      </w:r>
      <w:r w:rsidR="001E48BF">
        <w:rPr>
          <w:color w:val="000080"/>
        </w:rPr>
        <w:t>its</w:t>
      </w:r>
      <w:r w:rsidR="007C6046" w:rsidRPr="00C45D0E">
        <w:rPr>
          <w:color w:val="000080"/>
        </w:rPr>
        <w:t xml:space="preserve"> rating recommendation.</w:t>
      </w:r>
      <w:r w:rsidR="008C6602" w:rsidRPr="00C45D0E">
        <w:rPr>
          <w:color w:val="000080"/>
        </w:rPr>
        <w:t xml:space="preserve">  The only examination completely acceptable by VASRD §4.71a standards was performed by PT for MEB</w:t>
      </w:r>
      <w:r w:rsidR="00791092" w:rsidRPr="00C45D0E">
        <w:rPr>
          <w:color w:val="000080"/>
        </w:rPr>
        <w:t xml:space="preserve"> purposes</w:t>
      </w:r>
      <w:r w:rsidR="008C6602" w:rsidRPr="00C45D0E">
        <w:rPr>
          <w:color w:val="000080"/>
        </w:rPr>
        <w:t xml:space="preserve">.  This </w:t>
      </w:r>
      <w:r w:rsidR="00550CA4" w:rsidRPr="00C45D0E">
        <w:rPr>
          <w:color w:val="000080"/>
        </w:rPr>
        <w:t xml:space="preserve">specified pain as </w:t>
      </w:r>
      <w:r w:rsidR="00791092" w:rsidRPr="00C45D0E">
        <w:rPr>
          <w:color w:val="000080"/>
        </w:rPr>
        <w:t xml:space="preserve">the </w:t>
      </w:r>
      <w:r w:rsidR="00345747" w:rsidRPr="00C45D0E">
        <w:rPr>
          <w:color w:val="000080"/>
        </w:rPr>
        <w:t>end-point of measurement</w:t>
      </w:r>
      <w:r w:rsidR="00550CA4" w:rsidRPr="00C45D0E">
        <w:rPr>
          <w:color w:val="000080"/>
        </w:rPr>
        <w:t xml:space="preserve">.  An additional set of measurements was provided by the </w:t>
      </w:r>
      <w:r w:rsidR="00345747" w:rsidRPr="00C45D0E">
        <w:rPr>
          <w:color w:val="000080"/>
        </w:rPr>
        <w:t xml:space="preserve">NARSUM </w:t>
      </w:r>
      <w:r w:rsidR="00550CA4" w:rsidRPr="00C45D0E">
        <w:rPr>
          <w:color w:val="000080"/>
        </w:rPr>
        <w:t xml:space="preserve">examiner.  It did not specify if a </w:t>
      </w:r>
      <w:proofErr w:type="spellStart"/>
      <w:r w:rsidR="00550CA4" w:rsidRPr="00C45D0E">
        <w:rPr>
          <w:color w:val="000080"/>
        </w:rPr>
        <w:t>goniometer</w:t>
      </w:r>
      <w:proofErr w:type="spellEnd"/>
      <w:r w:rsidR="00550CA4" w:rsidRPr="00C45D0E">
        <w:rPr>
          <w:color w:val="000080"/>
        </w:rPr>
        <w:t xml:space="preserve"> was used and </w:t>
      </w:r>
      <w:r w:rsidR="00345747" w:rsidRPr="00C45D0E">
        <w:rPr>
          <w:color w:val="000080"/>
        </w:rPr>
        <w:t xml:space="preserve">did not provide a measurement </w:t>
      </w:r>
      <w:r w:rsidR="008320F0" w:rsidRPr="00C45D0E">
        <w:rPr>
          <w:color w:val="000080"/>
        </w:rPr>
        <w:t xml:space="preserve">of </w:t>
      </w:r>
      <w:proofErr w:type="spellStart"/>
      <w:r w:rsidR="008320F0" w:rsidRPr="00C45D0E">
        <w:rPr>
          <w:color w:val="000080"/>
        </w:rPr>
        <w:t>thoracolumbar</w:t>
      </w:r>
      <w:proofErr w:type="spellEnd"/>
      <w:r w:rsidR="00550CA4" w:rsidRPr="00C45D0E">
        <w:rPr>
          <w:color w:val="000080"/>
        </w:rPr>
        <w:t xml:space="preserve"> extension.  It did specify pain as the end-point.  It noted ‘minimal’ tenderness and documented no positive (or negative) findings for gait or curvature.  The VA examiner gave all measurements by separate thoracic and lumbar segments.  </w:t>
      </w:r>
      <w:r w:rsidR="00E42172" w:rsidRPr="00C45D0E">
        <w:rPr>
          <w:color w:val="000080"/>
        </w:rPr>
        <w:t xml:space="preserve">His exam stated that extension was not attempted for either segment and gave no lateral flexion values for the thoracic segment.  The VA examiner stated the gait was ‘markedly </w:t>
      </w:r>
      <w:proofErr w:type="spellStart"/>
      <w:r w:rsidR="00E42172" w:rsidRPr="00C45D0E">
        <w:rPr>
          <w:color w:val="000080"/>
        </w:rPr>
        <w:t>antalgic</w:t>
      </w:r>
      <w:proofErr w:type="spellEnd"/>
      <w:r w:rsidR="00E42172" w:rsidRPr="00C45D0E">
        <w:rPr>
          <w:color w:val="000080"/>
        </w:rPr>
        <w:t>’, although conversely stated that the curvature was normal and that there was no spasm.  All three of these exams are summarized in the chart below.</w:t>
      </w:r>
    </w:p>
    <w:p w:rsidR="00560D57" w:rsidRDefault="00560D57" w:rsidP="002C6E5B">
      <w:pPr>
        <w:tabs>
          <w:tab w:val="left" w:pos="288"/>
          <w:tab w:val="left" w:pos="4752"/>
        </w:tabs>
        <w:spacing w:line="240" w:lineRule="exact"/>
        <w:rPr>
          <w:rFonts w:asciiTheme="minorHAnsi" w:hAnsiTheme="minorHAnsi"/>
          <w:color w:val="auto"/>
          <w:szCs w:val="24"/>
        </w:rPr>
      </w:pPr>
    </w:p>
    <w:tbl>
      <w:tblPr>
        <w:tblW w:w="75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1530"/>
        <w:gridCol w:w="1980"/>
        <w:gridCol w:w="1890"/>
      </w:tblGrid>
      <w:tr w:rsidR="00560D57" w:rsidRPr="007862B0" w:rsidTr="0025197E">
        <w:tc>
          <w:tcPr>
            <w:tcW w:w="2160" w:type="dxa"/>
            <w:shd w:val="clear" w:color="auto" w:fill="C6D9F1" w:themeFill="text2" w:themeFillTint="33"/>
          </w:tcPr>
          <w:p w:rsidR="00560D57" w:rsidRPr="00F81C35" w:rsidRDefault="00560D57" w:rsidP="001C62D7">
            <w:pPr>
              <w:pStyle w:val="ListParagraph"/>
              <w:spacing w:after="0" w:line="240" w:lineRule="exact"/>
              <w:ind w:left="0"/>
              <w:jc w:val="center"/>
              <w:rPr>
                <w:rFonts w:ascii="Calibri" w:eastAsia="Calibri" w:hAnsi="Calibri" w:cs="Times New Roman"/>
                <w:color w:val="002060"/>
              </w:rPr>
            </w:pPr>
            <w:proofErr w:type="spellStart"/>
            <w:r w:rsidRPr="00F81C35">
              <w:rPr>
                <w:rFonts w:ascii="Calibri" w:eastAsia="Calibri" w:hAnsi="Calibri" w:cs="Times New Roman"/>
                <w:color w:val="002060"/>
              </w:rPr>
              <w:t>Thoracolumbar</w:t>
            </w:r>
            <w:proofErr w:type="spellEnd"/>
            <w:r w:rsidRPr="00F81C35">
              <w:rPr>
                <w:rFonts w:ascii="Calibri" w:eastAsia="Calibri" w:hAnsi="Calibri" w:cs="Times New Roman"/>
                <w:color w:val="002060"/>
              </w:rPr>
              <w:t xml:space="preserve"> ROM</w:t>
            </w:r>
          </w:p>
        </w:tc>
        <w:tc>
          <w:tcPr>
            <w:tcW w:w="1530" w:type="dxa"/>
            <w:shd w:val="clear" w:color="auto" w:fill="C6D9F1" w:themeFill="text2" w:themeFillTint="33"/>
          </w:tcPr>
          <w:p w:rsidR="00560D57" w:rsidRPr="00F81C35" w:rsidRDefault="00A60D83" w:rsidP="0025197E">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PT</w:t>
            </w:r>
            <w:r w:rsidR="00560D57" w:rsidRPr="00F81C35">
              <w:rPr>
                <w:rFonts w:ascii="Calibri" w:eastAsia="Calibri" w:hAnsi="Calibri" w:cs="Times New Roman"/>
                <w:color w:val="002060"/>
              </w:rPr>
              <w:t xml:space="preserve"> – </w:t>
            </w:r>
            <w:r w:rsidR="0025197E">
              <w:rPr>
                <w:rFonts w:ascii="Calibri" w:eastAsia="Calibri" w:hAnsi="Calibri" w:cs="Times New Roman"/>
                <w:color w:val="002060"/>
              </w:rPr>
              <w:t>1/14/03</w:t>
            </w:r>
          </w:p>
        </w:tc>
        <w:tc>
          <w:tcPr>
            <w:tcW w:w="1980" w:type="dxa"/>
            <w:shd w:val="clear" w:color="auto" w:fill="C6D9F1" w:themeFill="text2" w:themeFillTint="33"/>
          </w:tcPr>
          <w:p w:rsidR="00560D57" w:rsidRPr="00F81C35" w:rsidRDefault="0025197E" w:rsidP="0025197E">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NARSUM</w:t>
            </w:r>
            <w:r w:rsidR="00560D57" w:rsidRPr="00F81C35">
              <w:rPr>
                <w:rFonts w:ascii="Calibri" w:eastAsia="Calibri" w:hAnsi="Calibri" w:cs="Times New Roman"/>
                <w:color w:val="002060"/>
              </w:rPr>
              <w:t xml:space="preserve"> </w:t>
            </w:r>
            <w:r>
              <w:rPr>
                <w:rFonts w:ascii="Calibri" w:eastAsia="Calibri" w:hAnsi="Calibri" w:cs="Times New Roman"/>
                <w:color w:val="002060"/>
              </w:rPr>
              <w:t>–</w:t>
            </w:r>
            <w:r w:rsidR="00560D57" w:rsidRPr="00F81C35">
              <w:rPr>
                <w:rFonts w:ascii="Calibri" w:eastAsia="Calibri" w:hAnsi="Calibri" w:cs="Times New Roman"/>
                <w:color w:val="002060"/>
              </w:rPr>
              <w:t xml:space="preserve"> </w:t>
            </w:r>
            <w:r>
              <w:rPr>
                <w:rFonts w:ascii="Calibri" w:eastAsia="Calibri" w:hAnsi="Calibri" w:cs="Times New Roman"/>
                <w:color w:val="002060"/>
              </w:rPr>
              <w:t>1/10/03</w:t>
            </w:r>
          </w:p>
        </w:tc>
        <w:tc>
          <w:tcPr>
            <w:tcW w:w="1890" w:type="dxa"/>
            <w:shd w:val="clear" w:color="auto" w:fill="C6D9F1" w:themeFill="text2" w:themeFillTint="33"/>
          </w:tcPr>
          <w:p w:rsidR="00560D57" w:rsidRPr="00F81C35" w:rsidRDefault="00560D57" w:rsidP="0025197E">
            <w:pPr>
              <w:pStyle w:val="ListParagraph"/>
              <w:spacing w:after="0" w:line="240" w:lineRule="exact"/>
              <w:ind w:left="0"/>
              <w:jc w:val="center"/>
              <w:rPr>
                <w:rFonts w:ascii="Calibri" w:hAnsi="Calibri"/>
                <w:color w:val="002060"/>
              </w:rPr>
            </w:pPr>
            <w:r w:rsidRPr="00F81C35">
              <w:rPr>
                <w:rFonts w:ascii="Calibri" w:eastAsia="Calibri" w:hAnsi="Calibri" w:cs="Times New Roman"/>
                <w:color w:val="002060"/>
              </w:rPr>
              <w:t>VA</w:t>
            </w:r>
            <w:r w:rsidRPr="00F81C35">
              <w:rPr>
                <w:rFonts w:ascii="Calibri" w:hAnsi="Calibri"/>
                <w:color w:val="002060"/>
              </w:rPr>
              <w:t xml:space="preserve"> C&amp;P </w:t>
            </w:r>
            <w:r w:rsidR="0025197E">
              <w:rPr>
                <w:rFonts w:ascii="Calibri" w:hAnsi="Calibri"/>
                <w:color w:val="002060"/>
              </w:rPr>
              <w:t>–</w:t>
            </w:r>
            <w:r w:rsidRPr="00F81C35">
              <w:rPr>
                <w:rFonts w:ascii="Calibri" w:hAnsi="Calibri"/>
                <w:color w:val="002060"/>
              </w:rPr>
              <w:t xml:space="preserve"> </w:t>
            </w:r>
            <w:r w:rsidR="0025197E">
              <w:rPr>
                <w:rFonts w:ascii="Calibri" w:eastAsia="Calibri" w:hAnsi="Calibri" w:cs="Times New Roman"/>
                <w:color w:val="002060"/>
              </w:rPr>
              <w:t>3/10/03</w:t>
            </w:r>
          </w:p>
        </w:tc>
      </w:tr>
      <w:tr w:rsidR="00560D57" w:rsidRPr="00140096" w:rsidTr="0025197E">
        <w:tc>
          <w:tcPr>
            <w:tcW w:w="2160" w:type="dxa"/>
          </w:tcPr>
          <w:p w:rsidR="00560D57" w:rsidRPr="00F81C35" w:rsidRDefault="00560D57" w:rsidP="001C62D7">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Flexion</w:t>
            </w:r>
          </w:p>
        </w:tc>
        <w:tc>
          <w:tcPr>
            <w:tcW w:w="1530" w:type="dxa"/>
          </w:tcPr>
          <w:p w:rsidR="00560D57" w:rsidRPr="00F81C35" w:rsidRDefault="0025197E" w:rsidP="001C62D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75</w:t>
            </w:r>
            <w:r w:rsidR="00560D57" w:rsidRPr="00F81C35">
              <w:rPr>
                <w:rFonts w:ascii="Calibri" w:eastAsia="Calibri" w:hAnsi="Calibri" w:cs="Times New Roman"/>
                <w:color w:val="002060"/>
              </w:rPr>
              <w:t>⁰</w:t>
            </w:r>
          </w:p>
        </w:tc>
        <w:tc>
          <w:tcPr>
            <w:tcW w:w="1980" w:type="dxa"/>
          </w:tcPr>
          <w:p w:rsidR="00560D57" w:rsidRPr="00F81C35" w:rsidRDefault="0025197E" w:rsidP="001C62D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6</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⁰</w:t>
            </w:r>
          </w:p>
        </w:tc>
        <w:tc>
          <w:tcPr>
            <w:tcW w:w="1890" w:type="dxa"/>
          </w:tcPr>
          <w:p w:rsidR="00560D57" w:rsidRPr="00F81C35" w:rsidRDefault="0025197E" w:rsidP="001C62D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T-15</w:t>
            </w:r>
            <w:r w:rsidR="00560D57" w:rsidRPr="00F81C35">
              <w:rPr>
                <w:rFonts w:ascii="Calibri" w:eastAsia="Calibri" w:hAnsi="Calibri" w:cs="Times New Roman"/>
                <w:color w:val="002060"/>
              </w:rPr>
              <w:t>⁰</w:t>
            </w:r>
            <w:r>
              <w:rPr>
                <w:rFonts w:ascii="Calibri" w:eastAsia="Calibri" w:hAnsi="Calibri" w:cs="Times New Roman"/>
                <w:color w:val="002060"/>
              </w:rPr>
              <w:t>/L-25</w:t>
            </w:r>
            <w:r w:rsidR="00A865B6" w:rsidRPr="00F81C35">
              <w:rPr>
                <w:rFonts w:ascii="Calibri" w:eastAsia="Calibri" w:hAnsi="Calibri" w:cs="Times New Roman"/>
                <w:color w:val="002060"/>
              </w:rPr>
              <w:t>⁰</w:t>
            </w:r>
          </w:p>
        </w:tc>
      </w:tr>
      <w:tr w:rsidR="00560D57" w:rsidRPr="00D340CE" w:rsidTr="0025197E">
        <w:tc>
          <w:tcPr>
            <w:tcW w:w="2160" w:type="dxa"/>
          </w:tcPr>
          <w:p w:rsidR="00560D57" w:rsidRPr="00F81C35" w:rsidRDefault="00560D57" w:rsidP="001C62D7">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Combined</w:t>
            </w:r>
          </w:p>
        </w:tc>
        <w:tc>
          <w:tcPr>
            <w:tcW w:w="1530" w:type="dxa"/>
          </w:tcPr>
          <w:p w:rsidR="00560D57" w:rsidRPr="00F81C35" w:rsidRDefault="0025197E" w:rsidP="001C62D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18</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⁰</w:t>
            </w:r>
          </w:p>
        </w:tc>
        <w:tc>
          <w:tcPr>
            <w:tcW w:w="1980" w:type="dxa"/>
          </w:tcPr>
          <w:p w:rsidR="00560D57" w:rsidRPr="00F81C35" w:rsidRDefault="0025197E" w:rsidP="00A865B6">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&gt;210</w:t>
            </w:r>
            <w:r w:rsidR="00A865B6" w:rsidRPr="00F81C35">
              <w:rPr>
                <w:rFonts w:ascii="Calibri" w:eastAsia="Calibri" w:hAnsi="Calibri" w:cs="Times New Roman"/>
                <w:color w:val="002060"/>
              </w:rPr>
              <w:t>⁰</w:t>
            </w:r>
          </w:p>
        </w:tc>
        <w:tc>
          <w:tcPr>
            <w:tcW w:w="1890" w:type="dxa"/>
          </w:tcPr>
          <w:p w:rsidR="00560D57" w:rsidRPr="00F81C35" w:rsidRDefault="0025197E" w:rsidP="00A865B6">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Incomplet</w:t>
            </w:r>
            <w:r w:rsidR="00A865B6">
              <w:rPr>
                <w:rFonts w:ascii="Calibri" w:eastAsia="Calibri" w:hAnsi="Calibri" w:cs="Times New Roman"/>
                <w:color w:val="002060"/>
              </w:rPr>
              <w:t>e</w:t>
            </w:r>
          </w:p>
        </w:tc>
      </w:tr>
      <w:tr w:rsidR="00194930" w:rsidRPr="004E0248" w:rsidTr="0025197E">
        <w:tc>
          <w:tcPr>
            <w:tcW w:w="2160" w:type="dxa"/>
          </w:tcPr>
          <w:p w:rsidR="00194930" w:rsidRPr="00F81C35" w:rsidRDefault="00194930" w:rsidP="004E0248">
            <w:pPr>
              <w:tabs>
                <w:tab w:val="left" w:pos="288"/>
                <w:tab w:val="left" w:pos="4752"/>
              </w:tabs>
              <w:spacing w:line="240" w:lineRule="exact"/>
              <w:rPr>
                <w:rFonts w:asciiTheme="minorHAnsi" w:eastAsiaTheme="minorHAnsi" w:hAnsiTheme="minorHAnsi"/>
                <w:color w:val="002060"/>
                <w:sz w:val="22"/>
                <w:szCs w:val="22"/>
              </w:rPr>
            </w:pPr>
            <w:r w:rsidRPr="00F81C35">
              <w:rPr>
                <w:rFonts w:asciiTheme="minorHAnsi" w:eastAsiaTheme="minorHAnsi" w:hAnsiTheme="minorHAnsi"/>
                <w:color w:val="002060"/>
                <w:sz w:val="22"/>
                <w:szCs w:val="22"/>
              </w:rPr>
              <w:t>§4.71a Rating</w:t>
            </w:r>
          </w:p>
        </w:tc>
        <w:tc>
          <w:tcPr>
            <w:tcW w:w="1530" w:type="dxa"/>
          </w:tcPr>
          <w:p w:rsidR="00194930" w:rsidRPr="00F81C35" w:rsidRDefault="0025197E"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1</w:t>
            </w:r>
            <w:r w:rsidR="00384866" w:rsidRPr="00F81C35">
              <w:rPr>
                <w:rFonts w:asciiTheme="minorHAnsi" w:eastAsiaTheme="minorHAnsi" w:hAnsiTheme="minorHAnsi"/>
                <w:color w:val="002060"/>
                <w:sz w:val="22"/>
                <w:szCs w:val="22"/>
              </w:rPr>
              <w:t>0</w:t>
            </w:r>
            <w:r w:rsidR="00194930" w:rsidRPr="00F81C35">
              <w:rPr>
                <w:rFonts w:asciiTheme="minorHAnsi" w:eastAsiaTheme="minorHAnsi" w:hAnsiTheme="minorHAnsi"/>
                <w:color w:val="002060"/>
                <w:sz w:val="22"/>
                <w:szCs w:val="22"/>
              </w:rPr>
              <w:t>%</w:t>
            </w:r>
          </w:p>
        </w:tc>
        <w:tc>
          <w:tcPr>
            <w:tcW w:w="1980" w:type="dxa"/>
          </w:tcPr>
          <w:p w:rsidR="00194930" w:rsidRPr="00F81C35" w:rsidRDefault="0025197E"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2</w:t>
            </w:r>
            <w:r w:rsidR="00194930" w:rsidRPr="00F81C35">
              <w:rPr>
                <w:rFonts w:asciiTheme="minorHAnsi" w:eastAsiaTheme="minorHAnsi" w:hAnsiTheme="minorHAnsi"/>
                <w:color w:val="002060"/>
                <w:sz w:val="22"/>
                <w:szCs w:val="22"/>
              </w:rPr>
              <w:t>0%</w:t>
            </w:r>
          </w:p>
        </w:tc>
        <w:tc>
          <w:tcPr>
            <w:tcW w:w="1890" w:type="dxa"/>
          </w:tcPr>
          <w:p w:rsidR="00194930" w:rsidRPr="00F81C35" w:rsidRDefault="00A865B6"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2</w:t>
            </w:r>
            <w:r w:rsidR="00194930" w:rsidRPr="00F81C35">
              <w:rPr>
                <w:rFonts w:asciiTheme="minorHAnsi" w:eastAsiaTheme="minorHAnsi" w:hAnsiTheme="minorHAnsi"/>
                <w:color w:val="002060"/>
                <w:sz w:val="22"/>
                <w:szCs w:val="22"/>
              </w:rPr>
              <w:t>0%</w:t>
            </w:r>
          </w:p>
        </w:tc>
      </w:tr>
    </w:tbl>
    <w:p w:rsidR="008C6602" w:rsidRDefault="008C6602" w:rsidP="008C6602">
      <w:pPr>
        <w:pStyle w:val="ListParagraph"/>
        <w:spacing w:after="0" w:line="240" w:lineRule="exact"/>
        <w:ind w:left="0"/>
        <w:rPr>
          <w:rFonts w:ascii="Calibri" w:eastAsia="Calibri" w:hAnsi="Calibri" w:cs="Times New Roman"/>
          <w:color w:val="002060"/>
        </w:rPr>
      </w:pPr>
    </w:p>
    <w:p w:rsidR="00345747" w:rsidRPr="00C45D0E" w:rsidRDefault="00926FCB" w:rsidP="00C45D0E">
      <w:pPr>
        <w:tabs>
          <w:tab w:val="left" w:pos="288"/>
          <w:tab w:val="left" w:pos="4752"/>
        </w:tabs>
        <w:spacing w:line="240" w:lineRule="exact"/>
        <w:jc w:val="both"/>
        <w:rPr>
          <w:color w:val="000080"/>
        </w:rPr>
      </w:pPr>
      <w:r w:rsidRPr="00C45D0E">
        <w:rPr>
          <w:color w:val="000080"/>
        </w:rPr>
        <w:t>The</w:t>
      </w:r>
      <w:r w:rsidR="009576BC" w:rsidRPr="00C45D0E">
        <w:rPr>
          <w:color w:val="000080"/>
        </w:rPr>
        <w:t xml:space="preserve"> </w:t>
      </w:r>
      <w:r w:rsidRPr="00C45D0E">
        <w:rPr>
          <w:color w:val="000080"/>
        </w:rPr>
        <w:t xml:space="preserve">PEB and VA chose </w:t>
      </w:r>
      <w:r w:rsidR="00E42172" w:rsidRPr="00C45D0E">
        <w:rPr>
          <w:color w:val="000080"/>
        </w:rPr>
        <w:t>similar</w:t>
      </w:r>
      <w:r w:rsidRPr="00C45D0E">
        <w:rPr>
          <w:color w:val="000080"/>
        </w:rPr>
        <w:t xml:space="preserve"> coding options for th</w:t>
      </w:r>
      <w:r w:rsidR="009576BC" w:rsidRPr="00C45D0E">
        <w:rPr>
          <w:color w:val="000080"/>
        </w:rPr>
        <w:t>e</w:t>
      </w:r>
      <w:r w:rsidR="00E42172" w:rsidRPr="00C45D0E">
        <w:rPr>
          <w:color w:val="000080"/>
        </w:rPr>
        <w:t xml:space="preserve"> condition</w:t>
      </w:r>
      <w:r w:rsidRPr="00C45D0E">
        <w:rPr>
          <w:color w:val="000080"/>
        </w:rPr>
        <w:t xml:space="preserve">.  </w:t>
      </w:r>
      <w:r w:rsidR="009576BC" w:rsidRPr="00C45D0E">
        <w:rPr>
          <w:color w:val="000080"/>
        </w:rPr>
        <w:t xml:space="preserve">The PEB’s DA </w:t>
      </w:r>
      <w:r w:rsidR="000C6641">
        <w:rPr>
          <w:color w:val="000080"/>
        </w:rPr>
        <w:t xml:space="preserve">Form </w:t>
      </w:r>
      <w:r w:rsidR="009576BC" w:rsidRPr="00C45D0E">
        <w:rPr>
          <w:color w:val="000080"/>
        </w:rPr>
        <w:t xml:space="preserve">199 reflected application of the </w:t>
      </w:r>
      <w:r w:rsidR="000C6641">
        <w:rPr>
          <w:color w:val="000080"/>
        </w:rPr>
        <w:t xml:space="preserve">US Army </w:t>
      </w:r>
      <w:r w:rsidR="000C6641">
        <w:rPr>
          <w:color w:val="000080"/>
        </w:rPr>
        <w:lastRenderedPageBreak/>
        <w:t>Physical Disability Agency (</w:t>
      </w:r>
      <w:r w:rsidR="009576BC" w:rsidRPr="00C45D0E">
        <w:rPr>
          <w:color w:val="000080"/>
        </w:rPr>
        <w:t>USAPDA</w:t>
      </w:r>
      <w:r w:rsidR="000C6641">
        <w:rPr>
          <w:color w:val="000080"/>
        </w:rPr>
        <w:t>)</w:t>
      </w:r>
      <w:r w:rsidR="009576BC" w:rsidRPr="00C45D0E">
        <w:rPr>
          <w:color w:val="000080"/>
        </w:rPr>
        <w:t xml:space="preserve"> pain policy for rating, but its 10% determination was consistent with §4.71a standards</w:t>
      </w:r>
      <w:r w:rsidR="00791092" w:rsidRPr="00C45D0E">
        <w:rPr>
          <w:color w:val="000080"/>
        </w:rPr>
        <w:t xml:space="preserve"> in regards to the MEB PT examination</w:t>
      </w:r>
      <w:r w:rsidR="009576BC" w:rsidRPr="00C45D0E">
        <w:rPr>
          <w:color w:val="000080"/>
        </w:rPr>
        <w:t>.</w:t>
      </w:r>
      <w:r w:rsidR="00791092" w:rsidRPr="00C45D0E">
        <w:rPr>
          <w:color w:val="000080"/>
        </w:rPr>
        <w:t xml:space="preserve">  The Board cannot assign significant probative value to the VA pre-separation rating examination </w:t>
      </w:r>
      <w:r w:rsidR="008320F0" w:rsidRPr="00C45D0E">
        <w:rPr>
          <w:color w:val="000080"/>
        </w:rPr>
        <w:t>in arriving at a</w:t>
      </w:r>
      <w:r w:rsidR="00791092" w:rsidRPr="00C45D0E">
        <w:rPr>
          <w:color w:val="000080"/>
        </w:rPr>
        <w:t xml:space="preserve"> rating examination</w:t>
      </w:r>
      <w:r w:rsidR="008320F0" w:rsidRPr="00C45D0E">
        <w:rPr>
          <w:color w:val="000080"/>
        </w:rPr>
        <w:t xml:space="preserve"> in this case</w:t>
      </w:r>
      <w:r w:rsidR="00791092" w:rsidRPr="00C45D0E">
        <w:rPr>
          <w:color w:val="000080"/>
        </w:rPr>
        <w:t xml:space="preserve">.  </w:t>
      </w:r>
      <w:r w:rsidR="00A865B6" w:rsidRPr="00C45D0E">
        <w:rPr>
          <w:color w:val="000080"/>
        </w:rPr>
        <w:t>The VA exam</w:t>
      </w:r>
      <w:r w:rsidR="008320F0" w:rsidRPr="00C45D0E">
        <w:rPr>
          <w:color w:val="000080"/>
        </w:rPr>
        <w:t xml:space="preserve"> does not provide adequate information for an accurate rating IAW §4.71a and would typically be repeated for rating purposes.  The VA rating decision for the 40% determination referenced the examiner’s history of the condition and the markedly </w:t>
      </w:r>
      <w:proofErr w:type="spellStart"/>
      <w:r w:rsidR="008320F0" w:rsidRPr="00C45D0E">
        <w:rPr>
          <w:color w:val="000080"/>
        </w:rPr>
        <w:t>antalgic</w:t>
      </w:r>
      <w:proofErr w:type="spellEnd"/>
      <w:r w:rsidR="008320F0" w:rsidRPr="00C45D0E">
        <w:rPr>
          <w:color w:val="000080"/>
        </w:rPr>
        <w:t xml:space="preserve"> gait, rather than ROM measurements which is the usual format.  </w:t>
      </w:r>
      <w:r w:rsidR="00791092" w:rsidRPr="00C45D0E">
        <w:rPr>
          <w:color w:val="000080"/>
        </w:rPr>
        <w:t xml:space="preserve">Even if the thoracic and lumbar measurements were added to obtain the </w:t>
      </w:r>
      <w:proofErr w:type="spellStart"/>
      <w:r w:rsidR="00791092" w:rsidRPr="00C45D0E">
        <w:rPr>
          <w:color w:val="000080"/>
        </w:rPr>
        <w:t>thoracolumbar</w:t>
      </w:r>
      <w:proofErr w:type="spellEnd"/>
      <w:r w:rsidR="00791092" w:rsidRPr="00C45D0E">
        <w:rPr>
          <w:color w:val="000080"/>
        </w:rPr>
        <w:t xml:space="preserve"> </w:t>
      </w:r>
      <w:r w:rsidR="001E48BF">
        <w:rPr>
          <w:color w:val="000080"/>
        </w:rPr>
        <w:t xml:space="preserve">rating </w:t>
      </w:r>
      <w:r w:rsidR="00791092" w:rsidRPr="00C45D0E">
        <w:rPr>
          <w:color w:val="000080"/>
        </w:rPr>
        <w:t xml:space="preserve">values (generating a §4.71a rating of 20%), the missing measurements </w:t>
      </w:r>
      <w:r w:rsidR="00345747" w:rsidRPr="00C45D0E">
        <w:rPr>
          <w:color w:val="000080"/>
        </w:rPr>
        <w:t>can</w:t>
      </w:r>
      <w:r w:rsidR="00EB5FC4" w:rsidRPr="00C45D0E">
        <w:rPr>
          <w:color w:val="000080"/>
        </w:rPr>
        <w:t xml:space="preserve">not be reasonably substituted as 0°.  </w:t>
      </w:r>
      <w:r w:rsidR="008320F0" w:rsidRPr="00C45D0E">
        <w:rPr>
          <w:color w:val="000080"/>
        </w:rPr>
        <w:t>Furthermore t</w:t>
      </w:r>
      <w:r w:rsidR="00EB5FC4" w:rsidRPr="00C45D0E">
        <w:rPr>
          <w:color w:val="000080"/>
        </w:rPr>
        <w:t>h</w:t>
      </w:r>
      <w:r w:rsidR="008320F0" w:rsidRPr="00C45D0E">
        <w:rPr>
          <w:color w:val="000080"/>
        </w:rPr>
        <w:t>e</w:t>
      </w:r>
      <w:r w:rsidR="00EB5FC4" w:rsidRPr="00C45D0E">
        <w:rPr>
          <w:color w:val="000080"/>
        </w:rPr>
        <w:t xml:space="preserve"> gait disturbance </w:t>
      </w:r>
      <w:r w:rsidR="007676E5" w:rsidRPr="00C45D0E">
        <w:rPr>
          <w:color w:val="000080"/>
        </w:rPr>
        <w:t>and marked ROM impairment reflected in</w:t>
      </w:r>
      <w:r w:rsidR="00EB5FC4" w:rsidRPr="00C45D0E">
        <w:rPr>
          <w:color w:val="000080"/>
        </w:rPr>
        <w:t xml:space="preserve"> the VA rating examination</w:t>
      </w:r>
      <w:r w:rsidR="007676E5" w:rsidRPr="00C45D0E">
        <w:rPr>
          <w:color w:val="000080"/>
        </w:rPr>
        <w:t xml:space="preserve"> are not corroborated elsewhere in the record</w:t>
      </w:r>
      <w:r w:rsidR="00EB5FC4" w:rsidRPr="00C45D0E">
        <w:rPr>
          <w:color w:val="000080"/>
        </w:rPr>
        <w:t xml:space="preserve">.  Neither the NARSUM, MEB physical nor any other </w:t>
      </w:r>
      <w:r w:rsidR="007676E5" w:rsidRPr="00C45D0E">
        <w:rPr>
          <w:color w:val="000080"/>
        </w:rPr>
        <w:t xml:space="preserve">provider notes in the service record make note of gait disturbance or </w:t>
      </w:r>
      <w:r w:rsidR="009E5328" w:rsidRPr="00C45D0E">
        <w:rPr>
          <w:color w:val="000080"/>
        </w:rPr>
        <w:t>marked</w:t>
      </w:r>
      <w:r w:rsidR="007676E5" w:rsidRPr="00C45D0E">
        <w:rPr>
          <w:color w:val="000080"/>
        </w:rPr>
        <w:t xml:space="preserve"> ROM impairment.  </w:t>
      </w:r>
      <w:r w:rsidR="00461B98" w:rsidRPr="00C45D0E">
        <w:rPr>
          <w:color w:val="000080"/>
        </w:rPr>
        <w:t>Th</w:t>
      </w:r>
      <w:r w:rsidR="009E5328" w:rsidRPr="00C45D0E">
        <w:rPr>
          <w:color w:val="000080"/>
        </w:rPr>
        <w:t>ese</w:t>
      </w:r>
      <w:r w:rsidR="00461B98" w:rsidRPr="00C45D0E">
        <w:rPr>
          <w:color w:val="000080"/>
        </w:rPr>
        <w:t xml:space="preserve"> included multiple PT visits and several </w:t>
      </w:r>
      <w:r w:rsidR="000C6641">
        <w:rPr>
          <w:color w:val="000080"/>
        </w:rPr>
        <w:t>emergency room (</w:t>
      </w:r>
      <w:r w:rsidR="00461B98" w:rsidRPr="00C45D0E">
        <w:rPr>
          <w:color w:val="000080"/>
        </w:rPr>
        <w:t>ER</w:t>
      </w:r>
      <w:r w:rsidR="000C6641">
        <w:rPr>
          <w:color w:val="000080"/>
        </w:rPr>
        <w:t>)</w:t>
      </w:r>
      <w:r w:rsidR="00461B98" w:rsidRPr="00C45D0E">
        <w:rPr>
          <w:color w:val="000080"/>
        </w:rPr>
        <w:t xml:space="preserve"> visits.  </w:t>
      </w:r>
      <w:r w:rsidR="007676E5" w:rsidRPr="00C45D0E">
        <w:rPr>
          <w:color w:val="000080"/>
        </w:rPr>
        <w:t>The neurolog</w:t>
      </w:r>
      <w:r w:rsidR="00461B98" w:rsidRPr="00C45D0E">
        <w:rPr>
          <w:color w:val="000080"/>
        </w:rPr>
        <w:t xml:space="preserve">y </w:t>
      </w:r>
      <w:r w:rsidR="009E5328" w:rsidRPr="00C45D0E">
        <w:rPr>
          <w:color w:val="000080"/>
        </w:rPr>
        <w:t>addendum and the MEB physical</w:t>
      </w:r>
      <w:r w:rsidR="00461B98" w:rsidRPr="00C45D0E">
        <w:rPr>
          <w:color w:val="000080"/>
        </w:rPr>
        <w:t xml:space="preserve">, </w:t>
      </w:r>
      <w:r w:rsidR="009E5328" w:rsidRPr="00C45D0E">
        <w:rPr>
          <w:color w:val="000080"/>
        </w:rPr>
        <w:t xml:space="preserve">both within </w:t>
      </w:r>
      <w:r w:rsidR="007676E5" w:rsidRPr="00C45D0E">
        <w:rPr>
          <w:color w:val="000080"/>
        </w:rPr>
        <w:t>two mon</w:t>
      </w:r>
      <w:r w:rsidR="00461B98" w:rsidRPr="00C45D0E">
        <w:rPr>
          <w:color w:val="000080"/>
        </w:rPr>
        <w:t xml:space="preserve">ths </w:t>
      </w:r>
      <w:r w:rsidR="009E5328" w:rsidRPr="00C45D0E">
        <w:rPr>
          <w:color w:val="000080"/>
        </w:rPr>
        <w:t>of</w:t>
      </w:r>
      <w:r w:rsidR="00461B98" w:rsidRPr="00C45D0E">
        <w:rPr>
          <w:color w:val="000080"/>
        </w:rPr>
        <w:t xml:space="preserve"> the VA examination, </w:t>
      </w:r>
      <w:r w:rsidR="008320F0" w:rsidRPr="00C45D0E">
        <w:rPr>
          <w:color w:val="000080"/>
        </w:rPr>
        <w:t>documented</w:t>
      </w:r>
      <w:r w:rsidR="00461B98" w:rsidRPr="00C45D0E">
        <w:rPr>
          <w:color w:val="000080"/>
        </w:rPr>
        <w:t xml:space="preserve"> a normal gait.  A physician examined the </w:t>
      </w:r>
      <w:r w:rsidR="00311DFC" w:rsidRPr="00C45D0E">
        <w:rPr>
          <w:color w:val="000080"/>
        </w:rPr>
        <w:t>CI</w:t>
      </w:r>
      <w:r w:rsidR="00461B98" w:rsidRPr="00C45D0E">
        <w:rPr>
          <w:color w:val="000080"/>
        </w:rPr>
        <w:t xml:space="preserve"> in conjunction with providing medication refills for his terminal leave three weeks after the VA rating exam.   </w:t>
      </w:r>
      <w:r w:rsidR="00311DFC" w:rsidRPr="00C45D0E">
        <w:rPr>
          <w:color w:val="000080"/>
        </w:rPr>
        <w:t>This</w:t>
      </w:r>
      <w:r w:rsidR="00461B98" w:rsidRPr="00C45D0E">
        <w:rPr>
          <w:color w:val="000080"/>
        </w:rPr>
        <w:t xml:space="preserve"> described </w:t>
      </w:r>
      <w:r w:rsidR="00311DFC" w:rsidRPr="00C45D0E">
        <w:rPr>
          <w:color w:val="000080"/>
        </w:rPr>
        <w:t>him</w:t>
      </w:r>
      <w:r w:rsidR="00461B98" w:rsidRPr="00C45D0E">
        <w:rPr>
          <w:color w:val="000080"/>
        </w:rPr>
        <w:t xml:space="preserve"> as ‘pleasant’ and in no distress, with no tenderness or deformity of the back and </w:t>
      </w:r>
      <w:r w:rsidR="00311DFC" w:rsidRPr="00C45D0E">
        <w:rPr>
          <w:color w:val="000080"/>
        </w:rPr>
        <w:t xml:space="preserve">with no pain on </w:t>
      </w:r>
      <w:r w:rsidR="00461B98" w:rsidRPr="00C45D0E">
        <w:rPr>
          <w:color w:val="000080"/>
        </w:rPr>
        <w:t xml:space="preserve">straight leg </w:t>
      </w:r>
      <w:r w:rsidR="00311DFC" w:rsidRPr="00C45D0E">
        <w:rPr>
          <w:color w:val="000080"/>
        </w:rPr>
        <w:t>raise</w:t>
      </w:r>
      <w:r w:rsidR="00461B98" w:rsidRPr="00C45D0E">
        <w:rPr>
          <w:color w:val="000080"/>
        </w:rPr>
        <w:t>.</w:t>
      </w:r>
      <w:r w:rsidR="00311DFC" w:rsidRPr="00C45D0E">
        <w:rPr>
          <w:color w:val="000080"/>
        </w:rPr>
        <w:t xml:space="preserve">  A 20% rating recommendation for the back was considered on the basis of the 60° flexion stated in the NARSUM and combined 40° flexion from the VA exam.  These were mitigated, however</w:t>
      </w:r>
      <w:r w:rsidR="00345747" w:rsidRPr="00C45D0E">
        <w:rPr>
          <w:color w:val="000080"/>
        </w:rPr>
        <w:t>,</w:t>
      </w:r>
      <w:r w:rsidR="00311DFC" w:rsidRPr="00C45D0E">
        <w:rPr>
          <w:color w:val="000080"/>
        </w:rPr>
        <w:t xml:space="preserve"> by conflicting data from the informal examinations just elaborated.  The fact remains that there </w:t>
      </w:r>
      <w:r w:rsidR="00345747" w:rsidRPr="00C45D0E">
        <w:rPr>
          <w:color w:val="000080"/>
        </w:rPr>
        <w:t>i</w:t>
      </w:r>
      <w:r w:rsidR="00311DFC" w:rsidRPr="00C45D0E">
        <w:rPr>
          <w:color w:val="000080"/>
        </w:rPr>
        <w:t>s only one examination in evidence</w:t>
      </w:r>
      <w:r w:rsidR="00345747" w:rsidRPr="00C45D0E">
        <w:rPr>
          <w:color w:val="000080"/>
        </w:rPr>
        <w:t>, the MEB PT goniometric examination,</w:t>
      </w:r>
      <w:r w:rsidR="00311DFC" w:rsidRPr="00C45D0E">
        <w:rPr>
          <w:color w:val="000080"/>
        </w:rPr>
        <w:t xml:space="preserve"> </w:t>
      </w:r>
      <w:r w:rsidR="00345747" w:rsidRPr="00C45D0E">
        <w:rPr>
          <w:color w:val="000080"/>
        </w:rPr>
        <w:t xml:space="preserve">which meets VASRD standards.   </w:t>
      </w:r>
      <w:r w:rsidR="00A865B6" w:rsidRPr="00C45D0E">
        <w:rPr>
          <w:color w:val="000080"/>
        </w:rPr>
        <w:t>That exam</w:t>
      </w:r>
      <w:r w:rsidR="00345747" w:rsidRPr="00C45D0E">
        <w:rPr>
          <w:color w:val="000080"/>
        </w:rPr>
        <w:t xml:space="preserve"> is </w:t>
      </w:r>
      <w:r w:rsidR="00A865B6" w:rsidRPr="00C45D0E">
        <w:rPr>
          <w:color w:val="000080"/>
        </w:rPr>
        <w:t xml:space="preserve">also </w:t>
      </w:r>
      <w:r w:rsidR="00345747" w:rsidRPr="00C45D0E">
        <w:rPr>
          <w:color w:val="000080"/>
        </w:rPr>
        <w:t xml:space="preserve">credible based on corroborating evidence.  There was no evidence of ratable peripheral nerve impairment in this case.  There is not reasonable doubt in the CI’s favor, therefore, to justify a Board recommendation for other than the 10% rating assigned by the PEB for the back condition.  </w:t>
      </w:r>
      <w:r w:rsidR="00525085" w:rsidRPr="00C45D0E">
        <w:rPr>
          <w:color w:val="000080"/>
        </w:rPr>
        <w:t>The Board prefers the VASRD code 5242 (arthritis of the spine) for its simplicity and accurate characterization of the pathology in this case.</w:t>
      </w:r>
    </w:p>
    <w:p w:rsidR="007E7B4E" w:rsidRPr="00C45D0E" w:rsidRDefault="007E7B4E" w:rsidP="00C45D0E">
      <w:pPr>
        <w:tabs>
          <w:tab w:val="left" w:pos="288"/>
          <w:tab w:val="left" w:pos="4752"/>
        </w:tabs>
        <w:spacing w:line="240" w:lineRule="exact"/>
        <w:jc w:val="both"/>
        <w:rPr>
          <w:color w:val="000080"/>
        </w:rPr>
      </w:pPr>
    </w:p>
    <w:p w:rsidR="00F37601" w:rsidRPr="00C45D0E" w:rsidRDefault="009A326B" w:rsidP="00C45D0E">
      <w:pPr>
        <w:tabs>
          <w:tab w:val="left" w:pos="288"/>
          <w:tab w:val="left" w:pos="4752"/>
        </w:tabs>
        <w:spacing w:line="240" w:lineRule="exact"/>
        <w:jc w:val="both"/>
        <w:rPr>
          <w:color w:val="000080"/>
        </w:rPr>
      </w:pPr>
      <w:proofErr w:type="gramStart"/>
      <w:r w:rsidRPr="00C45D0E">
        <w:rPr>
          <w:color w:val="000080"/>
          <w:u w:val="single"/>
        </w:rPr>
        <w:t>Sleep Apnea</w:t>
      </w:r>
      <w:r w:rsidRPr="00C45D0E">
        <w:rPr>
          <w:color w:val="000080"/>
        </w:rPr>
        <w:t>.</w:t>
      </w:r>
      <w:proofErr w:type="gramEnd"/>
      <w:r w:rsidRPr="00C45D0E">
        <w:rPr>
          <w:color w:val="000080"/>
        </w:rPr>
        <w:t xml:space="preserve">  </w:t>
      </w:r>
      <w:proofErr w:type="gramStart"/>
      <w:r w:rsidR="00F37601" w:rsidRPr="00C45D0E">
        <w:rPr>
          <w:color w:val="000080"/>
        </w:rPr>
        <w:t xml:space="preserve">IAW </w:t>
      </w:r>
      <w:proofErr w:type="spellStart"/>
      <w:r w:rsidR="00F37601" w:rsidRPr="00C45D0E">
        <w:rPr>
          <w:color w:val="000080"/>
        </w:rPr>
        <w:t>DoDI</w:t>
      </w:r>
      <w:proofErr w:type="spellEnd"/>
      <w:r w:rsidR="00F37601" w:rsidRPr="00C45D0E">
        <w:rPr>
          <w:color w:val="000080"/>
        </w:rPr>
        <w:t xml:space="preserve"> 6040.44, with subsequent legal opinion and precedent, the PEB’s adjudication of OSA as unfitting is not subject to a contrary fitness recommendation on the Board’s part.</w:t>
      </w:r>
      <w:proofErr w:type="gramEnd"/>
      <w:r w:rsidR="00F37601" w:rsidRPr="00C45D0E">
        <w:rPr>
          <w:color w:val="000080"/>
        </w:rPr>
        <w:t xml:space="preserve">  The PEB’s fitness determination in this case did precede the evolution to current practice by all of the service PEB’s regarding fitness implications of OSA.  Routinely OSA is not considered unfitting solely on the basis of field and operational impediments to the use of CPAP.  There is no evidence in this case that OSA was associated with any unfitting impairments otherwise; the DA </w:t>
      </w:r>
      <w:r w:rsidR="000C6641">
        <w:rPr>
          <w:color w:val="000080"/>
        </w:rPr>
        <w:t xml:space="preserve">Form </w:t>
      </w:r>
      <w:r w:rsidR="00F37601" w:rsidRPr="00C45D0E">
        <w:rPr>
          <w:color w:val="000080"/>
        </w:rPr>
        <w:t xml:space="preserve">199 fitness rationale states only ‘limits </w:t>
      </w:r>
      <w:proofErr w:type="spellStart"/>
      <w:r w:rsidR="00F37601" w:rsidRPr="00C45D0E">
        <w:rPr>
          <w:color w:val="000080"/>
        </w:rPr>
        <w:t>deployability</w:t>
      </w:r>
      <w:proofErr w:type="spellEnd"/>
      <w:r w:rsidR="00F37601" w:rsidRPr="00C45D0E">
        <w:rPr>
          <w:color w:val="000080"/>
        </w:rPr>
        <w:t xml:space="preserve">’.  Although the PEB’s rating adjudication was acceptable by </w:t>
      </w:r>
      <w:proofErr w:type="spellStart"/>
      <w:r w:rsidR="00F37601" w:rsidRPr="00C45D0E">
        <w:rPr>
          <w:color w:val="000080"/>
        </w:rPr>
        <w:t>DoDI</w:t>
      </w:r>
      <w:proofErr w:type="spellEnd"/>
      <w:r w:rsidR="00F37601" w:rsidRPr="00C45D0E">
        <w:rPr>
          <w:color w:val="000080"/>
        </w:rPr>
        <w:t xml:space="preserve"> 1332.39 standards, the Board </w:t>
      </w:r>
      <w:r w:rsidR="001E48BF">
        <w:rPr>
          <w:color w:val="000080"/>
        </w:rPr>
        <w:t>is obligated to a</w:t>
      </w:r>
      <w:r w:rsidR="00F37601" w:rsidRPr="00C45D0E">
        <w:rPr>
          <w:color w:val="000080"/>
        </w:rPr>
        <w:t xml:space="preserve"> rating recommendation </w:t>
      </w:r>
      <w:r w:rsidR="001E48BF">
        <w:rPr>
          <w:color w:val="000080"/>
        </w:rPr>
        <w:t xml:space="preserve">compliant with </w:t>
      </w:r>
      <w:r w:rsidR="001E48BF">
        <w:rPr>
          <w:color w:val="000080"/>
        </w:rPr>
        <w:lastRenderedPageBreak/>
        <w:t>concurrent VASRD standards</w:t>
      </w:r>
      <w:r w:rsidR="00F37601" w:rsidRPr="00C45D0E">
        <w:rPr>
          <w:color w:val="000080"/>
        </w:rPr>
        <w:t>.  As the requirement for CPAP was established, the Board recommends an OSA rating of 50% IAW VASRD §4.100.</w:t>
      </w:r>
    </w:p>
    <w:p w:rsidR="009A326B" w:rsidRPr="00C45D0E" w:rsidRDefault="009A326B" w:rsidP="00C45D0E">
      <w:pPr>
        <w:tabs>
          <w:tab w:val="left" w:pos="288"/>
          <w:tab w:val="left" w:pos="4752"/>
        </w:tabs>
        <w:spacing w:line="240" w:lineRule="exact"/>
        <w:jc w:val="both"/>
        <w:rPr>
          <w:color w:val="000080"/>
        </w:rPr>
      </w:pPr>
    </w:p>
    <w:p w:rsidR="005F2DAF" w:rsidRPr="00C45D0E" w:rsidRDefault="009A326B" w:rsidP="00C45D0E">
      <w:pPr>
        <w:tabs>
          <w:tab w:val="left" w:pos="288"/>
          <w:tab w:val="left" w:pos="4752"/>
        </w:tabs>
        <w:spacing w:line="240" w:lineRule="exact"/>
        <w:jc w:val="both"/>
        <w:rPr>
          <w:color w:val="000080"/>
        </w:rPr>
      </w:pPr>
      <w:proofErr w:type="gramStart"/>
      <w:r w:rsidRPr="00C45D0E">
        <w:rPr>
          <w:color w:val="000080"/>
          <w:u w:val="single"/>
        </w:rPr>
        <w:t>Psychiatric Condition</w:t>
      </w:r>
      <w:r w:rsidRPr="00C45D0E">
        <w:rPr>
          <w:color w:val="000080"/>
        </w:rPr>
        <w:t>.</w:t>
      </w:r>
      <w:proofErr w:type="gramEnd"/>
      <w:r w:rsidRPr="00C45D0E">
        <w:rPr>
          <w:color w:val="000080"/>
        </w:rPr>
        <w:t xml:space="preserve">  The</w:t>
      </w:r>
      <w:r w:rsidR="00525085" w:rsidRPr="00C45D0E">
        <w:rPr>
          <w:color w:val="000080"/>
        </w:rPr>
        <w:t xml:space="preserve"> CI specifically contends and elaborates in his application that his depression was unfitting </w:t>
      </w:r>
      <w:r w:rsidR="00C31BFA" w:rsidRPr="00C45D0E">
        <w:rPr>
          <w:color w:val="000080"/>
        </w:rPr>
        <w:t xml:space="preserve">and that symptoms of PTSD were ignored by the </w:t>
      </w:r>
      <w:r w:rsidR="006A09FB" w:rsidRPr="00C45D0E">
        <w:rPr>
          <w:color w:val="000080"/>
        </w:rPr>
        <w:t xml:space="preserve">MEB </w:t>
      </w:r>
      <w:r w:rsidR="00C31BFA" w:rsidRPr="00C45D0E">
        <w:rPr>
          <w:color w:val="000080"/>
        </w:rPr>
        <w:t xml:space="preserve">psychiatrist.  It is noted that a subsequent diagnosis of PTSD was rendered by the VA.  The VA diagnosis was not rendered until a psychiatric examination </w:t>
      </w:r>
      <w:r w:rsidR="006A09FB" w:rsidRPr="00C45D0E">
        <w:rPr>
          <w:color w:val="000080"/>
        </w:rPr>
        <w:t>on August 14,</w:t>
      </w:r>
      <w:r w:rsidR="00C31BFA" w:rsidRPr="00C45D0E">
        <w:rPr>
          <w:color w:val="000080"/>
        </w:rPr>
        <w:t xml:space="preserve"> 2007 after an appeals process.  The effective date </w:t>
      </w:r>
      <w:r w:rsidR="006A09FB" w:rsidRPr="00C45D0E">
        <w:rPr>
          <w:color w:val="000080"/>
        </w:rPr>
        <w:t xml:space="preserve">of October 25, 2006 is itself over three years after separation.  This is well outside the 12 month window specified in </w:t>
      </w:r>
      <w:proofErr w:type="spellStart"/>
      <w:r w:rsidR="006A09FB" w:rsidRPr="00C45D0E">
        <w:rPr>
          <w:color w:val="000080"/>
        </w:rPr>
        <w:t>DoDI</w:t>
      </w:r>
      <w:proofErr w:type="spellEnd"/>
      <w:r w:rsidR="006A09FB" w:rsidRPr="00C45D0E">
        <w:rPr>
          <w:color w:val="000080"/>
        </w:rPr>
        <w:t xml:space="preserve"> 6040.44 as a basis for Board recommendations.  There is no evidence in the service or VA psychiatric evaluations at the time of separation that PTSD was clinically manifest</w:t>
      </w:r>
      <w:r w:rsidR="00B34DF3" w:rsidRPr="00C45D0E">
        <w:rPr>
          <w:color w:val="000080"/>
        </w:rPr>
        <w:t xml:space="preserve">.  Since the CI had no combat exposures, the subsequently documented Criterion A stressors were not readily apparent during the MEB process.  The Board therefore cannot make any recommendations premised on a diagnosis of </w:t>
      </w:r>
      <w:r w:rsidR="00DE4107" w:rsidRPr="00C45D0E">
        <w:rPr>
          <w:color w:val="000080"/>
        </w:rPr>
        <w:t xml:space="preserve">unfitting </w:t>
      </w:r>
      <w:r w:rsidR="00B34DF3" w:rsidRPr="00C45D0E">
        <w:rPr>
          <w:color w:val="000080"/>
        </w:rPr>
        <w:t xml:space="preserve">PTSD </w:t>
      </w:r>
      <w:r w:rsidR="00DE4107" w:rsidRPr="00C45D0E">
        <w:rPr>
          <w:color w:val="000080"/>
        </w:rPr>
        <w:t xml:space="preserve">at the time of separation.  </w:t>
      </w:r>
      <w:r w:rsidR="0084610E" w:rsidRPr="00C45D0E">
        <w:rPr>
          <w:color w:val="000080"/>
        </w:rPr>
        <w:t xml:space="preserve">Both the psychiatric addendum to the NARSUM and the VA pre-separation psychiatric rating examination acknowledged the contribution of his unfitting medical conditions to his depressive disorder.  The psychiatric component, however, must be unfitting in and of itself to merit a separation rating.  The mental status examinations in both evaluations were basically equivalent.  The only abnormality was depressed mood and flattened affect.  There was no evidence of psychosis or cognitive impairments.  The </w:t>
      </w:r>
      <w:r w:rsidR="005F2DAF" w:rsidRPr="00C45D0E">
        <w:rPr>
          <w:color w:val="000080"/>
        </w:rPr>
        <w:t xml:space="preserve">GAF </w:t>
      </w:r>
      <w:r w:rsidR="0084610E" w:rsidRPr="00C45D0E">
        <w:rPr>
          <w:color w:val="000080"/>
        </w:rPr>
        <w:t>(</w:t>
      </w:r>
      <w:r w:rsidR="005F2DAF" w:rsidRPr="00C45D0E">
        <w:rPr>
          <w:color w:val="000080"/>
        </w:rPr>
        <w:t xml:space="preserve">global assessment of functioning) scores were 65 </w:t>
      </w:r>
      <w:r w:rsidR="005C76AF">
        <w:rPr>
          <w:color w:val="000080"/>
        </w:rPr>
        <w:t>by the</w:t>
      </w:r>
      <w:r w:rsidR="005F2DAF" w:rsidRPr="00C45D0E">
        <w:rPr>
          <w:color w:val="000080"/>
        </w:rPr>
        <w:t xml:space="preserve"> </w:t>
      </w:r>
      <w:r w:rsidR="0084610E" w:rsidRPr="00C45D0E">
        <w:rPr>
          <w:color w:val="000080"/>
        </w:rPr>
        <w:t>ME</w:t>
      </w:r>
      <w:r w:rsidR="005F2DAF" w:rsidRPr="00C45D0E">
        <w:rPr>
          <w:color w:val="000080"/>
        </w:rPr>
        <w:t xml:space="preserve">B and 70 </w:t>
      </w:r>
      <w:r w:rsidR="005C76AF">
        <w:rPr>
          <w:color w:val="000080"/>
        </w:rPr>
        <w:t>by the</w:t>
      </w:r>
      <w:r w:rsidR="0084610E" w:rsidRPr="00C45D0E">
        <w:rPr>
          <w:color w:val="000080"/>
        </w:rPr>
        <w:t xml:space="preserve"> VA.  This </w:t>
      </w:r>
      <w:r w:rsidR="005F2DAF" w:rsidRPr="00C45D0E">
        <w:rPr>
          <w:color w:val="000080"/>
        </w:rPr>
        <w:t xml:space="preserve">connotes mild psychiatric symptoms without </w:t>
      </w:r>
      <w:r w:rsidR="005C76AF">
        <w:rPr>
          <w:color w:val="000080"/>
        </w:rPr>
        <w:t xml:space="preserve">significant </w:t>
      </w:r>
      <w:r w:rsidR="005F2DAF" w:rsidRPr="00C45D0E">
        <w:rPr>
          <w:color w:val="000080"/>
        </w:rPr>
        <w:t>functional impairment.  The MEB psychiatrist specifically opine</w:t>
      </w:r>
      <w:r w:rsidR="005C76AF">
        <w:rPr>
          <w:color w:val="000080"/>
        </w:rPr>
        <w:t>d</w:t>
      </w:r>
      <w:r w:rsidR="005F2DAF" w:rsidRPr="00C45D0E">
        <w:rPr>
          <w:color w:val="000080"/>
        </w:rPr>
        <w:t xml:space="preserve"> that the condition met retention standards and imposed no assignment limitations.  Neither the Commander’s statement nor the enlisted evaluations documented any mental impairment to performance.  </w:t>
      </w:r>
      <w:r w:rsidR="00506A25" w:rsidRPr="00C45D0E">
        <w:rPr>
          <w:color w:val="000080"/>
        </w:rPr>
        <w:t xml:space="preserve">The physical profile was S1 with no weapon restriction.  </w:t>
      </w:r>
      <w:r w:rsidR="005F2DAF" w:rsidRPr="00C45D0E">
        <w:rPr>
          <w:color w:val="000080"/>
        </w:rPr>
        <w:t>All evidence considered</w:t>
      </w:r>
      <w:proofErr w:type="gramStart"/>
      <w:r w:rsidR="005F2DAF" w:rsidRPr="00C45D0E">
        <w:rPr>
          <w:color w:val="000080"/>
        </w:rPr>
        <w:t>,</w:t>
      </w:r>
      <w:proofErr w:type="gramEnd"/>
      <w:r w:rsidR="005F2DAF" w:rsidRPr="00C45D0E">
        <w:rPr>
          <w:color w:val="000080"/>
        </w:rPr>
        <w:t xml:space="preserve"> there is not reasonable doubt in the CI’s favor supporting </w:t>
      </w:r>
      <w:proofErr w:type="spellStart"/>
      <w:r w:rsidR="005F2DAF" w:rsidRPr="00C45D0E">
        <w:rPr>
          <w:color w:val="000080"/>
        </w:rPr>
        <w:t>recharacterization</w:t>
      </w:r>
      <w:proofErr w:type="spellEnd"/>
      <w:r w:rsidR="005F2DAF" w:rsidRPr="00C45D0E">
        <w:rPr>
          <w:color w:val="000080"/>
        </w:rPr>
        <w:t xml:space="preserve"> of the PEB fitness adjudication for the depressive disorder.</w:t>
      </w:r>
    </w:p>
    <w:p w:rsidR="009A326B" w:rsidRPr="00C45D0E" w:rsidRDefault="009A326B" w:rsidP="00C45D0E">
      <w:pPr>
        <w:tabs>
          <w:tab w:val="left" w:pos="288"/>
          <w:tab w:val="left" w:pos="4752"/>
        </w:tabs>
        <w:spacing w:line="240" w:lineRule="exact"/>
        <w:jc w:val="both"/>
        <w:rPr>
          <w:color w:val="000080"/>
        </w:rPr>
      </w:pPr>
    </w:p>
    <w:p w:rsidR="00684E66" w:rsidRPr="00C45D0E" w:rsidRDefault="0073254D" w:rsidP="00C45D0E">
      <w:pPr>
        <w:tabs>
          <w:tab w:val="left" w:pos="288"/>
          <w:tab w:val="left" w:pos="4752"/>
        </w:tabs>
        <w:spacing w:line="240" w:lineRule="exact"/>
        <w:jc w:val="both"/>
        <w:rPr>
          <w:color w:val="000080"/>
        </w:rPr>
      </w:pPr>
      <w:proofErr w:type="gramStart"/>
      <w:r w:rsidRPr="00C45D0E">
        <w:rPr>
          <w:color w:val="000080"/>
          <w:u w:val="single"/>
        </w:rPr>
        <w:t xml:space="preserve">Other DA </w:t>
      </w:r>
      <w:r w:rsidR="000C6641">
        <w:rPr>
          <w:color w:val="000080"/>
          <w:u w:val="single"/>
        </w:rPr>
        <w:t xml:space="preserve">Form </w:t>
      </w:r>
      <w:r w:rsidRPr="00C45D0E">
        <w:rPr>
          <w:color w:val="000080"/>
          <w:u w:val="single"/>
        </w:rPr>
        <w:t>3947 Conditions (</w:t>
      </w:r>
      <w:r w:rsidR="009A326B" w:rsidRPr="00C45D0E">
        <w:rPr>
          <w:color w:val="000080"/>
          <w:u w:val="single"/>
        </w:rPr>
        <w:t>Hypertension, Hypothyroidism, Hearing Loss and Migraines</w:t>
      </w:r>
      <w:r w:rsidRPr="00C45D0E">
        <w:rPr>
          <w:color w:val="000080"/>
          <w:u w:val="single"/>
        </w:rPr>
        <w:t>)</w:t>
      </w:r>
      <w:r w:rsidRPr="00C45D0E">
        <w:rPr>
          <w:color w:val="000080"/>
        </w:rPr>
        <w:t>.</w:t>
      </w:r>
      <w:proofErr w:type="gramEnd"/>
      <w:r w:rsidR="009A326B" w:rsidRPr="00C45D0E">
        <w:rPr>
          <w:color w:val="000080"/>
        </w:rPr>
        <w:t xml:space="preserve">  </w:t>
      </w:r>
      <w:proofErr w:type="gramStart"/>
      <w:r w:rsidR="009A326B" w:rsidRPr="00C45D0E">
        <w:rPr>
          <w:color w:val="000080"/>
        </w:rPr>
        <w:t>The</w:t>
      </w:r>
      <w:r w:rsidRPr="00C45D0E">
        <w:rPr>
          <w:color w:val="000080"/>
        </w:rPr>
        <w:t xml:space="preserve">  </w:t>
      </w:r>
      <w:r w:rsidR="00506A25" w:rsidRPr="00C45D0E">
        <w:rPr>
          <w:color w:val="000080"/>
        </w:rPr>
        <w:t>hypertension</w:t>
      </w:r>
      <w:proofErr w:type="gramEnd"/>
      <w:r w:rsidR="00506A25" w:rsidRPr="00C45D0E">
        <w:rPr>
          <w:color w:val="000080"/>
        </w:rPr>
        <w:t xml:space="preserve"> was stable on medication and addressed by an Internal Medicine addendum to the NARSUM.  It was judged to be within retention standards.  The same is true of the hypothyroidism and migraine conditions, addressed by Endocrinology and Neurology addendums.  The hearing loss did not meet a compensable threshold under the VASRD and the physical profile was H</w:t>
      </w:r>
      <w:r w:rsidR="005C76AF">
        <w:rPr>
          <w:color w:val="000080"/>
        </w:rPr>
        <w:t>-</w:t>
      </w:r>
      <w:r w:rsidR="00506A25" w:rsidRPr="00C45D0E">
        <w:rPr>
          <w:color w:val="000080"/>
        </w:rPr>
        <w:t xml:space="preserve">1.  None of these conditions were profiled and none were implicated by the Commander’s statement.  </w:t>
      </w:r>
    </w:p>
    <w:p w:rsidR="00684E66" w:rsidRPr="00C45D0E" w:rsidRDefault="00684E66" w:rsidP="00C45D0E">
      <w:pPr>
        <w:tabs>
          <w:tab w:val="left" w:pos="288"/>
          <w:tab w:val="left" w:pos="4752"/>
        </w:tabs>
        <w:spacing w:line="240" w:lineRule="exact"/>
        <w:jc w:val="both"/>
        <w:rPr>
          <w:color w:val="000080"/>
        </w:rPr>
      </w:pPr>
    </w:p>
    <w:p w:rsidR="00506A25" w:rsidRPr="00C45D0E" w:rsidRDefault="00506A25" w:rsidP="00C45D0E">
      <w:pPr>
        <w:tabs>
          <w:tab w:val="left" w:pos="288"/>
          <w:tab w:val="left" w:pos="4752"/>
        </w:tabs>
        <w:spacing w:line="240" w:lineRule="exact"/>
        <w:jc w:val="both"/>
        <w:rPr>
          <w:color w:val="000080"/>
        </w:rPr>
      </w:pPr>
      <w:r w:rsidRPr="00C45D0E">
        <w:rPr>
          <w:color w:val="000080"/>
        </w:rPr>
        <w:t>All evidence considered</w:t>
      </w:r>
      <w:proofErr w:type="gramStart"/>
      <w:r w:rsidRPr="00C45D0E">
        <w:rPr>
          <w:color w:val="000080"/>
        </w:rPr>
        <w:t>,</w:t>
      </w:r>
      <w:proofErr w:type="gramEnd"/>
      <w:r w:rsidRPr="00C45D0E">
        <w:rPr>
          <w:color w:val="000080"/>
        </w:rPr>
        <w:t xml:space="preserve"> there is not reasonable doubt in the CI’s favor supporting </w:t>
      </w:r>
      <w:proofErr w:type="spellStart"/>
      <w:r w:rsidRPr="00C45D0E">
        <w:rPr>
          <w:color w:val="000080"/>
        </w:rPr>
        <w:t>recharacterization</w:t>
      </w:r>
      <w:proofErr w:type="spellEnd"/>
      <w:r w:rsidRPr="00C45D0E">
        <w:rPr>
          <w:color w:val="000080"/>
        </w:rPr>
        <w:t xml:space="preserve"> of the PEB fitness adjudications for the hypertension, hypothyroidism, hearing loss </w:t>
      </w:r>
      <w:r w:rsidR="005C76AF">
        <w:rPr>
          <w:color w:val="000080"/>
        </w:rPr>
        <w:t>or</w:t>
      </w:r>
      <w:r w:rsidRPr="00C45D0E">
        <w:rPr>
          <w:color w:val="000080"/>
        </w:rPr>
        <w:t xml:space="preserve"> migraine conditions.</w:t>
      </w:r>
    </w:p>
    <w:p w:rsidR="00506A25" w:rsidRPr="00C45D0E" w:rsidRDefault="00506A25" w:rsidP="00C45D0E">
      <w:pPr>
        <w:tabs>
          <w:tab w:val="left" w:pos="288"/>
          <w:tab w:val="left" w:pos="4752"/>
        </w:tabs>
        <w:spacing w:line="240" w:lineRule="exact"/>
        <w:jc w:val="both"/>
        <w:rPr>
          <w:color w:val="000080"/>
        </w:rPr>
      </w:pPr>
    </w:p>
    <w:p w:rsidR="00684E66" w:rsidRPr="00C45D0E" w:rsidRDefault="002C6E5B" w:rsidP="00C45D0E">
      <w:pPr>
        <w:tabs>
          <w:tab w:val="left" w:pos="288"/>
          <w:tab w:val="left" w:pos="4752"/>
        </w:tabs>
        <w:spacing w:line="240" w:lineRule="exact"/>
        <w:jc w:val="both"/>
        <w:rPr>
          <w:color w:val="000080"/>
        </w:rPr>
      </w:pPr>
      <w:proofErr w:type="gramStart"/>
      <w:r w:rsidRPr="00C45D0E">
        <w:rPr>
          <w:color w:val="000080"/>
          <w:u w:val="single"/>
        </w:rPr>
        <w:lastRenderedPageBreak/>
        <w:t>Other Conditions</w:t>
      </w:r>
      <w:r w:rsidRPr="00C45D0E">
        <w:rPr>
          <w:color w:val="000080"/>
        </w:rPr>
        <w:t>.</w:t>
      </w:r>
      <w:proofErr w:type="gramEnd"/>
      <w:r w:rsidRPr="00C45D0E">
        <w:rPr>
          <w:color w:val="000080"/>
        </w:rPr>
        <w:t xml:space="preserve">  </w:t>
      </w:r>
      <w:r w:rsidR="00506A25" w:rsidRPr="00C45D0E">
        <w:rPr>
          <w:color w:val="000080"/>
        </w:rPr>
        <w:t>In addition to the conditions covered above, the NARSUM</w:t>
      </w:r>
      <w:r w:rsidR="00224D8A" w:rsidRPr="00C45D0E">
        <w:rPr>
          <w:color w:val="000080"/>
        </w:rPr>
        <w:t xml:space="preserve"> identified reactive airway disease, </w:t>
      </w:r>
      <w:proofErr w:type="spellStart"/>
      <w:r w:rsidR="00224D8A" w:rsidRPr="00C45D0E">
        <w:rPr>
          <w:color w:val="000080"/>
        </w:rPr>
        <w:t>hypogonadism</w:t>
      </w:r>
      <w:proofErr w:type="spellEnd"/>
      <w:r w:rsidR="00224D8A" w:rsidRPr="00C45D0E">
        <w:rPr>
          <w:color w:val="000080"/>
        </w:rPr>
        <w:t xml:space="preserve">, </w:t>
      </w:r>
      <w:proofErr w:type="spellStart"/>
      <w:r w:rsidR="00224D8A" w:rsidRPr="00C45D0E">
        <w:rPr>
          <w:color w:val="000080"/>
        </w:rPr>
        <w:t>gastroesophageal</w:t>
      </w:r>
      <w:proofErr w:type="spellEnd"/>
      <w:r w:rsidR="00224D8A" w:rsidRPr="00C45D0E">
        <w:rPr>
          <w:color w:val="000080"/>
        </w:rPr>
        <w:t xml:space="preserve"> reflux disease (GERD), bilateral wrist conditions, </w:t>
      </w:r>
      <w:proofErr w:type="spellStart"/>
      <w:r w:rsidR="00224D8A" w:rsidRPr="00C45D0E">
        <w:rPr>
          <w:color w:val="000080"/>
        </w:rPr>
        <w:t>septal</w:t>
      </w:r>
      <w:proofErr w:type="spellEnd"/>
      <w:r w:rsidR="00224D8A" w:rsidRPr="00C45D0E">
        <w:rPr>
          <w:color w:val="000080"/>
        </w:rPr>
        <w:t xml:space="preserve"> deviation (nasal deformity) and a ‘sinus tachycardia’ cardiac condition as co-existing medical conditions.  Reactive airway disease was not confirmed by pulmonary function testing and was cleared by a </w:t>
      </w:r>
      <w:proofErr w:type="gramStart"/>
      <w:r w:rsidR="00224D8A" w:rsidRPr="00C45D0E">
        <w:rPr>
          <w:color w:val="000080"/>
        </w:rPr>
        <w:t>Pulmonary</w:t>
      </w:r>
      <w:proofErr w:type="gramEnd"/>
      <w:r w:rsidR="00224D8A" w:rsidRPr="00C45D0E">
        <w:rPr>
          <w:color w:val="000080"/>
        </w:rPr>
        <w:t xml:space="preserve"> addendum to the NARSUM.  </w:t>
      </w:r>
      <w:proofErr w:type="spellStart"/>
      <w:r w:rsidR="00224D8A" w:rsidRPr="00C45D0E">
        <w:rPr>
          <w:color w:val="000080"/>
        </w:rPr>
        <w:t>Hypogonadism</w:t>
      </w:r>
      <w:proofErr w:type="spellEnd"/>
      <w:r w:rsidR="00224D8A" w:rsidRPr="00C45D0E">
        <w:rPr>
          <w:color w:val="000080"/>
        </w:rPr>
        <w:t xml:space="preserve"> was addressed in the Endocrinology addendum.  GERD, </w:t>
      </w:r>
      <w:proofErr w:type="spellStart"/>
      <w:r w:rsidR="00224D8A" w:rsidRPr="00C45D0E">
        <w:rPr>
          <w:color w:val="000080"/>
        </w:rPr>
        <w:t>septal</w:t>
      </w:r>
      <w:proofErr w:type="spellEnd"/>
      <w:r w:rsidR="00224D8A" w:rsidRPr="00C45D0E">
        <w:rPr>
          <w:color w:val="000080"/>
        </w:rPr>
        <w:t xml:space="preserve"> deviation and the tachycardia </w:t>
      </w:r>
      <w:r w:rsidR="007756D3" w:rsidRPr="00C45D0E">
        <w:rPr>
          <w:color w:val="000080"/>
        </w:rPr>
        <w:t xml:space="preserve">conditions </w:t>
      </w:r>
      <w:r w:rsidR="00224D8A" w:rsidRPr="00C45D0E">
        <w:rPr>
          <w:color w:val="000080"/>
        </w:rPr>
        <w:t xml:space="preserve">were addressed by Gastroenterology, ENT and Cardiology addendums.  </w:t>
      </w:r>
      <w:r w:rsidR="00842478" w:rsidRPr="00C45D0E">
        <w:rPr>
          <w:color w:val="000080"/>
        </w:rPr>
        <w:t xml:space="preserve">All of these conditions were judged to be within AR 40-501 standards and there is no evidence to the contrary.  </w:t>
      </w:r>
      <w:r w:rsidR="00224D8A" w:rsidRPr="00C45D0E">
        <w:rPr>
          <w:color w:val="000080"/>
        </w:rPr>
        <w:t>The bilateral wrist condition (of 5 years duration) was referred to the Hand Clinic</w:t>
      </w:r>
      <w:r w:rsidR="00842478" w:rsidRPr="00C45D0E">
        <w:rPr>
          <w:color w:val="000080"/>
        </w:rPr>
        <w:t xml:space="preserve"> and deemed not to be acute or surgical.  It was diagnosed as tendinitis by the VA examiner and received separate 10% ratings.  There is no link to fitness, however, and the profile was U</w:t>
      </w:r>
      <w:r w:rsidR="005C76AF">
        <w:rPr>
          <w:color w:val="000080"/>
        </w:rPr>
        <w:t>-</w:t>
      </w:r>
      <w:r w:rsidR="00842478" w:rsidRPr="00C45D0E">
        <w:rPr>
          <w:color w:val="000080"/>
        </w:rPr>
        <w:t xml:space="preserve">1.  The CI noted 15 additional conditions or complaints on the MEB physical.  All were reviewed but will not be elaborated here and were not relevant for Board consideration as additionally unfitting.  </w:t>
      </w:r>
    </w:p>
    <w:p w:rsidR="00684E66" w:rsidRPr="00C45D0E" w:rsidRDefault="00684E66" w:rsidP="00C45D0E">
      <w:pPr>
        <w:tabs>
          <w:tab w:val="left" w:pos="288"/>
          <w:tab w:val="left" w:pos="4752"/>
        </w:tabs>
        <w:spacing w:line="240" w:lineRule="exact"/>
        <w:jc w:val="both"/>
        <w:rPr>
          <w:color w:val="000080"/>
        </w:rPr>
      </w:pPr>
    </w:p>
    <w:p w:rsidR="00684E66" w:rsidRPr="00C45D0E" w:rsidRDefault="00684E66" w:rsidP="00C45D0E">
      <w:pPr>
        <w:tabs>
          <w:tab w:val="left" w:pos="288"/>
          <w:tab w:val="left" w:pos="4752"/>
        </w:tabs>
        <w:spacing w:line="240" w:lineRule="exact"/>
        <w:jc w:val="both"/>
        <w:rPr>
          <w:color w:val="000080"/>
        </w:rPr>
      </w:pPr>
      <w:r w:rsidRPr="00C45D0E">
        <w:rPr>
          <w:color w:val="000080"/>
        </w:rPr>
        <w:t>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EF7E6F" w:rsidRPr="00C45D0E" w:rsidRDefault="00C56FC8" w:rsidP="00C45D0E">
      <w:pPr>
        <w:tabs>
          <w:tab w:val="left" w:pos="288"/>
          <w:tab w:val="left" w:pos="4752"/>
        </w:tabs>
        <w:spacing w:line="240" w:lineRule="exact"/>
        <w:jc w:val="both"/>
        <w:rPr>
          <w:color w:val="000080"/>
        </w:rPr>
      </w:pPr>
      <w:r w:rsidRPr="00C45D0E">
        <w:rPr>
          <w:color w:val="000080"/>
          <w:u w:val="single"/>
        </w:rPr>
        <w:t>BOARD FINDINGS</w:t>
      </w:r>
      <w:r w:rsidRPr="00C45D0E">
        <w:rPr>
          <w:color w:val="000080"/>
        </w:rPr>
        <w:t xml:space="preserve">:  IAW </w:t>
      </w:r>
      <w:proofErr w:type="spellStart"/>
      <w:r w:rsidRPr="00C45D0E">
        <w:rPr>
          <w:color w:val="000080"/>
        </w:rPr>
        <w:t>DoDI</w:t>
      </w:r>
      <w:proofErr w:type="spellEnd"/>
      <w:r w:rsidRPr="00C45D0E">
        <w:rPr>
          <w:color w:val="000080"/>
        </w:rPr>
        <w:t xml:space="preserve"> 6040.44, provisions of </w:t>
      </w:r>
      <w:proofErr w:type="spellStart"/>
      <w:r w:rsidRPr="00C45D0E">
        <w:rPr>
          <w:color w:val="000080"/>
        </w:rPr>
        <w:t>DoD</w:t>
      </w:r>
      <w:proofErr w:type="spellEnd"/>
      <w:r w:rsidRPr="00C45D0E">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C45D0E">
        <w:rPr>
          <w:color w:val="000080"/>
        </w:rPr>
        <w:t xml:space="preserve"> </w:t>
      </w:r>
      <w:r w:rsidR="00684E66" w:rsidRPr="00C45D0E">
        <w:rPr>
          <w:color w:val="000080"/>
        </w:rPr>
        <w:t xml:space="preserve">As discussed above, PEB reliance on the USAPDA pain policy for rating the back condition and on </w:t>
      </w:r>
      <w:proofErr w:type="spellStart"/>
      <w:r w:rsidR="00684E66" w:rsidRPr="00C45D0E">
        <w:rPr>
          <w:color w:val="000080"/>
        </w:rPr>
        <w:t>DoDI</w:t>
      </w:r>
      <w:proofErr w:type="spellEnd"/>
      <w:r w:rsidR="00684E66" w:rsidRPr="00C45D0E">
        <w:rPr>
          <w:color w:val="000080"/>
        </w:rPr>
        <w:t xml:space="preserve"> 1332.39 for rating the sleep apnea condition were operant in this case.  These conditions were adjudicated independently of that policy and regulation by the Board.  In the matter of the lumbar condition and IAW VASRD §4.71a, the Board unanimously recommends no change in the PEB rating</w:t>
      </w:r>
      <w:r w:rsidR="007756D3" w:rsidRPr="00C45D0E">
        <w:rPr>
          <w:color w:val="000080"/>
        </w:rPr>
        <w:t xml:space="preserve"> of 1</w:t>
      </w:r>
      <w:r w:rsidR="00684E66" w:rsidRPr="00C45D0E">
        <w:rPr>
          <w:color w:val="000080"/>
        </w:rPr>
        <w:t xml:space="preserve">0% but a change in VASRD code to </w:t>
      </w:r>
      <w:r w:rsidR="00EF7E6F" w:rsidRPr="00C45D0E">
        <w:rPr>
          <w:color w:val="000080"/>
        </w:rPr>
        <w:t>5242</w:t>
      </w:r>
      <w:r w:rsidR="00684E66" w:rsidRPr="00C45D0E">
        <w:rPr>
          <w:color w:val="000080"/>
        </w:rPr>
        <w:t>.</w:t>
      </w:r>
      <w:r w:rsidR="00EF7E6F" w:rsidRPr="00C45D0E">
        <w:rPr>
          <w:color w:val="000080"/>
        </w:rPr>
        <w:t xml:space="preserve">  In the matter of the obstructive sleep apnea condition, the Board unanimously recommends a rating of 50% coded 6847 IAW VASRD §4.100.  In the matter of the hypertension, hypothyroidism, hearing loss and migraine conditions, the Board unanimously recommends no </w:t>
      </w:r>
      <w:proofErr w:type="spellStart"/>
      <w:r w:rsidR="00EF7E6F" w:rsidRPr="00C45D0E">
        <w:rPr>
          <w:color w:val="000080"/>
        </w:rPr>
        <w:t>recharacterization</w:t>
      </w:r>
      <w:proofErr w:type="spellEnd"/>
      <w:r w:rsidR="00EF7E6F" w:rsidRPr="00C45D0E">
        <w:rPr>
          <w:color w:val="000080"/>
        </w:rPr>
        <w:t xml:space="preserve"> of the PEB adjudication as not unfitting.  In the matter of the reactive airway disease, </w:t>
      </w:r>
      <w:proofErr w:type="spellStart"/>
      <w:r w:rsidR="00EF7E6F" w:rsidRPr="00C45D0E">
        <w:rPr>
          <w:color w:val="000080"/>
        </w:rPr>
        <w:t>hypogonadism</w:t>
      </w:r>
      <w:proofErr w:type="spellEnd"/>
      <w:r w:rsidR="00EF7E6F" w:rsidRPr="00C45D0E">
        <w:rPr>
          <w:color w:val="000080"/>
        </w:rPr>
        <w:t xml:space="preserve">, </w:t>
      </w:r>
      <w:proofErr w:type="spellStart"/>
      <w:r w:rsidR="00EF7E6F" w:rsidRPr="00C45D0E">
        <w:rPr>
          <w:color w:val="000080"/>
        </w:rPr>
        <w:t>gastroesophageal</w:t>
      </w:r>
      <w:proofErr w:type="spellEnd"/>
      <w:r w:rsidR="00EF7E6F" w:rsidRPr="00C45D0E">
        <w:rPr>
          <w:color w:val="000080"/>
        </w:rPr>
        <w:t xml:space="preserve"> reflux disease, bilateral wrist conditions, </w:t>
      </w:r>
      <w:proofErr w:type="spellStart"/>
      <w:r w:rsidR="00EF7E6F" w:rsidRPr="00C45D0E">
        <w:rPr>
          <w:color w:val="000080"/>
        </w:rPr>
        <w:t>septal</w:t>
      </w:r>
      <w:proofErr w:type="spellEnd"/>
      <w:r w:rsidR="00EF7E6F" w:rsidRPr="00C45D0E">
        <w:rPr>
          <w:color w:val="000080"/>
        </w:rPr>
        <w:t xml:space="preserve"> deviation</w:t>
      </w:r>
      <w:r w:rsidR="000F6611" w:rsidRPr="00C45D0E">
        <w:rPr>
          <w:color w:val="000080"/>
        </w:rPr>
        <w:t>, tachycardia</w:t>
      </w:r>
      <w:r w:rsidR="00EF7E6F" w:rsidRPr="00C45D0E">
        <w:rPr>
          <w:color w:val="000080"/>
        </w:rPr>
        <w:t xml:space="preserve"> or 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C45D0E" w:rsidRDefault="00C45D0E">
      <w:pPr>
        <w:rPr>
          <w:color w:val="000080"/>
          <w:u w:val="single"/>
        </w:rPr>
      </w:pPr>
      <w:r>
        <w:rPr>
          <w:color w:val="000080"/>
          <w:u w:val="single"/>
        </w:rPr>
        <w:br w:type="page"/>
      </w:r>
    </w:p>
    <w:p w:rsidR="00FB593A" w:rsidRDefault="00C56FC8" w:rsidP="00135385">
      <w:pPr>
        <w:tabs>
          <w:tab w:val="left" w:pos="288"/>
          <w:tab w:val="left" w:pos="4752"/>
        </w:tabs>
        <w:spacing w:line="240" w:lineRule="exact"/>
        <w:jc w:val="both"/>
        <w:rPr>
          <w:color w:val="000080"/>
        </w:rPr>
      </w:pPr>
      <w:r w:rsidRPr="00C45D0E">
        <w:rPr>
          <w:color w:val="000080"/>
          <w:u w:val="single"/>
        </w:rPr>
        <w:lastRenderedPageBreak/>
        <w:t>RECOMMENDATION</w:t>
      </w:r>
      <w:r w:rsidRPr="00C45D0E">
        <w:rPr>
          <w:color w:val="000080"/>
        </w:rPr>
        <w:t xml:space="preserve">: </w:t>
      </w:r>
      <w:r w:rsidR="00EF7E6F" w:rsidRPr="00C45D0E">
        <w:rPr>
          <w:color w:val="000080"/>
        </w:rPr>
        <w:t xml:space="preserve"> </w:t>
      </w:r>
      <w:r w:rsidRPr="00C45D0E">
        <w:rPr>
          <w:color w:val="000080"/>
        </w:rPr>
        <w:t xml:space="preserve">The Board recommends that the CI’s prior determination be modified as follows and that the discharge with severance pay be </w:t>
      </w:r>
      <w:proofErr w:type="spellStart"/>
      <w:r w:rsidRPr="00C45D0E">
        <w:rPr>
          <w:color w:val="000080"/>
        </w:rPr>
        <w:t>recharacterized</w:t>
      </w:r>
      <w:proofErr w:type="spellEnd"/>
      <w:r w:rsidRPr="00C45D0E">
        <w:rPr>
          <w:color w:val="000080"/>
        </w:rPr>
        <w:t xml:space="preserve"> to reflect permanent disability retirement, effective as of the date of his prior medical separation.</w:t>
      </w:r>
    </w:p>
    <w:p w:rsidR="004101B2" w:rsidRDefault="004101B2" w:rsidP="004101B2">
      <w:pPr>
        <w:tabs>
          <w:tab w:val="left" w:pos="288"/>
          <w:tab w:val="left" w:pos="4752"/>
        </w:tabs>
        <w:spacing w:line="240" w:lineRule="exact"/>
        <w:jc w:val="both"/>
        <w:rPr>
          <w:color w:val="000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4101B2" w:rsidRPr="00533FB5" w:rsidTr="00EF7E6F">
        <w:trPr>
          <w:trHeight w:val="287"/>
        </w:trPr>
        <w:tc>
          <w:tcPr>
            <w:tcW w:w="6480" w:type="dxa"/>
            <w:shd w:val="clear" w:color="auto" w:fill="D9D9D9"/>
          </w:tcPr>
          <w:p w:rsidR="004101B2" w:rsidRPr="00A867F0" w:rsidRDefault="004101B2" w:rsidP="001C62D7">
            <w:pPr>
              <w:tabs>
                <w:tab w:val="left" w:pos="288"/>
                <w:tab w:val="left" w:pos="4752"/>
              </w:tabs>
              <w:spacing w:before="40" w:line="240" w:lineRule="exact"/>
              <w:jc w:val="center"/>
              <w:rPr>
                <w:b/>
                <w:color w:val="000080"/>
                <w:szCs w:val="24"/>
              </w:rPr>
            </w:pPr>
            <w:r>
              <w:rPr>
                <w:b/>
                <w:color w:val="000080"/>
                <w:szCs w:val="24"/>
              </w:rPr>
              <w:t>UNFITTING CONDITION</w:t>
            </w:r>
          </w:p>
        </w:tc>
        <w:tc>
          <w:tcPr>
            <w:tcW w:w="1710" w:type="dxa"/>
            <w:shd w:val="clear" w:color="auto" w:fill="D9D9D9"/>
          </w:tcPr>
          <w:p w:rsidR="004101B2" w:rsidRPr="00A867F0" w:rsidRDefault="004101B2" w:rsidP="001C62D7">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170" w:type="dxa"/>
            <w:shd w:val="clear" w:color="auto" w:fill="D9D9D9"/>
          </w:tcPr>
          <w:p w:rsidR="004101B2" w:rsidRPr="00A867F0" w:rsidRDefault="004101B2" w:rsidP="001C62D7">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4101B2" w:rsidRPr="00533FB5" w:rsidTr="00EF7E6F">
        <w:tc>
          <w:tcPr>
            <w:tcW w:w="6480" w:type="dxa"/>
          </w:tcPr>
          <w:p w:rsidR="004101B2" w:rsidRPr="00A867F0" w:rsidRDefault="00EF7E6F" w:rsidP="00FC4284">
            <w:pPr>
              <w:tabs>
                <w:tab w:val="left" w:pos="288"/>
                <w:tab w:val="left" w:pos="4752"/>
              </w:tabs>
              <w:spacing w:before="20" w:after="20"/>
              <w:rPr>
                <w:color w:val="000080"/>
                <w:szCs w:val="24"/>
              </w:rPr>
            </w:pPr>
            <w:r>
              <w:rPr>
                <w:color w:val="000080"/>
                <w:szCs w:val="24"/>
              </w:rPr>
              <w:t>Obstructive Sleep Apnea</w:t>
            </w:r>
          </w:p>
        </w:tc>
        <w:tc>
          <w:tcPr>
            <w:tcW w:w="1710" w:type="dxa"/>
          </w:tcPr>
          <w:p w:rsidR="004101B2" w:rsidRPr="00A867F0" w:rsidRDefault="00EF7E6F" w:rsidP="001C62D7">
            <w:pPr>
              <w:tabs>
                <w:tab w:val="left" w:pos="288"/>
                <w:tab w:val="left" w:pos="4752"/>
              </w:tabs>
              <w:spacing w:line="240" w:lineRule="exact"/>
              <w:jc w:val="center"/>
              <w:rPr>
                <w:color w:val="000080"/>
                <w:szCs w:val="24"/>
              </w:rPr>
            </w:pPr>
            <w:r>
              <w:rPr>
                <w:color w:val="000080"/>
                <w:szCs w:val="24"/>
              </w:rPr>
              <w:t>6847</w:t>
            </w:r>
          </w:p>
        </w:tc>
        <w:tc>
          <w:tcPr>
            <w:tcW w:w="1170" w:type="dxa"/>
          </w:tcPr>
          <w:p w:rsidR="004101B2" w:rsidRPr="00A867F0" w:rsidRDefault="00EF7E6F" w:rsidP="001C62D7">
            <w:pPr>
              <w:tabs>
                <w:tab w:val="left" w:pos="288"/>
                <w:tab w:val="left" w:pos="4752"/>
              </w:tabs>
              <w:spacing w:line="240" w:lineRule="exact"/>
              <w:jc w:val="center"/>
              <w:rPr>
                <w:color w:val="000080"/>
                <w:szCs w:val="24"/>
              </w:rPr>
            </w:pPr>
            <w:r>
              <w:rPr>
                <w:color w:val="000080"/>
                <w:szCs w:val="24"/>
              </w:rPr>
              <w:t>5</w:t>
            </w:r>
            <w:r w:rsidR="00E74437">
              <w:rPr>
                <w:color w:val="000080"/>
                <w:szCs w:val="24"/>
              </w:rPr>
              <w:t>0</w:t>
            </w:r>
            <w:r w:rsidR="00182A4C">
              <w:rPr>
                <w:color w:val="000080"/>
                <w:szCs w:val="24"/>
              </w:rPr>
              <w:t>%</w:t>
            </w:r>
          </w:p>
        </w:tc>
      </w:tr>
      <w:tr w:rsidR="00EF7E6F" w:rsidRPr="00533FB5" w:rsidTr="00EF7E6F">
        <w:tc>
          <w:tcPr>
            <w:tcW w:w="6480" w:type="dxa"/>
          </w:tcPr>
          <w:p w:rsidR="00EF7E6F" w:rsidRDefault="00EF7E6F" w:rsidP="00FC4284">
            <w:pPr>
              <w:tabs>
                <w:tab w:val="left" w:pos="288"/>
                <w:tab w:val="left" w:pos="4752"/>
              </w:tabs>
              <w:spacing w:before="20" w:after="20"/>
              <w:rPr>
                <w:color w:val="000080"/>
                <w:szCs w:val="24"/>
              </w:rPr>
            </w:pPr>
            <w:r w:rsidRPr="00EF7E6F">
              <w:rPr>
                <w:color w:val="000080"/>
                <w:szCs w:val="24"/>
              </w:rPr>
              <w:t>Lumbar Degenerative Disc Disease</w:t>
            </w:r>
          </w:p>
        </w:tc>
        <w:tc>
          <w:tcPr>
            <w:tcW w:w="1710" w:type="dxa"/>
          </w:tcPr>
          <w:p w:rsidR="00EF7E6F" w:rsidRDefault="00EF7E6F" w:rsidP="001C62D7">
            <w:pPr>
              <w:tabs>
                <w:tab w:val="left" w:pos="288"/>
                <w:tab w:val="left" w:pos="4752"/>
              </w:tabs>
              <w:spacing w:line="240" w:lineRule="exact"/>
              <w:jc w:val="center"/>
              <w:rPr>
                <w:color w:val="000080"/>
                <w:szCs w:val="24"/>
              </w:rPr>
            </w:pPr>
            <w:r>
              <w:rPr>
                <w:color w:val="000080"/>
                <w:szCs w:val="24"/>
              </w:rPr>
              <w:t>5242</w:t>
            </w:r>
          </w:p>
        </w:tc>
        <w:tc>
          <w:tcPr>
            <w:tcW w:w="1170" w:type="dxa"/>
          </w:tcPr>
          <w:p w:rsidR="00EF7E6F" w:rsidRDefault="00EF7E6F" w:rsidP="001C62D7">
            <w:pPr>
              <w:tabs>
                <w:tab w:val="left" w:pos="288"/>
                <w:tab w:val="left" w:pos="4752"/>
              </w:tabs>
              <w:spacing w:line="240" w:lineRule="exact"/>
              <w:jc w:val="center"/>
              <w:rPr>
                <w:color w:val="000080"/>
                <w:szCs w:val="24"/>
              </w:rPr>
            </w:pPr>
            <w:r>
              <w:rPr>
                <w:color w:val="000080"/>
                <w:szCs w:val="24"/>
              </w:rPr>
              <w:t>10%</w:t>
            </w:r>
          </w:p>
        </w:tc>
      </w:tr>
      <w:tr w:rsidR="004101B2" w:rsidRPr="00533FB5" w:rsidTr="00EF7E6F">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4101B2" w:rsidRPr="00A867F0" w:rsidRDefault="004101B2" w:rsidP="001C62D7">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170" w:type="dxa"/>
            <w:tcBorders>
              <w:bottom w:val="single" w:sz="4" w:space="0" w:color="000000"/>
            </w:tcBorders>
            <w:shd w:val="clear" w:color="auto" w:fill="D9D9D9" w:themeFill="background1" w:themeFillShade="D9"/>
          </w:tcPr>
          <w:p w:rsidR="004101B2" w:rsidRPr="005A258C" w:rsidRDefault="00EF7E6F" w:rsidP="001C62D7">
            <w:pPr>
              <w:tabs>
                <w:tab w:val="left" w:pos="288"/>
                <w:tab w:val="left" w:pos="4752"/>
              </w:tabs>
              <w:spacing w:before="40" w:line="240" w:lineRule="exact"/>
              <w:jc w:val="center"/>
              <w:rPr>
                <w:b/>
                <w:color w:val="000080"/>
                <w:szCs w:val="24"/>
              </w:rPr>
            </w:pPr>
            <w:r>
              <w:rPr>
                <w:b/>
                <w:color w:val="000080"/>
                <w:szCs w:val="24"/>
              </w:rPr>
              <w:t>6</w:t>
            </w:r>
            <w:r w:rsidR="00E74437">
              <w:rPr>
                <w:b/>
                <w:color w:val="000080"/>
                <w:szCs w:val="24"/>
              </w:rPr>
              <w:t>0</w:t>
            </w:r>
            <w:r w:rsidR="004101B2" w:rsidRPr="005A258C">
              <w:rPr>
                <w:b/>
                <w:color w:val="000080"/>
                <w:szCs w:val="24"/>
              </w:rPr>
              <w:t>%</w:t>
            </w:r>
          </w:p>
        </w:tc>
      </w:tr>
    </w:tbl>
    <w:p w:rsidR="00B522CD" w:rsidRPr="00C45D0E" w:rsidRDefault="008B5D31" w:rsidP="00C45D0E">
      <w:pPr>
        <w:rPr>
          <w:rFonts w:ascii="Times New Roman" w:hAnsi="Times New Roman"/>
          <w:color w:val="FF0000"/>
          <w:szCs w:val="24"/>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237C0B">
        <w:rPr>
          <w:color w:val="000080"/>
        </w:rPr>
        <w:t>0130</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A25907" w:rsidRDefault="00A25907">
      <w:pPr>
        <w:rPr>
          <w:color w:val="000080"/>
        </w:rPr>
      </w:pPr>
      <w:r>
        <w:rPr>
          <w:color w:val="000080"/>
        </w:rPr>
        <w:br w:type="page"/>
      </w:r>
    </w:p>
    <w:p w:rsidR="00A25907" w:rsidRDefault="00A25907" w:rsidP="00A25907">
      <w:pPr>
        <w:pStyle w:val="Default"/>
        <w:framePr w:w="15517" w:wrap="auto" w:vAnchor="page" w:hAnchor="page" w:x="1" w:y="1"/>
      </w:pPr>
      <w:r>
        <w:rPr>
          <w:noProof/>
        </w:rPr>
        <w:lastRenderedPageBreak/>
        <w:drawing>
          <wp:inline distT="0" distB="0" distL="0" distR="0">
            <wp:extent cx="7934325" cy="10325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34325" cy="10325100"/>
                    </a:xfrm>
                    <a:prstGeom prst="rect">
                      <a:avLst/>
                    </a:prstGeom>
                    <a:noFill/>
                    <a:ln w="9525">
                      <a:noFill/>
                      <a:miter lim="800000"/>
                      <a:headEnd/>
                      <a:tailEnd/>
                    </a:ln>
                  </pic:spPr>
                </pic:pic>
              </a:graphicData>
            </a:graphic>
          </wp:inline>
        </w:drawing>
      </w:r>
    </w:p>
    <w:p w:rsidR="00114F20" w:rsidRPr="00D91DA6" w:rsidRDefault="00114F20" w:rsidP="00875F2D">
      <w:pPr>
        <w:tabs>
          <w:tab w:val="left" w:pos="288"/>
          <w:tab w:val="left" w:pos="4752"/>
        </w:tabs>
        <w:spacing w:line="240" w:lineRule="exact"/>
        <w:jc w:val="both"/>
        <w:rPr>
          <w:color w:val="000080"/>
        </w:rPr>
      </w:pPr>
    </w:p>
    <w:sectPr w:rsidR="00114F20" w:rsidRPr="00D91DA6"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BF2" w:rsidRDefault="00A63BF2">
      <w:r>
        <w:separator/>
      </w:r>
    </w:p>
  </w:endnote>
  <w:endnote w:type="continuationSeparator" w:id="0">
    <w:p w:rsidR="00A63BF2" w:rsidRDefault="00A63BF2">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D7" w:rsidRDefault="005B23F8">
    <w:pPr>
      <w:pStyle w:val="Footer"/>
      <w:framePr w:wrap="around" w:vAnchor="text" w:hAnchor="margin" w:xAlign="center" w:y="1"/>
      <w:rPr>
        <w:rStyle w:val="PageNumber"/>
      </w:rPr>
    </w:pPr>
    <w:r>
      <w:rPr>
        <w:rStyle w:val="PageNumber"/>
      </w:rPr>
      <w:fldChar w:fldCharType="begin"/>
    </w:r>
    <w:r w:rsidR="001C62D7">
      <w:rPr>
        <w:rStyle w:val="PageNumber"/>
      </w:rPr>
      <w:instrText xml:space="preserve">PAGE  </w:instrText>
    </w:r>
    <w:r>
      <w:rPr>
        <w:rStyle w:val="PageNumber"/>
      </w:rPr>
      <w:fldChar w:fldCharType="separate"/>
    </w:r>
    <w:r w:rsidR="001C62D7">
      <w:rPr>
        <w:rStyle w:val="PageNumber"/>
        <w:noProof/>
      </w:rPr>
      <w:t>2</w:t>
    </w:r>
    <w:r>
      <w:rPr>
        <w:rStyle w:val="PageNumber"/>
      </w:rPr>
      <w:fldChar w:fldCharType="end"/>
    </w:r>
  </w:p>
  <w:p w:rsidR="001C62D7" w:rsidRDefault="001C62D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D7" w:rsidRDefault="005B23F8">
    <w:pPr>
      <w:pStyle w:val="Footer"/>
      <w:framePr w:wrap="around" w:vAnchor="text" w:hAnchor="margin" w:xAlign="center" w:y="1"/>
      <w:rPr>
        <w:rStyle w:val="PageNumber"/>
      </w:rPr>
    </w:pPr>
    <w:r>
      <w:rPr>
        <w:rStyle w:val="PageNumber"/>
      </w:rPr>
      <w:fldChar w:fldCharType="begin"/>
    </w:r>
    <w:r w:rsidR="001C62D7">
      <w:rPr>
        <w:rStyle w:val="PageNumber"/>
      </w:rPr>
      <w:instrText xml:space="preserve">PAGE  </w:instrText>
    </w:r>
    <w:r>
      <w:rPr>
        <w:rStyle w:val="PageNumber"/>
      </w:rPr>
      <w:fldChar w:fldCharType="separate"/>
    </w:r>
    <w:r w:rsidR="00A25907">
      <w:rPr>
        <w:rStyle w:val="PageNumber"/>
        <w:noProof/>
      </w:rPr>
      <w:t>2</w:t>
    </w:r>
    <w:r>
      <w:rPr>
        <w:rStyle w:val="PageNumber"/>
      </w:rPr>
      <w:fldChar w:fldCharType="end"/>
    </w:r>
  </w:p>
  <w:p w:rsidR="001C62D7" w:rsidRDefault="001C62D7" w:rsidP="002B0749">
    <w:pPr>
      <w:pStyle w:val="Footer"/>
      <w:jc w:val="right"/>
    </w:pPr>
    <w:r>
      <w:tab/>
    </w:r>
    <w:r>
      <w:tab/>
    </w:r>
    <w:r w:rsidRPr="001D3186">
      <w:rPr>
        <w:caps/>
        <w:color w:val="000080"/>
      </w:rPr>
      <w:t>PD09</w:t>
    </w:r>
    <w:r>
      <w:rPr>
        <w:caps/>
        <w:color w:val="000080"/>
      </w:rPr>
      <w:t>00098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BF2" w:rsidRDefault="00A63BF2">
      <w:r>
        <w:separator/>
      </w:r>
    </w:p>
  </w:footnote>
  <w:footnote w:type="continuationSeparator" w:id="0">
    <w:p w:rsidR="00A63BF2" w:rsidRDefault="00A63B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10625"/>
  </w:hdrShapeDefaults>
  <w:footnotePr>
    <w:numRestart w:val="eachSect"/>
    <w:footnote w:id="-1"/>
    <w:footnote w:id="0"/>
  </w:footnotePr>
  <w:endnotePr>
    <w:endnote w:id="-1"/>
    <w:endnote w:id="0"/>
  </w:endnotePr>
  <w:compat/>
  <w:rsids>
    <w:rsidRoot w:val="001C28D1"/>
    <w:rsid w:val="000059FA"/>
    <w:rsid w:val="00006F87"/>
    <w:rsid w:val="00010ABA"/>
    <w:rsid w:val="00013417"/>
    <w:rsid w:val="000145C2"/>
    <w:rsid w:val="0001473F"/>
    <w:rsid w:val="00023D43"/>
    <w:rsid w:val="00032E07"/>
    <w:rsid w:val="000332CA"/>
    <w:rsid w:val="0003374E"/>
    <w:rsid w:val="000344E6"/>
    <w:rsid w:val="00035C3A"/>
    <w:rsid w:val="00036E4B"/>
    <w:rsid w:val="000379D0"/>
    <w:rsid w:val="00040FC4"/>
    <w:rsid w:val="000416F8"/>
    <w:rsid w:val="00051622"/>
    <w:rsid w:val="00052234"/>
    <w:rsid w:val="00053D7C"/>
    <w:rsid w:val="000577C9"/>
    <w:rsid w:val="0006431E"/>
    <w:rsid w:val="00072433"/>
    <w:rsid w:val="000775C2"/>
    <w:rsid w:val="000806AD"/>
    <w:rsid w:val="00082482"/>
    <w:rsid w:val="0008708B"/>
    <w:rsid w:val="00092D56"/>
    <w:rsid w:val="00094E4F"/>
    <w:rsid w:val="000A2BCE"/>
    <w:rsid w:val="000A41E3"/>
    <w:rsid w:val="000A4BBA"/>
    <w:rsid w:val="000A5071"/>
    <w:rsid w:val="000C3C13"/>
    <w:rsid w:val="000C5813"/>
    <w:rsid w:val="000C6641"/>
    <w:rsid w:val="000C7DE4"/>
    <w:rsid w:val="000D15E7"/>
    <w:rsid w:val="000D1A24"/>
    <w:rsid w:val="000D21C7"/>
    <w:rsid w:val="000D248A"/>
    <w:rsid w:val="000D43F9"/>
    <w:rsid w:val="000D4717"/>
    <w:rsid w:val="000D6457"/>
    <w:rsid w:val="000D7D55"/>
    <w:rsid w:val="000E0993"/>
    <w:rsid w:val="000E37E0"/>
    <w:rsid w:val="000F02BE"/>
    <w:rsid w:val="000F427B"/>
    <w:rsid w:val="000F6611"/>
    <w:rsid w:val="001008C1"/>
    <w:rsid w:val="00103CCF"/>
    <w:rsid w:val="0010417F"/>
    <w:rsid w:val="001042D2"/>
    <w:rsid w:val="0010530E"/>
    <w:rsid w:val="001103CD"/>
    <w:rsid w:val="00114F20"/>
    <w:rsid w:val="001219DF"/>
    <w:rsid w:val="001231DC"/>
    <w:rsid w:val="001272AE"/>
    <w:rsid w:val="001315DD"/>
    <w:rsid w:val="00135385"/>
    <w:rsid w:val="001364D1"/>
    <w:rsid w:val="00142AE0"/>
    <w:rsid w:val="00142EBA"/>
    <w:rsid w:val="00153740"/>
    <w:rsid w:val="001541C5"/>
    <w:rsid w:val="0015623F"/>
    <w:rsid w:val="00166182"/>
    <w:rsid w:val="00177659"/>
    <w:rsid w:val="001779E5"/>
    <w:rsid w:val="00182A4C"/>
    <w:rsid w:val="00183F77"/>
    <w:rsid w:val="00185ECB"/>
    <w:rsid w:val="001870F0"/>
    <w:rsid w:val="0019273F"/>
    <w:rsid w:val="00193AD5"/>
    <w:rsid w:val="00194930"/>
    <w:rsid w:val="001A08CD"/>
    <w:rsid w:val="001A5E62"/>
    <w:rsid w:val="001A7538"/>
    <w:rsid w:val="001B4EC2"/>
    <w:rsid w:val="001B5B59"/>
    <w:rsid w:val="001C181A"/>
    <w:rsid w:val="001C1C89"/>
    <w:rsid w:val="001C2053"/>
    <w:rsid w:val="001C28D1"/>
    <w:rsid w:val="001C5CFC"/>
    <w:rsid w:val="001C62D7"/>
    <w:rsid w:val="001C7418"/>
    <w:rsid w:val="001D0051"/>
    <w:rsid w:val="001D2224"/>
    <w:rsid w:val="001D68CF"/>
    <w:rsid w:val="001D6A8C"/>
    <w:rsid w:val="001D7A56"/>
    <w:rsid w:val="001E18E0"/>
    <w:rsid w:val="001E18E2"/>
    <w:rsid w:val="001E48BF"/>
    <w:rsid w:val="001E706C"/>
    <w:rsid w:val="00200AA0"/>
    <w:rsid w:val="00202736"/>
    <w:rsid w:val="00203652"/>
    <w:rsid w:val="002060B6"/>
    <w:rsid w:val="00216049"/>
    <w:rsid w:val="00217C09"/>
    <w:rsid w:val="00220F5C"/>
    <w:rsid w:val="00224D8A"/>
    <w:rsid w:val="00225196"/>
    <w:rsid w:val="00225CB4"/>
    <w:rsid w:val="0023049F"/>
    <w:rsid w:val="00232C9B"/>
    <w:rsid w:val="00232F09"/>
    <w:rsid w:val="002335D5"/>
    <w:rsid w:val="002338CA"/>
    <w:rsid w:val="00233FE5"/>
    <w:rsid w:val="00237C0B"/>
    <w:rsid w:val="0024174E"/>
    <w:rsid w:val="0024227D"/>
    <w:rsid w:val="00246860"/>
    <w:rsid w:val="00246DFF"/>
    <w:rsid w:val="00246E89"/>
    <w:rsid w:val="0025183C"/>
    <w:rsid w:val="0025197E"/>
    <w:rsid w:val="002528EC"/>
    <w:rsid w:val="00255049"/>
    <w:rsid w:val="00257DE5"/>
    <w:rsid w:val="00260531"/>
    <w:rsid w:val="0026318D"/>
    <w:rsid w:val="00270864"/>
    <w:rsid w:val="002712F7"/>
    <w:rsid w:val="0027159C"/>
    <w:rsid w:val="00274549"/>
    <w:rsid w:val="00274E46"/>
    <w:rsid w:val="00276C86"/>
    <w:rsid w:val="002A0B88"/>
    <w:rsid w:val="002A3237"/>
    <w:rsid w:val="002A685E"/>
    <w:rsid w:val="002A72C7"/>
    <w:rsid w:val="002B03B2"/>
    <w:rsid w:val="002B0749"/>
    <w:rsid w:val="002B2645"/>
    <w:rsid w:val="002C5F10"/>
    <w:rsid w:val="002C6E5B"/>
    <w:rsid w:val="002D18B4"/>
    <w:rsid w:val="002D231A"/>
    <w:rsid w:val="002E1877"/>
    <w:rsid w:val="002E1C31"/>
    <w:rsid w:val="002E333A"/>
    <w:rsid w:val="002E3474"/>
    <w:rsid w:val="002E400C"/>
    <w:rsid w:val="002E49C3"/>
    <w:rsid w:val="002E7570"/>
    <w:rsid w:val="002E764B"/>
    <w:rsid w:val="002F0E28"/>
    <w:rsid w:val="002F287E"/>
    <w:rsid w:val="002F2D63"/>
    <w:rsid w:val="002F7F81"/>
    <w:rsid w:val="0030678B"/>
    <w:rsid w:val="00310CD7"/>
    <w:rsid w:val="00311DFC"/>
    <w:rsid w:val="00323E70"/>
    <w:rsid w:val="00326F7F"/>
    <w:rsid w:val="003320E8"/>
    <w:rsid w:val="0033555E"/>
    <w:rsid w:val="00336805"/>
    <w:rsid w:val="00337351"/>
    <w:rsid w:val="00341A54"/>
    <w:rsid w:val="00345747"/>
    <w:rsid w:val="0034669F"/>
    <w:rsid w:val="00351498"/>
    <w:rsid w:val="00352B22"/>
    <w:rsid w:val="003567DE"/>
    <w:rsid w:val="0036319E"/>
    <w:rsid w:val="003632A4"/>
    <w:rsid w:val="00363362"/>
    <w:rsid w:val="00370EF5"/>
    <w:rsid w:val="00372251"/>
    <w:rsid w:val="0037520D"/>
    <w:rsid w:val="0037628C"/>
    <w:rsid w:val="00376B81"/>
    <w:rsid w:val="00377BD2"/>
    <w:rsid w:val="003802F9"/>
    <w:rsid w:val="003821E1"/>
    <w:rsid w:val="00384866"/>
    <w:rsid w:val="003857D4"/>
    <w:rsid w:val="00385D6F"/>
    <w:rsid w:val="00387095"/>
    <w:rsid w:val="00390092"/>
    <w:rsid w:val="00393651"/>
    <w:rsid w:val="003A41BA"/>
    <w:rsid w:val="003A6A99"/>
    <w:rsid w:val="003B227A"/>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72DB"/>
    <w:rsid w:val="00422B75"/>
    <w:rsid w:val="00433F36"/>
    <w:rsid w:val="0043503A"/>
    <w:rsid w:val="00441970"/>
    <w:rsid w:val="0044384F"/>
    <w:rsid w:val="00446018"/>
    <w:rsid w:val="004543BC"/>
    <w:rsid w:val="0045645D"/>
    <w:rsid w:val="004574C6"/>
    <w:rsid w:val="00457BCF"/>
    <w:rsid w:val="00457DCE"/>
    <w:rsid w:val="00460E3F"/>
    <w:rsid w:val="00461B98"/>
    <w:rsid w:val="00467592"/>
    <w:rsid w:val="00470DBB"/>
    <w:rsid w:val="004718E7"/>
    <w:rsid w:val="004761CC"/>
    <w:rsid w:val="00481D66"/>
    <w:rsid w:val="00481DA1"/>
    <w:rsid w:val="0049445D"/>
    <w:rsid w:val="00495350"/>
    <w:rsid w:val="00497156"/>
    <w:rsid w:val="004A24D2"/>
    <w:rsid w:val="004A4136"/>
    <w:rsid w:val="004A417B"/>
    <w:rsid w:val="004B03F3"/>
    <w:rsid w:val="004B2536"/>
    <w:rsid w:val="004B6AF3"/>
    <w:rsid w:val="004B715E"/>
    <w:rsid w:val="004B7169"/>
    <w:rsid w:val="004B79C9"/>
    <w:rsid w:val="004C5E33"/>
    <w:rsid w:val="004C6CDA"/>
    <w:rsid w:val="004D10D4"/>
    <w:rsid w:val="004D136C"/>
    <w:rsid w:val="004D16BD"/>
    <w:rsid w:val="004D6F2B"/>
    <w:rsid w:val="004E0248"/>
    <w:rsid w:val="004E21A3"/>
    <w:rsid w:val="004E32EA"/>
    <w:rsid w:val="004F3222"/>
    <w:rsid w:val="004F3BFA"/>
    <w:rsid w:val="00506A25"/>
    <w:rsid w:val="00510588"/>
    <w:rsid w:val="0051146C"/>
    <w:rsid w:val="005222E7"/>
    <w:rsid w:val="00523E04"/>
    <w:rsid w:val="00525085"/>
    <w:rsid w:val="0052590B"/>
    <w:rsid w:val="00526591"/>
    <w:rsid w:val="00527178"/>
    <w:rsid w:val="005350A5"/>
    <w:rsid w:val="00536379"/>
    <w:rsid w:val="005400C5"/>
    <w:rsid w:val="00540BEF"/>
    <w:rsid w:val="005436C2"/>
    <w:rsid w:val="00550CA4"/>
    <w:rsid w:val="0055288D"/>
    <w:rsid w:val="00555259"/>
    <w:rsid w:val="00560D57"/>
    <w:rsid w:val="00562A94"/>
    <w:rsid w:val="005710A9"/>
    <w:rsid w:val="00593043"/>
    <w:rsid w:val="005A258C"/>
    <w:rsid w:val="005A3560"/>
    <w:rsid w:val="005A6C99"/>
    <w:rsid w:val="005B011A"/>
    <w:rsid w:val="005B1D8F"/>
    <w:rsid w:val="005B23F8"/>
    <w:rsid w:val="005B5B3D"/>
    <w:rsid w:val="005C76AF"/>
    <w:rsid w:val="005E3064"/>
    <w:rsid w:val="005F1115"/>
    <w:rsid w:val="005F27F2"/>
    <w:rsid w:val="005F2DAF"/>
    <w:rsid w:val="005F424D"/>
    <w:rsid w:val="00606BEB"/>
    <w:rsid w:val="0061014A"/>
    <w:rsid w:val="00613E26"/>
    <w:rsid w:val="00615641"/>
    <w:rsid w:val="006211D0"/>
    <w:rsid w:val="00624D0C"/>
    <w:rsid w:val="006307BA"/>
    <w:rsid w:val="00634C4A"/>
    <w:rsid w:val="0063532E"/>
    <w:rsid w:val="00637BDC"/>
    <w:rsid w:val="006418C9"/>
    <w:rsid w:val="006421CF"/>
    <w:rsid w:val="00645046"/>
    <w:rsid w:val="00645EA2"/>
    <w:rsid w:val="00662F08"/>
    <w:rsid w:val="00663589"/>
    <w:rsid w:val="00670DDC"/>
    <w:rsid w:val="00671EB4"/>
    <w:rsid w:val="0067443B"/>
    <w:rsid w:val="00684E2B"/>
    <w:rsid w:val="00684E66"/>
    <w:rsid w:val="00690FDA"/>
    <w:rsid w:val="00694EEA"/>
    <w:rsid w:val="006955B4"/>
    <w:rsid w:val="00696476"/>
    <w:rsid w:val="006A09FB"/>
    <w:rsid w:val="006A10FA"/>
    <w:rsid w:val="006A40E6"/>
    <w:rsid w:val="006A5C07"/>
    <w:rsid w:val="006A75FA"/>
    <w:rsid w:val="006B07D5"/>
    <w:rsid w:val="006B1309"/>
    <w:rsid w:val="006B41D1"/>
    <w:rsid w:val="006B5923"/>
    <w:rsid w:val="006B67D9"/>
    <w:rsid w:val="006B6C14"/>
    <w:rsid w:val="006C3A68"/>
    <w:rsid w:val="006C6AB1"/>
    <w:rsid w:val="006D2D39"/>
    <w:rsid w:val="006D4545"/>
    <w:rsid w:val="006E06D1"/>
    <w:rsid w:val="006E1313"/>
    <w:rsid w:val="006E2DC8"/>
    <w:rsid w:val="006E7356"/>
    <w:rsid w:val="006E77C8"/>
    <w:rsid w:val="006F149D"/>
    <w:rsid w:val="006F1A46"/>
    <w:rsid w:val="006F5A4E"/>
    <w:rsid w:val="00703B6C"/>
    <w:rsid w:val="00706482"/>
    <w:rsid w:val="00706BEF"/>
    <w:rsid w:val="007116BC"/>
    <w:rsid w:val="00714F9B"/>
    <w:rsid w:val="007165CE"/>
    <w:rsid w:val="00720968"/>
    <w:rsid w:val="00721D12"/>
    <w:rsid w:val="00721F8B"/>
    <w:rsid w:val="0073254D"/>
    <w:rsid w:val="00736A49"/>
    <w:rsid w:val="007434A3"/>
    <w:rsid w:val="00743B71"/>
    <w:rsid w:val="00743C2D"/>
    <w:rsid w:val="00744EBB"/>
    <w:rsid w:val="00745255"/>
    <w:rsid w:val="007468AC"/>
    <w:rsid w:val="00746AE2"/>
    <w:rsid w:val="00750C82"/>
    <w:rsid w:val="0076100C"/>
    <w:rsid w:val="007651ED"/>
    <w:rsid w:val="00766635"/>
    <w:rsid w:val="00766C87"/>
    <w:rsid w:val="007676E5"/>
    <w:rsid w:val="007756D3"/>
    <w:rsid w:val="00781BD4"/>
    <w:rsid w:val="00784832"/>
    <w:rsid w:val="00785D77"/>
    <w:rsid w:val="00786111"/>
    <w:rsid w:val="00791092"/>
    <w:rsid w:val="00791F1E"/>
    <w:rsid w:val="00794F3D"/>
    <w:rsid w:val="00795DF1"/>
    <w:rsid w:val="007968AC"/>
    <w:rsid w:val="007A0B39"/>
    <w:rsid w:val="007A14A4"/>
    <w:rsid w:val="007A168F"/>
    <w:rsid w:val="007A28E4"/>
    <w:rsid w:val="007A3BB3"/>
    <w:rsid w:val="007A5AD1"/>
    <w:rsid w:val="007A5B7B"/>
    <w:rsid w:val="007B06BA"/>
    <w:rsid w:val="007B0A06"/>
    <w:rsid w:val="007B5C5C"/>
    <w:rsid w:val="007B7C41"/>
    <w:rsid w:val="007C433E"/>
    <w:rsid w:val="007C4DB1"/>
    <w:rsid w:val="007C6046"/>
    <w:rsid w:val="007D0292"/>
    <w:rsid w:val="007D21AC"/>
    <w:rsid w:val="007D4293"/>
    <w:rsid w:val="007D568A"/>
    <w:rsid w:val="007D574E"/>
    <w:rsid w:val="007E2046"/>
    <w:rsid w:val="007E4FBB"/>
    <w:rsid w:val="007E55BF"/>
    <w:rsid w:val="007E71B1"/>
    <w:rsid w:val="007E7B4E"/>
    <w:rsid w:val="007F0CE2"/>
    <w:rsid w:val="007F0EFF"/>
    <w:rsid w:val="007F1375"/>
    <w:rsid w:val="007F654D"/>
    <w:rsid w:val="00803850"/>
    <w:rsid w:val="008058C4"/>
    <w:rsid w:val="00805AFD"/>
    <w:rsid w:val="00811D5B"/>
    <w:rsid w:val="00817713"/>
    <w:rsid w:val="00830999"/>
    <w:rsid w:val="00830D5E"/>
    <w:rsid w:val="00830F69"/>
    <w:rsid w:val="008320F0"/>
    <w:rsid w:val="00834458"/>
    <w:rsid w:val="00835841"/>
    <w:rsid w:val="00837465"/>
    <w:rsid w:val="00841457"/>
    <w:rsid w:val="00842478"/>
    <w:rsid w:val="0084374E"/>
    <w:rsid w:val="00844842"/>
    <w:rsid w:val="0084610E"/>
    <w:rsid w:val="0085206E"/>
    <w:rsid w:val="00852AD4"/>
    <w:rsid w:val="00852BA8"/>
    <w:rsid w:val="00853718"/>
    <w:rsid w:val="008541EF"/>
    <w:rsid w:val="00856FA4"/>
    <w:rsid w:val="0086162B"/>
    <w:rsid w:val="00865207"/>
    <w:rsid w:val="008656A7"/>
    <w:rsid w:val="00871262"/>
    <w:rsid w:val="00871D4E"/>
    <w:rsid w:val="00871E7B"/>
    <w:rsid w:val="00875B51"/>
    <w:rsid w:val="00875F2D"/>
    <w:rsid w:val="008764DC"/>
    <w:rsid w:val="00883930"/>
    <w:rsid w:val="00896535"/>
    <w:rsid w:val="00896683"/>
    <w:rsid w:val="008A63A9"/>
    <w:rsid w:val="008B04DB"/>
    <w:rsid w:val="008B3AF2"/>
    <w:rsid w:val="008B515D"/>
    <w:rsid w:val="008B5D31"/>
    <w:rsid w:val="008B6705"/>
    <w:rsid w:val="008C6602"/>
    <w:rsid w:val="008D0772"/>
    <w:rsid w:val="008D7B07"/>
    <w:rsid w:val="008E2D99"/>
    <w:rsid w:val="008E3A66"/>
    <w:rsid w:val="008E4A60"/>
    <w:rsid w:val="009026E8"/>
    <w:rsid w:val="00906EB7"/>
    <w:rsid w:val="009102BF"/>
    <w:rsid w:val="00914ADB"/>
    <w:rsid w:val="00923B25"/>
    <w:rsid w:val="0092402E"/>
    <w:rsid w:val="00926FCB"/>
    <w:rsid w:val="00942645"/>
    <w:rsid w:val="00950A3A"/>
    <w:rsid w:val="0095340A"/>
    <w:rsid w:val="00954581"/>
    <w:rsid w:val="0095466C"/>
    <w:rsid w:val="009576BC"/>
    <w:rsid w:val="00960357"/>
    <w:rsid w:val="0096168C"/>
    <w:rsid w:val="00961840"/>
    <w:rsid w:val="00962F2D"/>
    <w:rsid w:val="009672CD"/>
    <w:rsid w:val="00972996"/>
    <w:rsid w:val="009732B8"/>
    <w:rsid w:val="00976869"/>
    <w:rsid w:val="00977740"/>
    <w:rsid w:val="00977CB4"/>
    <w:rsid w:val="009809B8"/>
    <w:rsid w:val="00985099"/>
    <w:rsid w:val="0099421F"/>
    <w:rsid w:val="009A0DE3"/>
    <w:rsid w:val="009A1643"/>
    <w:rsid w:val="009A326B"/>
    <w:rsid w:val="009A4F1B"/>
    <w:rsid w:val="009A79BA"/>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328"/>
    <w:rsid w:val="009E57B1"/>
    <w:rsid w:val="009F7809"/>
    <w:rsid w:val="009F7AF5"/>
    <w:rsid w:val="00A00D14"/>
    <w:rsid w:val="00A01408"/>
    <w:rsid w:val="00A02457"/>
    <w:rsid w:val="00A0404B"/>
    <w:rsid w:val="00A07BDD"/>
    <w:rsid w:val="00A1105B"/>
    <w:rsid w:val="00A15B6B"/>
    <w:rsid w:val="00A15EB4"/>
    <w:rsid w:val="00A16876"/>
    <w:rsid w:val="00A200AA"/>
    <w:rsid w:val="00A2186F"/>
    <w:rsid w:val="00A2270B"/>
    <w:rsid w:val="00A23B89"/>
    <w:rsid w:val="00A2496E"/>
    <w:rsid w:val="00A258B7"/>
    <w:rsid w:val="00A25907"/>
    <w:rsid w:val="00A32743"/>
    <w:rsid w:val="00A371A8"/>
    <w:rsid w:val="00A414A9"/>
    <w:rsid w:val="00A44D75"/>
    <w:rsid w:val="00A47CF1"/>
    <w:rsid w:val="00A50418"/>
    <w:rsid w:val="00A56D26"/>
    <w:rsid w:val="00A608FB"/>
    <w:rsid w:val="00A60D83"/>
    <w:rsid w:val="00A63BF2"/>
    <w:rsid w:val="00A65C78"/>
    <w:rsid w:val="00A70E7B"/>
    <w:rsid w:val="00A73B84"/>
    <w:rsid w:val="00A7411D"/>
    <w:rsid w:val="00A76094"/>
    <w:rsid w:val="00A768E2"/>
    <w:rsid w:val="00A814FB"/>
    <w:rsid w:val="00A82C52"/>
    <w:rsid w:val="00A865B6"/>
    <w:rsid w:val="00A86CB6"/>
    <w:rsid w:val="00A90D55"/>
    <w:rsid w:val="00A961EE"/>
    <w:rsid w:val="00AA04B3"/>
    <w:rsid w:val="00AA493E"/>
    <w:rsid w:val="00AA73AF"/>
    <w:rsid w:val="00AB1754"/>
    <w:rsid w:val="00AC439D"/>
    <w:rsid w:val="00AD067E"/>
    <w:rsid w:val="00AD68C5"/>
    <w:rsid w:val="00AE1273"/>
    <w:rsid w:val="00AE2D29"/>
    <w:rsid w:val="00AE4624"/>
    <w:rsid w:val="00AE5E14"/>
    <w:rsid w:val="00AF4FA5"/>
    <w:rsid w:val="00B15D30"/>
    <w:rsid w:val="00B23436"/>
    <w:rsid w:val="00B32179"/>
    <w:rsid w:val="00B331A9"/>
    <w:rsid w:val="00B34DF3"/>
    <w:rsid w:val="00B40A3E"/>
    <w:rsid w:val="00B50227"/>
    <w:rsid w:val="00B522CD"/>
    <w:rsid w:val="00B55917"/>
    <w:rsid w:val="00B64DD6"/>
    <w:rsid w:val="00B72303"/>
    <w:rsid w:val="00B82277"/>
    <w:rsid w:val="00B91676"/>
    <w:rsid w:val="00B95833"/>
    <w:rsid w:val="00BA2D98"/>
    <w:rsid w:val="00BA30D1"/>
    <w:rsid w:val="00BA4609"/>
    <w:rsid w:val="00BA5BE2"/>
    <w:rsid w:val="00BA7F46"/>
    <w:rsid w:val="00BB0A0A"/>
    <w:rsid w:val="00BB45B5"/>
    <w:rsid w:val="00BB6064"/>
    <w:rsid w:val="00BC09D1"/>
    <w:rsid w:val="00BD40AB"/>
    <w:rsid w:val="00BD6806"/>
    <w:rsid w:val="00BD7433"/>
    <w:rsid w:val="00BD7831"/>
    <w:rsid w:val="00BD7C10"/>
    <w:rsid w:val="00BE046F"/>
    <w:rsid w:val="00BE0DEB"/>
    <w:rsid w:val="00BE2FC1"/>
    <w:rsid w:val="00BE6365"/>
    <w:rsid w:val="00BF0B7F"/>
    <w:rsid w:val="00BF4720"/>
    <w:rsid w:val="00C038EC"/>
    <w:rsid w:val="00C13B34"/>
    <w:rsid w:val="00C1713D"/>
    <w:rsid w:val="00C177F1"/>
    <w:rsid w:val="00C25978"/>
    <w:rsid w:val="00C261C6"/>
    <w:rsid w:val="00C30A97"/>
    <w:rsid w:val="00C31803"/>
    <w:rsid w:val="00C31BFA"/>
    <w:rsid w:val="00C31DDC"/>
    <w:rsid w:val="00C34326"/>
    <w:rsid w:val="00C36201"/>
    <w:rsid w:val="00C368E8"/>
    <w:rsid w:val="00C42443"/>
    <w:rsid w:val="00C42CBA"/>
    <w:rsid w:val="00C45D0E"/>
    <w:rsid w:val="00C5019E"/>
    <w:rsid w:val="00C53E8A"/>
    <w:rsid w:val="00C54DF3"/>
    <w:rsid w:val="00C560A7"/>
    <w:rsid w:val="00C56FC8"/>
    <w:rsid w:val="00C60F23"/>
    <w:rsid w:val="00C62EB2"/>
    <w:rsid w:val="00C71BEC"/>
    <w:rsid w:val="00C74D3A"/>
    <w:rsid w:val="00C77E38"/>
    <w:rsid w:val="00C80511"/>
    <w:rsid w:val="00C826F5"/>
    <w:rsid w:val="00C83740"/>
    <w:rsid w:val="00C84AD1"/>
    <w:rsid w:val="00C85579"/>
    <w:rsid w:val="00C863E5"/>
    <w:rsid w:val="00C931FC"/>
    <w:rsid w:val="00C932C5"/>
    <w:rsid w:val="00C9650E"/>
    <w:rsid w:val="00CA068D"/>
    <w:rsid w:val="00CA282D"/>
    <w:rsid w:val="00CA4670"/>
    <w:rsid w:val="00CA6B1A"/>
    <w:rsid w:val="00CB13E1"/>
    <w:rsid w:val="00CB20DC"/>
    <w:rsid w:val="00CB23DC"/>
    <w:rsid w:val="00CB28E2"/>
    <w:rsid w:val="00CB7FF7"/>
    <w:rsid w:val="00CC19B3"/>
    <w:rsid w:val="00CC2044"/>
    <w:rsid w:val="00CC39D2"/>
    <w:rsid w:val="00CC69EC"/>
    <w:rsid w:val="00CD15BE"/>
    <w:rsid w:val="00CD34C7"/>
    <w:rsid w:val="00CD63C8"/>
    <w:rsid w:val="00CF158D"/>
    <w:rsid w:val="00CF1E09"/>
    <w:rsid w:val="00CF3E38"/>
    <w:rsid w:val="00CF41AA"/>
    <w:rsid w:val="00CF4394"/>
    <w:rsid w:val="00D10577"/>
    <w:rsid w:val="00D1323B"/>
    <w:rsid w:val="00D14BAE"/>
    <w:rsid w:val="00D1648B"/>
    <w:rsid w:val="00D16819"/>
    <w:rsid w:val="00D20AC0"/>
    <w:rsid w:val="00D336C8"/>
    <w:rsid w:val="00D339E8"/>
    <w:rsid w:val="00D40B1F"/>
    <w:rsid w:val="00D40D75"/>
    <w:rsid w:val="00D50C8C"/>
    <w:rsid w:val="00D52393"/>
    <w:rsid w:val="00D53F14"/>
    <w:rsid w:val="00D54BE4"/>
    <w:rsid w:val="00D60483"/>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13"/>
    <w:rsid w:val="00D91DA6"/>
    <w:rsid w:val="00D9706F"/>
    <w:rsid w:val="00D972D4"/>
    <w:rsid w:val="00DA195B"/>
    <w:rsid w:val="00DB0015"/>
    <w:rsid w:val="00DB2AAD"/>
    <w:rsid w:val="00DB626D"/>
    <w:rsid w:val="00DB6365"/>
    <w:rsid w:val="00DC0BF1"/>
    <w:rsid w:val="00DC41C3"/>
    <w:rsid w:val="00DD3593"/>
    <w:rsid w:val="00DD4EE0"/>
    <w:rsid w:val="00DE0C67"/>
    <w:rsid w:val="00DE4107"/>
    <w:rsid w:val="00DE6952"/>
    <w:rsid w:val="00DE7E74"/>
    <w:rsid w:val="00E00A69"/>
    <w:rsid w:val="00E017F0"/>
    <w:rsid w:val="00E01A0E"/>
    <w:rsid w:val="00E041E4"/>
    <w:rsid w:val="00E103C8"/>
    <w:rsid w:val="00E1085B"/>
    <w:rsid w:val="00E14581"/>
    <w:rsid w:val="00E15539"/>
    <w:rsid w:val="00E16541"/>
    <w:rsid w:val="00E2536E"/>
    <w:rsid w:val="00E2632B"/>
    <w:rsid w:val="00E322F7"/>
    <w:rsid w:val="00E3369B"/>
    <w:rsid w:val="00E36D76"/>
    <w:rsid w:val="00E405EA"/>
    <w:rsid w:val="00E408B7"/>
    <w:rsid w:val="00E42172"/>
    <w:rsid w:val="00E42789"/>
    <w:rsid w:val="00E43F59"/>
    <w:rsid w:val="00E464F0"/>
    <w:rsid w:val="00E50BEB"/>
    <w:rsid w:val="00E6092F"/>
    <w:rsid w:val="00E629DA"/>
    <w:rsid w:val="00E62F11"/>
    <w:rsid w:val="00E67FAC"/>
    <w:rsid w:val="00E738CB"/>
    <w:rsid w:val="00E73C88"/>
    <w:rsid w:val="00E74437"/>
    <w:rsid w:val="00E74CDC"/>
    <w:rsid w:val="00E75C42"/>
    <w:rsid w:val="00E81C3E"/>
    <w:rsid w:val="00E82B6D"/>
    <w:rsid w:val="00EA1177"/>
    <w:rsid w:val="00EA11B6"/>
    <w:rsid w:val="00EA2181"/>
    <w:rsid w:val="00EA2DD8"/>
    <w:rsid w:val="00EA4475"/>
    <w:rsid w:val="00EA681F"/>
    <w:rsid w:val="00EB3823"/>
    <w:rsid w:val="00EB47D8"/>
    <w:rsid w:val="00EB5FC4"/>
    <w:rsid w:val="00EB76E4"/>
    <w:rsid w:val="00EC0E65"/>
    <w:rsid w:val="00EC2938"/>
    <w:rsid w:val="00EC50C9"/>
    <w:rsid w:val="00EC5BB2"/>
    <w:rsid w:val="00ED664B"/>
    <w:rsid w:val="00EE0B44"/>
    <w:rsid w:val="00EE704A"/>
    <w:rsid w:val="00EF4C74"/>
    <w:rsid w:val="00EF5268"/>
    <w:rsid w:val="00EF608E"/>
    <w:rsid w:val="00EF7E6F"/>
    <w:rsid w:val="00F05807"/>
    <w:rsid w:val="00F07052"/>
    <w:rsid w:val="00F0706C"/>
    <w:rsid w:val="00F11EBE"/>
    <w:rsid w:val="00F130D0"/>
    <w:rsid w:val="00F1516A"/>
    <w:rsid w:val="00F22A26"/>
    <w:rsid w:val="00F24072"/>
    <w:rsid w:val="00F26432"/>
    <w:rsid w:val="00F3197A"/>
    <w:rsid w:val="00F32139"/>
    <w:rsid w:val="00F33D56"/>
    <w:rsid w:val="00F34E08"/>
    <w:rsid w:val="00F37601"/>
    <w:rsid w:val="00F41D91"/>
    <w:rsid w:val="00F42363"/>
    <w:rsid w:val="00F46964"/>
    <w:rsid w:val="00F46F9A"/>
    <w:rsid w:val="00F5065A"/>
    <w:rsid w:val="00F5126A"/>
    <w:rsid w:val="00F6636A"/>
    <w:rsid w:val="00F718A8"/>
    <w:rsid w:val="00F72183"/>
    <w:rsid w:val="00F76D01"/>
    <w:rsid w:val="00F81C35"/>
    <w:rsid w:val="00F82981"/>
    <w:rsid w:val="00F8311F"/>
    <w:rsid w:val="00F83248"/>
    <w:rsid w:val="00F83376"/>
    <w:rsid w:val="00F853AE"/>
    <w:rsid w:val="00F93DCC"/>
    <w:rsid w:val="00F9435D"/>
    <w:rsid w:val="00FB593A"/>
    <w:rsid w:val="00FB6E82"/>
    <w:rsid w:val="00FC2A13"/>
    <w:rsid w:val="00FC4284"/>
    <w:rsid w:val="00FC4576"/>
    <w:rsid w:val="00FC7DBC"/>
    <w:rsid w:val="00FD076A"/>
    <w:rsid w:val="00FD0AA0"/>
    <w:rsid w:val="00FD1D5A"/>
    <w:rsid w:val="00FD5059"/>
    <w:rsid w:val="00FD554D"/>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A25907"/>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E34CA-B7FF-4526-BA9F-18A1A2EF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2239</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7</cp:revision>
  <cp:lastPrinted>2010-08-17T18:08:00Z</cp:lastPrinted>
  <dcterms:created xsi:type="dcterms:W3CDTF">2010-04-29T16:18:00Z</dcterms:created>
  <dcterms:modified xsi:type="dcterms:W3CDTF">2012-01-24T13:37:00Z</dcterms:modified>
</cp:coreProperties>
</file>