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D91DA6" w:rsidRDefault="00B522CD" w:rsidP="0044384F">
      <w:pPr>
        <w:tabs>
          <w:tab w:val="left" w:pos="288"/>
          <w:tab w:val="left" w:pos="4752"/>
        </w:tabs>
        <w:spacing w:line="240" w:lineRule="exact"/>
        <w:jc w:val="center"/>
        <w:rPr>
          <w:color w:val="000080"/>
        </w:rPr>
      </w:pPr>
      <w:r w:rsidRPr="00D91DA6">
        <w:rPr>
          <w:color w:val="000080"/>
        </w:rPr>
        <w:t>RECORD OF PROCEEDINGS</w:t>
      </w:r>
    </w:p>
    <w:p w:rsidR="00662F08" w:rsidRPr="00D91DA6" w:rsidRDefault="00662F08" w:rsidP="0044384F">
      <w:pPr>
        <w:tabs>
          <w:tab w:val="left" w:pos="288"/>
          <w:tab w:val="left" w:pos="4752"/>
        </w:tabs>
        <w:spacing w:line="240" w:lineRule="exact"/>
        <w:jc w:val="center"/>
        <w:rPr>
          <w:color w:val="000080"/>
        </w:rPr>
      </w:pPr>
      <w:r w:rsidRPr="00D91DA6">
        <w:rPr>
          <w:color w:val="000080"/>
        </w:rPr>
        <w:t xml:space="preserve">PHYSICAL DISABILITY </w:t>
      </w:r>
      <w:r w:rsidR="00E15539">
        <w:rPr>
          <w:color w:val="000080"/>
        </w:rPr>
        <w:t>BOARD OF REVIEW</w:t>
      </w:r>
    </w:p>
    <w:p w:rsidR="00662F08" w:rsidRPr="00D91DA6" w:rsidRDefault="00662F08" w:rsidP="009B1534">
      <w:pPr>
        <w:tabs>
          <w:tab w:val="left" w:pos="288"/>
          <w:tab w:val="left" w:pos="4752"/>
        </w:tabs>
        <w:spacing w:line="240" w:lineRule="exact"/>
        <w:jc w:val="both"/>
        <w:rPr>
          <w:color w:val="000080"/>
        </w:rPr>
      </w:pPr>
    </w:p>
    <w:p w:rsidR="00BF1436" w:rsidRPr="00BF1436" w:rsidRDefault="00BF1436" w:rsidP="00BF1436">
      <w:pPr>
        <w:tabs>
          <w:tab w:val="left" w:pos="288"/>
          <w:tab w:val="left" w:pos="4752"/>
        </w:tabs>
        <w:spacing w:line="240" w:lineRule="exact"/>
        <w:rPr>
          <w:color w:val="000080"/>
        </w:rPr>
      </w:pPr>
      <w:r w:rsidRPr="00BF1436">
        <w:rPr>
          <w:color w:val="000080"/>
        </w:rPr>
        <w:t>NAME:</w:t>
      </w:r>
      <w:r w:rsidRPr="00BF1436">
        <w:rPr>
          <w:color w:val="000080"/>
        </w:rPr>
        <w:tab/>
      </w:r>
      <w:r w:rsidRPr="00BF1436">
        <w:rPr>
          <w:color w:val="000080"/>
        </w:rPr>
        <w:tab/>
        <w:t>BRANCH OF SERVICE: ARMY</w:t>
      </w:r>
    </w:p>
    <w:p w:rsidR="00BF1436" w:rsidRPr="00BF1436" w:rsidRDefault="00BF1436" w:rsidP="00BF1436">
      <w:pPr>
        <w:tabs>
          <w:tab w:val="left" w:pos="288"/>
          <w:tab w:val="left" w:pos="4752"/>
        </w:tabs>
        <w:spacing w:line="240" w:lineRule="exact"/>
        <w:rPr>
          <w:color w:val="000080"/>
        </w:rPr>
      </w:pPr>
      <w:r w:rsidRPr="00BF1436">
        <w:rPr>
          <w:color w:val="000080"/>
        </w:rPr>
        <w:t>CASE NUMBER:  PD0900084</w:t>
      </w:r>
      <w:r w:rsidRPr="00BF1436">
        <w:rPr>
          <w:color w:val="000080"/>
        </w:rPr>
        <w:tab/>
      </w:r>
      <w:r w:rsidRPr="00BF1436">
        <w:rPr>
          <w:color w:val="000080"/>
        </w:rPr>
        <w:tab/>
        <w:t xml:space="preserve">COMPONENT: </w:t>
      </w:r>
      <w:r w:rsidR="00EA47A0">
        <w:rPr>
          <w:color w:val="000080"/>
        </w:rPr>
        <w:t>GUARD</w:t>
      </w:r>
    </w:p>
    <w:p w:rsidR="00BF1436" w:rsidRPr="00BF1436" w:rsidRDefault="00BF1436" w:rsidP="00BF1436">
      <w:pPr>
        <w:tabs>
          <w:tab w:val="left" w:pos="288"/>
          <w:tab w:val="left" w:pos="4752"/>
        </w:tabs>
        <w:spacing w:line="240" w:lineRule="exact"/>
        <w:rPr>
          <w:color w:val="000080"/>
        </w:rPr>
      </w:pPr>
      <w:r w:rsidRPr="00BF1436">
        <w:rPr>
          <w:color w:val="000080"/>
        </w:rPr>
        <w:t>BOARD DATE: 20090813</w:t>
      </w:r>
      <w:r w:rsidRPr="00BF1436">
        <w:rPr>
          <w:color w:val="000080"/>
        </w:rPr>
        <w:tab/>
      </w:r>
      <w:r w:rsidRPr="00BF1436">
        <w:rPr>
          <w:color w:val="000080"/>
        </w:rPr>
        <w:tab/>
        <w:t>SEPARATION DATE: 20040318</w:t>
      </w: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rsidP="009B1534">
      <w:pPr>
        <w:tabs>
          <w:tab w:val="left" w:pos="288"/>
          <w:tab w:val="left" w:pos="4752"/>
        </w:tabs>
        <w:spacing w:line="240" w:lineRule="exact"/>
        <w:jc w:val="both"/>
        <w:rPr>
          <w:color w:val="000080"/>
        </w:rPr>
      </w:pPr>
    </w:p>
    <w:p w:rsidR="00BF1436" w:rsidRDefault="00811D5B" w:rsidP="009B1534">
      <w:pPr>
        <w:tabs>
          <w:tab w:val="left" w:pos="288"/>
          <w:tab w:val="left" w:pos="4752"/>
        </w:tabs>
        <w:spacing w:line="240" w:lineRule="exact"/>
        <w:jc w:val="both"/>
        <w:rPr>
          <w:color w:val="000080"/>
        </w:rPr>
      </w:pPr>
      <w:r w:rsidRPr="00D91DA6">
        <w:rPr>
          <w:color w:val="000080"/>
          <w:u w:val="single"/>
        </w:rPr>
        <w:t>SUMMARY</w:t>
      </w:r>
      <w:r w:rsidR="003D7DDB" w:rsidRPr="00D91DA6">
        <w:rPr>
          <w:color w:val="000080"/>
          <w:u w:val="single"/>
        </w:rPr>
        <w:t xml:space="preserve"> OF CASE</w:t>
      </w:r>
      <w:r w:rsidR="00B522CD" w:rsidRPr="00D91DA6">
        <w:rPr>
          <w:color w:val="000080"/>
        </w:rPr>
        <w:t>:</w:t>
      </w:r>
      <w:r w:rsidR="00BA30D1">
        <w:rPr>
          <w:color w:val="000080"/>
        </w:rPr>
        <w:t xml:space="preserve"> </w:t>
      </w:r>
      <w:r w:rsidR="00BF1436" w:rsidRPr="00BF1436">
        <w:rPr>
          <w:color w:val="000080"/>
        </w:rPr>
        <w:t xml:space="preserve">This covered individual (CI) was an NCO in the Army National Guard medically separated in 2004 after 20 years of combined service.  The medical basis for the separation was a back condition.  He suffered a fall down steps, loaded with gear, in 2004 during an OEF mobilization.  The back injury occurred in CONUS.  It did not respond well enough to conservative management (including physical therapy and epidural injections) for deployment or continued service, resulting in a medical board.  The CI was noted with hypertension (HTN) during his orthopedic work-up and was referred for medical management.  This was related as </w:t>
      </w:r>
      <w:r w:rsidR="00BF1436">
        <w:rPr>
          <w:color w:val="000080"/>
        </w:rPr>
        <w:t xml:space="preserve">a </w:t>
      </w:r>
      <w:r w:rsidR="00BF1436" w:rsidRPr="00BF1436">
        <w:rPr>
          <w:color w:val="000080"/>
        </w:rPr>
        <w:t xml:space="preserve">new condition, although subsequent VA documentation revealed prior HTN and treatment as early as 1992.  The blood pressure remained </w:t>
      </w:r>
      <w:proofErr w:type="gramStart"/>
      <w:r w:rsidR="00BF1436" w:rsidRPr="00BF1436">
        <w:rPr>
          <w:color w:val="000080"/>
        </w:rPr>
        <w:t>elevated,</w:t>
      </w:r>
      <w:proofErr w:type="gramEnd"/>
      <w:r w:rsidR="00BF1436" w:rsidRPr="00BF1436">
        <w:rPr>
          <w:color w:val="000080"/>
        </w:rPr>
        <w:t xml:space="preserve"> even with treatment titrated to three medications.  The MEB </w:t>
      </w:r>
      <w:r w:rsidR="000A64A0">
        <w:rPr>
          <w:color w:val="000080"/>
        </w:rPr>
        <w:t xml:space="preserve">form 3847 </w:t>
      </w:r>
      <w:r w:rsidR="00BF1436" w:rsidRPr="00BF1436">
        <w:rPr>
          <w:color w:val="000080"/>
        </w:rPr>
        <w:t xml:space="preserve">referred the HTN condition as </w:t>
      </w:r>
      <w:r w:rsidR="000A64A0">
        <w:rPr>
          <w:color w:val="000080"/>
        </w:rPr>
        <w:t>not meeting retention standards</w:t>
      </w:r>
      <w:r w:rsidR="00BF1436" w:rsidRPr="00BF1436">
        <w:rPr>
          <w:color w:val="000080"/>
        </w:rPr>
        <w:t>.  The PEB adjudicated the HTN as not unfitting and the CI was separated at 10% for the back condition.</w:t>
      </w:r>
    </w:p>
    <w:p w:rsidR="00923B25" w:rsidRPr="00D91DA6" w:rsidRDefault="00BF1436" w:rsidP="009B1534">
      <w:pPr>
        <w:tabs>
          <w:tab w:val="left" w:pos="288"/>
          <w:tab w:val="left" w:pos="4752"/>
        </w:tabs>
        <w:spacing w:line="240" w:lineRule="exact"/>
        <w:jc w:val="both"/>
        <w:rPr>
          <w:color w:val="000080"/>
        </w:rPr>
      </w:pPr>
      <w:r>
        <w:rPr>
          <w:rFonts w:ascii="Times New Roman" w:hAnsi="Times New Roman"/>
          <w:color w:val="auto"/>
          <w:szCs w:val="24"/>
        </w:rPr>
        <w:t xml:space="preserve"> </w:t>
      </w:r>
      <w:r w:rsidR="00923B25" w:rsidRPr="00D91DA6">
        <w:rPr>
          <w:color w:val="000080"/>
        </w:rPr>
        <w:t>_________________________________</w:t>
      </w:r>
      <w:r w:rsidR="00923B25">
        <w:rPr>
          <w:color w:val="000080"/>
        </w:rPr>
        <w:t>_______________________________</w:t>
      </w:r>
    </w:p>
    <w:p w:rsidR="00923B25" w:rsidRPr="00D91DA6" w:rsidRDefault="00923B25" w:rsidP="009B1534">
      <w:pPr>
        <w:tabs>
          <w:tab w:val="left" w:pos="288"/>
          <w:tab w:val="left" w:pos="4752"/>
        </w:tabs>
        <w:spacing w:line="240" w:lineRule="exact"/>
        <w:jc w:val="both"/>
        <w:rPr>
          <w:color w:val="000080"/>
        </w:rPr>
      </w:pPr>
    </w:p>
    <w:p w:rsidR="00DA195B" w:rsidRPr="00D91DA6" w:rsidRDefault="001C181A" w:rsidP="00BF1436">
      <w:pPr>
        <w:tabs>
          <w:tab w:val="left" w:pos="288"/>
          <w:tab w:val="left" w:pos="4752"/>
        </w:tabs>
        <w:spacing w:line="240" w:lineRule="exact"/>
        <w:jc w:val="both"/>
        <w:rPr>
          <w:color w:val="000080"/>
        </w:rPr>
      </w:pPr>
      <w:r>
        <w:rPr>
          <w:color w:val="000080"/>
          <w:u w:val="single"/>
        </w:rPr>
        <w:t>CI CONTENTION</w:t>
      </w:r>
      <w:r w:rsidRPr="00D91DA6">
        <w:rPr>
          <w:color w:val="000080"/>
        </w:rPr>
        <w:t>:</w:t>
      </w:r>
      <w:r w:rsidR="00DA195B">
        <w:rPr>
          <w:color w:val="000080"/>
        </w:rPr>
        <w:t xml:space="preserve"> </w:t>
      </w:r>
      <w:r w:rsidR="003D2BA3">
        <w:rPr>
          <w:color w:val="000080"/>
        </w:rPr>
        <w:t xml:space="preserve">The </w:t>
      </w:r>
      <w:r w:rsidR="00BF1436" w:rsidRPr="00BF1436">
        <w:rPr>
          <w:color w:val="000080"/>
        </w:rPr>
        <w:t xml:space="preserve">CI </w:t>
      </w:r>
      <w:r w:rsidR="00FA5142">
        <w:rPr>
          <w:color w:val="000080"/>
        </w:rPr>
        <w:t>contends for rating of his back injury and uncontrolled hypertension.</w:t>
      </w:r>
      <w:r w:rsidR="00BF1436">
        <w:rPr>
          <w:color w:val="000080"/>
        </w:rPr>
        <w:tab/>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rsidP="009B1534">
      <w:pPr>
        <w:tabs>
          <w:tab w:val="left" w:pos="288"/>
          <w:tab w:val="left" w:pos="4752"/>
        </w:tabs>
        <w:spacing w:line="240" w:lineRule="exact"/>
        <w:jc w:val="both"/>
        <w:rPr>
          <w:color w:val="000080"/>
        </w:rPr>
      </w:pPr>
    </w:p>
    <w:p w:rsidR="002338CA" w:rsidRDefault="00A90D55" w:rsidP="009B1534">
      <w:pPr>
        <w:tabs>
          <w:tab w:val="left" w:pos="288"/>
          <w:tab w:val="left" w:pos="4752"/>
        </w:tabs>
        <w:spacing w:line="240" w:lineRule="exact"/>
        <w:jc w:val="both"/>
        <w:rPr>
          <w:color w:val="000080"/>
        </w:rPr>
      </w:pPr>
      <w:r>
        <w:rPr>
          <w:color w:val="000080"/>
          <w:u w:val="single"/>
        </w:rPr>
        <w:t>RATING COMPARISON</w:t>
      </w:r>
      <w:r>
        <w:rPr>
          <w:color w:val="000080"/>
        </w:rPr>
        <w:t>:</w:t>
      </w:r>
    </w:p>
    <w:p w:rsidR="00BF1436" w:rsidRDefault="00BF1436" w:rsidP="009B1534">
      <w:pPr>
        <w:tabs>
          <w:tab w:val="left" w:pos="288"/>
          <w:tab w:val="left" w:pos="4752"/>
        </w:tabs>
        <w:spacing w:line="240" w:lineRule="exact"/>
        <w:jc w:val="both"/>
        <w:rPr>
          <w:color w:val="000080"/>
        </w:rPr>
      </w:pPr>
    </w:p>
    <w:tbl>
      <w:tblPr>
        <w:tblStyle w:val="TableGrid"/>
        <w:tblW w:w="11250" w:type="dxa"/>
        <w:tblInd w:w="-612" w:type="dxa"/>
        <w:tblLayout w:type="fixed"/>
        <w:tblLook w:val="04A0"/>
      </w:tblPr>
      <w:tblGrid>
        <w:gridCol w:w="3060"/>
        <w:gridCol w:w="900"/>
        <w:gridCol w:w="810"/>
        <w:gridCol w:w="990"/>
        <w:gridCol w:w="1620"/>
        <w:gridCol w:w="720"/>
        <w:gridCol w:w="810"/>
        <w:gridCol w:w="1170"/>
        <w:gridCol w:w="1170"/>
      </w:tblGrid>
      <w:tr w:rsidR="00BF1436" w:rsidTr="00BF1436">
        <w:trPr>
          <w:trHeight w:val="264"/>
        </w:trPr>
        <w:tc>
          <w:tcPr>
            <w:tcW w:w="57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F1436" w:rsidRDefault="00BF1436">
            <w:pPr>
              <w:pStyle w:val="ListParagraph"/>
              <w:spacing w:after="0"/>
              <w:ind w:left="0"/>
              <w:jc w:val="center"/>
              <w:rPr>
                <w:b/>
              </w:rPr>
            </w:pPr>
            <w:r>
              <w:rPr>
                <w:b/>
              </w:rPr>
              <w:t>Service PEB</w:t>
            </w:r>
          </w:p>
        </w:tc>
        <w:tc>
          <w:tcPr>
            <w:tcW w:w="549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VA   (1 Mo. from Separation)</w:t>
            </w:r>
          </w:p>
        </w:tc>
      </w:tr>
      <w:tr w:rsidR="00BF1436" w:rsidTr="00BF1436">
        <w:trPr>
          <w:trHeight w:val="28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PEB Condition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F1436" w:rsidRDefault="00BF1436">
            <w:pPr>
              <w:pStyle w:val="ListParagraph"/>
              <w:spacing w:after="0"/>
              <w:ind w:left="0"/>
              <w:jc w:val="center"/>
              <w:rPr>
                <w:b/>
              </w:rPr>
            </w:pPr>
            <w:r>
              <w:rPr>
                <w:b/>
              </w:rPr>
              <w:t>Date</w:t>
            </w:r>
          </w:p>
        </w:tc>
        <w:tc>
          <w:tcPr>
            <w:tcW w:w="16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Effective</w:t>
            </w:r>
          </w:p>
        </w:tc>
      </w:tr>
      <w:tr w:rsidR="00BF1436" w:rsidTr="00BF1436">
        <w:trPr>
          <w:trHeight w:val="28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pPr>
            <w:r>
              <w:rPr>
                <w:rFonts w:ascii="Times New Roman" w:hAnsi="Times New Roman" w:cs="Times New Roman"/>
                <w:sz w:val="18"/>
                <w:szCs w:val="18"/>
              </w:rPr>
              <w:t>CHRONIC</w:t>
            </w:r>
            <w:r>
              <w:rPr>
                <w:rFonts w:ascii="HiddenHorzOCR" w:eastAsia="HiddenHorzOCR" w:hAnsi="Times New Roman" w:cs="HiddenHorzOCR" w:hint="eastAsia"/>
                <w:sz w:val="11"/>
                <w:szCs w:val="11"/>
              </w:rPr>
              <w:t xml:space="preserve"> </w:t>
            </w:r>
            <w:r>
              <w:rPr>
                <w:rFonts w:ascii="Times New Roman" w:hAnsi="Times New Roman" w:cs="Times New Roman"/>
                <w:sz w:val="18"/>
                <w:szCs w:val="18"/>
              </w:rPr>
              <w:t>BACK PAIN, SUBJECTIVE, WITHOUT NEUROLOGIC ASNORMALITY.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5299- 5237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20040220</w:t>
            </w:r>
          </w:p>
        </w:tc>
        <w:tc>
          <w:tcPr>
            <w:tcW w:w="16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 xml:space="preserve">LUMBOSACRAL  STRAIN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20040508</w:t>
            </w:r>
          </w:p>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20040618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20040319</w:t>
            </w:r>
          </w:p>
        </w:tc>
      </w:tr>
      <w:tr w:rsidR="00BF1436" w:rsidTr="00BF1436">
        <w:trPr>
          <w:trHeight w:val="264"/>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F1436" w:rsidRDefault="00BF1436">
            <w:pPr>
              <w:pStyle w:val="ListParagraph"/>
              <w:spacing w:after="0"/>
              <w:ind w:left="0"/>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F1436" w:rsidRDefault="00BF1436">
            <w:pPr>
              <w:pStyle w:val="ListParagraph"/>
              <w:spacing w:after="0"/>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F1436" w:rsidRDefault="00BF1436">
            <w:pPr>
              <w:pStyle w:val="ListParagraph"/>
              <w:spacing w:after="0"/>
              <w:ind w:left="0"/>
              <w:jc w:val="cente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BF1436" w:rsidRDefault="00BF1436">
            <w:pPr>
              <w:pStyle w:val="ListParagraph"/>
              <w:spacing w:after="0"/>
              <w:ind w:left="0"/>
              <w:jc w:val="center"/>
              <w:rPr>
                <w:b/>
              </w:rPr>
            </w:pPr>
          </w:p>
        </w:tc>
        <w:tc>
          <w:tcPr>
            <w:tcW w:w="162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rPr>
                <w:rFonts w:ascii="Times New Roman" w:hAnsi="Times New Roman" w:cs="Times New Roman"/>
                <w:sz w:val="18"/>
                <w:szCs w:val="18"/>
              </w:rPr>
            </w:pPr>
            <w:r>
              <w:rPr>
                <w:rFonts w:ascii="Times New Roman" w:hAnsi="Times New Roman" w:cs="Times New Roman"/>
                <w:sz w:val="18"/>
                <w:szCs w:val="18"/>
              </w:rPr>
              <w:t>HYPERTENSION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7101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20040930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F1436" w:rsidRDefault="00BF1436">
            <w:pPr>
              <w:pStyle w:val="ListParagraph"/>
              <w:spacing w:after="0"/>
              <w:ind w:left="0"/>
              <w:jc w:val="center"/>
              <w:rPr>
                <w:rFonts w:ascii="Times New Roman" w:hAnsi="Times New Roman" w:cs="Times New Roman"/>
                <w:sz w:val="18"/>
                <w:szCs w:val="18"/>
              </w:rPr>
            </w:pPr>
            <w:r>
              <w:rPr>
                <w:rFonts w:ascii="Times New Roman" w:hAnsi="Times New Roman" w:cs="Times New Roman"/>
                <w:sz w:val="18"/>
                <w:szCs w:val="18"/>
              </w:rPr>
              <w:t>20040319</w:t>
            </w:r>
          </w:p>
        </w:tc>
      </w:tr>
      <w:tr w:rsidR="00BF1436" w:rsidTr="00BF1436">
        <w:trPr>
          <w:trHeight w:val="377"/>
        </w:trPr>
        <w:tc>
          <w:tcPr>
            <w:tcW w:w="57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F1436" w:rsidRDefault="00BF1436">
            <w:pPr>
              <w:pStyle w:val="ListParagraph"/>
              <w:spacing w:after="0"/>
              <w:ind w:left="0"/>
              <w:jc w:val="center"/>
              <w:rPr>
                <w:b/>
              </w:rPr>
            </w:pPr>
            <w:r>
              <w:rPr>
                <w:b/>
              </w:rPr>
              <w:t>TOTAL Combined:  10 %</w:t>
            </w:r>
          </w:p>
        </w:tc>
        <w:tc>
          <w:tcPr>
            <w:tcW w:w="549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F1436" w:rsidRDefault="00BF1436">
            <w:pPr>
              <w:pStyle w:val="ListParagraph"/>
              <w:spacing w:after="0"/>
              <w:ind w:left="0"/>
              <w:jc w:val="center"/>
              <w:rPr>
                <w:b/>
              </w:rPr>
            </w:pPr>
            <w:r>
              <w:rPr>
                <w:b/>
              </w:rPr>
              <w:t>TOTAL Combined (</w:t>
            </w:r>
            <w:proofErr w:type="spellStart"/>
            <w:r>
              <w:rPr>
                <w:b/>
                <w:i/>
              </w:rPr>
              <w:t>incl</w:t>
            </w:r>
            <w:proofErr w:type="spellEnd"/>
            <w:r>
              <w:rPr>
                <w:b/>
                <w:i/>
              </w:rPr>
              <w:t xml:space="preserve"> non-PEB </w:t>
            </w:r>
            <w:proofErr w:type="spellStart"/>
            <w:r>
              <w:rPr>
                <w:b/>
                <w:i/>
              </w:rPr>
              <w:t>Dxs</w:t>
            </w:r>
            <w:proofErr w:type="spellEnd"/>
            <w:r>
              <w:rPr>
                <w:b/>
              </w:rPr>
              <w:t xml:space="preserve">):    10%                                                                         </w:t>
            </w:r>
            <w:r>
              <w:rPr>
                <w:rFonts w:ascii="Times New Roman" w:hAnsi="Times New Roman" w:cs="Times New Roman"/>
                <w:color w:val="000000"/>
                <w:sz w:val="21"/>
                <w:szCs w:val="24"/>
              </w:rPr>
              <w:t xml:space="preserve"> </w:t>
            </w:r>
          </w:p>
        </w:tc>
      </w:tr>
    </w:tbl>
    <w:p w:rsidR="00BF1436" w:rsidRDefault="00BF1436" w:rsidP="009B1534">
      <w:pPr>
        <w:tabs>
          <w:tab w:val="left" w:pos="288"/>
          <w:tab w:val="left" w:pos="4752"/>
        </w:tabs>
        <w:spacing w:line="240" w:lineRule="exact"/>
        <w:jc w:val="both"/>
        <w:rPr>
          <w:color w:val="000080"/>
        </w:rPr>
      </w:pPr>
    </w:p>
    <w:p w:rsidR="00A90D55" w:rsidRDefault="00A90D55" w:rsidP="009B1534">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9B1534">
      <w:pPr>
        <w:tabs>
          <w:tab w:val="left" w:pos="288"/>
          <w:tab w:val="left" w:pos="4752"/>
        </w:tabs>
        <w:spacing w:line="240" w:lineRule="exact"/>
        <w:jc w:val="both"/>
        <w:rPr>
          <w:color w:val="000080"/>
        </w:rPr>
      </w:pPr>
    </w:p>
    <w:p w:rsidR="00BF1436" w:rsidRPr="00BF1436" w:rsidRDefault="00BF1436" w:rsidP="00BF1436">
      <w:pPr>
        <w:tabs>
          <w:tab w:val="left" w:pos="288"/>
          <w:tab w:val="left" w:pos="4752"/>
        </w:tabs>
        <w:spacing w:line="240" w:lineRule="exact"/>
        <w:jc w:val="both"/>
        <w:rPr>
          <w:color w:val="000080"/>
        </w:rPr>
      </w:pPr>
      <w:r w:rsidRPr="00BF1436">
        <w:rPr>
          <w:color w:val="000080"/>
          <w:u w:val="single"/>
        </w:rPr>
        <w:t>Back Rating</w:t>
      </w:r>
      <w:r w:rsidRPr="00BF1436">
        <w:rPr>
          <w:color w:val="000080"/>
        </w:rPr>
        <w:t xml:space="preserve">.  The goniometric exam for </w:t>
      </w:r>
      <w:proofErr w:type="spellStart"/>
      <w:r w:rsidRPr="00BF1436">
        <w:rPr>
          <w:color w:val="000080"/>
        </w:rPr>
        <w:t>thoracolumbar</w:t>
      </w:r>
      <w:proofErr w:type="spellEnd"/>
      <w:r w:rsidRPr="00BF1436">
        <w:rPr>
          <w:color w:val="000080"/>
        </w:rPr>
        <w:t xml:space="preserve"> range-of-motion forwarded in the NARSUM was 70</w:t>
      </w:r>
      <w:r w:rsidR="000A64A0">
        <w:rPr>
          <w:rFonts w:ascii="Calibri" w:hAnsi="Calibri"/>
          <w:color w:val="000080"/>
        </w:rPr>
        <w:t>⁰</w:t>
      </w:r>
      <w:r w:rsidRPr="00BF1436">
        <w:rPr>
          <w:color w:val="000080"/>
        </w:rPr>
        <w:t xml:space="preserve"> flexion (&gt;240</w:t>
      </w:r>
      <w:r w:rsidR="000A64A0">
        <w:rPr>
          <w:rFonts w:ascii="Calibri" w:hAnsi="Calibri"/>
          <w:color w:val="000080"/>
        </w:rPr>
        <w:t>⁰</w:t>
      </w:r>
      <w:r w:rsidRPr="00BF1436">
        <w:rPr>
          <w:color w:val="000080"/>
        </w:rPr>
        <w:t xml:space="preserve"> total), with spinal tenderness noted.  Pain parameters were not specified.  The VA exam yielded 90</w:t>
      </w:r>
      <w:r w:rsidR="000A64A0">
        <w:rPr>
          <w:rFonts w:ascii="Calibri" w:hAnsi="Calibri"/>
          <w:color w:val="000080"/>
        </w:rPr>
        <w:t>⁰</w:t>
      </w:r>
      <w:r w:rsidRPr="00BF1436">
        <w:rPr>
          <w:color w:val="000080"/>
        </w:rPr>
        <w:t xml:space="preserve"> flexion (&gt;240</w:t>
      </w:r>
      <w:r w:rsidR="000A64A0">
        <w:rPr>
          <w:rFonts w:ascii="Calibri" w:hAnsi="Calibri"/>
          <w:color w:val="000080"/>
        </w:rPr>
        <w:t>⁰</w:t>
      </w:r>
      <w:r w:rsidRPr="00BF1436">
        <w:rPr>
          <w:color w:val="000080"/>
        </w:rPr>
        <w:t xml:space="preserve"> total).  </w:t>
      </w:r>
      <w:proofErr w:type="gramStart"/>
      <w:r w:rsidRPr="00BF1436">
        <w:rPr>
          <w:color w:val="000080"/>
        </w:rPr>
        <w:t>The VA 10% rating rested on the examiner’s description of painful motion.</w:t>
      </w:r>
      <w:proofErr w:type="gramEnd"/>
      <w:r w:rsidRPr="00BF1436">
        <w:rPr>
          <w:color w:val="000080"/>
        </w:rPr>
        <w:t xml:space="preserve">  The PEB rating was accurate, accounting for the 70</w:t>
      </w:r>
      <w:r w:rsidR="000A64A0">
        <w:rPr>
          <w:rFonts w:ascii="Calibri" w:hAnsi="Calibri"/>
          <w:color w:val="000080"/>
        </w:rPr>
        <w:t>⁰</w:t>
      </w:r>
      <w:r w:rsidRPr="00BF1436">
        <w:rPr>
          <w:color w:val="000080"/>
        </w:rPr>
        <w:t xml:space="preserve"> flexion and the tenderness.  There is no reason to suspect that application of the USAPDA pain policy, mitigating the VASRD rating IAW §4.71a, was a factor in this case</w:t>
      </w:r>
      <w:r w:rsidR="000A64A0">
        <w:rPr>
          <w:color w:val="000080"/>
        </w:rPr>
        <w:t>.</w:t>
      </w:r>
    </w:p>
    <w:p w:rsidR="00BF1436" w:rsidRPr="00BF1436" w:rsidRDefault="00BF1436" w:rsidP="00BF1436">
      <w:pPr>
        <w:tabs>
          <w:tab w:val="left" w:pos="288"/>
          <w:tab w:val="left" w:pos="4752"/>
        </w:tabs>
        <w:spacing w:line="240" w:lineRule="exact"/>
        <w:jc w:val="both"/>
        <w:rPr>
          <w:color w:val="000080"/>
        </w:rPr>
      </w:pPr>
    </w:p>
    <w:p w:rsidR="00BF1436" w:rsidRPr="00BF1436" w:rsidRDefault="00BF1436" w:rsidP="00BF1436">
      <w:pPr>
        <w:tabs>
          <w:tab w:val="left" w:pos="288"/>
          <w:tab w:val="left" w:pos="4752"/>
        </w:tabs>
        <w:spacing w:line="240" w:lineRule="exact"/>
        <w:jc w:val="both"/>
        <w:rPr>
          <w:color w:val="000080"/>
        </w:rPr>
      </w:pPr>
      <w:proofErr w:type="gramStart"/>
      <w:r w:rsidRPr="00BF1436">
        <w:rPr>
          <w:color w:val="000080"/>
          <w:u w:val="single"/>
        </w:rPr>
        <w:t>HTN Unfitting</w:t>
      </w:r>
      <w:r w:rsidRPr="00BF1436">
        <w:rPr>
          <w:color w:val="000080"/>
        </w:rPr>
        <w:t>.</w:t>
      </w:r>
      <w:proofErr w:type="gramEnd"/>
      <w:r w:rsidRPr="00BF1436">
        <w:rPr>
          <w:color w:val="000080"/>
        </w:rPr>
        <w:t xml:space="preserve">  The PEB did not elaborate its rationale for </w:t>
      </w:r>
      <w:r w:rsidR="002A6103">
        <w:rPr>
          <w:color w:val="000080"/>
        </w:rPr>
        <w:t>the</w:t>
      </w:r>
      <w:r w:rsidRPr="00BF1436">
        <w:rPr>
          <w:color w:val="000080"/>
        </w:rPr>
        <w:t xml:space="preserve"> </w:t>
      </w:r>
      <w:r w:rsidR="00514441">
        <w:rPr>
          <w:color w:val="000080"/>
        </w:rPr>
        <w:t xml:space="preserve">finding of </w:t>
      </w:r>
      <w:r w:rsidRPr="00BF1436">
        <w:rPr>
          <w:color w:val="000080"/>
        </w:rPr>
        <w:t>fitness regarding HTN</w:t>
      </w:r>
      <w:r w:rsidR="00514441">
        <w:rPr>
          <w:color w:val="000080"/>
        </w:rPr>
        <w:t>, even though the MEB judged it to be below retention standards.</w:t>
      </w:r>
      <w:r w:rsidRPr="00BF1436">
        <w:rPr>
          <w:color w:val="000080"/>
        </w:rPr>
        <w:t xml:space="preserve">  In general, however, none of the service PEB’s tend to </w:t>
      </w:r>
      <w:proofErr w:type="gramStart"/>
      <w:r w:rsidRPr="00BF1436">
        <w:rPr>
          <w:color w:val="000080"/>
        </w:rPr>
        <w:t>adjudicate</w:t>
      </w:r>
      <w:proofErr w:type="gramEnd"/>
      <w:r w:rsidRPr="00BF1436">
        <w:rPr>
          <w:color w:val="000080"/>
        </w:rPr>
        <w:t xml:space="preserve"> HTN as unfitting unless there are complications</w:t>
      </w:r>
      <w:r w:rsidR="00514441">
        <w:rPr>
          <w:color w:val="000080"/>
        </w:rPr>
        <w:t xml:space="preserve"> or frequent requirement for inpatient management</w:t>
      </w:r>
      <w:r w:rsidRPr="00BF1436">
        <w:rPr>
          <w:color w:val="000080"/>
        </w:rPr>
        <w:t>.  The exact language in the NARSUM was, ‘Blood pressure medications may well interfere with the soldier performing his job in extreme environmental conditions such as extreme heat. Physical Evaluation Board will have to adjudicate on the possible impairment on blood pressure medications in extreme desert conditions’.  The adjustment of blood pressure medications was ongoing at the time of PEB referral.  The NARSUM stated that it was controlled well enough to avoid acute complications, but that continued civilian management was indicated.  The C</w:t>
      </w:r>
      <w:r w:rsidR="00514441">
        <w:rPr>
          <w:color w:val="000080"/>
        </w:rPr>
        <w:t>ommander’s</w:t>
      </w:r>
      <w:r w:rsidRPr="00BF1436">
        <w:rPr>
          <w:color w:val="000080"/>
        </w:rPr>
        <w:t xml:space="preserve"> statement implies that the HTN is unfitting because the physical demands of his MOS ‘under a</w:t>
      </w:r>
      <w:r w:rsidR="000A64A0">
        <w:rPr>
          <w:color w:val="000080"/>
        </w:rPr>
        <w:t xml:space="preserve"> variety of tactical conditions </w:t>
      </w:r>
      <w:r w:rsidRPr="00BF1436">
        <w:rPr>
          <w:color w:val="000080"/>
        </w:rPr>
        <w:t xml:space="preserve">predisposes him to a stroke’.  </w:t>
      </w:r>
      <w:r w:rsidR="00514441">
        <w:rPr>
          <w:color w:val="000080"/>
        </w:rPr>
        <w:t>The source of the C.O.’s opinion is unknown, but</w:t>
      </w:r>
      <w:r w:rsidRPr="00BF1436">
        <w:rPr>
          <w:color w:val="000080"/>
        </w:rPr>
        <w:t xml:space="preserve"> it is </w:t>
      </w:r>
      <w:r w:rsidR="00514441">
        <w:rPr>
          <w:color w:val="000080"/>
        </w:rPr>
        <w:t xml:space="preserve">obviously </w:t>
      </w:r>
      <w:r w:rsidRPr="00BF1436">
        <w:rPr>
          <w:color w:val="000080"/>
        </w:rPr>
        <w:t>speculative</w:t>
      </w:r>
      <w:r w:rsidR="00514441">
        <w:rPr>
          <w:color w:val="000080"/>
        </w:rPr>
        <w:t xml:space="preserve"> and carries little probative weight</w:t>
      </w:r>
      <w:r w:rsidRPr="00BF1436">
        <w:rPr>
          <w:color w:val="000080"/>
        </w:rPr>
        <w:t>.  The physical profile (313111) states, ‘Cannot participate</w:t>
      </w:r>
      <w:r w:rsidR="00514441">
        <w:rPr>
          <w:color w:val="000080"/>
        </w:rPr>
        <w:t xml:space="preserve"> in vigorous aerobic activities</w:t>
      </w:r>
      <w:r w:rsidRPr="00BF1436">
        <w:rPr>
          <w:color w:val="000080"/>
        </w:rPr>
        <w:t>.  The aerobic proscription is assumed to apply to cardiovascular limitations or risk</w:t>
      </w:r>
      <w:r w:rsidR="00A363BD">
        <w:rPr>
          <w:color w:val="000080"/>
        </w:rPr>
        <w:t>, although p</w:t>
      </w:r>
      <w:r w:rsidRPr="00BF1436">
        <w:rPr>
          <w:color w:val="000080"/>
        </w:rPr>
        <w:t xml:space="preserve">arameters for ‘vigorous’ are not defined.  This would be a prudent profile for a member undergoing titration of anti-hypertensive medications, but it does not follow that it is an anticipated permanent profile.  AR 40-501 conveys no specific recommendations for unacceptability of HTN (except parameters for flight status).  The MEB </w:t>
      </w:r>
      <w:r w:rsidR="00A363BD">
        <w:rPr>
          <w:color w:val="000080"/>
        </w:rPr>
        <w:t>referenced</w:t>
      </w:r>
      <w:r w:rsidRPr="00BF1436">
        <w:rPr>
          <w:color w:val="000080"/>
        </w:rPr>
        <w:t xml:space="preserve"> the general principles of </w:t>
      </w:r>
      <w:r w:rsidR="00A363BD">
        <w:rPr>
          <w:color w:val="000080"/>
        </w:rPr>
        <w:t>AR 40-501,</w:t>
      </w:r>
      <w:r w:rsidRPr="00BF1436">
        <w:rPr>
          <w:color w:val="000080"/>
        </w:rPr>
        <w:t xml:space="preserve"> 3-41e</w:t>
      </w:r>
      <w:r w:rsidR="00A363BD">
        <w:rPr>
          <w:color w:val="000080"/>
        </w:rPr>
        <w:t>,</w:t>
      </w:r>
      <w:r w:rsidRPr="00BF1436">
        <w:rPr>
          <w:color w:val="000080"/>
        </w:rPr>
        <w:t xml:space="preserve"> for its recommendation.  </w:t>
      </w:r>
      <w:r w:rsidR="00A363BD">
        <w:rPr>
          <w:color w:val="000080"/>
        </w:rPr>
        <w:t xml:space="preserve">On review, however, none of these seem to be particularly implicated in this case.  </w:t>
      </w:r>
      <w:r w:rsidRPr="00BF1436">
        <w:rPr>
          <w:color w:val="000080"/>
        </w:rPr>
        <w:t xml:space="preserve">Of additional relevance is that, even if added as unfitting, it would be difficult to rate the HTN above 10%.  Although the VA rating decision quoted ‘predominant’ readings in the service record for its rating, the conclusions are not supported by the record.  Excluding readings during </w:t>
      </w:r>
      <w:r w:rsidR="002A6103">
        <w:rPr>
          <w:color w:val="000080"/>
        </w:rPr>
        <w:t xml:space="preserve">flares of </w:t>
      </w:r>
      <w:r w:rsidRPr="00BF1436">
        <w:rPr>
          <w:color w:val="000080"/>
        </w:rPr>
        <w:t xml:space="preserve">back pain or missed medications, a representative </w:t>
      </w:r>
      <w:r w:rsidR="002A6103">
        <w:rPr>
          <w:color w:val="000080"/>
        </w:rPr>
        <w:t>majority</w:t>
      </w:r>
      <w:r w:rsidRPr="00BF1436">
        <w:rPr>
          <w:color w:val="000080"/>
        </w:rPr>
        <w:t xml:space="preserve"> (12) of them during the MEB period averaged 163 systolic and 97 diastolic.  Even </w:t>
      </w:r>
      <w:r w:rsidR="002A6103">
        <w:rPr>
          <w:color w:val="000080"/>
        </w:rPr>
        <w:t>conceding</w:t>
      </w:r>
      <w:r w:rsidRPr="00BF1436">
        <w:rPr>
          <w:color w:val="000080"/>
        </w:rPr>
        <w:t xml:space="preserve"> this reflected the condition prior to optimal control, it would rate only 10% IAW §4.10.  </w:t>
      </w:r>
      <w:r w:rsidR="002A6103">
        <w:rPr>
          <w:color w:val="000080"/>
        </w:rPr>
        <w:t xml:space="preserve">A default to the 30% VA rating would not accurately reflect the relevant medical evidence at the time of separation.  </w:t>
      </w:r>
      <w:r w:rsidR="00A363BD">
        <w:rPr>
          <w:color w:val="000080"/>
        </w:rPr>
        <w:t>Therefore, even if the BOARD surmounted the PEB expertise in its fitness determination, the appropriately rated condition would be of no monetary benefit to the CI.</w:t>
      </w:r>
      <w:r w:rsidRPr="00BF1436">
        <w:rPr>
          <w:color w:val="000080"/>
        </w:rPr>
        <w:t xml:space="preserve">  </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Pr="00A90D55" w:rsidRDefault="00A90D55" w:rsidP="009B1534">
      <w:pPr>
        <w:tabs>
          <w:tab w:val="left" w:pos="288"/>
          <w:tab w:val="left" w:pos="4752"/>
        </w:tabs>
        <w:spacing w:line="240" w:lineRule="exact"/>
        <w:jc w:val="both"/>
        <w:rPr>
          <w:color w:val="000080"/>
        </w:rPr>
      </w:pPr>
    </w:p>
    <w:p w:rsidR="00FA5142" w:rsidRDefault="00FB593A" w:rsidP="00FA5142">
      <w:pPr>
        <w:spacing w:line="240" w:lineRule="exact"/>
        <w:jc w:val="both"/>
        <w:rPr>
          <w:color w:val="000080"/>
          <w:szCs w:val="24"/>
        </w:rPr>
      </w:pPr>
      <w:r w:rsidRPr="003402B2">
        <w:rPr>
          <w:caps/>
          <w:color w:val="000080"/>
          <w:szCs w:val="24"/>
          <w:u w:val="single"/>
        </w:rPr>
        <w:t>BOARD FINDINGS</w:t>
      </w:r>
      <w:r w:rsidRPr="00E2331E">
        <w:rPr>
          <w:color w:val="000080"/>
          <w:szCs w:val="24"/>
        </w:rPr>
        <w:t xml:space="preserve">:  </w:t>
      </w:r>
      <w:r w:rsidRPr="00646FBC">
        <w:rPr>
          <w:color w:val="000080"/>
        </w:rPr>
        <w:t xml:space="preserve">IAW </w:t>
      </w:r>
      <w:proofErr w:type="spellStart"/>
      <w:r w:rsidRPr="00646FBC">
        <w:rPr>
          <w:color w:val="000080"/>
        </w:rPr>
        <w:t>DoDI</w:t>
      </w:r>
      <w:proofErr w:type="spellEnd"/>
      <w:r w:rsidRPr="00646FBC">
        <w:rPr>
          <w:color w:val="000080"/>
        </w:rPr>
        <w:t xml:space="preserve"> 6040.44, provisions of </w:t>
      </w:r>
      <w:proofErr w:type="spellStart"/>
      <w:r w:rsidRPr="00646FBC">
        <w:rPr>
          <w:color w:val="000080"/>
        </w:rPr>
        <w:t>DoD</w:t>
      </w:r>
      <w:proofErr w:type="spellEnd"/>
      <w:r w:rsidRPr="00646FBC">
        <w:rPr>
          <w:color w:val="000080"/>
        </w:rPr>
        <w:t xml:space="preserve"> or Military Department regulations or guidelines relied upon by the PEB will not be considered by the PDBR to the extent they were inconsistent with the VASRD in effect at the time of the adjudication. </w:t>
      </w:r>
      <w:r w:rsidRPr="00A363BD">
        <w:rPr>
          <w:color w:val="000080"/>
        </w:rPr>
        <w:t xml:space="preserve">The </w:t>
      </w:r>
      <w:r w:rsidR="00696476" w:rsidRPr="00A363BD">
        <w:rPr>
          <w:color w:val="000080"/>
        </w:rPr>
        <w:t>B</w:t>
      </w:r>
      <w:r w:rsidR="00174D17">
        <w:rPr>
          <w:color w:val="000080"/>
        </w:rPr>
        <w:t>oard</w:t>
      </w:r>
      <w:r w:rsidRPr="00A363BD">
        <w:rPr>
          <w:color w:val="000080"/>
        </w:rPr>
        <w:t xml:space="preserve"> did not surmise from the record or PEB ruling in this case that any prerogatives outside the VASRD were exercised</w:t>
      </w:r>
      <w:r w:rsidR="00A363BD" w:rsidRPr="00A363BD">
        <w:rPr>
          <w:color w:val="000080"/>
        </w:rPr>
        <w:t xml:space="preserve">. </w:t>
      </w:r>
      <w:r w:rsidR="00A363BD">
        <w:rPr>
          <w:color w:val="000080"/>
        </w:rPr>
        <w:t xml:space="preserve"> The </w:t>
      </w:r>
      <w:r w:rsidR="00174D17" w:rsidRPr="00A363BD">
        <w:rPr>
          <w:color w:val="000080"/>
        </w:rPr>
        <w:t>B</w:t>
      </w:r>
      <w:r w:rsidR="00174D17">
        <w:rPr>
          <w:color w:val="000080"/>
        </w:rPr>
        <w:t>oard</w:t>
      </w:r>
      <w:r w:rsidR="00A363BD">
        <w:rPr>
          <w:color w:val="000080"/>
        </w:rPr>
        <w:t xml:space="preserve"> unanimously agreed that the PEB coding and </w:t>
      </w:r>
      <w:r w:rsidR="00A363BD">
        <w:rPr>
          <w:color w:val="000080"/>
        </w:rPr>
        <w:lastRenderedPageBreak/>
        <w:t xml:space="preserve">rating of the back was fair and IAW VASRD §4.71a.  No change is recommended.  </w:t>
      </w:r>
      <w:r w:rsidR="00FA5142">
        <w:rPr>
          <w:color w:val="000080"/>
          <w:szCs w:val="24"/>
        </w:rPr>
        <w:t xml:space="preserve">In the matter of the HTN, the </w:t>
      </w:r>
      <w:r w:rsidR="00174D17" w:rsidRPr="00A363BD">
        <w:rPr>
          <w:color w:val="000080"/>
        </w:rPr>
        <w:t>B</w:t>
      </w:r>
      <w:r w:rsidR="00174D17">
        <w:rPr>
          <w:color w:val="000080"/>
        </w:rPr>
        <w:t>oard</w:t>
      </w:r>
      <w:r w:rsidR="00FA5142">
        <w:rPr>
          <w:color w:val="000080"/>
          <w:szCs w:val="24"/>
        </w:rPr>
        <w:t xml:space="preserve"> unanimously concluded that our threshold for opposing the PEB expertise in its fitness adjudication was not reached.  </w:t>
      </w:r>
    </w:p>
    <w:p w:rsidR="00FB593A" w:rsidRPr="00A363BD" w:rsidRDefault="00FB593A" w:rsidP="00A363BD">
      <w:pPr>
        <w:spacing w:line="240" w:lineRule="exact"/>
        <w:jc w:val="both"/>
        <w:rPr>
          <w:color w:val="000080"/>
        </w:rPr>
      </w:pPr>
    </w:p>
    <w:p w:rsidR="00FB593A" w:rsidRPr="00D91DA6" w:rsidRDefault="00FB593A"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FB593A" w:rsidRPr="00D91DA6" w:rsidRDefault="00FB593A" w:rsidP="009B1534">
      <w:pPr>
        <w:tabs>
          <w:tab w:val="left" w:pos="288"/>
          <w:tab w:val="left" w:pos="4752"/>
        </w:tabs>
        <w:spacing w:line="240" w:lineRule="exact"/>
        <w:jc w:val="both"/>
        <w:rPr>
          <w:color w:val="000080"/>
        </w:rPr>
      </w:pPr>
    </w:p>
    <w:p w:rsidR="0010417F" w:rsidRPr="00BF1436" w:rsidRDefault="00FB593A" w:rsidP="0010417F">
      <w:pPr>
        <w:tabs>
          <w:tab w:val="left" w:pos="288"/>
          <w:tab w:val="left" w:pos="4752"/>
        </w:tabs>
        <w:spacing w:line="240" w:lineRule="exact"/>
        <w:jc w:val="both"/>
        <w:rPr>
          <w:color w:val="000080"/>
        </w:rPr>
      </w:pPr>
      <w:r w:rsidRPr="00D91DA6">
        <w:rPr>
          <w:color w:val="000080"/>
          <w:u w:val="single"/>
        </w:rPr>
        <w:t>RECOMMENDATION</w:t>
      </w:r>
      <w:r w:rsidRPr="00BF1436">
        <w:rPr>
          <w:color w:val="000080"/>
        </w:rPr>
        <w:t>:</w:t>
      </w:r>
      <w:r>
        <w:rPr>
          <w:color w:val="000080"/>
        </w:rPr>
        <w:t xml:space="preserve"> </w:t>
      </w:r>
      <w:r w:rsidR="00BF1436">
        <w:rPr>
          <w:color w:val="000080"/>
        </w:rPr>
        <w:t xml:space="preserve"> </w:t>
      </w:r>
      <w:r w:rsidR="0010417F" w:rsidRPr="00BF1436">
        <w:rPr>
          <w:color w:val="000080"/>
        </w:rPr>
        <w:t xml:space="preserve">The </w:t>
      </w:r>
      <w:r w:rsidR="00174D17" w:rsidRPr="00A363BD">
        <w:rPr>
          <w:color w:val="000080"/>
        </w:rPr>
        <w:t>B</w:t>
      </w:r>
      <w:r w:rsidR="00174D17">
        <w:rPr>
          <w:color w:val="000080"/>
        </w:rPr>
        <w:t>oard</w:t>
      </w:r>
      <w:r w:rsidR="0010417F" w:rsidRPr="00BF1436">
        <w:rPr>
          <w:color w:val="000080"/>
        </w:rPr>
        <w:t xml:space="preserve"> therefore recommends that there be no re-characterization of the CI’s disability and separation determination.</w:t>
      </w:r>
    </w:p>
    <w:p w:rsidR="0010417F" w:rsidRPr="00E2331E" w:rsidRDefault="0010417F" w:rsidP="0010417F">
      <w:pPr>
        <w:tabs>
          <w:tab w:val="left" w:pos="288"/>
          <w:tab w:val="left" w:pos="4752"/>
        </w:tabs>
        <w:spacing w:line="240" w:lineRule="exact"/>
        <w:jc w:val="both"/>
        <w:rPr>
          <w:color w:val="FF0000"/>
          <w:szCs w:val="24"/>
        </w:rPr>
      </w:pP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w:t>
      </w:r>
      <w:r w:rsidR="006F1A46">
        <w:rPr>
          <w:color w:val="000080"/>
        </w:rPr>
        <w:t>_______________________________</w:t>
      </w:r>
      <w:r w:rsidR="00BF1436">
        <w:rPr>
          <w:color w:val="000080"/>
        </w:rPr>
        <w:t>__</w:t>
      </w:r>
    </w:p>
    <w:p w:rsidR="00B522CD" w:rsidRDefault="00B522CD" w:rsidP="009B1534">
      <w:pPr>
        <w:tabs>
          <w:tab w:val="left" w:pos="288"/>
          <w:tab w:val="left" w:pos="4752"/>
        </w:tabs>
        <w:spacing w:line="240" w:lineRule="exact"/>
        <w:jc w:val="both"/>
        <w:rPr>
          <w:color w:val="000080"/>
        </w:rPr>
      </w:pPr>
    </w:p>
    <w:p w:rsidR="00D91DA6" w:rsidRDefault="00D91DA6" w:rsidP="009B1534">
      <w:pPr>
        <w:tabs>
          <w:tab w:val="left" w:pos="288"/>
          <w:tab w:val="left" w:pos="4752"/>
        </w:tabs>
        <w:spacing w:line="240" w:lineRule="exact"/>
        <w:jc w:val="both"/>
        <w:rPr>
          <w:color w:val="000080"/>
        </w:rPr>
      </w:pPr>
    </w:p>
    <w:p w:rsidR="00D91DA6" w:rsidRDefault="00114F20" w:rsidP="009B1534">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9B1534">
      <w:pPr>
        <w:tabs>
          <w:tab w:val="left" w:pos="288"/>
          <w:tab w:val="left" w:pos="4752"/>
        </w:tabs>
        <w:spacing w:line="240" w:lineRule="exact"/>
        <w:jc w:val="both"/>
        <w:rPr>
          <w:color w:val="000080"/>
        </w:rPr>
      </w:pPr>
    </w:p>
    <w:p w:rsidR="00114F20" w:rsidRDefault="0051146C" w:rsidP="009B1534">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BF1436">
        <w:rPr>
          <w:color w:val="000080"/>
        </w:rPr>
        <w:t>2009127</w:t>
      </w:r>
      <w:r w:rsidR="00114F20">
        <w:rPr>
          <w:color w:val="000080"/>
        </w:rPr>
        <w:t>, w/</w:t>
      </w:r>
      <w:proofErr w:type="spellStart"/>
      <w:r w:rsidR="00114F20">
        <w:rPr>
          <w:color w:val="000080"/>
        </w:rPr>
        <w:t>atchs</w:t>
      </w:r>
      <w:proofErr w:type="spellEnd"/>
      <w:r w:rsidR="00114F20">
        <w:rPr>
          <w:color w:val="000080"/>
        </w:rPr>
        <w:t>.</w:t>
      </w:r>
    </w:p>
    <w:p w:rsidR="00114F20" w:rsidRDefault="00114F20" w:rsidP="009B1534">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9B1534">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893104" w:rsidRDefault="00893104">
      <w:pPr>
        <w:rPr>
          <w:color w:val="000080"/>
        </w:rPr>
      </w:pPr>
      <w:r>
        <w:rPr>
          <w:color w:val="000080"/>
        </w:rPr>
        <w:br w:type="page"/>
      </w:r>
    </w:p>
    <w:p w:rsidR="00893104" w:rsidRDefault="00893104" w:rsidP="00893104">
      <w:pPr>
        <w:pStyle w:val="Default"/>
        <w:framePr w:w="20402" w:wrap="auto" w:vAnchor="page" w:hAnchor="page" w:x="1" w:y="1"/>
      </w:pPr>
      <w:r>
        <w:rPr>
          <w:noProof/>
        </w:rPr>
        <w:lastRenderedPageBreak/>
        <w:drawing>
          <wp:inline distT="0" distB="0" distL="0" distR="0">
            <wp:extent cx="7848600" cy="10029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48600" cy="10029825"/>
                    </a:xfrm>
                    <a:prstGeom prst="rect">
                      <a:avLst/>
                    </a:prstGeom>
                    <a:noFill/>
                    <a:ln w="9525">
                      <a:noFill/>
                      <a:miter lim="800000"/>
                      <a:headEnd/>
                      <a:tailEnd/>
                    </a:ln>
                  </pic:spPr>
                </pic:pic>
              </a:graphicData>
            </a:graphic>
          </wp:inline>
        </w:drawing>
      </w:r>
    </w:p>
    <w:p w:rsidR="00114F20" w:rsidRDefault="00114F20" w:rsidP="009B1534">
      <w:pPr>
        <w:tabs>
          <w:tab w:val="left" w:pos="288"/>
          <w:tab w:val="left" w:pos="4752"/>
        </w:tabs>
        <w:spacing w:line="240" w:lineRule="exact"/>
        <w:jc w:val="both"/>
        <w:rPr>
          <w:color w:val="000080"/>
        </w:rPr>
      </w:pPr>
    </w:p>
    <w:sectPr w:rsidR="00114F20"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B5" w:rsidRDefault="00074DB5">
      <w:r>
        <w:separator/>
      </w:r>
    </w:p>
  </w:endnote>
  <w:endnote w:type="continuationSeparator" w:id="0">
    <w:p w:rsidR="00074DB5" w:rsidRDefault="00074DB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260D5">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893104">
      <w:rPr>
        <w:rStyle w:val="PageNumber"/>
        <w:noProof/>
      </w:rPr>
      <w:t>4</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BF1436">
      <w:rPr>
        <w:caps/>
        <w:color w:val="000080"/>
      </w:rPr>
      <w:t>084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1260D5">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893104">
      <w:rPr>
        <w:rStyle w:val="PageNumber"/>
        <w:noProof/>
      </w:rPr>
      <w:t>5</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BF1436">
      <w:rPr>
        <w:caps/>
        <w:color w:val="000080"/>
      </w:rPr>
      <w:t>084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B5" w:rsidRDefault="00074DB5">
      <w:r>
        <w:separator/>
      </w:r>
    </w:p>
  </w:footnote>
  <w:footnote w:type="continuationSeparator" w:id="0">
    <w:p w:rsidR="00074DB5" w:rsidRDefault="00074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74DB5"/>
    <w:rsid w:val="000A2BCE"/>
    <w:rsid w:val="000A4BBA"/>
    <w:rsid w:val="000A64A0"/>
    <w:rsid w:val="000D15E7"/>
    <w:rsid w:val="000D43F9"/>
    <w:rsid w:val="000D4717"/>
    <w:rsid w:val="000F427B"/>
    <w:rsid w:val="0010417F"/>
    <w:rsid w:val="0010530E"/>
    <w:rsid w:val="00114F20"/>
    <w:rsid w:val="001231DC"/>
    <w:rsid w:val="001260D5"/>
    <w:rsid w:val="00126697"/>
    <w:rsid w:val="00174D17"/>
    <w:rsid w:val="00177659"/>
    <w:rsid w:val="00185ECB"/>
    <w:rsid w:val="001C181A"/>
    <w:rsid w:val="001C2053"/>
    <w:rsid w:val="001C28D1"/>
    <w:rsid w:val="001C7418"/>
    <w:rsid w:val="001D6A8C"/>
    <w:rsid w:val="002338CA"/>
    <w:rsid w:val="00246860"/>
    <w:rsid w:val="00274549"/>
    <w:rsid w:val="00274E46"/>
    <w:rsid w:val="002A6103"/>
    <w:rsid w:val="002B03B2"/>
    <w:rsid w:val="002B0749"/>
    <w:rsid w:val="00323E70"/>
    <w:rsid w:val="00385D6F"/>
    <w:rsid w:val="00393651"/>
    <w:rsid w:val="003B0924"/>
    <w:rsid w:val="003D2BA3"/>
    <w:rsid w:val="003D7DDB"/>
    <w:rsid w:val="003E0543"/>
    <w:rsid w:val="004007E9"/>
    <w:rsid w:val="0044384F"/>
    <w:rsid w:val="004574C6"/>
    <w:rsid w:val="004A24D2"/>
    <w:rsid w:val="004A4136"/>
    <w:rsid w:val="0051146C"/>
    <w:rsid w:val="00514441"/>
    <w:rsid w:val="0052590B"/>
    <w:rsid w:val="00526591"/>
    <w:rsid w:val="005350A5"/>
    <w:rsid w:val="005436C2"/>
    <w:rsid w:val="005A258C"/>
    <w:rsid w:val="005A3560"/>
    <w:rsid w:val="005B011A"/>
    <w:rsid w:val="00615641"/>
    <w:rsid w:val="00634C4A"/>
    <w:rsid w:val="00662F08"/>
    <w:rsid w:val="00696476"/>
    <w:rsid w:val="006A40E6"/>
    <w:rsid w:val="006A75FA"/>
    <w:rsid w:val="006E7356"/>
    <w:rsid w:val="006F1A46"/>
    <w:rsid w:val="00744EBB"/>
    <w:rsid w:val="00746AE2"/>
    <w:rsid w:val="00791F1E"/>
    <w:rsid w:val="007A0B39"/>
    <w:rsid w:val="007A168F"/>
    <w:rsid w:val="007B0A06"/>
    <w:rsid w:val="007C433E"/>
    <w:rsid w:val="007D0292"/>
    <w:rsid w:val="007E4FBB"/>
    <w:rsid w:val="00811D5B"/>
    <w:rsid w:val="00817713"/>
    <w:rsid w:val="00830999"/>
    <w:rsid w:val="00830D5E"/>
    <w:rsid w:val="00834458"/>
    <w:rsid w:val="00837465"/>
    <w:rsid w:val="00875B51"/>
    <w:rsid w:val="00893104"/>
    <w:rsid w:val="008E4A60"/>
    <w:rsid w:val="00914ADB"/>
    <w:rsid w:val="00923B25"/>
    <w:rsid w:val="009372EC"/>
    <w:rsid w:val="00942645"/>
    <w:rsid w:val="0095466C"/>
    <w:rsid w:val="00963D20"/>
    <w:rsid w:val="00985099"/>
    <w:rsid w:val="009B1534"/>
    <w:rsid w:val="009B69D3"/>
    <w:rsid w:val="009B7BA7"/>
    <w:rsid w:val="009C0938"/>
    <w:rsid w:val="009C7DF5"/>
    <w:rsid w:val="00A2270B"/>
    <w:rsid w:val="00A2496E"/>
    <w:rsid w:val="00A363BD"/>
    <w:rsid w:val="00A70E7B"/>
    <w:rsid w:val="00A76094"/>
    <w:rsid w:val="00A86CB6"/>
    <w:rsid w:val="00A90D55"/>
    <w:rsid w:val="00AC4154"/>
    <w:rsid w:val="00AC439D"/>
    <w:rsid w:val="00B32179"/>
    <w:rsid w:val="00B522CD"/>
    <w:rsid w:val="00B82277"/>
    <w:rsid w:val="00BA30D1"/>
    <w:rsid w:val="00BB0A0A"/>
    <w:rsid w:val="00BD6806"/>
    <w:rsid w:val="00BD7C10"/>
    <w:rsid w:val="00BE0DEB"/>
    <w:rsid w:val="00BF1436"/>
    <w:rsid w:val="00C13B34"/>
    <w:rsid w:val="00C30A97"/>
    <w:rsid w:val="00C31DDC"/>
    <w:rsid w:val="00C34326"/>
    <w:rsid w:val="00C71BEC"/>
    <w:rsid w:val="00C85579"/>
    <w:rsid w:val="00CA068D"/>
    <w:rsid w:val="00CA3D7A"/>
    <w:rsid w:val="00CB23DC"/>
    <w:rsid w:val="00CB28E2"/>
    <w:rsid w:val="00CB7FF7"/>
    <w:rsid w:val="00CC0FDE"/>
    <w:rsid w:val="00CC2044"/>
    <w:rsid w:val="00CD34C7"/>
    <w:rsid w:val="00CF4394"/>
    <w:rsid w:val="00D52393"/>
    <w:rsid w:val="00D76AB2"/>
    <w:rsid w:val="00D87788"/>
    <w:rsid w:val="00D910C2"/>
    <w:rsid w:val="00D91DA6"/>
    <w:rsid w:val="00DA195B"/>
    <w:rsid w:val="00DC057B"/>
    <w:rsid w:val="00DE7E74"/>
    <w:rsid w:val="00E15539"/>
    <w:rsid w:val="00EA2DD8"/>
    <w:rsid w:val="00EA47A0"/>
    <w:rsid w:val="00EF608E"/>
    <w:rsid w:val="00F1516A"/>
    <w:rsid w:val="00F22A26"/>
    <w:rsid w:val="00F72183"/>
    <w:rsid w:val="00F8311F"/>
    <w:rsid w:val="00F853AE"/>
    <w:rsid w:val="00F9435D"/>
    <w:rsid w:val="00FA5142"/>
    <w:rsid w:val="00FB593A"/>
    <w:rsid w:val="00FC7DBC"/>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9310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4423283">
      <w:bodyDiv w:val="1"/>
      <w:marLeft w:val="0"/>
      <w:marRight w:val="0"/>
      <w:marTop w:val="0"/>
      <w:marBottom w:val="0"/>
      <w:divBdr>
        <w:top w:val="none" w:sz="0" w:space="0" w:color="auto"/>
        <w:left w:val="none" w:sz="0" w:space="0" w:color="auto"/>
        <w:bottom w:val="none" w:sz="0" w:space="0" w:color="auto"/>
        <w:right w:val="none" w:sz="0" w:space="0" w:color="auto"/>
      </w:divBdr>
    </w:div>
    <w:div w:id="123289111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80492946">
      <w:bodyDiv w:val="1"/>
      <w:marLeft w:val="0"/>
      <w:marRight w:val="0"/>
      <w:marTop w:val="0"/>
      <w:marBottom w:val="0"/>
      <w:divBdr>
        <w:top w:val="none" w:sz="0" w:space="0" w:color="auto"/>
        <w:left w:val="none" w:sz="0" w:space="0" w:color="auto"/>
        <w:bottom w:val="none" w:sz="0" w:space="0" w:color="auto"/>
        <w:right w:val="none" w:sz="0" w:space="0" w:color="auto"/>
      </w:divBdr>
    </w:div>
    <w:div w:id="19560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2009-08-17T13:01:00Z</cp:lastPrinted>
  <dcterms:created xsi:type="dcterms:W3CDTF">2012-01-11T16:13:00Z</dcterms:created>
  <dcterms:modified xsi:type="dcterms:W3CDTF">2012-01-23T17:10:00Z</dcterms:modified>
</cp:coreProperties>
</file>