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540BEF" w:rsidP="00540BEF">
      <w:pPr>
        <w:tabs>
          <w:tab w:val="left" w:pos="288"/>
          <w:tab w:val="left" w:pos="4752"/>
        </w:tabs>
        <w:spacing w:line="240" w:lineRule="exact"/>
        <w:jc w:val="center"/>
        <w:rPr>
          <w:color w:val="000080"/>
        </w:rPr>
      </w:pPr>
      <w:r w:rsidRPr="00D91DA6">
        <w:rPr>
          <w:color w:val="000080"/>
        </w:rPr>
        <w:t>RECORD OF PROCEEDINGS</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D3563B" w:rsidRDefault="00D3563B" w:rsidP="00D3563B">
      <w:pPr>
        <w:tabs>
          <w:tab w:val="left" w:pos="288"/>
          <w:tab w:val="left" w:pos="4752"/>
        </w:tabs>
        <w:spacing w:line="240" w:lineRule="exact"/>
        <w:jc w:val="both"/>
        <w:rPr>
          <w:color w:val="000080"/>
          <w:szCs w:val="24"/>
        </w:rPr>
      </w:pPr>
      <w:r w:rsidRPr="00D3563B">
        <w:rPr>
          <w:color w:val="000080"/>
          <w:szCs w:val="24"/>
        </w:rPr>
        <w:t>NAME:</w:t>
      </w:r>
      <w:r>
        <w:rPr>
          <w:color w:val="000080"/>
          <w:szCs w:val="24"/>
        </w:rPr>
        <w:tab/>
      </w:r>
      <w:r>
        <w:rPr>
          <w:color w:val="000080"/>
          <w:szCs w:val="24"/>
        </w:rPr>
        <w:tab/>
        <w:t>BRANCH OF SERVICE: ARMY</w:t>
      </w:r>
    </w:p>
    <w:p w:rsidR="006562BF" w:rsidRDefault="00D3563B" w:rsidP="00D3563B">
      <w:pPr>
        <w:tabs>
          <w:tab w:val="left" w:pos="288"/>
          <w:tab w:val="left" w:pos="4752"/>
        </w:tabs>
        <w:spacing w:line="240" w:lineRule="exact"/>
        <w:jc w:val="both"/>
        <w:rPr>
          <w:color w:val="000080"/>
          <w:szCs w:val="24"/>
        </w:rPr>
      </w:pPr>
      <w:r>
        <w:rPr>
          <w:color w:val="000080"/>
          <w:szCs w:val="24"/>
        </w:rPr>
        <w:t>CASE NUMBER:  PD0900077</w:t>
      </w:r>
      <w:r>
        <w:rPr>
          <w:color w:val="000080"/>
          <w:szCs w:val="24"/>
        </w:rPr>
        <w:tab/>
      </w:r>
      <w:r>
        <w:rPr>
          <w:color w:val="000080"/>
          <w:szCs w:val="24"/>
        </w:rPr>
        <w:tab/>
        <w:t>BOARD DATE: 20091210</w:t>
      </w:r>
    </w:p>
    <w:p w:rsidR="00540BEF" w:rsidRDefault="00D3563B" w:rsidP="00D3563B">
      <w:pPr>
        <w:tabs>
          <w:tab w:val="left" w:pos="288"/>
          <w:tab w:val="left" w:pos="4752"/>
        </w:tabs>
        <w:spacing w:line="240" w:lineRule="exact"/>
        <w:jc w:val="both"/>
        <w:rPr>
          <w:color w:val="000080"/>
          <w:szCs w:val="24"/>
        </w:rPr>
      </w:pPr>
      <w:r>
        <w:rPr>
          <w:color w:val="000080"/>
          <w:szCs w:val="24"/>
        </w:rPr>
        <w:t>SEPARATION DATE: 20050110</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09000E" w:rsidRDefault="002C6E5B" w:rsidP="0009000E">
      <w:pPr>
        <w:tabs>
          <w:tab w:val="left" w:pos="288"/>
          <w:tab w:val="left" w:pos="4752"/>
        </w:tabs>
        <w:spacing w:line="240" w:lineRule="exact"/>
        <w:jc w:val="both"/>
        <w:rPr>
          <w:color w:val="000080"/>
          <w:szCs w:val="24"/>
        </w:rPr>
      </w:pPr>
      <w:r w:rsidRPr="0009000E">
        <w:rPr>
          <w:color w:val="000080"/>
          <w:szCs w:val="24"/>
          <w:u w:val="single"/>
        </w:rPr>
        <w:t>SUMMARY OF CASE</w:t>
      </w:r>
      <w:r w:rsidRPr="0009000E">
        <w:rPr>
          <w:color w:val="000080"/>
          <w:szCs w:val="24"/>
        </w:rPr>
        <w:t xml:space="preserve">:  This covered individual (CI) was </w:t>
      </w:r>
      <w:r w:rsidR="00CA3B93" w:rsidRPr="0009000E">
        <w:rPr>
          <w:color w:val="000080"/>
          <w:szCs w:val="24"/>
        </w:rPr>
        <w:t>a Guard NCO (Heavy Mechanic)</w:t>
      </w:r>
      <w:r w:rsidRPr="0009000E">
        <w:rPr>
          <w:color w:val="000080"/>
          <w:szCs w:val="24"/>
        </w:rPr>
        <w:t xml:space="preserve"> medically separated from the Army</w:t>
      </w:r>
      <w:r w:rsidR="00CA3B93" w:rsidRPr="0009000E">
        <w:rPr>
          <w:color w:val="000080"/>
          <w:szCs w:val="24"/>
        </w:rPr>
        <w:t xml:space="preserve"> in 2005</w:t>
      </w:r>
      <w:r w:rsidRPr="0009000E">
        <w:rPr>
          <w:color w:val="000080"/>
          <w:szCs w:val="24"/>
        </w:rPr>
        <w:t xml:space="preserve"> after </w:t>
      </w:r>
      <w:r w:rsidR="00CA3B93" w:rsidRPr="0009000E">
        <w:rPr>
          <w:color w:val="000080"/>
          <w:szCs w:val="24"/>
        </w:rPr>
        <w:t xml:space="preserve">23 </w:t>
      </w:r>
      <w:r w:rsidRPr="0009000E">
        <w:rPr>
          <w:color w:val="000080"/>
          <w:szCs w:val="24"/>
        </w:rPr>
        <w:t xml:space="preserve">years of </w:t>
      </w:r>
      <w:r w:rsidR="00CA3B93" w:rsidRPr="0009000E">
        <w:rPr>
          <w:color w:val="000080"/>
          <w:szCs w:val="24"/>
        </w:rPr>
        <w:t>com</w:t>
      </w:r>
      <w:r w:rsidR="006562BF">
        <w:rPr>
          <w:color w:val="000080"/>
          <w:szCs w:val="24"/>
        </w:rPr>
        <w:t>bined service.  The medical base</w:t>
      </w:r>
      <w:r w:rsidRPr="0009000E">
        <w:rPr>
          <w:color w:val="000080"/>
          <w:szCs w:val="24"/>
        </w:rPr>
        <w:t xml:space="preserve">s for the separation </w:t>
      </w:r>
      <w:r w:rsidR="00CA3B93" w:rsidRPr="0009000E">
        <w:rPr>
          <w:color w:val="000080"/>
          <w:szCs w:val="24"/>
        </w:rPr>
        <w:t xml:space="preserve">were cervical and lumbar spine conditions.  These dated to </w:t>
      </w:r>
      <w:r w:rsidR="003010A4" w:rsidRPr="0009000E">
        <w:rPr>
          <w:color w:val="000080"/>
          <w:szCs w:val="24"/>
        </w:rPr>
        <w:t>a fall</w:t>
      </w:r>
      <w:r w:rsidR="00CA3B93" w:rsidRPr="0009000E">
        <w:rPr>
          <w:color w:val="000080"/>
          <w:szCs w:val="24"/>
        </w:rPr>
        <w:t xml:space="preserve"> (head</w:t>
      </w:r>
      <w:r w:rsidR="007E66C6" w:rsidRPr="0009000E">
        <w:rPr>
          <w:color w:val="000080"/>
          <w:szCs w:val="24"/>
        </w:rPr>
        <w:t xml:space="preserve"> </w:t>
      </w:r>
      <w:r w:rsidR="00CA3B93" w:rsidRPr="0009000E">
        <w:rPr>
          <w:color w:val="000080"/>
          <w:szCs w:val="24"/>
        </w:rPr>
        <w:t>first</w:t>
      </w:r>
      <w:r w:rsidR="003010A4" w:rsidRPr="0009000E">
        <w:rPr>
          <w:color w:val="000080"/>
          <w:szCs w:val="24"/>
        </w:rPr>
        <w:t xml:space="preserve"> from a height</w:t>
      </w:r>
      <w:r w:rsidR="007E66C6" w:rsidRPr="0009000E">
        <w:rPr>
          <w:color w:val="000080"/>
          <w:szCs w:val="24"/>
        </w:rPr>
        <w:t>)</w:t>
      </w:r>
      <w:r w:rsidR="00CA3B93" w:rsidRPr="0009000E">
        <w:rPr>
          <w:color w:val="000080"/>
          <w:szCs w:val="24"/>
        </w:rPr>
        <w:t xml:space="preserve"> in 2002 while on active duty.  H</w:t>
      </w:r>
      <w:r w:rsidR="007E66C6" w:rsidRPr="0009000E">
        <w:rPr>
          <w:color w:val="000080"/>
          <w:szCs w:val="24"/>
        </w:rPr>
        <w:t xml:space="preserve">e </w:t>
      </w:r>
      <w:r w:rsidR="00CA3B93" w:rsidRPr="0009000E">
        <w:rPr>
          <w:color w:val="000080"/>
          <w:szCs w:val="24"/>
        </w:rPr>
        <w:t xml:space="preserve">suffered neck and </w:t>
      </w:r>
      <w:r w:rsidR="00596285" w:rsidRPr="0009000E">
        <w:rPr>
          <w:color w:val="000080"/>
          <w:szCs w:val="24"/>
        </w:rPr>
        <w:t>mid-</w:t>
      </w:r>
      <w:r w:rsidR="00CA3B93" w:rsidRPr="0009000E">
        <w:rPr>
          <w:color w:val="000080"/>
          <w:szCs w:val="24"/>
        </w:rPr>
        <w:t xml:space="preserve">back pain </w:t>
      </w:r>
      <w:r w:rsidR="007E66C6" w:rsidRPr="0009000E">
        <w:rPr>
          <w:color w:val="000080"/>
          <w:szCs w:val="24"/>
        </w:rPr>
        <w:t xml:space="preserve">with upper and lower extremity radiation.  A Cervical MRI demonstrated disc disease and an EMG (nerve conduction study) demonstrated a left C4-5 </w:t>
      </w:r>
      <w:proofErr w:type="spellStart"/>
      <w:r w:rsidR="007E66C6" w:rsidRPr="0009000E">
        <w:rPr>
          <w:color w:val="000080"/>
          <w:szCs w:val="24"/>
        </w:rPr>
        <w:t>radiculopathy</w:t>
      </w:r>
      <w:proofErr w:type="spellEnd"/>
      <w:r w:rsidR="007E66C6" w:rsidRPr="0009000E">
        <w:rPr>
          <w:color w:val="000080"/>
          <w:szCs w:val="24"/>
        </w:rPr>
        <w:t xml:space="preserve">.  Plain radiographs of the </w:t>
      </w:r>
      <w:r w:rsidR="00596285" w:rsidRPr="0009000E">
        <w:rPr>
          <w:color w:val="000080"/>
          <w:szCs w:val="24"/>
        </w:rPr>
        <w:t>thoracic</w:t>
      </w:r>
      <w:r w:rsidR="007E66C6" w:rsidRPr="0009000E">
        <w:rPr>
          <w:color w:val="000080"/>
          <w:szCs w:val="24"/>
        </w:rPr>
        <w:t xml:space="preserve"> spine showed minimal </w:t>
      </w:r>
      <w:proofErr w:type="spellStart"/>
      <w:r w:rsidR="007E66C6" w:rsidRPr="0009000E">
        <w:rPr>
          <w:color w:val="000080"/>
          <w:szCs w:val="24"/>
        </w:rPr>
        <w:t>spondylolysis</w:t>
      </w:r>
      <w:proofErr w:type="spellEnd"/>
      <w:r w:rsidR="007E66C6" w:rsidRPr="0009000E">
        <w:rPr>
          <w:color w:val="000080"/>
          <w:szCs w:val="24"/>
        </w:rPr>
        <w:t xml:space="preserve"> (slippage) and mild degenerative changes.  Physical exam demonstrated some </w:t>
      </w:r>
      <w:r w:rsidR="00596285" w:rsidRPr="0009000E">
        <w:rPr>
          <w:color w:val="000080"/>
          <w:szCs w:val="24"/>
        </w:rPr>
        <w:t xml:space="preserve">motor weakness in his left arm, with otherwise normal neurologic exams of the extremities.  He did not respond adequately to conservative management </w:t>
      </w:r>
      <w:r w:rsidR="00101A72" w:rsidRPr="0009000E">
        <w:rPr>
          <w:color w:val="000080"/>
          <w:szCs w:val="24"/>
        </w:rPr>
        <w:t>for resumption of</w:t>
      </w:r>
      <w:r w:rsidR="00596285" w:rsidRPr="0009000E">
        <w:rPr>
          <w:color w:val="000080"/>
          <w:szCs w:val="24"/>
        </w:rPr>
        <w:t xml:space="preserve"> his full MOS duties, and surgery was under discussion with the VA.  He underwent a</w:t>
      </w:r>
      <w:r w:rsidR="006562BF">
        <w:rPr>
          <w:color w:val="000080"/>
          <w:szCs w:val="24"/>
        </w:rPr>
        <w:t>n</w:t>
      </w:r>
      <w:r w:rsidR="00596285" w:rsidRPr="0009000E">
        <w:rPr>
          <w:color w:val="000080"/>
          <w:szCs w:val="24"/>
        </w:rPr>
        <w:t xml:space="preserve"> MEB and was referred to the PEB with unacceptable (AR 40-501) conditions of neck pain with </w:t>
      </w:r>
      <w:proofErr w:type="spellStart"/>
      <w:r w:rsidR="00596285" w:rsidRPr="0009000E">
        <w:rPr>
          <w:color w:val="000080"/>
          <w:szCs w:val="24"/>
        </w:rPr>
        <w:t>radiculopathy</w:t>
      </w:r>
      <w:proofErr w:type="spellEnd"/>
      <w:r w:rsidR="00596285" w:rsidRPr="0009000E">
        <w:rPr>
          <w:color w:val="000080"/>
          <w:szCs w:val="24"/>
        </w:rPr>
        <w:t xml:space="preserve"> and thoracic back pain.  He was placed on </w:t>
      </w:r>
      <w:r w:rsidR="006562BF">
        <w:rPr>
          <w:color w:val="000080"/>
          <w:szCs w:val="24"/>
        </w:rPr>
        <w:t xml:space="preserve">the </w:t>
      </w:r>
      <w:r w:rsidR="00596285" w:rsidRPr="0009000E">
        <w:rPr>
          <w:color w:val="000080"/>
          <w:szCs w:val="24"/>
        </w:rPr>
        <w:t xml:space="preserve">TDRL on December 18, 2003 with ratings as reflected in the chart below.  </w:t>
      </w:r>
      <w:r w:rsidR="00101A72" w:rsidRPr="0009000E">
        <w:rPr>
          <w:color w:val="000080"/>
          <w:szCs w:val="24"/>
        </w:rPr>
        <w:t xml:space="preserve">On his TDRL evaluation in November, 2004 he suffered continued neck and back pain.  Although he suffered some persistent </w:t>
      </w:r>
      <w:proofErr w:type="spellStart"/>
      <w:r w:rsidR="00101A72" w:rsidRPr="0009000E">
        <w:rPr>
          <w:color w:val="000080"/>
          <w:szCs w:val="24"/>
        </w:rPr>
        <w:t>radicular</w:t>
      </w:r>
      <w:proofErr w:type="spellEnd"/>
      <w:r w:rsidR="00101A72" w:rsidRPr="0009000E">
        <w:rPr>
          <w:color w:val="000080"/>
          <w:szCs w:val="24"/>
        </w:rPr>
        <w:t xml:space="preserve"> symptoms, he now had a normal neurologic exam of all extremities.  Upper and lower EMG’s were performed which yielded normal results for all nerve groups.  At this point the PEB found </w:t>
      </w:r>
      <w:r w:rsidR="00B84D64" w:rsidRPr="0009000E">
        <w:rPr>
          <w:color w:val="000080"/>
          <w:szCs w:val="24"/>
        </w:rPr>
        <w:t>him</w:t>
      </w:r>
      <w:r w:rsidR="00101A72" w:rsidRPr="0009000E">
        <w:rPr>
          <w:color w:val="000080"/>
          <w:szCs w:val="24"/>
        </w:rPr>
        <w:t xml:space="preserve"> unfit for neck pain and back pain, rated 10% each.  No ratable </w:t>
      </w:r>
      <w:proofErr w:type="spellStart"/>
      <w:r w:rsidR="00101A72" w:rsidRPr="0009000E">
        <w:rPr>
          <w:color w:val="000080"/>
          <w:szCs w:val="24"/>
        </w:rPr>
        <w:t>radiculopathies</w:t>
      </w:r>
      <w:proofErr w:type="spellEnd"/>
      <w:r w:rsidR="00101A72" w:rsidRPr="0009000E">
        <w:rPr>
          <w:color w:val="000080"/>
          <w:szCs w:val="24"/>
        </w:rPr>
        <w:t xml:space="preserve"> were identified.  </w:t>
      </w:r>
      <w:r w:rsidR="00B84D64" w:rsidRPr="0009000E">
        <w:rPr>
          <w:color w:val="000080"/>
          <w:szCs w:val="24"/>
        </w:rPr>
        <w:t>These findings were upheld on appeal, and the CI</w:t>
      </w:r>
      <w:r w:rsidR="00101A72" w:rsidRPr="0009000E">
        <w:rPr>
          <w:color w:val="000080"/>
          <w:szCs w:val="24"/>
        </w:rPr>
        <w:t xml:space="preserve"> was medically separate</w:t>
      </w:r>
      <w:r w:rsidR="00B84D64" w:rsidRPr="0009000E">
        <w:rPr>
          <w:color w:val="000080"/>
          <w:szCs w:val="24"/>
        </w:rPr>
        <w:t>d</w:t>
      </w:r>
      <w:r w:rsidR="00101A72" w:rsidRPr="0009000E">
        <w:rPr>
          <w:color w:val="000080"/>
          <w:szCs w:val="24"/>
        </w:rPr>
        <w:t xml:space="preserve">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12350" w:rsidRDefault="00D12350" w:rsidP="00101A72">
      <w:pPr>
        <w:tabs>
          <w:tab w:val="left" w:pos="288"/>
          <w:tab w:val="left" w:pos="4752"/>
        </w:tabs>
        <w:spacing w:line="240" w:lineRule="exact"/>
        <w:rPr>
          <w:color w:val="000080"/>
        </w:rPr>
      </w:pPr>
    </w:p>
    <w:p w:rsidR="00D12350" w:rsidRPr="0009000E" w:rsidRDefault="002C6E5B" w:rsidP="0009000E">
      <w:pPr>
        <w:tabs>
          <w:tab w:val="left" w:pos="288"/>
          <w:tab w:val="left" w:pos="4752"/>
        </w:tabs>
        <w:spacing w:line="240" w:lineRule="exact"/>
        <w:jc w:val="both"/>
        <w:rPr>
          <w:color w:val="000080"/>
          <w:szCs w:val="24"/>
        </w:rPr>
      </w:pPr>
      <w:r w:rsidRPr="0009000E">
        <w:rPr>
          <w:color w:val="000080"/>
          <w:szCs w:val="24"/>
          <w:u w:val="single"/>
        </w:rPr>
        <w:t>CI CONTENTION</w:t>
      </w:r>
      <w:r w:rsidRPr="0009000E">
        <w:rPr>
          <w:color w:val="000080"/>
          <w:szCs w:val="24"/>
        </w:rPr>
        <w:t xml:space="preserve">:  </w:t>
      </w:r>
      <w:r w:rsidR="00D12350" w:rsidRPr="0009000E">
        <w:rPr>
          <w:color w:val="000080"/>
          <w:szCs w:val="24"/>
        </w:rPr>
        <w:t>The CI states: ‘</w:t>
      </w:r>
      <w:r w:rsidR="00101A72" w:rsidRPr="0009000E">
        <w:rPr>
          <w:color w:val="000080"/>
          <w:szCs w:val="24"/>
        </w:rPr>
        <w:t xml:space="preserve">I think that my rating for the condition was not looked at well and that I was treated unfair and </w:t>
      </w:r>
      <w:proofErr w:type="spellStart"/>
      <w:r w:rsidR="00101A72" w:rsidRPr="0009000E">
        <w:rPr>
          <w:color w:val="000080"/>
          <w:szCs w:val="24"/>
        </w:rPr>
        <w:t>unjustice</w:t>
      </w:r>
      <w:proofErr w:type="spellEnd"/>
      <w:r w:rsidR="00D12350" w:rsidRPr="0009000E">
        <w:rPr>
          <w:color w:val="000080"/>
          <w:szCs w:val="24"/>
        </w:rPr>
        <w:t xml:space="preserve"> [sic]</w:t>
      </w:r>
      <w:r w:rsidR="00101A72" w:rsidRPr="0009000E">
        <w:rPr>
          <w:color w:val="000080"/>
          <w:szCs w:val="24"/>
        </w:rPr>
        <w:t>, also not respected as a soldier.  That is why I think my rating should be increase</w:t>
      </w:r>
      <w:r w:rsidR="00D12350" w:rsidRPr="0009000E">
        <w:rPr>
          <w:color w:val="000080"/>
          <w:szCs w:val="24"/>
        </w:rPr>
        <w:t xml:space="preserve"> [sic].’</w:t>
      </w:r>
    </w:p>
    <w:p w:rsidR="00A90D55" w:rsidRPr="00D91DA6" w:rsidRDefault="008B5D31" w:rsidP="00101A72">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09000E" w:rsidRDefault="0009000E">
      <w:pPr>
        <w:rPr>
          <w:color w:val="000080"/>
          <w:szCs w:val="24"/>
          <w:u w:val="single"/>
        </w:rPr>
      </w:pPr>
      <w:r>
        <w:rPr>
          <w:color w:val="000080"/>
          <w:szCs w:val="24"/>
          <w:u w:val="single"/>
        </w:rPr>
        <w:br w:type="page"/>
      </w:r>
    </w:p>
    <w:p w:rsidR="002338CA" w:rsidRPr="0009000E" w:rsidRDefault="002C6E5B" w:rsidP="00875F2D">
      <w:pPr>
        <w:tabs>
          <w:tab w:val="left" w:pos="288"/>
          <w:tab w:val="left" w:pos="4752"/>
        </w:tabs>
        <w:spacing w:line="240" w:lineRule="exact"/>
        <w:jc w:val="both"/>
        <w:rPr>
          <w:color w:val="000080"/>
          <w:szCs w:val="24"/>
        </w:rPr>
      </w:pPr>
      <w:r w:rsidRPr="0009000E">
        <w:rPr>
          <w:color w:val="000080"/>
          <w:szCs w:val="24"/>
          <w:u w:val="single"/>
        </w:rPr>
        <w:lastRenderedPageBreak/>
        <w:t>RATING COMPARISON</w:t>
      </w:r>
      <w:r w:rsidRPr="0009000E">
        <w:rPr>
          <w:color w:val="000080"/>
          <w:szCs w:val="24"/>
        </w:rPr>
        <w:t>:</w:t>
      </w:r>
    </w:p>
    <w:p w:rsidR="00F82981" w:rsidRPr="0009000E" w:rsidRDefault="00F82981" w:rsidP="00875F2D">
      <w:pPr>
        <w:tabs>
          <w:tab w:val="left" w:pos="288"/>
          <w:tab w:val="left" w:pos="4752"/>
        </w:tabs>
        <w:spacing w:line="240" w:lineRule="exact"/>
        <w:jc w:val="both"/>
        <w:rPr>
          <w:color w:val="000080"/>
          <w:szCs w:val="24"/>
        </w:rPr>
      </w:pPr>
    </w:p>
    <w:tbl>
      <w:tblPr>
        <w:tblStyle w:val="TableGrid"/>
        <w:tblW w:w="10530" w:type="dxa"/>
        <w:tblInd w:w="-578" w:type="dxa"/>
        <w:tblLayout w:type="fixed"/>
        <w:tblLook w:val="04A0"/>
      </w:tblPr>
      <w:tblGrid>
        <w:gridCol w:w="1980"/>
        <w:gridCol w:w="1080"/>
        <w:gridCol w:w="810"/>
        <w:gridCol w:w="990"/>
        <w:gridCol w:w="2160"/>
        <w:gridCol w:w="720"/>
        <w:gridCol w:w="810"/>
        <w:gridCol w:w="990"/>
        <w:gridCol w:w="990"/>
      </w:tblGrid>
      <w:tr w:rsidR="00684E2B" w:rsidTr="001C6DCF">
        <w:trPr>
          <w:trHeight w:val="233"/>
        </w:trPr>
        <w:tc>
          <w:tcPr>
            <w:tcW w:w="4860" w:type="dxa"/>
            <w:gridSpan w:val="4"/>
            <w:tcBorders>
              <w:right w:val="thinThickThinSmallGap" w:sz="24" w:space="0" w:color="auto"/>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5670" w:type="dxa"/>
            <w:gridSpan w:val="5"/>
            <w:tcBorders>
              <w:left w:val="thinThickThinSmallGap" w:sz="24" w:space="0" w:color="auto"/>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VA (</w:t>
            </w:r>
            <w:r w:rsidR="006A5339">
              <w:rPr>
                <w:rFonts w:cs="Times New Roman"/>
                <w:b/>
                <w:sz w:val="20"/>
                <w:szCs w:val="20"/>
              </w:rPr>
              <w:t>11</w:t>
            </w:r>
            <w:r w:rsidRPr="00BC09D1">
              <w:rPr>
                <w:rFonts w:cs="Times New Roman"/>
                <w:b/>
                <w:sz w:val="20"/>
                <w:szCs w:val="20"/>
              </w:rPr>
              <w:t xml:space="preserve"> Mo. after Separation)</w:t>
            </w:r>
          </w:p>
        </w:tc>
      </w:tr>
      <w:tr w:rsidR="00593043" w:rsidTr="001C6DCF">
        <w:trPr>
          <w:trHeight w:val="233"/>
        </w:trPr>
        <w:tc>
          <w:tcPr>
            <w:tcW w:w="198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160" w:type="dxa"/>
            <w:tcBorders>
              <w:left w:val="thinThickThinSmallGap" w:sz="24" w:space="0" w:color="auto"/>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Exam</w:t>
            </w:r>
          </w:p>
        </w:tc>
        <w:tc>
          <w:tcPr>
            <w:tcW w:w="990" w:type="dxa"/>
            <w:tcBorders>
              <w:bottom w:val="single" w:sz="4" w:space="0" w:color="000000" w:themeColor="text1"/>
            </w:tcBorders>
            <w:shd w:val="clear" w:color="auto" w:fill="EEECE1" w:themeFill="background2"/>
          </w:tcPr>
          <w:p w:rsidR="00684E2B" w:rsidRPr="00BC09D1" w:rsidRDefault="00684E2B" w:rsidP="00BA044D">
            <w:pPr>
              <w:pStyle w:val="ListParagraph"/>
              <w:spacing w:after="0" w:line="240" w:lineRule="auto"/>
              <w:ind w:left="0"/>
              <w:jc w:val="center"/>
              <w:rPr>
                <w:rFonts w:cs="Times New Roman"/>
                <w:b/>
                <w:sz w:val="20"/>
                <w:szCs w:val="20"/>
              </w:rPr>
            </w:pPr>
            <w:r w:rsidRPr="00BC09D1">
              <w:rPr>
                <w:rFonts w:cs="Times New Roman"/>
                <w:b/>
                <w:sz w:val="20"/>
                <w:szCs w:val="20"/>
              </w:rPr>
              <w:t>Effective</w:t>
            </w:r>
          </w:p>
        </w:tc>
      </w:tr>
      <w:tr w:rsidR="006A5339" w:rsidTr="001C6DCF">
        <w:trPr>
          <w:trHeight w:val="152"/>
        </w:trPr>
        <w:tc>
          <w:tcPr>
            <w:tcW w:w="1980" w:type="dxa"/>
            <w:shd w:val="clear" w:color="auto" w:fill="C6D9F1" w:themeFill="text2" w:themeFillTint="33"/>
          </w:tcPr>
          <w:p w:rsidR="006A5339" w:rsidRPr="00C97AE0" w:rsidRDefault="006A5339" w:rsidP="00BA044D">
            <w:pPr>
              <w:pStyle w:val="ListParagraph"/>
              <w:spacing w:after="0" w:line="240" w:lineRule="auto"/>
              <w:ind w:left="0"/>
              <w:rPr>
                <w:rFonts w:cs="Times New Roman"/>
                <w:b/>
                <w:sz w:val="18"/>
                <w:szCs w:val="18"/>
              </w:rPr>
            </w:pPr>
            <w:r w:rsidRPr="00C97AE0">
              <w:rPr>
                <w:rFonts w:cs="Times New Roman"/>
                <w:b/>
                <w:sz w:val="18"/>
                <w:szCs w:val="18"/>
              </w:rPr>
              <w:t>To TDRL:</w:t>
            </w:r>
          </w:p>
        </w:tc>
        <w:tc>
          <w:tcPr>
            <w:tcW w:w="1080" w:type="dxa"/>
            <w:shd w:val="clear" w:color="auto" w:fill="C6D9F1" w:themeFill="text2" w:themeFillTint="33"/>
          </w:tcPr>
          <w:p w:rsidR="006A5339" w:rsidRPr="00BC09D1" w:rsidRDefault="006A5339" w:rsidP="00BA044D">
            <w:pPr>
              <w:pStyle w:val="ListParagraph"/>
              <w:spacing w:after="0" w:line="240" w:lineRule="auto"/>
              <w:ind w:left="0"/>
              <w:jc w:val="center"/>
              <w:rPr>
                <w:rFonts w:cs="Times New Roman"/>
                <w:sz w:val="18"/>
                <w:szCs w:val="18"/>
              </w:rPr>
            </w:pPr>
          </w:p>
        </w:tc>
        <w:tc>
          <w:tcPr>
            <w:tcW w:w="810" w:type="dxa"/>
            <w:shd w:val="clear" w:color="auto" w:fill="C6D9F1" w:themeFill="text2" w:themeFillTint="33"/>
          </w:tcPr>
          <w:p w:rsidR="006A5339" w:rsidRPr="00BC09D1" w:rsidRDefault="006A5339" w:rsidP="00BA044D">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C6D9F1" w:themeFill="text2" w:themeFillTint="33"/>
          </w:tcPr>
          <w:p w:rsidR="006A5339" w:rsidRPr="00456A07" w:rsidRDefault="006A5339" w:rsidP="00BA044D">
            <w:pPr>
              <w:pStyle w:val="ListParagraph"/>
              <w:spacing w:after="0" w:line="240" w:lineRule="auto"/>
              <w:ind w:left="0"/>
              <w:jc w:val="center"/>
              <w:rPr>
                <w:rFonts w:cs="Times New Roman"/>
                <w:b/>
                <w:sz w:val="18"/>
                <w:szCs w:val="18"/>
              </w:rPr>
            </w:pPr>
            <w:r w:rsidRPr="00456A07">
              <w:rPr>
                <w:rFonts w:cs="Times New Roman"/>
                <w:b/>
                <w:sz w:val="18"/>
                <w:szCs w:val="18"/>
              </w:rPr>
              <w:t>20030929</w:t>
            </w:r>
          </w:p>
        </w:tc>
        <w:tc>
          <w:tcPr>
            <w:tcW w:w="5670" w:type="dxa"/>
            <w:gridSpan w:val="5"/>
            <w:tcBorders>
              <w:left w:val="thinThickThinSmallGap" w:sz="24" w:space="0" w:color="auto"/>
            </w:tcBorders>
            <w:shd w:val="clear" w:color="auto" w:fill="FFFFFF" w:themeFill="background1"/>
          </w:tcPr>
          <w:p w:rsidR="006A5339" w:rsidRPr="00BC09D1" w:rsidRDefault="006A5339" w:rsidP="00BA044D">
            <w:pPr>
              <w:pStyle w:val="ListParagraph"/>
              <w:spacing w:after="0" w:line="240" w:lineRule="auto"/>
              <w:ind w:left="0"/>
              <w:jc w:val="center"/>
              <w:rPr>
                <w:rFonts w:cs="Times New Roman"/>
                <w:sz w:val="18"/>
                <w:szCs w:val="18"/>
              </w:rPr>
            </w:pPr>
            <w:r>
              <w:rPr>
                <w:rFonts w:cs="Times New Roman"/>
                <w:sz w:val="18"/>
                <w:szCs w:val="18"/>
              </w:rPr>
              <w:t>No VA exam at time of TDRL.</w:t>
            </w:r>
          </w:p>
        </w:tc>
      </w:tr>
      <w:tr w:rsidR="00C97AE0" w:rsidTr="001C6DCF">
        <w:trPr>
          <w:trHeight w:val="152"/>
        </w:trPr>
        <w:tc>
          <w:tcPr>
            <w:tcW w:w="1980" w:type="dxa"/>
            <w:shd w:val="clear" w:color="auto" w:fill="FFFFFF" w:themeFill="background1"/>
          </w:tcPr>
          <w:p w:rsidR="00C97AE0" w:rsidRPr="00BC09D1" w:rsidRDefault="00456A07" w:rsidP="00BA044D">
            <w:pPr>
              <w:pStyle w:val="ListParagraph"/>
              <w:spacing w:after="0" w:line="240" w:lineRule="auto"/>
              <w:ind w:left="0"/>
              <w:rPr>
                <w:rFonts w:cs="Times New Roman"/>
                <w:sz w:val="18"/>
                <w:szCs w:val="18"/>
              </w:rPr>
            </w:pPr>
            <w:r>
              <w:rPr>
                <w:rFonts w:eastAsiaTheme="minorEastAsia"/>
                <w:sz w:val="18"/>
                <w:szCs w:val="18"/>
              </w:rPr>
              <w:t xml:space="preserve">C4-5 Herniated Nucleus </w:t>
            </w:r>
            <w:proofErr w:type="spellStart"/>
            <w:r>
              <w:rPr>
                <w:rFonts w:eastAsiaTheme="minorEastAsia"/>
                <w:sz w:val="18"/>
                <w:szCs w:val="18"/>
              </w:rPr>
              <w:t>Pulposus</w:t>
            </w:r>
            <w:proofErr w:type="spellEnd"/>
            <w:r>
              <w:rPr>
                <w:rFonts w:eastAsiaTheme="minorEastAsia"/>
                <w:sz w:val="18"/>
                <w:szCs w:val="18"/>
              </w:rPr>
              <w:t>…</w:t>
            </w:r>
          </w:p>
        </w:tc>
        <w:tc>
          <w:tcPr>
            <w:tcW w:w="1080" w:type="dxa"/>
            <w:shd w:val="clear" w:color="auto" w:fill="FFFFFF" w:themeFill="background1"/>
          </w:tcPr>
          <w:p w:rsidR="00C97AE0" w:rsidRPr="00BC09D1" w:rsidRDefault="00456A07" w:rsidP="00BA044D">
            <w:pPr>
              <w:pStyle w:val="ListParagraph"/>
              <w:spacing w:after="0" w:line="240" w:lineRule="auto"/>
              <w:ind w:left="0"/>
              <w:jc w:val="center"/>
              <w:rPr>
                <w:rFonts w:cs="Times New Roman"/>
                <w:sz w:val="18"/>
                <w:szCs w:val="18"/>
              </w:rPr>
            </w:pPr>
            <w:r>
              <w:rPr>
                <w:rFonts w:cs="Times New Roman"/>
                <w:sz w:val="18"/>
                <w:szCs w:val="18"/>
              </w:rPr>
              <w:t>5243</w:t>
            </w:r>
          </w:p>
        </w:tc>
        <w:tc>
          <w:tcPr>
            <w:tcW w:w="810" w:type="dxa"/>
            <w:shd w:val="clear" w:color="auto" w:fill="FFFFFF" w:themeFill="background1"/>
          </w:tcPr>
          <w:p w:rsidR="00C97AE0" w:rsidRPr="00BC09D1" w:rsidRDefault="00456A07" w:rsidP="00BA044D">
            <w:pPr>
              <w:pStyle w:val="ListParagraph"/>
              <w:spacing w:after="0" w:line="240" w:lineRule="auto"/>
              <w:ind w:left="0"/>
              <w:jc w:val="center"/>
              <w:rPr>
                <w:rFonts w:cs="Times New Roman"/>
                <w:sz w:val="18"/>
                <w:szCs w:val="18"/>
              </w:rPr>
            </w:pPr>
            <w:r>
              <w:rPr>
                <w:rFonts w:cs="Times New Roman"/>
                <w:sz w:val="18"/>
                <w:szCs w:val="18"/>
              </w:rPr>
              <w:t>20%</w:t>
            </w:r>
          </w:p>
        </w:tc>
        <w:tc>
          <w:tcPr>
            <w:tcW w:w="990" w:type="dxa"/>
            <w:tcBorders>
              <w:right w:val="thinThickThinSmallGap" w:sz="24" w:space="0" w:color="auto"/>
            </w:tcBorders>
            <w:shd w:val="clear" w:color="auto" w:fill="FFFFFF" w:themeFill="background1"/>
          </w:tcPr>
          <w:p w:rsidR="00C97AE0" w:rsidRPr="002E333A" w:rsidRDefault="00C97AE0" w:rsidP="00BA044D">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C97AE0" w:rsidRPr="00BC09D1" w:rsidRDefault="006A5339" w:rsidP="006A5339">
            <w:pPr>
              <w:pStyle w:val="ListParagraph"/>
              <w:spacing w:after="0" w:line="240" w:lineRule="auto"/>
              <w:ind w:left="0"/>
              <w:rPr>
                <w:rFonts w:cs="Times New Roman"/>
                <w:sz w:val="18"/>
                <w:szCs w:val="18"/>
              </w:rPr>
            </w:pPr>
            <w:r>
              <w:rPr>
                <w:rFonts w:eastAsiaTheme="minorEastAsia"/>
                <w:sz w:val="18"/>
                <w:szCs w:val="18"/>
              </w:rPr>
              <w:t xml:space="preserve">Cervical Spine …Herniated Nucleus </w:t>
            </w:r>
            <w:proofErr w:type="spellStart"/>
            <w:r>
              <w:rPr>
                <w:rFonts w:eastAsiaTheme="minorEastAsia"/>
                <w:sz w:val="18"/>
                <w:szCs w:val="18"/>
              </w:rPr>
              <w:t>Pulposus</w:t>
            </w:r>
            <w:proofErr w:type="spellEnd"/>
          </w:p>
        </w:tc>
        <w:tc>
          <w:tcPr>
            <w:tcW w:w="720" w:type="dxa"/>
            <w:shd w:val="clear" w:color="auto" w:fill="FFFFFF" w:themeFill="background1"/>
          </w:tcPr>
          <w:p w:rsidR="00C97AE0" w:rsidRPr="00BC09D1" w:rsidRDefault="006A5339" w:rsidP="00BA044D">
            <w:pPr>
              <w:pStyle w:val="ListParagraph"/>
              <w:spacing w:after="0" w:line="240" w:lineRule="auto"/>
              <w:ind w:left="0"/>
              <w:jc w:val="center"/>
              <w:rPr>
                <w:rFonts w:cs="Times New Roman"/>
                <w:sz w:val="18"/>
                <w:szCs w:val="18"/>
              </w:rPr>
            </w:pPr>
            <w:r>
              <w:rPr>
                <w:sz w:val="18"/>
                <w:szCs w:val="18"/>
              </w:rPr>
              <w:t>5010-5290</w:t>
            </w:r>
          </w:p>
        </w:tc>
        <w:tc>
          <w:tcPr>
            <w:tcW w:w="810" w:type="dxa"/>
            <w:shd w:val="clear" w:color="auto" w:fill="FFFFFF" w:themeFill="background1"/>
          </w:tcPr>
          <w:p w:rsidR="00C97AE0" w:rsidRPr="00BC09D1" w:rsidRDefault="006A5339" w:rsidP="00BA044D">
            <w:pPr>
              <w:pStyle w:val="ListParagraph"/>
              <w:spacing w:after="0" w:line="240" w:lineRule="auto"/>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C97AE0" w:rsidRPr="00BC09D1" w:rsidRDefault="009109D0" w:rsidP="00BA044D">
            <w:pPr>
              <w:pStyle w:val="ListParagraph"/>
              <w:spacing w:after="0" w:line="240" w:lineRule="auto"/>
              <w:ind w:left="0"/>
              <w:jc w:val="center"/>
              <w:rPr>
                <w:rFonts w:cs="Times New Roman"/>
                <w:sz w:val="18"/>
                <w:szCs w:val="18"/>
              </w:rPr>
            </w:pPr>
            <w:r>
              <w:rPr>
                <w:rFonts w:cs="Times New Roman"/>
                <w:sz w:val="18"/>
                <w:szCs w:val="18"/>
              </w:rPr>
              <w:t>20051205</w:t>
            </w:r>
          </w:p>
        </w:tc>
        <w:tc>
          <w:tcPr>
            <w:tcW w:w="990" w:type="dxa"/>
            <w:shd w:val="clear" w:color="auto" w:fill="FFFFFF" w:themeFill="background1"/>
          </w:tcPr>
          <w:p w:rsidR="00C97AE0" w:rsidRPr="00BC09D1" w:rsidRDefault="006A5339" w:rsidP="009109D0">
            <w:pPr>
              <w:pStyle w:val="ListParagraph"/>
              <w:spacing w:after="0" w:line="240" w:lineRule="auto"/>
              <w:ind w:left="0"/>
              <w:jc w:val="center"/>
              <w:rPr>
                <w:rFonts w:cs="Times New Roman"/>
                <w:sz w:val="18"/>
                <w:szCs w:val="18"/>
              </w:rPr>
            </w:pPr>
            <w:r>
              <w:rPr>
                <w:rFonts w:cs="Times New Roman"/>
                <w:sz w:val="18"/>
                <w:szCs w:val="18"/>
              </w:rPr>
              <w:t>200</w:t>
            </w:r>
            <w:r w:rsidR="009109D0">
              <w:rPr>
                <w:rFonts w:cs="Times New Roman"/>
                <w:sz w:val="18"/>
                <w:szCs w:val="18"/>
              </w:rPr>
              <w:t>20728</w:t>
            </w:r>
          </w:p>
        </w:tc>
      </w:tr>
      <w:tr w:rsidR="00ED711E" w:rsidTr="001C6DCF">
        <w:trPr>
          <w:trHeight w:val="152"/>
        </w:trPr>
        <w:tc>
          <w:tcPr>
            <w:tcW w:w="1980" w:type="dxa"/>
            <w:shd w:val="clear" w:color="auto" w:fill="FFFFFF" w:themeFill="background1"/>
          </w:tcPr>
          <w:p w:rsidR="00ED711E" w:rsidRDefault="00ED711E" w:rsidP="00BA044D">
            <w:pPr>
              <w:pStyle w:val="ListParagraph"/>
              <w:spacing w:after="0" w:line="240" w:lineRule="auto"/>
              <w:ind w:left="0"/>
              <w:rPr>
                <w:rFonts w:eastAsiaTheme="minorEastAsia"/>
                <w:sz w:val="18"/>
                <w:szCs w:val="18"/>
              </w:rPr>
            </w:pPr>
            <w:r>
              <w:rPr>
                <w:rFonts w:eastAsiaTheme="minorEastAsia"/>
                <w:sz w:val="18"/>
                <w:szCs w:val="18"/>
              </w:rPr>
              <w:t xml:space="preserve">Left C5 </w:t>
            </w:r>
            <w:proofErr w:type="spellStart"/>
            <w:r>
              <w:rPr>
                <w:rFonts w:eastAsiaTheme="minorEastAsia"/>
                <w:sz w:val="18"/>
                <w:szCs w:val="18"/>
              </w:rPr>
              <w:t>Radiculopathy</w:t>
            </w:r>
            <w:proofErr w:type="spellEnd"/>
          </w:p>
        </w:tc>
        <w:tc>
          <w:tcPr>
            <w:tcW w:w="1080" w:type="dxa"/>
            <w:shd w:val="clear" w:color="auto" w:fill="FFFFFF" w:themeFill="background1"/>
          </w:tcPr>
          <w:p w:rsidR="00ED711E" w:rsidRDefault="00ED711E" w:rsidP="00BA044D">
            <w:pPr>
              <w:pStyle w:val="ListParagraph"/>
              <w:spacing w:after="0" w:line="240" w:lineRule="auto"/>
              <w:ind w:left="0"/>
              <w:jc w:val="center"/>
              <w:rPr>
                <w:rFonts w:cs="Times New Roman"/>
                <w:sz w:val="18"/>
                <w:szCs w:val="18"/>
              </w:rPr>
            </w:pPr>
            <w:r>
              <w:rPr>
                <w:rFonts w:cs="Times New Roman"/>
                <w:sz w:val="18"/>
                <w:szCs w:val="18"/>
              </w:rPr>
              <w:t>8599-8510</w:t>
            </w:r>
          </w:p>
        </w:tc>
        <w:tc>
          <w:tcPr>
            <w:tcW w:w="810" w:type="dxa"/>
            <w:shd w:val="clear" w:color="auto" w:fill="FFFFFF" w:themeFill="background1"/>
          </w:tcPr>
          <w:p w:rsidR="00ED711E" w:rsidRDefault="00ED711E" w:rsidP="00BA044D">
            <w:pPr>
              <w:pStyle w:val="ListParagraph"/>
              <w:spacing w:after="0" w:line="240" w:lineRule="auto"/>
              <w:ind w:left="0"/>
              <w:jc w:val="center"/>
              <w:rPr>
                <w:rFonts w:cs="Times New Roman"/>
                <w:sz w:val="18"/>
                <w:szCs w:val="18"/>
              </w:rPr>
            </w:pPr>
            <w:r>
              <w:rPr>
                <w:rFonts w:cs="Times New Roman"/>
                <w:sz w:val="18"/>
                <w:szCs w:val="18"/>
              </w:rPr>
              <w:t>20%</w:t>
            </w:r>
          </w:p>
        </w:tc>
        <w:tc>
          <w:tcPr>
            <w:tcW w:w="990" w:type="dxa"/>
            <w:tcBorders>
              <w:right w:val="thinThickThinSmallGap" w:sz="24" w:space="0" w:color="auto"/>
            </w:tcBorders>
            <w:shd w:val="clear" w:color="auto" w:fill="FFFFFF" w:themeFill="background1"/>
          </w:tcPr>
          <w:p w:rsidR="00ED711E" w:rsidRDefault="00ED711E" w:rsidP="00BA044D">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ED711E" w:rsidRPr="00BC09D1" w:rsidRDefault="00ED711E" w:rsidP="00BA044D">
            <w:pPr>
              <w:pStyle w:val="ListParagraph"/>
              <w:spacing w:after="0" w:line="240" w:lineRule="auto"/>
              <w:ind w:left="0"/>
              <w:rPr>
                <w:rFonts w:cs="Times New Roman"/>
                <w:sz w:val="18"/>
                <w:szCs w:val="18"/>
              </w:rPr>
            </w:pPr>
            <w:r>
              <w:rPr>
                <w:rFonts w:cs="Times New Roman"/>
                <w:sz w:val="18"/>
                <w:szCs w:val="18"/>
              </w:rPr>
              <w:t xml:space="preserve">LUE </w:t>
            </w:r>
            <w:proofErr w:type="spellStart"/>
            <w:r>
              <w:rPr>
                <w:rFonts w:cs="Times New Roman"/>
                <w:sz w:val="18"/>
                <w:szCs w:val="18"/>
              </w:rPr>
              <w:t>Radiculopathy</w:t>
            </w:r>
            <w:proofErr w:type="spellEnd"/>
          </w:p>
        </w:tc>
        <w:tc>
          <w:tcPr>
            <w:tcW w:w="720" w:type="dxa"/>
            <w:shd w:val="clear" w:color="auto" w:fill="FFFFFF" w:themeFill="background1"/>
          </w:tcPr>
          <w:p w:rsidR="00ED711E" w:rsidRPr="00BC09D1" w:rsidRDefault="00ED711E" w:rsidP="00BA044D">
            <w:pPr>
              <w:pStyle w:val="ListParagraph"/>
              <w:spacing w:after="0" w:line="240" w:lineRule="auto"/>
              <w:ind w:left="0"/>
              <w:jc w:val="center"/>
              <w:rPr>
                <w:rFonts w:cs="Times New Roman"/>
                <w:sz w:val="18"/>
                <w:szCs w:val="18"/>
              </w:rPr>
            </w:pPr>
            <w:r>
              <w:rPr>
                <w:rFonts w:cs="Times New Roman"/>
                <w:sz w:val="18"/>
                <w:szCs w:val="18"/>
              </w:rPr>
              <w:t>8510</w:t>
            </w:r>
          </w:p>
        </w:tc>
        <w:tc>
          <w:tcPr>
            <w:tcW w:w="810" w:type="dxa"/>
            <w:shd w:val="clear" w:color="auto" w:fill="FFFFFF" w:themeFill="background1"/>
          </w:tcPr>
          <w:p w:rsidR="00ED711E" w:rsidRPr="00BC09D1" w:rsidRDefault="00ED711E" w:rsidP="00BA044D">
            <w:pPr>
              <w:pStyle w:val="ListParagraph"/>
              <w:spacing w:after="0" w:line="240" w:lineRule="auto"/>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ED711E" w:rsidRPr="00BC09D1" w:rsidRDefault="00ED711E" w:rsidP="00BA044D">
            <w:pPr>
              <w:pStyle w:val="ListParagraph"/>
              <w:spacing w:after="0" w:line="240" w:lineRule="auto"/>
              <w:ind w:left="0"/>
              <w:jc w:val="center"/>
              <w:rPr>
                <w:rFonts w:cs="Times New Roman"/>
                <w:sz w:val="18"/>
                <w:szCs w:val="18"/>
              </w:rPr>
            </w:pPr>
            <w:r>
              <w:rPr>
                <w:rFonts w:cs="Times New Roman"/>
                <w:sz w:val="18"/>
                <w:szCs w:val="18"/>
              </w:rPr>
              <w:t>20051205</w:t>
            </w:r>
          </w:p>
        </w:tc>
        <w:tc>
          <w:tcPr>
            <w:tcW w:w="990" w:type="dxa"/>
            <w:shd w:val="clear" w:color="auto" w:fill="FFFFFF" w:themeFill="background1"/>
          </w:tcPr>
          <w:p w:rsidR="00ED711E" w:rsidRPr="00BC09D1" w:rsidRDefault="00ED711E" w:rsidP="00BA044D">
            <w:pPr>
              <w:pStyle w:val="ListParagraph"/>
              <w:spacing w:after="0" w:line="240" w:lineRule="auto"/>
              <w:ind w:left="0"/>
              <w:jc w:val="center"/>
              <w:rPr>
                <w:rFonts w:cs="Times New Roman"/>
                <w:sz w:val="18"/>
                <w:szCs w:val="18"/>
              </w:rPr>
            </w:pPr>
            <w:r>
              <w:rPr>
                <w:rFonts w:cs="Times New Roman"/>
                <w:sz w:val="18"/>
                <w:szCs w:val="18"/>
              </w:rPr>
              <w:t>20031219</w:t>
            </w:r>
          </w:p>
        </w:tc>
      </w:tr>
      <w:tr w:rsidR="00D83E92" w:rsidTr="001C6DCF">
        <w:trPr>
          <w:trHeight w:val="152"/>
        </w:trPr>
        <w:tc>
          <w:tcPr>
            <w:tcW w:w="1980" w:type="dxa"/>
            <w:tcBorders>
              <w:right w:val="single" w:sz="4" w:space="0" w:color="auto"/>
            </w:tcBorders>
            <w:shd w:val="clear" w:color="auto" w:fill="FFFFFF" w:themeFill="background1"/>
          </w:tcPr>
          <w:p w:rsidR="00D83E92" w:rsidRPr="00D83E92" w:rsidRDefault="00D83E92" w:rsidP="00D83E92">
            <w:pPr>
              <w:pStyle w:val="ListParagraph"/>
              <w:spacing w:after="0" w:line="240" w:lineRule="auto"/>
              <w:ind w:left="0"/>
              <w:rPr>
                <w:rFonts w:eastAsiaTheme="minorEastAsia"/>
                <w:sz w:val="18"/>
                <w:szCs w:val="18"/>
              </w:rPr>
            </w:pPr>
            <w:r>
              <w:rPr>
                <w:rFonts w:eastAsiaTheme="minorEastAsia"/>
                <w:sz w:val="18"/>
                <w:szCs w:val="18"/>
              </w:rPr>
              <w:t>Chronic Thoracic Back Pain…</w:t>
            </w:r>
          </w:p>
        </w:tc>
        <w:tc>
          <w:tcPr>
            <w:tcW w:w="1080" w:type="dxa"/>
            <w:tcBorders>
              <w:left w:val="single" w:sz="4" w:space="0" w:color="auto"/>
            </w:tcBorders>
            <w:shd w:val="clear" w:color="auto" w:fill="FFFFFF" w:themeFill="background1"/>
          </w:tcPr>
          <w:p w:rsidR="00D83E92" w:rsidRPr="00D83E92" w:rsidRDefault="00D83E92" w:rsidP="00D83E92">
            <w:pPr>
              <w:pStyle w:val="ListParagraph"/>
              <w:ind w:left="57"/>
              <w:rPr>
                <w:rFonts w:eastAsiaTheme="minorEastAsia"/>
                <w:sz w:val="18"/>
                <w:szCs w:val="18"/>
              </w:rPr>
            </w:pPr>
            <w:r>
              <w:rPr>
                <w:rFonts w:cs="Times New Roman"/>
                <w:sz w:val="18"/>
                <w:szCs w:val="18"/>
              </w:rPr>
              <w:t>5099-5003</w:t>
            </w:r>
          </w:p>
        </w:tc>
        <w:tc>
          <w:tcPr>
            <w:tcW w:w="810" w:type="dxa"/>
            <w:shd w:val="clear" w:color="auto" w:fill="FFFFFF" w:themeFill="background1"/>
          </w:tcPr>
          <w:p w:rsidR="00D83E92" w:rsidRDefault="00D83E92" w:rsidP="00BA044D">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right w:val="thinThickThinSmallGap" w:sz="24" w:space="0" w:color="auto"/>
            </w:tcBorders>
            <w:shd w:val="clear" w:color="auto" w:fill="FFFFFF" w:themeFill="background1"/>
          </w:tcPr>
          <w:p w:rsidR="00D83E92" w:rsidRDefault="00D83E92" w:rsidP="00BA044D">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D83E92" w:rsidRPr="00BC09D1" w:rsidRDefault="00D83E92" w:rsidP="00BA044D">
            <w:pPr>
              <w:pStyle w:val="ListParagraph"/>
              <w:spacing w:after="0" w:line="240" w:lineRule="auto"/>
              <w:ind w:left="0"/>
              <w:rPr>
                <w:rFonts w:cs="Times New Roman"/>
                <w:sz w:val="18"/>
                <w:szCs w:val="18"/>
              </w:rPr>
            </w:pPr>
            <w:r>
              <w:rPr>
                <w:sz w:val="18"/>
                <w:szCs w:val="18"/>
              </w:rPr>
              <w:t xml:space="preserve">Thoracic Spine with </w:t>
            </w:r>
            <w:proofErr w:type="spellStart"/>
            <w:r>
              <w:rPr>
                <w:sz w:val="18"/>
                <w:szCs w:val="18"/>
              </w:rPr>
              <w:t>Spondyl</w:t>
            </w:r>
            <w:r w:rsidR="00804404">
              <w:rPr>
                <w:sz w:val="18"/>
                <w:szCs w:val="18"/>
              </w:rPr>
              <w:t>osis</w:t>
            </w:r>
            <w:proofErr w:type="spellEnd"/>
          </w:p>
        </w:tc>
        <w:tc>
          <w:tcPr>
            <w:tcW w:w="720" w:type="dxa"/>
            <w:shd w:val="clear" w:color="auto" w:fill="FFFFFF" w:themeFill="background1"/>
          </w:tcPr>
          <w:p w:rsidR="00D83E92" w:rsidRPr="00ED711E" w:rsidRDefault="00D83E92" w:rsidP="00BA044D">
            <w:pPr>
              <w:jc w:val="center"/>
              <w:rPr>
                <w:color w:val="auto"/>
              </w:rPr>
            </w:pPr>
            <w:r>
              <w:rPr>
                <w:rFonts w:cs="Times New Roman"/>
                <w:color w:val="auto"/>
                <w:sz w:val="18"/>
                <w:szCs w:val="18"/>
              </w:rPr>
              <w:t>5242</w:t>
            </w:r>
          </w:p>
        </w:tc>
        <w:tc>
          <w:tcPr>
            <w:tcW w:w="81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20051205</w:t>
            </w:r>
          </w:p>
        </w:tc>
        <w:tc>
          <w:tcPr>
            <w:tcW w:w="99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20031219</w:t>
            </w:r>
          </w:p>
        </w:tc>
      </w:tr>
      <w:tr w:rsidR="00244860" w:rsidTr="001C6DCF">
        <w:trPr>
          <w:trHeight w:val="125"/>
        </w:trPr>
        <w:tc>
          <w:tcPr>
            <w:tcW w:w="1980" w:type="dxa"/>
            <w:shd w:val="clear" w:color="auto" w:fill="C6D9F1" w:themeFill="text2" w:themeFillTint="33"/>
          </w:tcPr>
          <w:p w:rsidR="00244860" w:rsidRPr="00C97AE0" w:rsidRDefault="00244860" w:rsidP="00BA044D">
            <w:pPr>
              <w:pStyle w:val="ListParagraph"/>
              <w:spacing w:after="0" w:line="240" w:lineRule="auto"/>
              <w:ind w:left="0"/>
              <w:rPr>
                <w:rFonts w:cs="Times New Roman"/>
                <w:b/>
                <w:sz w:val="18"/>
                <w:szCs w:val="18"/>
              </w:rPr>
            </w:pPr>
            <w:r w:rsidRPr="00C97AE0">
              <w:rPr>
                <w:rFonts w:cs="Times New Roman"/>
                <w:b/>
                <w:sz w:val="18"/>
                <w:szCs w:val="18"/>
              </w:rPr>
              <w:t>Off TDRL:</w:t>
            </w:r>
          </w:p>
        </w:tc>
        <w:tc>
          <w:tcPr>
            <w:tcW w:w="1080" w:type="dxa"/>
            <w:shd w:val="clear" w:color="auto" w:fill="C6D9F1" w:themeFill="text2" w:themeFillTint="33"/>
          </w:tcPr>
          <w:p w:rsidR="00244860" w:rsidRPr="00BC09D1" w:rsidRDefault="00244860" w:rsidP="00BA044D">
            <w:pPr>
              <w:pStyle w:val="ListParagraph"/>
              <w:spacing w:after="0" w:line="240" w:lineRule="auto"/>
              <w:ind w:left="0"/>
              <w:jc w:val="center"/>
              <w:rPr>
                <w:rFonts w:cs="Times New Roman"/>
                <w:sz w:val="18"/>
                <w:szCs w:val="18"/>
              </w:rPr>
            </w:pPr>
          </w:p>
        </w:tc>
        <w:tc>
          <w:tcPr>
            <w:tcW w:w="810" w:type="dxa"/>
            <w:shd w:val="clear" w:color="auto" w:fill="C6D9F1" w:themeFill="text2" w:themeFillTint="33"/>
          </w:tcPr>
          <w:p w:rsidR="00244860" w:rsidRPr="00BC09D1" w:rsidRDefault="00244860" w:rsidP="00BA044D">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C6D9F1" w:themeFill="text2" w:themeFillTint="33"/>
          </w:tcPr>
          <w:p w:rsidR="00244860" w:rsidRPr="00F60344" w:rsidRDefault="00244860" w:rsidP="00BA044D">
            <w:pPr>
              <w:pStyle w:val="ListParagraph"/>
              <w:spacing w:after="0" w:line="240" w:lineRule="auto"/>
              <w:ind w:left="0"/>
              <w:jc w:val="center"/>
              <w:rPr>
                <w:rFonts w:cs="Times New Roman"/>
                <w:b/>
                <w:sz w:val="18"/>
                <w:szCs w:val="18"/>
              </w:rPr>
            </w:pPr>
            <w:r w:rsidRPr="00F60344">
              <w:rPr>
                <w:rFonts w:cs="Times New Roman"/>
                <w:b/>
                <w:sz w:val="18"/>
                <w:szCs w:val="18"/>
              </w:rPr>
              <w:t>20041213</w:t>
            </w:r>
          </w:p>
        </w:tc>
        <w:tc>
          <w:tcPr>
            <w:tcW w:w="2160" w:type="dxa"/>
            <w:tcBorders>
              <w:left w:val="thinThickThinSmallGap" w:sz="24" w:space="0" w:color="auto"/>
            </w:tcBorders>
            <w:shd w:val="clear" w:color="auto" w:fill="FFFFFF" w:themeFill="background1"/>
          </w:tcPr>
          <w:p w:rsidR="00244860" w:rsidRPr="00BC09D1" w:rsidRDefault="00244860" w:rsidP="00BA044D">
            <w:pPr>
              <w:pStyle w:val="ListParagraph"/>
              <w:spacing w:after="0" w:line="240" w:lineRule="auto"/>
              <w:ind w:left="0"/>
              <w:rPr>
                <w:rFonts w:cs="Times New Roman"/>
                <w:sz w:val="18"/>
                <w:szCs w:val="18"/>
              </w:rPr>
            </w:pPr>
            <w:r>
              <w:rPr>
                <w:rFonts w:cs="Times New Roman"/>
                <w:sz w:val="18"/>
                <w:szCs w:val="18"/>
              </w:rPr>
              <w:t xml:space="preserve">RLE </w:t>
            </w:r>
            <w:proofErr w:type="spellStart"/>
            <w:r>
              <w:rPr>
                <w:rFonts w:cs="Times New Roman"/>
                <w:sz w:val="18"/>
                <w:szCs w:val="18"/>
              </w:rPr>
              <w:t>Radiculopathy</w:t>
            </w:r>
            <w:proofErr w:type="spellEnd"/>
          </w:p>
        </w:tc>
        <w:tc>
          <w:tcPr>
            <w:tcW w:w="720" w:type="dxa"/>
            <w:shd w:val="clear" w:color="auto" w:fill="FFFFFF" w:themeFill="background1"/>
          </w:tcPr>
          <w:p w:rsidR="00244860" w:rsidRPr="00ED711E" w:rsidRDefault="00244860" w:rsidP="00ED711E">
            <w:pPr>
              <w:jc w:val="center"/>
              <w:rPr>
                <w:color w:val="auto"/>
              </w:rPr>
            </w:pPr>
            <w:r>
              <w:rPr>
                <w:rFonts w:cs="Times New Roman"/>
                <w:color w:val="auto"/>
                <w:sz w:val="18"/>
                <w:szCs w:val="18"/>
              </w:rPr>
              <w:t>852</w:t>
            </w:r>
            <w:r w:rsidRPr="00ED711E">
              <w:rPr>
                <w:rFonts w:cs="Times New Roman"/>
                <w:color w:val="auto"/>
                <w:sz w:val="18"/>
                <w:szCs w:val="18"/>
              </w:rPr>
              <w:t>0</w:t>
            </w:r>
          </w:p>
        </w:tc>
        <w:tc>
          <w:tcPr>
            <w:tcW w:w="810" w:type="dxa"/>
            <w:shd w:val="clear" w:color="auto" w:fill="FFFFFF" w:themeFill="background1"/>
          </w:tcPr>
          <w:p w:rsidR="00244860" w:rsidRPr="00BC09D1" w:rsidRDefault="00244860" w:rsidP="00BA044D">
            <w:pPr>
              <w:pStyle w:val="ListParagraph"/>
              <w:spacing w:after="0" w:line="240" w:lineRule="auto"/>
              <w:ind w:left="0"/>
              <w:jc w:val="center"/>
              <w:rPr>
                <w:rFonts w:cs="Times New Roman"/>
                <w:sz w:val="18"/>
                <w:szCs w:val="18"/>
              </w:rPr>
            </w:pPr>
            <w:r>
              <w:rPr>
                <w:rFonts w:cs="Times New Roman"/>
                <w:sz w:val="18"/>
                <w:szCs w:val="18"/>
              </w:rPr>
              <w:t>40%</w:t>
            </w:r>
          </w:p>
        </w:tc>
        <w:tc>
          <w:tcPr>
            <w:tcW w:w="990" w:type="dxa"/>
            <w:shd w:val="clear" w:color="auto" w:fill="FFFFFF" w:themeFill="background1"/>
          </w:tcPr>
          <w:p w:rsidR="00244860" w:rsidRPr="00BC09D1" w:rsidRDefault="00244860" w:rsidP="00BA044D">
            <w:pPr>
              <w:pStyle w:val="ListParagraph"/>
              <w:spacing w:after="0" w:line="240" w:lineRule="auto"/>
              <w:ind w:left="0"/>
              <w:jc w:val="center"/>
              <w:rPr>
                <w:rFonts w:cs="Times New Roman"/>
                <w:sz w:val="18"/>
                <w:szCs w:val="18"/>
              </w:rPr>
            </w:pPr>
            <w:r>
              <w:rPr>
                <w:rFonts w:cs="Times New Roman"/>
                <w:sz w:val="18"/>
                <w:szCs w:val="18"/>
              </w:rPr>
              <w:t>20051205</w:t>
            </w:r>
          </w:p>
        </w:tc>
        <w:tc>
          <w:tcPr>
            <w:tcW w:w="990" w:type="dxa"/>
            <w:shd w:val="clear" w:color="auto" w:fill="FFFFFF" w:themeFill="background1"/>
          </w:tcPr>
          <w:p w:rsidR="00244860" w:rsidRPr="00BC09D1" w:rsidRDefault="00244860" w:rsidP="00BA044D">
            <w:pPr>
              <w:pStyle w:val="ListParagraph"/>
              <w:spacing w:after="0" w:line="240" w:lineRule="auto"/>
              <w:ind w:left="0"/>
              <w:jc w:val="center"/>
              <w:rPr>
                <w:rFonts w:cs="Times New Roman"/>
                <w:sz w:val="18"/>
                <w:szCs w:val="18"/>
              </w:rPr>
            </w:pPr>
            <w:r>
              <w:rPr>
                <w:rFonts w:cs="Times New Roman"/>
                <w:sz w:val="18"/>
                <w:szCs w:val="18"/>
              </w:rPr>
              <w:t>20031219</w:t>
            </w:r>
          </w:p>
        </w:tc>
      </w:tr>
      <w:tr w:rsidR="00D83E92" w:rsidTr="001C6DCF">
        <w:trPr>
          <w:trHeight w:val="125"/>
        </w:trPr>
        <w:tc>
          <w:tcPr>
            <w:tcW w:w="1980" w:type="dxa"/>
            <w:tcBorders>
              <w:right w:val="single" w:sz="4" w:space="0" w:color="auto"/>
            </w:tcBorders>
            <w:shd w:val="clear" w:color="auto" w:fill="FFFFFF" w:themeFill="background1"/>
          </w:tcPr>
          <w:p w:rsidR="00D83E92" w:rsidRPr="00BC09D1" w:rsidRDefault="00D83E92" w:rsidP="00D83E92">
            <w:pPr>
              <w:pStyle w:val="ListParagraph"/>
              <w:spacing w:after="0" w:line="240" w:lineRule="auto"/>
              <w:ind w:left="0"/>
              <w:rPr>
                <w:rFonts w:cs="Times New Roman"/>
                <w:sz w:val="18"/>
                <w:szCs w:val="18"/>
              </w:rPr>
            </w:pPr>
            <w:r>
              <w:rPr>
                <w:rFonts w:cs="Times New Roman"/>
                <w:sz w:val="18"/>
                <w:szCs w:val="18"/>
              </w:rPr>
              <w:t>Chronic Neck Pain…</w:t>
            </w:r>
          </w:p>
        </w:tc>
        <w:tc>
          <w:tcPr>
            <w:tcW w:w="1080" w:type="dxa"/>
            <w:tcBorders>
              <w:left w:val="single" w:sz="4" w:space="0" w:color="auto"/>
            </w:tcBorders>
            <w:shd w:val="clear" w:color="auto" w:fill="FFFFFF" w:themeFill="background1"/>
          </w:tcPr>
          <w:p w:rsidR="00D83E92" w:rsidRPr="00BC09D1" w:rsidRDefault="00D83E92" w:rsidP="00D83E92">
            <w:pPr>
              <w:pStyle w:val="ListParagraph"/>
              <w:spacing w:after="0" w:line="240" w:lineRule="auto"/>
              <w:ind w:left="0"/>
              <w:rPr>
                <w:rFonts w:cs="Times New Roman"/>
                <w:sz w:val="18"/>
                <w:szCs w:val="18"/>
              </w:rPr>
            </w:pPr>
            <w:r>
              <w:rPr>
                <w:rFonts w:cs="Times New Roman"/>
                <w:sz w:val="18"/>
                <w:szCs w:val="18"/>
              </w:rPr>
              <w:t>5299-5242</w:t>
            </w:r>
          </w:p>
        </w:tc>
        <w:tc>
          <w:tcPr>
            <w:tcW w:w="81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right w:val="thinThickThinSmallGap" w:sz="24" w:space="0" w:color="auto"/>
            </w:tcBorders>
            <w:shd w:val="clear" w:color="auto" w:fill="FFFFFF" w:themeFill="background1"/>
          </w:tcPr>
          <w:p w:rsidR="00D83E92" w:rsidRPr="002E333A" w:rsidRDefault="00D83E92" w:rsidP="00BA044D">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D83E92" w:rsidRPr="00BC09D1" w:rsidRDefault="00D83E92" w:rsidP="00BA044D">
            <w:pPr>
              <w:pStyle w:val="ListParagraph"/>
              <w:spacing w:after="0" w:line="240" w:lineRule="auto"/>
              <w:ind w:left="0"/>
              <w:rPr>
                <w:rFonts w:cs="Times New Roman"/>
                <w:sz w:val="18"/>
                <w:szCs w:val="18"/>
              </w:rPr>
            </w:pPr>
            <w:r>
              <w:rPr>
                <w:rFonts w:cs="Times New Roman"/>
                <w:sz w:val="18"/>
                <w:szCs w:val="18"/>
              </w:rPr>
              <w:t xml:space="preserve">LLE </w:t>
            </w:r>
            <w:proofErr w:type="spellStart"/>
            <w:r>
              <w:rPr>
                <w:rFonts w:cs="Times New Roman"/>
                <w:sz w:val="18"/>
                <w:szCs w:val="18"/>
              </w:rPr>
              <w:t>Radiculopathy</w:t>
            </w:r>
            <w:proofErr w:type="spellEnd"/>
          </w:p>
        </w:tc>
        <w:tc>
          <w:tcPr>
            <w:tcW w:w="720" w:type="dxa"/>
            <w:shd w:val="clear" w:color="auto" w:fill="FFFFFF" w:themeFill="background1"/>
          </w:tcPr>
          <w:p w:rsidR="00D83E92" w:rsidRPr="00ED711E" w:rsidRDefault="00D83E92" w:rsidP="00BA044D">
            <w:pPr>
              <w:jc w:val="center"/>
              <w:rPr>
                <w:color w:val="auto"/>
              </w:rPr>
            </w:pPr>
            <w:r>
              <w:rPr>
                <w:rFonts w:cs="Times New Roman"/>
                <w:color w:val="auto"/>
                <w:sz w:val="18"/>
                <w:szCs w:val="18"/>
              </w:rPr>
              <w:t>852</w:t>
            </w:r>
            <w:r w:rsidRPr="00ED711E">
              <w:rPr>
                <w:rFonts w:cs="Times New Roman"/>
                <w:color w:val="auto"/>
                <w:sz w:val="18"/>
                <w:szCs w:val="18"/>
              </w:rPr>
              <w:t>0</w:t>
            </w:r>
          </w:p>
        </w:tc>
        <w:tc>
          <w:tcPr>
            <w:tcW w:w="81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40%</w:t>
            </w:r>
          </w:p>
        </w:tc>
        <w:tc>
          <w:tcPr>
            <w:tcW w:w="99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20051205</w:t>
            </w:r>
          </w:p>
        </w:tc>
        <w:tc>
          <w:tcPr>
            <w:tcW w:w="99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20031219</w:t>
            </w:r>
          </w:p>
        </w:tc>
      </w:tr>
      <w:tr w:rsidR="00D83E92" w:rsidTr="001C6DCF">
        <w:trPr>
          <w:trHeight w:val="125"/>
        </w:trPr>
        <w:tc>
          <w:tcPr>
            <w:tcW w:w="1980" w:type="dxa"/>
            <w:tcBorders>
              <w:right w:val="single" w:sz="4" w:space="0" w:color="auto"/>
            </w:tcBorders>
            <w:shd w:val="clear" w:color="auto" w:fill="FFFFFF" w:themeFill="background1"/>
          </w:tcPr>
          <w:p w:rsidR="00D83E92" w:rsidRPr="00BC09D1" w:rsidRDefault="00D83E92" w:rsidP="00D83E92">
            <w:pPr>
              <w:pStyle w:val="ListParagraph"/>
              <w:spacing w:after="0" w:line="240" w:lineRule="auto"/>
              <w:ind w:left="0"/>
              <w:rPr>
                <w:rFonts w:cs="Times New Roman"/>
                <w:sz w:val="18"/>
                <w:szCs w:val="18"/>
              </w:rPr>
            </w:pPr>
            <w:r>
              <w:rPr>
                <w:rFonts w:cs="Times New Roman"/>
                <w:sz w:val="18"/>
                <w:szCs w:val="18"/>
              </w:rPr>
              <w:t>Chronic Low Back Pain…</w:t>
            </w:r>
          </w:p>
        </w:tc>
        <w:tc>
          <w:tcPr>
            <w:tcW w:w="1080" w:type="dxa"/>
            <w:tcBorders>
              <w:left w:val="single" w:sz="4" w:space="0" w:color="auto"/>
            </w:tcBorders>
            <w:shd w:val="clear" w:color="auto" w:fill="FFFFFF" w:themeFill="background1"/>
          </w:tcPr>
          <w:p w:rsidR="00D83E92" w:rsidRPr="00BC09D1" w:rsidRDefault="00D83E92" w:rsidP="00D83E92">
            <w:pPr>
              <w:pStyle w:val="ListParagraph"/>
              <w:spacing w:after="0" w:line="240" w:lineRule="auto"/>
              <w:ind w:left="0"/>
              <w:rPr>
                <w:rFonts w:cs="Times New Roman"/>
                <w:sz w:val="18"/>
                <w:szCs w:val="18"/>
              </w:rPr>
            </w:pPr>
            <w:r>
              <w:rPr>
                <w:rFonts w:cs="Times New Roman"/>
                <w:sz w:val="18"/>
                <w:szCs w:val="18"/>
              </w:rPr>
              <w:t>5299-5237</w:t>
            </w:r>
          </w:p>
        </w:tc>
        <w:tc>
          <w:tcPr>
            <w:tcW w:w="81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right w:val="thinThickThinSmallGap" w:sz="24" w:space="0" w:color="auto"/>
            </w:tcBorders>
            <w:shd w:val="clear" w:color="auto" w:fill="FFFFFF" w:themeFill="background1"/>
          </w:tcPr>
          <w:p w:rsidR="00D83E92" w:rsidRPr="002E333A" w:rsidRDefault="00D83E92" w:rsidP="00BA044D">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D83E92" w:rsidRPr="00CA3B93" w:rsidRDefault="00D83E92" w:rsidP="00ED711E">
            <w:pPr>
              <w:pStyle w:val="ListParagraph"/>
              <w:spacing w:after="0" w:line="240" w:lineRule="auto"/>
              <w:ind w:left="0"/>
              <w:jc w:val="center"/>
              <w:rPr>
                <w:rFonts w:cs="Times New Roman"/>
                <w:b/>
                <w:sz w:val="18"/>
                <w:szCs w:val="18"/>
              </w:rPr>
            </w:pPr>
            <w:r>
              <w:rPr>
                <w:rFonts w:cs="Times New Roman"/>
                <w:b/>
                <w:sz w:val="18"/>
                <w:szCs w:val="18"/>
              </w:rPr>
              <w:t>---</w:t>
            </w:r>
          </w:p>
        </w:tc>
        <w:tc>
          <w:tcPr>
            <w:tcW w:w="720" w:type="dxa"/>
            <w:shd w:val="clear" w:color="auto" w:fill="FFFFFF" w:themeFill="background1"/>
          </w:tcPr>
          <w:p w:rsidR="00D83E92" w:rsidRPr="00CA3B93" w:rsidRDefault="00D83E92" w:rsidP="00BA044D">
            <w:pPr>
              <w:pStyle w:val="ListParagraph"/>
              <w:spacing w:after="0" w:line="240" w:lineRule="auto"/>
              <w:ind w:left="0"/>
              <w:jc w:val="center"/>
              <w:rPr>
                <w:rFonts w:cs="Times New Roman"/>
                <w:b/>
                <w:sz w:val="18"/>
                <w:szCs w:val="18"/>
              </w:rPr>
            </w:pPr>
            <w:r>
              <w:rPr>
                <w:rFonts w:cs="Times New Roman"/>
                <w:b/>
                <w:sz w:val="18"/>
                <w:szCs w:val="18"/>
              </w:rPr>
              <w:t>---</w:t>
            </w:r>
          </w:p>
        </w:tc>
        <w:tc>
          <w:tcPr>
            <w:tcW w:w="810" w:type="dxa"/>
            <w:shd w:val="clear" w:color="auto" w:fill="FFFFFF" w:themeFill="background1"/>
          </w:tcPr>
          <w:p w:rsidR="00D83E92" w:rsidRPr="00CA3B93" w:rsidRDefault="00D83E92" w:rsidP="00BA044D">
            <w:pPr>
              <w:pStyle w:val="ListParagraph"/>
              <w:spacing w:after="0" w:line="240" w:lineRule="auto"/>
              <w:ind w:left="0"/>
              <w:jc w:val="center"/>
              <w:rPr>
                <w:rFonts w:cs="Times New Roman"/>
                <w:b/>
                <w:sz w:val="18"/>
                <w:szCs w:val="18"/>
              </w:rPr>
            </w:pPr>
            <w:r>
              <w:rPr>
                <w:rFonts w:cs="Times New Roman"/>
                <w:b/>
                <w:sz w:val="18"/>
                <w:szCs w:val="18"/>
              </w:rPr>
              <w:t>---</w:t>
            </w:r>
          </w:p>
        </w:tc>
        <w:tc>
          <w:tcPr>
            <w:tcW w:w="990" w:type="dxa"/>
            <w:shd w:val="clear" w:color="auto" w:fill="FFFFFF" w:themeFill="background1"/>
          </w:tcPr>
          <w:p w:rsidR="00D83E92" w:rsidRPr="00CA3B93" w:rsidRDefault="00D83E92" w:rsidP="00BA044D">
            <w:pPr>
              <w:pStyle w:val="ListParagraph"/>
              <w:spacing w:after="0" w:line="240" w:lineRule="auto"/>
              <w:ind w:left="0"/>
              <w:jc w:val="center"/>
              <w:rPr>
                <w:rFonts w:cs="Times New Roman"/>
                <w:b/>
                <w:sz w:val="18"/>
                <w:szCs w:val="18"/>
              </w:rPr>
            </w:pPr>
            <w:r>
              <w:rPr>
                <w:rFonts w:cs="Times New Roman"/>
                <w:b/>
                <w:sz w:val="18"/>
                <w:szCs w:val="18"/>
              </w:rPr>
              <w:t>---</w:t>
            </w:r>
          </w:p>
        </w:tc>
        <w:tc>
          <w:tcPr>
            <w:tcW w:w="990" w:type="dxa"/>
            <w:shd w:val="clear" w:color="auto" w:fill="FFFFFF" w:themeFill="background1"/>
          </w:tcPr>
          <w:p w:rsidR="00D83E92" w:rsidRPr="00CA3B93" w:rsidRDefault="00D83E92" w:rsidP="00BA044D">
            <w:pPr>
              <w:pStyle w:val="ListParagraph"/>
              <w:spacing w:after="0" w:line="240" w:lineRule="auto"/>
              <w:ind w:left="0"/>
              <w:jc w:val="center"/>
              <w:rPr>
                <w:rFonts w:cs="Times New Roman"/>
                <w:b/>
                <w:sz w:val="18"/>
                <w:szCs w:val="18"/>
              </w:rPr>
            </w:pPr>
            <w:r>
              <w:rPr>
                <w:rFonts w:cs="Times New Roman"/>
                <w:b/>
                <w:sz w:val="18"/>
                <w:szCs w:val="18"/>
              </w:rPr>
              <w:t>---</w:t>
            </w:r>
          </w:p>
        </w:tc>
      </w:tr>
      <w:tr w:rsidR="00D83E92" w:rsidTr="001C6DCF">
        <w:trPr>
          <w:trHeight w:val="197"/>
        </w:trPr>
        <w:tc>
          <w:tcPr>
            <w:tcW w:w="4860" w:type="dxa"/>
            <w:gridSpan w:val="4"/>
            <w:tcBorders>
              <w:right w:val="thinThickThinSmallGap" w:sz="24" w:space="0" w:color="auto"/>
            </w:tcBorders>
            <w:shd w:val="clear" w:color="auto" w:fill="FFFFFF" w:themeFill="background1"/>
          </w:tcPr>
          <w:p w:rsidR="00D83E92" w:rsidRPr="00BC09D1" w:rsidRDefault="00D83E92" w:rsidP="00BA044D">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690" w:type="dxa"/>
            <w:gridSpan w:val="3"/>
            <w:tcBorders>
              <w:left w:val="thinThickThinSmallGap" w:sz="24" w:space="0" w:color="auto"/>
            </w:tcBorders>
            <w:shd w:val="clear" w:color="auto" w:fill="FFFFFF" w:themeFill="background1"/>
          </w:tcPr>
          <w:p w:rsidR="00D83E92" w:rsidRPr="00BC09D1" w:rsidRDefault="00D83E92"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2</w:t>
            </w:r>
            <w:r w:rsidRPr="00BC09D1">
              <w:rPr>
                <w:rFonts w:cs="Times New Roman"/>
                <w:sz w:val="18"/>
                <w:szCs w:val="18"/>
              </w:rPr>
              <w:t xml:space="preserve"> / NSC X </w:t>
            </w:r>
            <w:r>
              <w:rPr>
                <w:rFonts w:cs="Times New Roman"/>
                <w:sz w:val="18"/>
                <w:szCs w:val="18"/>
              </w:rPr>
              <w:t>5</w:t>
            </w:r>
          </w:p>
        </w:tc>
        <w:tc>
          <w:tcPr>
            <w:tcW w:w="99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p>
        </w:tc>
        <w:tc>
          <w:tcPr>
            <w:tcW w:w="990" w:type="dxa"/>
            <w:shd w:val="clear" w:color="auto" w:fill="FFFFFF" w:themeFill="background1"/>
          </w:tcPr>
          <w:p w:rsidR="00D83E92" w:rsidRPr="00BC09D1" w:rsidRDefault="00D83E92" w:rsidP="00BA044D">
            <w:pPr>
              <w:pStyle w:val="ListParagraph"/>
              <w:spacing w:after="0" w:line="240" w:lineRule="auto"/>
              <w:ind w:left="0"/>
              <w:jc w:val="center"/>
              <w:rPr>
                <w:rFonts w:cs="Times New Roman"/>
                <w:sz w:val="18"/>
                <w:szCs w:val="18"/>
              </w:rPr>
            </w:pPr>
          </w:p>
        </w:tc>
      </w:tr>
      <w:tr w:rsidR="00D83E92" w:rsidTr="001C6DCF">
        <w:trPr>
          <w:trHeight w:val="242"/>
        </w:trPr>
        <w:tc>
          <w:tcPr>
            <w:tcW w:w="4860" w:type="dxa"/>
            <w:gridSpan w:val="4"/>
            <w:tcBorders>
              <w:right w:val="thinThickThinSmallGap" w:sz="24" w:space="0" w:color="auto"/>
            </w:tcBorders>
            <w:shd w:val="clear" w:color="auto" w:fill="EEECE1" w:themeFill="background2"/>
          </w:tcPr>
          <w:p w:rsidR="00D83E92" w:rsidRPr="00BC09D1" w:rsidRDefault="00D83E92" w:rsidP="00BA044D">
            <w:pPr>
              <w:pStyle w:val="ListParagraph"/>
              <w:spacing w:after="0" w:line="240" w:lineRule="auto"/>
              <w:ind w:left="0"/>
              <w:jc w:val="center"/>
              <w:rPr>
                <w:rFonts w:cs="Times New Roman"/>
                <w:b/>
                <w:sz w:val="20"/>
                <w:szCs w:val="20"/>
              </w:rPr>
            </w:pPr>
            <w:r w:rsidRPr="00BC09D1">
              <w:rPr>
                <w:rFonts w:cs="Times New Roman"/>
                <w:b/>
                <w:sz w:val="20"/>
                <w:szCs w:val="20"/>
              </w:rPr>
              <w:t>TOTAL Combined</w:t>
            </w:r>
            <w:r>
              <w:rPr>
                <w:rFonts w:cs="Times New Roman"/>
                <w:b/>
                <w:sz w:val="20"/>
                <w:szCs w:val="20"/>
              </w:rPr>
              <w:t xml:space="preserve"> (Off TDRL)</w:t>
            </w:r>
            <w:r w:rsidRPr="00BC09D1">
              <w:rPr>
                <w:rFonts w:cs="Times New Roman"/>
                <w:b/>
                <w:sz w:val="20"/>
                <w:szCs w:val="20"/>
              </w:rPr>
              <w:t xml:space="preserve">:  </w:t>
            </w:r>
            <w:r>
              <w:rPr>
                <w:rFonts w:cs="Times New Roman"/>
                <w:b/>
                <w:sz w:val="20"/>
                <w:szCs w:val="20"/>
              </w:rPr>
              <w:t>2</w:t>
            </w:r>
            <w:r w:rsidRPr="00BC09D1">
              <w:rPr>
                <w:rFonts w:cs="Times New Roman"/>
                <w:b/>
                <w:sz w:val="20"/>
                <w:szCs w:val="20"/>
              </w:rPr>
              <w:t>0%</w:t>
            </w:r>
          </w:p>
        </w:tc>
        <w:tc>
          <w:tcPr>
            <w:tcW w:w="5670" w:type="dxa"/>
            <w:gridSpan w:val="5"/>
            <w:tcBorders>
              <w:left w:val="thinThickThinSmallGap" w:sz="24" w:space="0" w:color="auto"/>
            </w:tcBorders>
            <w:shd w:val="clear" w:color="auto" w:fill="EEECE1" w:themeFill="background2"/>
          </w:tcPr>
          <w:p w:rsidR="00D83E92" w:rsidRPr="00BC09D1" w:rsidRDefault="00D83E92" w:rsidP="00BA044D">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Pr>
                <w:rFonts w:cs="Times New Roman"/>
                <w:b/>
                <w:sz w:val="20"/>
                <w:szCs w:val="20"/>
              </w:rPr>
              <w:t>8</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3716DA" w:rsidRDefault="002C6E5B" w:rsidP="002C6E5B">
      <w:pPr>
        <w:tabs>
          <w:tab w:val="left" w:pos="288"/>
          <w:tab w:val="left" w:pos="4752"/>
        </w:tabs>
        <w:spacing w:line="240" w:lineRule="exact"/>
        <w:jc w:val="both"/>
        <w:rPr>
          <w:color w:val="000080"/>
          <w:szCs w:val="24"/>
        </w:rPr>
      </w:pPr>
      <w:r w:rsidRPr="003716DA">
        <w:rPr>
          <w:color w:val="000080"/>
          <w:szCs w:val="24"/>
          <w:u w:val="single"/>
        </w:rPr>
        <w:t>ANALYSIS SUMMARY</w:t>
      </w:r>
      <w:r w:rsidRPr="003716DA">
        <w:rPr>
          <w:color w:val="000080"/>
          <w:szCs w:val="24"/>
        </w:rPr>
        <w:t>:</w:t>
      </w:r>
    </w:p>
    <w:p w:rsidR="002C6E5B" w:rsidRPr="003716DA" w:rsidRDefault="002C6E5B" w:rsidP="002C6E5B">
      <w:pPr>
        <w:tabs>
          <w:tab w:val="left" w:pos="288"/>
          <w:tab w:val="left" w:pos="4752"/>
        </w:tabs>
        <w:spacing w:line="240" w:lineRule="exact"/>
        <w:jc w:val="both"/>
        <w:rPr>
          <w:color w:val="000080"/>
          <w:szCs w:val="24"/>
        </w:rPr>
      </w:pPr>
    </w:p>
    <w:p w:rsidR="002C6E5B" w:rsidRPr="003716DA" w:rsidRDefault="00D12350" w:rsidP="003716DA">
      <w:pPr>
        <w:tabs>
          <w:tab w:val="left" w:pos="288"/>
          <w:tab w:val="left" w:pos="4752"/>
        </w:tabs>
        <w:spacing w:line="240" w:lineRule="exact"/>
        <w:jc w:val="both"/>
        <w:rPr>
          <w:color w:val="000080"/>
          <w:szCs w:val="24"/>
        </w:rPr>
      </w:pPr>
      <w:proofErr w:type="gramStart"/>
      <w:r w:rsidRPr="003716DA">
        <w:rPr>
          <w:color w:val="000080"/>
          <w:szCs w:val="24"/>
          <w:u w:val="single"/>
        </w:rPr>
        <w:t>Cervical Spine</w:t>
      </w:r>
      <w:r w:rsidR="002C6E5B" w:rsidRPr="003716DA">
        <w:rPr>
          <w:color w:val="000080"/>
          <w:szCs w:val="24"/>
        </w:rPr>
        <w:t>.</w:t>
      </w:r>
      <w:proofErr w:type="gramEnd"/>
      <w:r w:rsidR="002C6E5B" w:rsidRPr="003716DA">
        <w:rPr>
          <w:color w:val="000080"/>
          <w:szCs w:val="24"/>
        </w:rPr>
        <w:t xml:space="preserve">  The</w:t>
      </w:r>
      <w:r w:rsidRPr="003716DA">
        <w:rPr>
          <w:color w:val="000080"/>
          <w:szCs w:val="24"/>
        </w:rPr>
        <w:t xml:space="preserve"> initial 20% rating onto TDRL was based on </w:t>
      </w:r>
      <w:r w:rsidR="00686BFA" w:rsidRPr="003716DA">
        <w:rPr>
          <w:color w:val="000080"/>
          <w:szCs w:val="24"/>
        </w:rPr>
        <w:t>a goniometric range-of-motion (ROM) exam performed by the MEB which demonstrated 30</w:t>
      </w:r>
      <w:r w:rsidR="008367E4">
        <w:rPr>
          <w:rFonts w:ascii="Calibri" w:hAnsi="Calibri"/>
          <w:color w:val="000080"/>
          <w:szCs w:val="24"/>
        </w:rPr>
        <w:t>⁰</w:t>
      </w:r>
      <w:r w:rsidR="00446EF0" w:rsidRPr="003716DA">
        <w:rPr>
          <w:color w:val="000080"/>
          <w:szCs w:val="24"/>
        </w:rPr>
        <w:t xml:space="preserve"> flexion and 135</w:t>
      </w:r>
      <w:r w:rsidR="008367E4">
        <w:rPr>
          <w:rFonts w:ascii="Calibri" w:hAnsi="Calibri"/>
          <w:color w:val="000080"/>
          <w:szCs w:val="24"/>
        </w:rPr>
        <w:t>⁰</w:t>
      </w:r>
      <w:r w:rsidR="00446EF0" w:rsidRPr="003716DA">
        <w:rPr>
          <w:color w:val="000080"/>
          <w:szCs w:val="24"/>
        </w:rPr>
        <w:t xml:space="preserve"> combined ROM.  As noted in the rating chart, there was no concurrent VA exam.  The PEB rating going into TDRL was IAW VASRD §4.71a.  A goniometric exam was repeated during the evaluation prior to release from TDRL.  This yielded 25</w:t>
      </w:r>
      <w:r w:rsidR="008367E4">
        <w:rPr>
          <w:rFonts w:ascii="Calibri" w:hAnsi="Calibri"/>
          <w:color w:val="000080"/>
          <w:szCs w:val="24"/>
        </w:rPr>
        <w:t>⁰</w:t>
      </w:r>
      <w:r w:rsidR="00446EF0" w:rsidRPr="003716DA">
        <w:rPr>
          <w:color w:val="000080"/>
          <w:szCs w:val="24"/>
        </w:rPr>
        <w:t xml:space="preserve"> flexion and 150</w:t>
      </w:r>
      <w:r w:rsidR="008367E4">
        <w:rPr>
          <w:rFonts w:ascii="Calibri" w:hAnsi="Calibri"/>
          <w:color w:val="000080"/>
          <w:szCs w:val="24"/>
        </w:rPr>
        <w:t>⁰</w:t>
      </w:r>
      <w:r w:rsidR="00446EF0" w:rsidRPr="003716DA">
        <w:rPr>
          <w:color w:val="000080"/>
          <w:szCs w:val="24"/>
        </w:rPr>
        <w:t xml:space="preserve"> combined ROM.  The VA rating examination (11 months later) yielded </w:t>
      </w:r>
      <w:r w:rsidR="00234889" w:rsidRPr="003716DA">
        <w:rPr>
          <w:color w:val="000080"/>
          <w:szCs w:val="24"/>
        </w:rPr>
        <w:t>10</w:t>
      </w:r>
      <w:r w:rsidR="008367E4">
        <w:rPr>
          <w:rFonts w:ascii="Calibri" w:hAnsi="Calibri"/>
          <w:color w:val="000080"/>
          <w:szCs w:val="24"/>
        </w:rPr>
        <w:t>⁰</w:t>
      </w:r>
      <w:r w:rsidR="00234889" w:rsidRPr="003716DA">
        <w:rPr>
          <w:color w:val="000080"/>
          <w:szCs w:val="24"/>
        </w:rPr>
        <w:t xml:space="preserve"> flexion and 85</w:t>
      </w:r>
      <w:r w:rsidR="008367E4">
        <w:rPr>
          <w:rFonts w:ascii="Calibri" w:hAnsi="Calibri"/>
          <w:color w:val="000080"/>
          <w:szCs w:val="24"/>
        </w:rPr>
        <w:t>⁰</w:t>
      </w:r>
      <w:r w:rsidR="00446EF0" w:rsidRPr="003716DA">
        <w:rPr>
          <w:color w:val="000080"/>
          <w:szCs w:val="24"/>
        </w:rPr>
        <w:t xml:space="preserve"> combined ROM</w:t>
      </w:r>
      <w:r w:rsidR="00234889" w:rsidRPr="003716DA">
        <w:rPr>
          <w:color w:val="000080"/>
          <w:szCs w:val="24"/>
        </w:rPr>
        <w:t xml:space="preserve">.  It is noted that the CI carried a 20% </w:t>
      </w:r>
      <w:r w:rsidR="00DF68C4" w:rsidRPr="003716DA">
        <w:rPr>
          <w:color w:val="000080"/>
          <w:szCs w:val="24"/>
        </w:rPr>
        <w:t xml:space="preserve">VA </w:t>
      </w:r>
      <w:r w:rsidR="00234889" w:rsidRPr="003716DA">
        <w:rPr>
          <w:color w:val="000080"/>
          <w:szCs w:val="24"/>
        </w:rPr>
        <w:t>rating for the cervical spine dating to 2002 from an earlier period of service.</w:t>
      </w:r>
      <w:r w:rsidR="009109D0" w:rsidRPr="003716DA">
        <w:rPr>
          <w:color w:val="000080"/>
          <w:szCs w:val="24"/>
        </w:rPr>
        <w:t xml:space="preserve">  Although the VA rating exam cited above would yield a 30% rating, no repeat rating decision is in evidence.  The PEB DA 199 for the </w:t>
      </w:r>
      <w:r w:rsidR="008A7251" w:rsidRPr="003716DA">
        <w:rPr>
          <w:color w:val="000080"/>
          <w:szCs w:val="24"/>
        </w:rPr>
        <w:t xml:space="preserve">10% </w:t>
      </w:r>
      <w:r w:rsidR="009109D0" w:rsidRPr="003716DA">
        <w:rPr>
          <w:color w:val="000080"/>
          <w:szCs w:val="24"/>
        </w:rPr>
        <w:t xml:space="preserve">separation rating of the cervical spine clearly invoked the USAPDA pain policy.  The ROM examination from the TDRL evaluation would yield a 20% rating IAW §4.71a.  Since the VA examination was nearly a year later, its probative value is lessened </w:t>
      </w:r>
      <w:r w:rsidR="00DF68C4" w:rsidRPr="003716DA">
        <w:rPr>
          <w:color w:val="000080"/>
          <w:szCs w:val="24"/>
        </w:rPr>
        <w:t>relative to the proximal TDRL examination.  The TDRL measurements were also more aligned with the initial MEB measurements, suggesting they more accurately reflect the baseline impairment.  Board recommendation is therefore most reasonably based on the TDRL goniometry data, which yields a VASRD-mandated rating of 20%.</w:t>
      </w:r>
      <w:r w:rsidR="002278DD" w:rsidRPr="003716DA">
        <w:rPr>
          <w:color w:val="000080"/>
          <w:szCs w:val="24"/>
        </w:rPr>
        <w:t xml:space="preserve">  PEB coding is accurate, although the analogous prefix is unnecessary.</w:t>
      </w:r>
    </w:p>
    <w:p w:rsidR="002C6E5B" w:rsidRPr="003716DA" w:rsidRDefault="002C6E5B" w:rsidP="003716DA">
      <w:pPr>
        <w:tabs>
          <w:tab w:val="left" w:pos="288"/>
          <w:tab w:val="left" w:pos="4752"/>
        </w:tabs>
        <w:spacing w:line="240" w:lineRule="exact"/>
        <w:jc w:val="both"/>
        <w:rPr>
          <w:color w:val="000080"/>
          <w:szCs w:val="24"/>
        </w:rPr>
      </w:pPr>
    </w:p>
    <w:p w:rsidR="00D12350" w:rsidRPr="003716DA" w:rsidRDefault="00D12350" w:rsidP="003716DA">
      <w:pPr>
        <w:tabs>
          <w:tab w:val="left" w:pos="288"/>
          <w:tab w:val="left" w:pos="4752"/>
        </w:tabs>
        <w:spacing w:line="240" w:lineRule="exact"/>
        <w:jc w:val="both"/>
        <w:rPr>
          <w:color w:val="000080"/>
          <w:szCs w:val="24"/>
        </w:rPr>
      </w:pPr>
      <w:proofErr w:type="spellStart"/>
      <w:proofErr w:type="gramStart"/>
      <w:r w:rsidRPr="003716DA">
        <w:rPr>
          <w:color w:val="000080"/>
          <w:szCs w:val="24"/>
          <w:u w:val="single"/>
        </w:rPr>
        <w:t>Thoracolumbar</w:t>
      </w:r>
      <w:proofErr w:type="spellEnd"/>
      <w:r w:rsidRPr="003716DA">
        <w:rPr>
          <w:color w:val="000080"/>
          <w:szCs w:val="24"/>
          <w:u w:val="single"/>
        </w:rPr>
        <w:t xml:space="preserve"> Spine</w:t>
      </w:r>
      <w:r w:rsidRPr="003716DA">
        <w:rPr>
          <w:color w:val="000080"/>
          <w:szCs w:val="24"/>
        </w:rPr>
        <w:t>.</w:t>
      </w:r>
      <w:proofErr w:type="gramEnd"/>
      <w:r w:rsidRPr="003716DA">
        <w:rPr>
          <w:color w:val="000080"/>
          <w:szCs w:val="24"/>
        </w:rPr>
        <w:t xml:space="preserve">  The</w:t>
      </w:r>
      <w:r w:rsidR="00B84D64" w:rsidRPr="003716DA">
        <w:rPr>
          <w:color w:val="000080"/>
          <w:szCs w:val="24"/>
        </w:rPr>
        <w:t xml:space="preserve"> NARSUM from the initial MEB did not provide formal goniometric ROM’s for the </w:t>
      </w:r>
      <w:proofErr w:type="spellStart"/>
      <w:r w:rsidR="00B84D64" w:rsidRPr="003716DA">
        <w:rPr>
          <w:color w:val="000080"/>
          <w:szCs w:val="24"/>
        </w:rPr>
        <w:t>thoracolumbar</w:t>
      </w:r>
      <w:proofErr w:type="spellEnd"/>
      <w:r w:rsidR="00B84D64" w:rsidRPr="003716DA">
        <w:rPr>
          <w:color w:val="000080"/>
          <w:szCs w:val="24"/>
        </w:rPr>
        <w:t xml:space="preserve"> spine.  It was focused on the thoracic </w:t>
      </w:r>
      <w:r w:rsidR="003010A4" w:rsidRPr="003716DA">
        <w:rPr>
          <w:color w:val="000080"/>
          <w:szCs w:val="24"/>
        </w:rPr>
        <w:t>spine</w:t>
      </w:r>
      <w:r w:rsidR="00B84D64" w:rsidRPr="003716DA">
        <w:rPr>
          <w:color w:val="000080"/>
          <w:szCs w:val="24"/>
        </w:rPr>
        <w:t xml:space="preserve"> and stated only that the CI was able to ‘forward flex his spine to enable him to touch his fingers to about his knee’.  </w:t>
      </w:r>
      <w:r w:rsidR="00AF0FD5" w:rsidRPr="003716DA">
        <w:rPr>
          <w:color w:val="000080"/>
          <w:szCs w:val="24"/>
        </w:rPr>
        <w:t>This infers some significant ROM impairment, but the PEB did not request formal measurements.  A 0% rating, based on the USAPDA pain policy, was applied going into TDRL.  Since this does not impact the contended separation rating</w:t>
      </w:r>
      <w:r w:rsidR="00C10958">
        <w:rPr>
          <w:color w:val="000080"/>
          <w:szCs w:val="24"/>
        </w:rPr>
        <w:t xml:space="preserve"> and accurate rating is now impractical</w:t>
      </w:r>
      <w:r w:rsidR="00AF0FD5" w:rsidRPr="003716DA">
        <w:rPr>
          <w:color w:val="000080"/>
          <w:szCs w:val="24"/>
        </w:rPr>
        <w:t>, it is of no consequence.  The TDRL evaluation provided goniometric R</w:t>
      </w:r>
      <w:r w:rsidR="007A7AF6" w:rsidRPr="003716DA">
        <w:rPr>
          <w:color w:val="000080"/>
          <w:szCs w:val="24"/>
        </w:rPr>
        <w:t xml:space="preserve">OM measurements, demonstrating </w:t>
      </w:r>
      <w:proofErr w:type="gramStart"/>
      <w:r w:rsidR="007A7AF6" w:rsidRPr="003716DA">
        <w:rPr>
          <w:color w:val="000080"/>
          <w:szCs w:val="24"/>
        </w:rPr>
        <w:t>40</w:t>
      </w:r>
      <w:r w:rsidR="008367E4">
        <w:rPr>
          <w:rFonts w:ascii="Calibri" w:hAnsi="Calibri"/>
          <w:color w:val="000080"/>
          <w:szCs w:val="24"/>
        </w:rPr>
        <w:t>⁰</w:t>
      </w:r>
      <w:r w:rsidR="007A7AF6" w:rsidRPr="003716DA">
        <w:rPr>
          <w:color w:val="000080"/>
          <w:szCs w:val="24"/>
        </w:rPr>
        <w:t xml:space="preserve"> flexion</w:t>
      </w:r>
      <w:proofErr w:type="gramEnd"/>
      <w:r w:rsidR="007A7AF6" w:rsidRPr="003716DA">
        <w:rPr>
          <w:color w:val="000080"/>
          <w:szCs w:val="24"/>
        </w:rPr>
        <w:t xml:space="preserve"> and 13</w:t>
      </w:r>
      <w:r w:rsidR="00AF0FD5" w:rsidRPr="003716DA">
        <w:rPr>
          <w:color w:val="000080"/>
          <w:szCs w:val="24"/>
        </w:rPr>
        <w:t>0</w:t>
      </w:r>
      <w:r w:rsidR="008367E4">
        <w:rPr>
          <w:rFonts w:ascii="Calibri" w:hAnsi="Calibri"/>
          <w:color w:val="000080"/>
          <w:szCs w:val="24"/>
        </w:rPr>
        <w:t>⁰</w:t>
      </w:r>
      <w:r w:rsidR="00AF0FD5" w:rsidRPr="003716DA">
        <w:rPr>
          <w:color w:val="000080"/>
          <w:szCs w:val="24"/>
        </w:rPr>
        <w:t xml:space="preserve"> combined ROM.  </w:t>
      </w:r>
      <w:r w:rsidR="008A7251" w:rsidRPr="003716DA">
        <w:rPr>
          <w:color w:val="000080"/>
          <w:szCs w:val="24"/>
        </w:rPr>
        <w:lastRenderedPageBreak/>
        <w:t xml:space="preserve">This would yield a 20% rating IAW §4.71a.   </w:t>
      </w:r>
      <w:r w:rsidR="00AF0FD5" w:rsidRPr="003716DA">
        <w:rPr>
          <w:color w:val="000080"/>
          <w:szCs w:val="24"/>
        </w:rPr>
        <w:t xml:space="preserve">As with the cervical spine, the PEB DA 199 for the </w:t>
      </w:r>
      <w:r w:rsidR="008A7251" w:rsidRPr="003716DA">
        <w:rPr>
          <w:color w:val="000080"/>
          <w:szCs w:val="24"/>
        </w:rPr>
        <w:t xml:space="preserve">10% </w:t>
      </w:r>
      <w:r w:rsidR="00AF0FD5" w:rsidRPr="003716DA">
        <w:rPr>
          <w:color w:val="000080"/>
          <w:szCs w:val="24"/>
        </w:rPr>
        <w:t xml:space="preserve">separation rating of the </w:t>
      </w:r>
      <w:proofErr w:type="spellStart"/>
      <w:r w:rsidR="00AF0FD5" w:rsidRPr="003716DA">
        <w:rPr>
          <w:color w:val="000080"/>
          <w:szCs w:val="24"/>
        </w:rPr>
        <w:t>thoracolumbar</w:t>
      </w:r>
      <w:proofErr w:type="spellEnd"/>
      <w:r w:rsidR="00AF0FD5" w:rsidRPr="003716DA">
        <w:rPr>
          <w:color w:val="000080"/>
          <w:szCs w:val="24"/>
        </w:rPr>
        <w:t xml:space="preserve"> spine invoked the USAPDA pain policy</w:t>
      </w:r>
      <w:r w:rsidR="008A7251" w:rsidRPr="003716DA">
        <w:rPr>
          <w:color w:val="000080"/>
          <w:szCs w:val="24"/>
        </w:rPr>
        <w:t xml:space="preserve">.  The VA rating examination 11 months later did not provide full goniometric ROM measurements for the </w:t>
      </w:r>
      <w:proofErr w:type="spellStart"/>
      <w:r w:rsidR="008A7251" w:rsidRPr="003716DA">
        <w:rPr>
          <w:color w:val="000080"/>
          <w:szCs w:val="24"/>
        </w:rPr>
        <w:t>thoracolumbar</w:t>
      </w:r>
      <w:proofErr w:type="spellEnd"/>
      <w:r w:rsidR="008A7251" w:rsidRPr="003716DA">
        <w:rPr>
          <w:color w:val="000080"/>
          <w:szCs w:val="24"/>
        </w:rPr>
        <w:t xml:space="preserve"> spine, stating the CI was too unsteady to cooperate with them.  The examiner did approximate 70</w:t>
      </w:r>
      <w:r w:rsidR="008367E4">
        <w:rPr>
          <w:rFonts w:ascii="Calibri" w:hAnsi="Calibri"/>
          <w:color w:val="000080"/>
          <w:szCs w:val="24"/>
        </w:rPr>
        <w:t>⁰</w:t>
      </w:r>
      <w:r w:rsidR="008A7251" w:rsidRPr="003716DA">
        <w:rPr>
          <w:color w:val="000080"/>
          <w:szCs w:val="24"/>
        </w:rPr>
        <w:t xml:space="preserve"> of observed flexion</w:t>
      </w:r>
      <w:r w:rsidR="0001278B" w:rsidRPr="003716DA">
        <w:rPr>
          <w:color w:val="000080"/>
          <w:szCs w:val="24"/>
        </w:rPr>
        <w:t xml:space="preserve"> and noted ‘a mildly </w:t>
      </w:r>
      <w:proofErr w:type="spellStart"/>
      <w:r w:rsidR="0001278B" w:rsidRPr="003716DA">
        <w:rPr>
          <w:color w:val="000080"/>
          <w:szCs w:val="24"/>
        </w:rPr>
        <w:t>antalgic</w:t>
      </w:r>
      <w:proofErr w:type="spellEnd"/>
      <w:r w:rsidR="0001278B" w:rsidRPr="003716DA">
        <w:rPr>
          <w:color w:val="000080"/>
          <w:szCs w:val="24"/>
        </w:rPr>
        <w:t xml:space="preserve"> gait’</w:t>
      </w:r>
      <w:r w:rsidR="008A7251" w:rsidRPr="003716DA">
        <w:rPr>
          <w:color w:val="000080"/>
          <w:szCs w:val="24"/>
        </w:rPr>
        <w:t>.</w:t>
      </w:r>
      <w:r w:rsidR="0001278B" w:rsidRPr="003716DA">
        <w:rPr>
          <w:color w:val="000080"/>
          <w:szCs w:val="24"/>
        </w:rPr>
        <w:t xml:space="preserve">  The subsequent VA rating decision</w:t>
      </w:r>
      <w:r w:rsidR="00C10958">
        <w:rPr>
          <w:color w:val="000080"/>
          <w:szCs w:val="24"/>
        </w:rPr>
        <w:t>, acknowledging</w:t>
      </w:r>
      <w:r w:rsidR="0001278B" w:rsidRPr="003716DA">
        <w:rPr>
          <w:color w:val="000080"/>
          <w:szCs w:val="24"/>
        </w:rPr>
        <w:t xml:space="preserve"> the lack of formal measurements, did not comment on the </w:t>
      </w:r>
      <w:proofErr w:type="spellStart"/>
      <w:r w:rsidR="0001278B" w:rsidRPr="003716DA">
        <w:rPr>
          <w:color w:val="000080"/>
          <w:szCs w:val="24"/>
        </w:rPr>
        <w:t>antalgic</w:t>
      </w:r>
      <w:proofErr w:type="spellEnd"/>
      <w:r w:rsidR="0001278B" w:rsidRPr="003716DA">
        <w:rPr>
          <w:color w:val="000080"/>
          <w:szCs w:val="24"/>
        </w:rPr>
        <w:t xml:space="preserve"> gait and provided a 10% rating based on painful motion.  </w:t>
      </w:r>
      <w:r w:rsidR="00A95E65" w:rsidRPr="003716DA">
        <w:rPr>
          <w:color w:val="000080"/>
          <w:szCs w:val="24"/>
        </w:rPr>
        <w:t xml:space="preserve">The probative value of the VA exam and rating is compromised for lack of complete objective data, and the TDRL examination is complete and proximal to separation.  </w:t>
      </w:r>
      <w:r w:rsidR="0001278B" w:rsidRPr="003716DA">
        <w:rPr>
          <w:color w:val="000080"/>
          <w:szCs w:val="24"/>
        </w:rPr>
        <w:t xml:space="preserve">As with the cervical recommendation, the Board relies on </w:t>
      </w:r>
      <w:r w:rsidR="00A95E65" w:rsidRPr="003716DA">
        <w:rPr>
          <w:color w:val="000080"/>
          <w:szCs w:val="24"/>
        </w:rPr>
        <w:t>the TDRL</w:t>
      </w:r>
      <w:r w:rsidR="0001278B" w:rsidRPr="003716DA">
        <w:rPr>
          <w:color w:val="000080"/>
          <w:szCs w:val="24"/>
        </w:rPr>
        <w:t xml:space="preserve"> examination for a fair adjudication</w:t>
      </w:r>
      <w:r w:rsidR="00A95E65" w:rsidRPr="003716DA">
        <w:rPr>
          <w:color w:val="000080"/>
          <w:szCs w:val="24"/>
        </w:rPr>
        <w:t xml:space="preserve"> and</w:t>
      </w:r>
      <w:r w:rsidR="0001278B" w:rsidRPr="003716DA">
        <w:rPr>
          <w:color w:val="000080"/>
          <w:szCs w:val="24"/>
        </w:rPr>
        <w:t xml:space="preserve"> recommends a VASRD-mandated rating of 20% for the </w:t>
      </w:r>
      <w:proofErr w:type="spellStart"/>
      <w:r w:rsidR="00A95E65" w:rsidRPr="003716DA">
        <w:rPr>
          <w:color w:val="000080"/>
          <w:szCs w:val="24"/>
        </w:rPr>
        <w:t>thoraco</w:t>
      </w:r>
      <w:r w:rsidR="002278DD" w:rsidRPr="003716DA">
        <w:rPr>
          <w:color w:val="000080"/>
          <w:szCs w:val="24"/>
        </w:rPr>
        <w:t>lumbar</w:t>
      </w:r>
      <w:proofErr w:type="spellEnd"/>
      <w:r w:rsidR="002278DD" w:rsidRPr="003716DA">
        <w:rPr>
          <w:color w:val="000080"/>
          <w:szCs w:val="24"/>
        </w:rPr>
        <w:t xml:space="preserve"> condition.  PEB coding is accurate, although the analogous prefix is unnecessary.</w:t>
      </w:r>
    </w:p>
    <w:p w:rsidR="00D12350" w:rsidRPr="003716DA" w:rsidRDefault="00D12350" w:rsidP="003716DA">
      <w:pPr>
        <w:tabs>
          <w:tab w:val="left" w:pos="288"/>
          <w:tab w:val="left" w:pos="4752"/>
        </w:tabs>
        <w:spacing w:line="240" w:lineRule="exact"/>
        <w:jc w:val="both"/>
        <w:rPr>
          <w:color w:val="000080"/>
          <w:szCs w:val="24"/>
        </w:rPr>
      </w:pPr>
    </w:p>
    <w:p w:rsidR="00D12350" w:rsidRPr="003716DA" w:rsidRDefault="00D12350" w:rsidP="003716DA">
      <w:pPr>
        <w:tabs>
          <w:tab w:val="left" w:pos="288"/>
          <w:tab w:val="left" w:pos="4752"/>
        </w:tabs>
        <w:spacing w:line="240" w:lineRule="exact"/>
        <w:jc w:val="both"/>
        <w:rPr>
          <w:color w:val="000080"/>
          <w:szCs w:val="24"/>
        </w:rPr>
      </w:pPr>
      <w:proofErr w:type="spellStart"/>
      <w:proofErr w:type="gramStart"/>
      <w:r w:rsidRPr="003716DA">
        <w:rPr>
          <w:color w:val="000080"/>
          <w:szCs w:val="24"/>
          <w:u w:val="single"/>
        </w:rPr>
        <w:t>Radiculopathies</w:t>
      </w:r>
      <w:proofErr w:type="spellEnd"/>
      <w:r w:rsidRPr="003716DA">
        <w:rPr>
          <w:color w:val="000080"/>
          <w:szCs w:val="24"/>
        </w:rPr>
        <w:t>.</w:t>
      </w:r>
      <w:proofErr w:type="gramEnd"/>
      <w:r w:rsidRPr="003716DA">
        <w:rPr>
          <w:color w:val="000080"/>
          <w:szCs w:val="24"/>
        </w:rPr>
        <w:t xml:space="preserve">  The</w:t>
      </w:r>
      <w:r w:rsidR="002278DD" w:rsidRPr="003716DA">
        <w:rPr>
          <w:color w:val="000080"/>
          <w:szCs w:val="24"/>
        </w:rPr>
        <w:t xml:space="preserve"> cervical </w:t>
      </w:r>
      <w:proofErr w:type="spellStart"/>
      <w:r w:rsidR="004A1626" w:rsidRPr="003716DA">
        <w:rPr>
          <w:color w:val="000080"/>
          <w:szCs w:val="24"/>
        </w:rPr>
        <w:t>radiculopathy</w:t>
      </w:r>
      <w:proofErr w:type="spellEnd"/>
      <w:r w:rsidR="004A1626" w:rsidRPr="003716DA">
        <w:rPr>
          <w:color w:val="000080"/>
          <w:szCs w:val="24"/>
        </w:rPr>
        <w:t xml:space="preserve"> rated by the PEB going into TDRL was based on objective physical exam and EMG findings demonstrating motor impairment.  This was appropriate and the </w:t>
      </w:r>
      <w:r w:rsidR="00244860" w:rsidRPr="003716DA">
        <w:rPr>
          <w:color w:val="000080"/>
          <w:szCs w:val="24"/>
        </w:rPr>
        <w:t xml:space="preserve">‘mild’ designation under 8510 was commensurate with the relatively modest weakness which was documented.  The omission of ratable lower </w:t>
      </w:r>
      <w:proofErr w:type="spellStart"/>
      <w:r w:rsidR="00244860" w:rsidRPr="003716DA">
        <w:rPr>
          <w:color w:val="000080"/>
          <w:szCs w:val="24"/>
        </w:rPr>
        <w:t>radiculopathies</w:t>
      </w:r>
      <w:proofErr w:type="spellEnd"/>
      <w:r w:rsidR="00244860" w:rsidRPr="003716DA">
        <w:rPr>
          <w:color w:val="000080"/>
          <w:szCs w:val="24"/>
        </w:rPr>
        <w:t xml:space="preserve"> in the PEB’s initial TDRL decision was also appropriate, since no evidence of functional motor or sensory impairment existed which would impact fitness.  </w:t>
      </w:r>
      <w:r w:rsidR="002A216B" w:rsidRPr="003716DA">
        <w:rPr>
          <w:color w:val="000080"/>
          <w:szCs w:val="24"/>
        </w:rPr>
        <w:t xml:space="preserve">The VA rating for the cervical </w:t>
      </w:r>
      <w:proofErr w:type="spellStart"/>
      <w:r w:rsidR="002A216B" w:rsidRPr="003716DA">
        <w:rPr>
          <w:color w:val="000080"/>
          <w:szCs w:val="24"/>
        </w:rPr>
        <w:t>radiculopathy</w:t>
      </w:r>
      <w:proofErr w:type="spellEnd"/>
      <w:r w:rsidR="002A216B" w:rsidRPr="003716DA">
        <w:rPr>
          <w:color w:val="000080"/>
          <w:szCs w:val="24"/>
        </w:rPr>
        <w:t xml:space="preserve"> was equivalent to that initially determined by the PEB.  The bilateral lower extremity </w:t>
      </w:r>
      <w:proofErr w:type="spellStart"/>
      <w:r w:rsidR="002A216B" w:rsidRPr="003716DA">
        <w:rPr>
          <w:color w:val="000080"/>
          <w:szCs w:val="24"/>
        </w:rPr>
        <w:t>radiculopathies</w:t>
      </w:r>
      <w:proofErr w:type="spellEnd"/>
      <w:r w:rsidR="002A216B" w:rsidRPr="003716DA">
        <w:rPr>
          <w:color w:val="000080"/>
          <w:szCs w:val="24"/>
        </w:rPr>
        <w:t xml:space="preserve"> </w:t>
      </w:r>
      <w:r w:rsidR="001D6C6D" w:rsidRPr="003716DA">
        <w:rPr>
          <w:color w:val="000080"/>
          <w:szCs w:val="24"/>
        </w:rPr>
        <w:t xml:space="preserve">applied by the VA and rated for ‘moderately severe’ </w:t>
      </w:r>
      <w:proofErr w:type="gramStart"/>
      <w:r w:rsidR="001D6C6D" w:rsidRPr="003716DA">
        <w:rPr>
          <w:color w:val="000080"/>
          <w:szCs w:val="24"/>
        </w:rPr>
        <w:t>under</w:t>
      </w:r>
      <w:proofErr w:type="gramEnd"/>
      <w:r w:rsidR="001D6C6D" w:rsidRPr="003716DA">
        <w:rPr>
          <w:color w:val="000080"/>
          <w:szCs w:val="24"/>
        </w:rPr>
        <w:t xml:space="preserve"> 8520 </w:t>
      </w:r>
      <w:r w:rsidR="002A216B" w:rsidRPr="003716DA">
        <w:rPr>
          <w:color w:val="000080"/>
          <w:szCs w:val="24"/>
        </w:rPr>
        <w:t xml:space="preserve">were derived from the </w:t>
      </w:r>
      <w:r w:rsidR="001D6C6D" w:rsidRPr="003716DA">
        <w:rPr>
          <w:color w:val="000080"/>
          <w:szCs w:val="24"/>
        </w:rPr>
        <w:t>same</w:t>
      </w:r>
      <w:r w:rsidR="002A216B" w:rsidRPr="003716DA">
        <w:rPr>
          <w:color w:val="000080"/>
          <w:szCs w:val="24"/>
        </w:rPr>
        <w:t xml:space="preserve"> </w:t>
      </w:r>
      <w:r w:rsidR="007868D3" w:rsidRPr="003716DA">
        <w:rPr>
          <w:color w:val="000080"/>
          <w:szCs w:val="24"/>
        </w:rPr>
        <w:t xml:space="preserve">11-month </w:t>
      </w:r>
      <w:r w:rsidR="002A216B" w:rsidRPr="003716DA">
        <w:rPr>
          <w:color w:val="000080"/>
          <w:szCs w:val="24"/>
        </w:rPr>
        <w:t>rating examination reference</w:t>
      </w:r>
      <w:r w:rsidR="001D6C6D" w:rsidRPr="003716DA">
        <w:rPr>
          <w:color w:val="000080"/>
          <w:szCs w:val="24"/>
        </w:rPr>
        <w:t>d for the spine conditions</w:t>
      </w:r>
      <w:r w:rsidR="002A216B" w:rsidRPr="003716DA">
        <w:rPr>
          <w:color w:val="000080"/>
          <w:szCs w:val="24"/>
        </w:rPr>
        <w:t xml:space="preserve">.  </w:t>
      </w:r>
      <w:r w:rsidR="001D6C6D" w:rsidRPr="003716DA">
        <w:rPr>
          <w:color w:val="000080"/>
          <w:szCs w:val="24"/>
        </w:rPr>
        <w:t xml:space="preserve">Bilateral radiation of pain to the ankles, the use of a cane, decreased sensation, 3+ reflexes (clinically normal), 4/5 bilateral strength and inability to complete ROM testing were all cited in the rating decision.  </w:t>
      </w:r>
      <w:r w:rsidR="004C311E" w:rsidRPr="003716DA">
        <w:rPr>
          <w:color w:val="000080"/>
          <w:szCs w:val="24"/>
        </w:rPr>
        <w:t xml:space="preserve">The VA did not perform EMG testing or reference the one obtained by the Army.  The attribution of the findings referenced above to moderately severe weakness is speculative at best.  </w:t>
      </w:r>
      <w:r w:rsidR="001D6C6D" w:rsidRPr="003716DA">
        <w:rPr>
          <w:color w:val="000080"/>
          <w:szCs w:val="24"/>
        </w:rPr>
        <w:t xml:space="preserve">The TDRL examination specifically cited intermittent ‘pins and needles’ </w:t>
      </w:r>
      <w:proofErr w:type="spellStart"/>
      <w:r w:rsidR="001D6C6D" w:rsidRPr="003716DA">
        <w:rPr>
          <w:color w:val="000080"/>
          <w:szCs w:val="24"/>
        </w:rPr>
        <w:t>paresthesias</w:t>
      </w:r>
      <w:proofErr w:type="spellEnd"/>
      <w:r w:rsidR="001D6C6D" w:rsidRPr="003716DA">
        <w:rPr>
          <w:color w:val="000080"/>
          <w:szCs w:val="24"/>
        </w:rPr>
        <w:t xml:space="preserve"> down the left leg </w:t>
      </w:r>
      <w:r w:rsidR="004C311E" w:rsidRPr="003716DA">
        <w:rPr>
          <w:color w:val="000080"/>
          <w:szCs w:val="24"/>
        </w:rPr>
        <w:t>as the only</w:t>
      </w:r>
      <w:r w:rsidR="001D6C6D" w:rsidRPr="003716DA">
        <w:rPr>
          <w:color w:val="000080"/>
          <w:szCs w:val="24"/>
        </w:rPr>
        <w:t xml:space="preserve"> </w:t>
      </w:r>
      <w:proofErr w:type="spellStart"/>
      <w:r w:rsidR="001D6C6D" w:rsidRPr="003716DA">
        <w:rPr>
          <w:color w:val="000080"/>
          <w:szCs w:val="24"/>
        </w:rPr>
        <w:t>radicular</w:t>
      </w:r>
      <w:proofErr w:type="spellEnd"/>
      <w:r w:rsidR="001D6C6D" w:rsidRPr="003716DA">
        <w:rPr>
          <w:color w:val="000080"/>
          <w:szCs w:val="24"/>
        </w:rPr>
        <w:t xml:space="preserve"> symptom </w:t>
      </w:r>
      <w:r w:rsidR="004C311E" w:rsidRPr="003716DA">
        <w:rPr>
          <w:color w:val="000080"/>
          <w:szCs w:val="24"/>
        </w:rPr>
        <w:t>and documented 5/5 strength with only proximal ‘give-away weakness’ (implying pain-mediated, not motor impairment) of the legs.  There was a non-</w:t>
      </w:r>
      <w:proofErr w:type="spellStart"/>
      <w:r w:rsidR="004C311E" w:rsidRPr="003716DA">
        <w:rPr>
          <w:color w:val="000080"/>
          <w:szCs w:val="24"/>
        </w:rPr>
        <w:t>dermatomal</w:t>
      </w:r>
      <w:proofErr w:type="spellEnd"/>
      <w:r w:rsidR="004C311E" w:rsidRPr="003716DA">
        <w:rPr>
          <w:color w:val="000080"/>
          <w:szCs w:val="24"/>
        </w:rPr>
        <w:t xml:space="preserve"> </w:t>
      </w:r>
      <w:r w:rsidR="00A95E65" w:rsidRPr="003716DA">
        <w:rPr>
          <w:color w:val="000080"/>
          <w:szCs w:val="24"/>
        </w:rPr>
        <w:t xml:space="preserve">(not consistent with spinal nerve impairment) </w:t>
      </w:r>
      <w:r w:rsidR="004C311E" w:rsidRPr="003716DA">
        <w:rPr>
          <w:color w:val="000080"/>
          <w:szCs w:val="24"/>
        </w:rPr>
        <w:t xml:space="preserve">sensory </w:t>
      </w:r>
      <w:r w:rsidR="00971E59" w:rsidRPr="003716DA">
        <w:rPr>
          <w:color w:val="000080"/>
          <w:szCs w:val="24"/>
        </w:rPr>
        <w:t>decrement</w:t>
      </w:r>
      <w:r w:rsidR="00F95A1F" w:rsidRPr="003716DA">
        <w:rPr>
          <w:color w:val="000080"/>
          <w:szCs w:val="24"/>
        </w:rPr>
        <w:t xml:space="preserve"> to pinprick in the left leg.  This exam, coupled with the normal EMG testing, is convincing evidence that there were no lower extremity </w:t>
      </w:r>
      <w:proofErr w:type="spellStart"/>
      <w:r w:rsidR="00F95A1F" w:rsidRPr="003716DA">
        <w:rPr>
          <w:color w:val="000080"/>
          <w:szCs w:val="24"/>
        </w:rPr>
        <w:t>radiculopathies</w:t>
      </w:r>
      <w:proofErr w:type="spellEnd"/>
      <w:r w:rsidR="00F95A1F" w:rsidRPr="003716DA">
        <w:rPr>
          <w:color w:val="000080"/>
          <w:szCs w:val="24"/>
        </w:rPr>
        <w:t xml:space="preserve"> at the time of separation which would have any significant functional impact.  </w:t>
      </w:r>
      <w:r w:rsidR="005453B6" w:rsidRPr="003716DA">
        <w:rPr>
          <w:color w:val="000080"/>
          <w:szCs w:val="24"/>
        </w:rPr>
        <w:t xml:space="preserve">Therefore, even if present, they would not have the link to fitness necessary to justify them for separation rating.  </w:t>
      </w:r>
      <w:r w:rsidR="00C10958">
        <w:rPr>
          <w:color w:val="000080"/>
          <w:szCs w:val="24"/>
        </w:rPr>
        <w:t xml:space="preserve">It is furthermore dubious that they could even be considered since they would technically have arisen on TDRL.  </w:t>
      </w:r>
      <w:r w:rsidR="005453B6" w:rsidRPr="003716DA">
        <w:rPr>
          <w:color w:val="000080"/>
          <w:szCs w:val="24"/>
        </w:rPr>
        <w:t xml:space="preserve">As documented by exam and repeat EMG, the initially unfitting cervical </w:t>
      </w:r>
      <w:proofErr w:type="spellStart"/>
      <w:r w:rsidR="005453B6" w:rsidRPr="003716DA">
        <w:rPr>
          <w:color w:val="000080"/>
          <w:szCs w:val="24"/>
        </w:rPr>
        <w:t>radiculopathy</w:t>
      </w:r>
      <w:proofErr w:type="spellEnd"/>
      <w:r w:rsidR="005453B6" w:rsidRPr="003716DA">
        <w:rPr>
          <w:color w:val="000080"/>
          <w:szCs w:val="24"/>
        </w:rPr>
        <w:t xml:space="preserve"> had resolved by the end of the TDRL period.  </w:t>
      </w:r>
      <w:r w:rsidR="00F95A1F" w:rsidRPr="003716DA">
        <w:rPr>
          <w:color w:val="000080"/>
          <w:szCs w:val="24"/>
        </w:rPr>
        <w:t xml:space="preserve">There </w:t>
      </w:r>
      <w:r w:rsidR="00F95A1F" w:rsidRPr="003716DA">
        <w:rPr>
          <w:color w:val="000080"/>
          <w:szCs w:val="24"/>
        </w:rPr>
        <w:lastRenderedPageBreak/>
        <w:t xml:space="preserve">is not reasonable doubt in the CI’s favor, therefore, to support a Board recommendation for any peripheral nerve </w:t>
      </w:r>
      <w:r w:rsidR="00322B8D" w:rsidRPr="003716DA">
        <w:rPr>
          <w:color w:val="000080"/>
          <w:szCs w:val="24"/>
        </w:rPr>
        <w:t>impairments as additionally unfitting conditions.</w:t>
      </w:r>
    </w:p>
    <w:p w:rsidR="00D12350" w:rsidRPr="003716DA" w:rsidRDefault="00D12350" w:rsidP="003716DA">
      <w:pPr>
        <w:tabs>
          <w:tab w:val="left" w:pos="288"/>
          <w:tab w:val="left" w:pos="4752"/>
        </w:tabs>
        <w:spacing w:line="240" w:lineRule="exact"/>
        <w:jc w:val="both"/>
        <w:rPr>
          <w:color w:val="000080"/>
          <w:szCs w:val="24"/>
        </w:rPr>
      </w:pPr>
    </w:p>
    <w:p w:rsidR="007868D3" w:rsidRPr="003716DA" w:rsidRDefault="002C6E5B" w:rsidP="003716DA">
      <w:pPr>
        <w:tabs>
          <w:tab w:val="left" w:pos="288"/>
          <w:tab w:val="left" w:pos="4752"/>
        </w:tabs>
        <w:spacing w:line="240" w:lineRule="exact"/>
        <w:jc w:val="both"/>
        <w:rPr>
          <w:color w:val="000080"/>
          <w:szCs w:val="24"/>
        </w:rPr>
      </w:pPr>
      <w:proofErr w:type="gramStart"/>
      <w:r w:rsidRPr="003716DA">
        <w:rPr>
          <w:color w:val="000080"/>
          <w:szCs w:val="24"/>
          <w:u w:val="single"/>
        </w:rPr>
        <w:t>Other Conditions</w:t>
      </w:r>
      <w:r w:rsidRPr="003716DA">
        <w:rPr>
          <w:color w:val="000080"/>
          <w:szCs w:val="24"/>
        </w:rPr>
        <w:t>.</w:t>
      </w:r>
      <w:proofErr w:type="gramEnd"/>
      <w:r w:rsidRPr="003716DA">
        <w:rPr>
          <w:color w:val="000080"/>
          <w:szCs w:val="24"/>
        </w:rPr>
        <w:t xml:space="preserve">  </w:t>
      </w:r>
      <w:r w:rsidR="007868D3" w:rsidRPr="003716DA">
        <w:rPr>
          <w:color w:val="000080"/>
          <w:szCs w:val="24"/>
        </w:rPr>
        <w:t xml:space="preserve">The CI was diagnosed with PTSD </w:t>
      </w:r>
      <w:r w:rsidR="00151448" w:rsidRPr="003716DA">
        <w:rPr>
          <w:color w:val="000080"/>
          <w:szCs w:val="24"/>
        </w:rPr>
        <w:t xml:space="preserve">(non-combat Criterion A stressors) </w:t>
      </w:r>
      <w:r w:rsidR="007868D3" w:rsidRPr="003716DA">
        <w:rPr>
          <w:color w:val="000080"/>
          <w:szCs w:val="24"/>
        </w:rPr>
        <w:t xml:space="preserve">by a VA provider </w:t>
      </w:r>
      <w:r w:rsidR="00A418F6">
        <w:rPr>
          <w:color w:val="000080"/>
          <w:szCs w:val="24"/>
        </w:rPr>
        <w:t>five</w:t>
      </w:r>
      <w:r w:rsidR="007868D3" w:rsidRPr="003716DA">
        <w:rPr>
          <w:color w:val="000080"/>
          <w:szCs w:val="24"/>
        </w:rPr>
        <w:t xml:space="preserve"> months after separation.  It was </w:t>
      </w:r>
      <w:r w:rsidR="00971E59" w:rsidRPr="003716DA">
        <w:rPr>
          <w:color w:val="000080"/>
          <w:szCs w:val="24"/>
        </w:rPr>
        <w:t>not</w:t>
      </w:r>
      <w:r w:rsidR="007868D3" w:rsidRPr="003716DA">
        <w:rPr>
          <w:color w:val="000080"/>
          <w:szCs w:val="24"/>
        </w:rPr>
        <w:t xml:space="preserve"> </w:t>
      </w:r>
      <w:r w:rsidR="00971E59" w:rsidRPr="003716DA">
        <w:rPr>
          <w:color w:val="000080"/>
          <w:szCs w:val="24"/>
        </w:rPr>
        <w:t>service connected</w:t>
      </w:r>
      <w:r w:rsidR="007868D3" w:rsidRPr="003716DA">
        <w:rPr>
          <w:color w:val="000080"/>
          <w:szCs w:val="24"/>
        </w:rPr>
        <w:t xml:space="preserve"> on the 2006 rating decision.  </w:t>
      </w:r>
      <w:r w:rsidR="00971E59" w:rsidRPr="003716DA">
        <w:rPr>
          <w:color w:val="000080"/>
          <w:szCs w:val="24"/>
        </w:rPr>
        <w:t>There were no</w:t>
      </w:r>
      <w:r w:rsidR="007868D3" w:rsidRPr="003716DA">
        <w:rPr>
          <w:color w:val="000080"/>
          <w:szCs w:val="24"/>
        </w:rPr>
        <w:t xml:space="preserve"> clinically active </w:t>
      </w:r>
      <w:r w:rsidR="00971E59" w:rsidRPr="003716DA">
        <w:rPr>
          <w:color w:val="000080"/>
          <w:szCs w:val="24"/>
        </w:rPr>
        <w:t xml:space="preserve">psychiatric symptoms </w:t>
      </w:r>
      <w:r w:rsidR="007868D3" w:rsidRPr="003716DA">
        <w:rPr>
          <w:color w:val="000080"/>
          <w:szCs w:val="24"/>
        </w:rPr>
        <w:t>at the time of the original PEB, and no such symptoms were noted on the MEB physical.  Albeit not relevant for PEB consideration at the time of TDRL</w:t>
      </w:r>
      <w:r w:rsidR="00971E59" w:rsidRPr="003716DA">
        <w:rPr>
          <w:color w:val="000080"/>
          <w:szCs w:val="24"/>
        </w:rPr>
        <w:t xml:space="preserve"> evaluation</w:t>
      </w:r>
      <w:r w:rsidR="007868D3" w:rsidRPr="003716DA">
        <w:rPr>
          <w:color w:val="000080"/>
          <w:szCs w:val="24"/>
        </w:rPr>
        <w:t xml:space="preserve">, there is also no evidence that it was clinically </w:t>
      </w:r>
      <w:r w:rsidR="00151448" w:rsidRPr="003716DA">
        <w:rPr>
          <w:color w:val="000080"/>
          <w:szCs w:val="24"/>
        </w:rPr>
        <w:t>significant</w:t>
      </w:r>
      <w:r w:rsidR="007868D3" w:rsidRPr="003716DA">
        <w:rPr>
          <w:color w:val="000080"/>
          <w:szCs w:val="24"/>
        </w:rPr>
        <w:t xml:space="preserve"> at that point</w:t>
      </w:r>
      <w:r w:rsidR="00151448" w:rsidRPr="003716DA">
        <w:rPr>
          <w:color w:val="000080"/>
          <w:szCs w:val="24"/>
        </w:rPr>
        <w:t xml:space="preserve"> either</w:t>
      </w:r>
      <w:r w:rsidR="007868D3" w:rsidRPr="003716DA">
        <w:rPr>
          <w:color w:val="000080"/>
          <w:szCs w:val="24"/>
        </w:rPr>
        <w:t xml:space="preserve">.  </w:t>
      </w:r>
      <w:r w:rsidR="00151448" w:rsidRPr="003716DA">
        <w:rPr>
          <w:color w:val="000080"/>
          <w:szCs w:val="24"/>
        </w:rPr>
        <w:t xml:space="preserve">Only peptic ulcer disease was noted </w:t>
      </w:r>
      <w:r w:rsidR="00407F3B" w:rsidRPr="003716DA">
        <w:rPr>
          <w:color w:val="000080"/>
          <w:szCs w:val="24"/>
        </w:rPr>
        <w:t>in</w:t>
      </w:r>
      <w:r w:rsidR="00151448" w:rsidRPr="003716DA">
        <w:rPr>
          <w:color w:val="000080"/>
          <w:szCs w:val="24"/>
        </w:rPr>
        <w:t xml:space="preserve"> the NARSUM as an additional condition at the time of placement on TDRL.  </w:t>
      </w:r>
      <w:r w:rsidR="00407F3B" w:rsidRPr="003716DA">
        <w:rPr>
          <w:color w:val="000080"/>
          <w:szCs w:val="24"/>
        </w:rPr>
        <w:t>It</w:t>
      </w:r>
      <w:r w:rsidR="00151448" w:rsidRPr="003716DA">
        <w:rPr>
          <w:color w:val="000080"/>
          <w:szCs w:val="24"/>
        </w:rPr>
        <w:t xml:space="preserve"> was </w:t>
      </w:r>
      <w:r w:rsidR="00407F3B" w:rsidRPr="003716DA">
        <w:rPr>
          <w:color w:val="000080"/>
          <w:szCs w:val="24"/>
        </w:rPr>
        <w:t xml:space="preserve">not </w:t>
      </w:r>
      <w:r w:rsidR="00151448" w:rsidRPr="003716DA">
        <w:rPr>
          <w:color w:val="000080"/>
          <w:szCs w:val="24"/>
        </w:rPr>
        <w:t>cli</w:t>
      </w:r>
      <w:r w:rsidR="00407F3B" w:rsidRPr="003716DA">
        <w:rPr>
          <w:color w:val="000080"/>
          <w:szCs w:val="24"/>
        </w:rPr>
        <w:t xml:space="preserve">nically </w:t>
      </w:r>
      <w:r w:rsidR="00971E59" w:rsidRPr="003716DA">
        <w:rPr>
          <w:color w:val="000080"/>
          <w:szCs w:val="24"/>
        </w:rPr>
        <w:t>acute</w:t>
      </w:r>
      <w:r w:rsidR="00407F3B" w:rsidRPr="003716DA">
        <w:rPr>
          <w:color w:val="000080"/>
          <w:szCs w:val="24"/>
        </w:rPr>
        <w:t xml:space="preserve"> at the time</w:t>
      </w:r>
      <w:r w:rsidR="00151448" w:rsidRPr="003716DA">
        <w:rPr>
          <w:color w:val="000080"/>
          <w:szCs w:val="24"/>
        </w:rPr>
        <w:t xml:space="preserve"> and was rated 0% by the VA.  In his application the CI attributes several </w:t>
      </w:r>
      <w:r w:rsidR="00971E59" w:rsidRPr="003716DA">
        <w:rPr>
          <w:color w:val="000080"/>
          <w:szCs w:val="24"/>
        </w:rPr>
        <w:t xml:space="preserve">other </w:t>
      </w:r>
      <w:r w:rsidR="00151448" w:rsidRPr="003716DA">
        <w:rPr>
          <w:color w:val="000080"/>
          <w:szCs w:val="24"/>
        </w:rPr>
        <w:t xml:space="preserve">chronic conditions to his injury.  </w:t>
      </w:r>
      <w:r w:rsidR="00D82004" w:rsidRPr="003716DA">
        <w:rPr>
          <w:color w:val="000080"/>
          <w:szCs w:val="24"/>
        </w:rPr>
        <w:t xml:space="preserve">These include headache, brain injury and shoulder conditions.  The headache and traumatic brain injury (TBI) were addressed in the VA rating examination.  The headache condition was rated 0% and TBI has not yet been service connected.  </w:t>
      </w:r>
      <w:r w:rsidR="00407F3B" w:rsidRPr="003716DA">
        <w:rPr>
          <w:color w:val="000080"/>
          <w:szCs w:val="24"/>
        </w:rPr>
        <w:t xml:space="preserve">A shoulder condition was not identified by the VA.  </w:t>
      </w:r>
      <w:r w:rsidR="00A418F6">
        <w:rPr>
          <w:color w:val="000080"/>
          <w:szCs w:val="24"/>
        </w:rPr>
        <w:t>Intermittent headache ‘2</w:t>
      </w:r>
      <w:r w:rsidR="00A418F6">
        <w:rPr>
          <w:rFonts w:ascii="Calibri" w:hAnsi="Calibri"/>
          <w:color w:val="000080"/>
          <w:szCs w:val="24"/>
        </w:rPr>
        <w:t>⁰</w:t>
      </w:r>
      <w:r w:rsidR="00D82004" w:rsidRPr="003716DA">
        <w:rPr>
          <w:color w:val="000080"/>
          <w:szCs w:val="24"/>
        </w:rPr>
        <w:t xml:space="preserve"> to neck pain’ is noted </w:t>
      </w:r>
      <w:r w:rsidR="00407F3B" w:rsidRPr="003716DA">
        <w:rPr>
          <w:color w:val="000080"/>
          <w:szCs w:val="24"/>
        </w:rPr>
        <w:t xml:space="preserve">on the MEB physical, although head </w:t>
      </w:r>
      <w:r w:rsidR="00971E59" w:rsidRPr="003716DA">
        <w:rPr>
          <w:color w:val="000080"/>
          <w:szCs w:val="24"/>
        </w:rPr>
        <w:t>injury</w:t>
      </w:r>
      <w:r w:rsidR="00407F3B" w:rsidRPr="003716DA">
        <w:rPr>
          <w:color w:val="000080"/>
          <w:szCs w:val="24"/>
        </w:rPr>
        <w:t xml:space="preserve"> was denied</w:t>
      </w:r>
      <w:r w:rsidR="00971E59" w:rsidRPr="003716DA">
        <w:rPr>
          <w:color w:val="000080"/>
          <w:szCs w:val="24"/>
        </w:rPr>
        <w:t xml:space="preserve"> by the CI</w:t>
      </w:r>
      <w:r w:rsidR="00407F3B" w:rsidRPr="003716DA">
        <w:rPr>
          <w:color w:val="000080"/>
          <w:szCs w:val="24"/>
        </w:rPr>
        <w:t xml:space="preserve">.  Left shoulder pain was mentioned as well.  There is nothing in concurrent medical records, the Commander’s statement or the medical profiles that would </w:t>
      </w:r>
      <w:r w:rsidR="00971E59" w:rsidRPr="003716DA">
        <w:rPr>
          <w:color w:val="000080"/>
          <w:szCs w:val="24"/>
        </w:rPr>
        <w:t>link</w:t>
      </w:r>
      <w:r w:rsidR="00407F3B" w:rsidRPr="003716DA">
        <w:rPr>
          <w:color w:val="000080"/>
          <w:szCs w:val="24"/>
        </w:rPr>
        <w:t xml:space="preserve"> any of these conditions to fitness.  </w:t>
      </w:r>
      <w:r w:rsidR="00A418F6">
        <w:rPr>
          <w:color w:val="000080"/>
          <w:szCs w:val="24"/>
        </w:rPr>
        <w:t xml:space="preserve">Only three of them, in fact, were in the DES packet and subject to Board review, i.e., peptic ulcer disease, headache and the left shoulder condition.  </w:t>
      </w:r>
      <w:r w:rsidR="008367E4">
        <w:rPr>
          <w:color w:val="000080"/>
          <w:szCs w:val="24"/>
        </w:rPr>
        <w:t xml:space="preserve">All of the others would require BCMR application for consideration of any compensation to the CI.  </w:t>
      </w:r>
      <w:r w:rsidR="00A2537C" w:rsidRPr="003716DA">
        <w:rPr>
          <w:color w:val="000080"/>
          <w:szCs w:val="24"/>
        </w:rPr>
        <w:t xml:space="preserve">There were no additional conditions, beyond the spinal ones and the </w:t>
      </w:r>
      <w:proofErr w:type="spellStart"/>
      <w:r w:rsidR="00971E59" w:rsidRPr="003716DA">
        <w:rPr>
          <w:color w:val="000080"/>
          <w:szCs w:val="24"/>
        </w:rPr>
        <w:t>radiculopathies</w:t>
      </w:r>
      <w:proofErr w:type="spellEnd"/>
      <w:r w:rsidR="00971E59" w:rsidRPr="003716DA">
        <w:rPr>
          <w:color w:val="000080"/>
          <w:szCs w:val="24"/>
        </w:rPr>
        <w:t>, which</w:t>
      </w:r>
      <w:r w:rsidR="00A2537C" w:rsidRPr="003716DA">
        <w:rPr>
          <w:color w:val="000080"/>
          <w:szCs w:val="24"/>
        </w:rPr>
        <w:t xml:space="preserve"> received compensable ratings from the VA.</w:t>
      </w:r>
    </w:p>
    <w:p w:rsidR="00A2537C" w:rsidRPr="003716DA" w:rsidRDefault="00A2537C" w:rsidP="003716DA">
      <w:pPr>
        <w:tabs>
          <w:tab w:val="left" w:pos="288"/>
          <w:tab w:val="left" w:pos="4752"/>
        </w:tabs>
        <w:spacing w:line="240" w:lineRule="exact"/>
        <w:jc w:val="both"/>
        <w:rPr>
          <w:color w:val="000080"/>
          <w:szCs w:val="24"/>
        </w:rPr>
      </w:pPr>
    </w:p>
    <w:p w:rsidR="00A2537C" w:rsidRPr="003716DA" w:rsidRDefault="00A2537C" w:rsidP="003716DA">
      <w:pPr>
        <w:tabs>
          <w:tab w:val="left" w:pos="288"/>
          <w:tab w:val="left" w:pos="4752"/>
        </w:tabs>
        <w:spacing w:line="240" w:lineRule="exact"/>
        <w:jc w:val="both"/>
        <w:rPr>
          <w:color w:val="000080"/>
          <w:szCs w:val="24"/>
        </w:rPr>
      </w:pPr>
      <w:r w:rsidRPr="003716DA">
        <w:rPr>
          <w:color w:val="000080"/>
          <w:szCs w:val="24"/>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BA044D" w:rsidRPr="003716DA" w:rsidRDefault="00C56FC8" w:rsidP="003716DA">
      <w:pPr>
        <w:tabs>
          <w:tab w:val="left" w:pos="288"/>
          <w:tab w:val="left" w:pos="4752"/>
        </w:tabs>
        <w:spacing w:line="240" w:lineRule="exact"/>
        <w:jc w:val="both"/>
        <w:rPr>
          <w:color w:val="000080"/>
          <w:szCs w:val="24"/>
        </w:rPr>
      </w:pPr>
      <w:r w:rsidRPr="003716DA">
        <w:rPr>
          <w:color w:val="000080"/>
          <w:szCs w:val="24"/>
          <w:u w:val="single"/>
        </w:rPr>
        <w:t>BOARD FINDINGS</w:t>
      </w:r>
      <w:r w:rsidRPr="003716DA">
        <w:rPr>
          <w:color w:val="000080"/>
          <w:szCs w:val="24"/>
        </w:rPr>
        <w:t xml:space="preserve">:  IAW </w:t>
      </w:r>
      <w:proofErr w:type="spellStart"/>
      <w:r w:rsidRPr="003716DA">
        <w:rPr>
          <w:color w:val="000080"/>
          <w:szCs w:val="24"/>
        </w:rPr>
        <w:t>DoDI</w:t>
      </w:r>
      <w:proofErr w:type="spellEnd"/>
      <w:r w:rsidRPr="003716DA">
        <w:rPr>
          <w:color w:val="000080"/>
          <w:szCs w:val="24"/>
        </w:rPr>
        <w:t xml:space="preserve"> 6040.44, provisions of </w:t>
      </w:r>
      <w:proofErr w:type="spellStart"/>
      <w:r w:rsidRPr="003716DA">
        <w:rPr>
          <w:color w:val="000080"/>
          <w:szCs w:val="24"/>
        </w:rPr>
        <w:t>DoD</w:t>
      </w:r>
      <w:proofErr w:type="spellEnd"/>
      <w:r w:rsidRPr="003716DA">
        <w:rPr>
          <w:color w:val="000080"/>
          <w:szCs w:val="24"/>
        </w:rPr>
        <w:t xml:space="preserve"> or Military Department regulations or guidelines relied upon by the PEB will not be considered by the Board to the extent they were inconsistent with the VASRD in effect at the time of the adjudication. </w:t>
      </w:r>
      <w:r w:rsidR="001D68CF" w:rsidRPr="003716DA">
        <w:rPr>
          <w:color w:val="000080"/>
          <w:szCs w:val="24"/>
        </w:rPr>
        <w:t xml:space="preserve"> </w:t>
      </w:r>
      <w:r w:rsidR="00BA044D" w:rsidRPr="003716DA">
        <w:rPr>
          <w:color w:val="000080"/>
          <w:szCs w:val="24"/>
        </w:rPr>
        <w:t xml:space="preserve">As discussed above, PEB reliance on the USAPDA pain policy for rating the cervical and </w:t>
      </w:r>
      <w:proofErr w:type="spellStart"/>
      <w:r w:rsidR="00BA044D" w:rsidRPr="003716DA">
        <w:rPr>
          <w:color w:val="000080"/>
          <w:szCs w:val="24"/>
        </w:rPr>
        <w:t>thoracolumbar</w:t>
      </w:r>
      <w:proofErr w:type="spellEnd"/>
      <w:r w:rsidR="00BA044D" w:rsidRPr="003716DA">
        <w:rPr>
          <w:color w:val="000080"/>
          <w:szCs w:val="24"/>
        </w:rPr>
        <w:t xml:space="preserve"> conditions was operant in this case and they were adjudicated independently of that policy by the Board.  In the matter of the chronic neck pain condition, the Board unanimously recommends a rating of 20% coded 5242 IAW VASRD §4.71a.  In the matter of the chronic back pain condition, the Board unanimously recommends a rating of 20% coded 5237 IAW VASRD §4.71a.  In the matter of the upper and lower extremity </w:t>
      </w:r>
      <w:proofErr w:type="spellStart"/>
      <w:r w:rsidR="00BA044D" w:rsidRPr="003716DA">
        <w:rPr>
          <w:color w:val="000080"/>
          <w:szCs w:val="24"/>
        </w:rPr>
        <w:t>radicular</w:t>
      </w:r>
      <w:proofErr w:type="spellEnd"/>
      <w:r w:rsidR="00BA044D" w:rsidRPr="003716DA">
        <w:rPr>
          <w:color w:val="000080"/>
          <w:szCs w:val="24"/>
        </w:rPr>
        <w:t xml:space="preserve"> conditions; the Board unanimously agrees that it cannot recommend any findings of unfit for additional rating at separation.  In the matter of </w:t>
      </w:r>
      <w:r w:rsidR="00240393" w:rsidRPr="003716DA">
        <w:rPr>
          <w:color w:val="000080"/>
          <w:szCs w:val="24"/>
        </w:rPr>
        <w:t>post-traumatic stress disorder</w:t>
      </w:r>
      <w:r w:rsidR="00BA044D" w:rsidRPr="003716DA">
        <w:rPr>
          <w:color w:val="000080"/>
          <w:szCs w:val="24"/>
        </w:rPr>
        <w:t xml:space="preserve">, </w:t>
      </w:r>
      <w:r w:rsidR="00240393" w:rsidRPr="003716DA">
        <w:rPr>
          <w:color w:val="000080"/>
          <w:szCs w:val="24"/>
        </w:rPr>
        <w:t xml:space="preserve">peptic ulcer disease, headache, traumatic brain injury, shoulder injury </w:t>
      </w:r>
      <w:r w:rsidR="00BA044D" w:rsidRPr="003716DA">
        <w:rPr>
          <w:color w:val="000080"/>
          <w:szCs w:val="24"/>
        </w:rPr>
        <w:t xml:space="preserve">and all of the CI’s </w:t>
      </w:r>
      <w:r w:rsidR="00BA044D" w:rsidRPr="003716DA">
        <w:rPr>
          <w:color w:val="000080"/>
          <w:szCs w:val="24"/>
        </w:rPr>
        <w:lastRenderedPageBreak/>
        <w:t xml:space="preserve">other medical conditions; the Board unanimously agrees that it cannot recommend </w:t>
      </w:r>
      <w:r w:rsidR="00240393" w:rsidRPr="003716DA">
        <w:rPr>
          <w:color w:val="000080"/>
          <w:szCs w:val="24"/>
        </w:rPr>
        <w:t>any findings</w:t>
      </w:r>
      <w:r w:rsidR="00BA044D" w:rsidRPr="003716DA">
        <w:rPr>
          <w:color w:val="000080"/>
          <w:szCs w:val="24"/>
        </w:rPr>
        <w:t xml:space="preserve">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Pr="00F959F1" w:rsidRDefault="00C56FC8" w:rsidP="007B1BA4">
      <w:pPr>
        <w:jc w:val="both"/>
        <w:rPr>
          <w:rFonts w:asciiTheme="minorHAnsi" w:hAnsiTheme="minorHAnsi"/>
          <w:color w:val="000080"/>
          <w:szCs w:val="24"/>
          <w:u w:val="single"/>
        </w:rPr>
      </w:pPr>
      <w:r w:rsidRPr="00C10958">
        <w:rPr>
          <w:color w:val="000080"/>
          <w:szCs w:val="24"/>
          <w:u w:val="single"/>
        </w:rPr>
        <w:t>RECOMMENDATION</w:t>
      </w:r>
      <w:r w:rsidRPr="003716DA">
        <w:rPr>
          <w:color w:val="000080"/>
          <w:szCs w:val="24"/>
        </w:rPr>
        <w:t xml:space="preserve">: </w:t>
      </w:r>
      <w:r w:rsidR="00082431" w:rsidRPr="003716DA">
        <w:rPr>
          <w:color w:val="000080"/>
          <w:szCs w:val="24"/>
        </w:rPr>
        <w:t xml:space="preserve"> </w:t>
      </w:r>
      <w:r w:rsidRPr="003716DA">
        <w:rPr>
          <w:color w:val="000080"/>
          <w:szCs w:val="24"/>
        </w:rPr>
        <w:t xml:space="preserve">The Board recommends that the CI’s prior determination be modified as follows and that the discharge with severance pay be </w:t>
      </w:r>
      <w:proofErr w:type="spellStart"/>
      <w:r w:rsidRPr="003716DA">
        <w:rPr>
          <w:color w:val="000080"/>
          <w:szCs w:val="24"/>
        </w:rPr>
        <w:t>recharacterized</w:t>
      </w:r>
      <w:proofErr w:type="spellEnd"/>
      <w:r w:rsidRPr="003716DA">
        <w:rPr>
          <w:color w:val="000080"/>
          <w:szCs w:val="24"/>
        </w:rPr>
        <w:t xml:space="preserve"> to reflect permanent disability retirement, effective as of the date of his prior medical separation.</w:t>
      </w:r>
    </w:p>
    <w:p w:rsidR="00FB593A" w:rsidRPr="003716DA" w:rsidRDefault="00FB593A" w:rsidP="00875F2D">
      <w:pPr>
        <w:tabs>
          <w:tab w:val="left" w:pos="288"/>
          <w:tab w:val="left" w:pos="4752"/>
        </w:tabs>
        <w:spacing w:line="240" w:lineRule="exact"/>
        <w:jc w:val="both"/>
        <w:rPr>
          <w:color w:val="000080"/>
          <w:szCs w:val="24"/>
        </w:rPr>
      </w:pPr>
    </w:p>
    <w:tbl>
      <w:tblPr>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1890"/>
        <w:gridCol w:w="1084"/>
      </w:tblGrid>
      <w:tr w:rsidR="00FB593A" w:rsidRPr="00533FB5" w:rsidTr="00082431">
        <w:trPr>
          <w:trHeight w:val="287"/>
        </w:trPr>
        <w:tc>
          <w:tcPr>
            <w:tcW w:w="3240"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Pr>
                <w:b/>
                <w:color w:val="000080"/>
                <w:szCs w:val="24"/>
              </w:rPr>
              <w:t>UNFITTING CONDITION</w:t>
            </w:r>
          </w:p>
        </w:tc>
        <w:tc>
          <w:tcPr>
            <w:tcW w:w="1890"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FB593A" w:rsidRPr="00533FB5" w:rsidTr="00082431">
        <w:tc>
          <w:tcPr>
            <w:tcW w:w="3240" w:type="dxa"/>
          </w:tcPr>
          <w:p w:rsidR="00FB593A" w:rsidRPr="00A867F0" w:rsidRDefault="00082431" w:rsidP="00217C09">
            <w:pPr>
              <w:tabs>
                <w:tab w:val="left" w:pos="288"/>
                <w:tab w:val="left" w:pos="4752"/>
              </w:tabs>
              <w:spacing w:before="20" w:after="20" w:line="240" w:lineRule="exact"/>
              <w:jc w:val="both"/>
              <w:rPr>
                <w:color w:val="000080"/>
                <w:szCs w:val="24"/>
              </w:rPr>
            </w:pPr>
            <w:r>
              <w:rPr>
                <w:color w:val="000080"/>
                <w:szCs w:val="24"/>
              </w:rPr>
              <w:t>Chronic Neck Pain</w:t>
            </w:r>
          </w:p>
        </w:tc>
        <w:tc>
          <w:tcPr>
            <w:tcW w:w="1890" w:type="dxa"/>
          </w:tcPr>
          <w:p w:rsidR="00FB593A" w:rsidRPr="00A867F0" w:rsidRDefault="00082431" w:rsidP="00875F2D">
            <w:pPr>
              <w:tabs>
                <w:tab w:val="left" w:pos="288"/>
                <w:tab w:val="left" w:pos="4752"/>
              </w:tabs>
              <w:spacing w:line="240" w:lineRule="exact"/>
              <w:jc w:val="center"/>
              <w:rPr>
                <w:color w:val="000080"/>
                <w:szCs w:val="24"/>
              </w:rPr>
            </w:pPr>
            <w:r>
              <w:rPr>
                <w:color w:val="000080"/>
                <w:szCs w:val="24"/>
              </w:rPr>
              <w:t>5242</w:t>
            </w:r>
          </w:p>
        </w:tc>
        <w:tc>
          <w:tcPr>
            <w:tcW w:w="1084" w:type="dxa"/>
          </w:tcPr>
          <w:p w:rsidR="00FB593A" w:rsidRPr="00A867F0" w:rsidRDefault="00082431" w:rsidP="00875F2D">
            <w:pPr>
              <w:tabs>
                <w:tab w:val="left" w:pos="288"/>
                <w:tab w:val="left" w:pos="4752"/>
              </w:tabs>
              <w:spacing w:line="240" w:lineRule="exact"/>
              <w:jc w:val="center"/>
              <w:rPr>
                <w:color w:val="000080"/>
                <w:szCs w:val="24"/>
              </w:rPr>
            </w:pPr>
            <w:r>
              <w:rPr>
                <w:color w:val="000080"/>
                <w:szCs w:val="24"/>
              </w:rPr>
              <w:t>20%</w:t>
            </w:r>
          </w:p>
        </w:tc>
      </w:tr>
      <w:tr w:rsidR="00082431" w:rsidRPr="00533FB5" w:rsidTr="00082431">
        <w:tc>
          <w:tcPr>
            <w:tcW w:w="3240" w:type="dxa"/>
          </w:tcPr>
          <w:p w:rsidR="00082431" w:rsidRPr="00A867F0" w:rsidRDefault="00082431" w:rsidP="00217C09">
            <w:pPr>
              <w:tabs>
                <w:tab w:val="left" w:pos="288"/>
                <w:tab w:val="left" w:pos="4752"/>
              </w:tabs>
              <w:spacing w:before="20" w:after="20" w:line="240" w:lineRule="exact"/>
              <w:jc w:val="both"/>
              <w:rPr>
                <w:color w:val="000080"/>
                <w:szCs w:val="24"/>
              </w:rPr>
            </w:pPr>
            <w:r>
              <w:rPr>
                <w:color w:val="000080"/>
                <w:szCs w:val="24"/>
              </w:rPr>
              <w:t>Chronic Back Pain</w:t>
            </w:r>
          </w:p>
        </w:tc>
        <w:tc>
          <w:tcPr>
            <w:tcW w:w="1890" w:type="dxa"/>
          </w:tcPr>
          <w:p w:rsidR="00082431" w:rsidRPr="00A867F0" w:rsidRDefault="00082431" w:rsidP="00875F2D">
            <w:pPr>
              <w:tabs>
                <w:tab w:val="left" w:pos="288"/>
                <w:tab w:val="left" w:pos="4752"/>
              </w:tabs>
              <w:spacing w:line="240" w:lineRule="exact"/>
              <w:jc w:val="center"/>
              <w:rPr>
                <w:color w:val="000080"/>
                <w:szCs w:val="24"/>
              </w:rPr>
            </w:pPr>
            <w:r>
              <w:rPr>
                <w:color w:val="000080"/>
                <w:szCs w:val="24"/>
              </w:rPr>
              <w:t>5237</w:t>
            </w:r>
          </w:p>
        </w:tc>
        <w:tc>
          <w:tcPr>
            <w:tcW w:w="1084" w:type="dxa"/>
          </w:tcPr>
          <w:p w:rsidR="00082431" w:rsidRPr="00A867F0" w:rsidRDefault="00082431" w:rsidP="00875F2D">
            <w:pPr>
              <w:tabs>
                <w:tab w:val="left" w:pos="288"/>
                <w:tab w:val="left" w:pos="4752"/>
              </w:tabs>
              <w:spacing w:line="240" w:lineRule="exact"/>
              <w:jc w:val="center"/>
              <w:rPr>
                <w:color w:val="000080"/>
                <w:szCs w:val="24"/>
              </w:rPr>
            </w:pPr>
            <w:r>
              <w:rPr>
                <w:color w:val="000080"/>
                <w:szCs w:val="24"/>
              </w:rPr>
              <w:t>20%</w:t>
            </w:r>
          </w:p>
        </w:tc>
      </w:tr>
      <w:tr w:rsidR="00FB593A" w:rsidRPr="00533FB5" w:rsidTr="00082431">
        <w:tblPrEx>
          <w:tblLook w:val="0000"/>
        </w:tblPrEx>
        <w:trPr>
          <w:gridBefore w:val="1"/>
          <w:wBefore w:w="3240" w:type="dxa"/>
          <w:trHeight w:val="287"/>
        </w:trPr>
        <w:tc>
          <w:tcPr>
            <w:tcW w:w="1890" w:type="dxa"/>
            <w:tcBorders>
              <w:left w:val="single" w:sz="4" w:space="0" w:color="auto"/>
              <w:bottom w:val="single" w:sz="4" w:space="0" w:color="000000"/>
            </w:tcBorders>
            <w:shd w:val="clear" w:color="auto" w:fill="D9D9D9" w:themeFill="background1" w:themeFillShade="D9"/>
          </w:tcPr>
          <w:p w:rsidR="00FB593A" w:rsidRPr="00A867F0" w:rsidRDefault="00FB593A" w:rsidP="00217C0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FB593A" w:rsidRPr="005A258C" w:rsidRDefault="00082431" w:rsidP="00217C09">
            <w:pPr>
              <w:tabs>
                <w:tab w:val="left" w:pos="288"/>
                <w:tab w:val="left" w:pos="4752"/>
              </w:tabs>
              <w:spacing w:before="40" w:line="240" w:lineRule="exact"/>
              <w:jc w:val="center"/>
              <w:rPr>
                <w:b/>
                <w:color w:val="000080"/>
                <w:szCs w:val="24"/>
              </w:rPr>
            </w:pPr>
            <w:r>
              <w:rPr>
                <w:b/>
                <w:color w:val="000080"/>
                <w:szCs w:val="24"/>
              </w:rPr>
              <w:t>40</w:t>
            </w:r>
            <w:r w:rsidR="00FB593A"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D3563B">
        <w:rPr>
          <w:color w:val="000080"/>
        </w:rPr>
        <w:t>0127</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F21CB4" w:rsidRDefault="00F21CB4">
      <w:pPr>
        <w:rPr>
          <w:color w:val="000080"/>
        </w:rPr>
      </w:pPr>
      <w:r>
        <w:rPr>
          <w:color w:val="000080"/>
        </w:rPr>
        <w:br w:type="page"/>
      </w:r>
    </w:p>
    <w:p w:rsidR="00F21CB4" w:rsidRDefault="00F21CB4" w:rsidP="00F21CB4">
      <w:pPr>
        <w:pStyle w:val="Default"/>
        <w:framePr w:w="16889" w:wrap="auto" w:vAnchor="page" w:hAnchor="page" w:x="1" w:y="1"/>
      </w:pPr>
      <w:r>
        <w:rPr>
          <w:noProof/>
        </w:rPr>
        <w:lastRenderedPageBreak/>
        <w:drawing>
          <wp:inline distT="0" distB="0" distL="0" distR="0">
            <wp:extent cx="7848600" cy="1002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48600" cy="10029825"/>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D1235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C5" w:rsidRDefault="00606CC5">
      <w:r>
        <w:separator/>
      </w:r>
    </w:p>
  </w:endnote>
  <w:endnote w:type="continuationSeparator" w:id="0">
    <w:p w:rsidR="00606CC5" w:rsidRDefault="00606CC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D" w:rsidRDefault="005E436E">
    <w:pPr>
      <w:pStyle w:val="Footer"/>
      <w:framePr w:wrap="around" w:vAnchor="text" w:hAnchor="margin" w:xAlign="center" w:y="1"/>
      <w:rPr>
        <w:rStyle w:val="PageNumber"/>
      </w:rPr>
    </w:pPr>
    <w:r>
      <w:rPr>
        <w:rStyle w:val="PageNumber"/>
      </w:rPr>
      <w:fldChar w:fldCharType="begin"/>
    </w:r>
    <w:r w:rsidR="00BA044D">
      <w:rPr>
        <w:rStyle w:val="PageNumber"/>
      </w:rPr>
      <w:instrText xml:space="preserve">PAGE  </w:instrText>
    </w:r>
    <w:r>
      <w:rPr>
        <w:rStyle w:val="PageNumber"/>
      </w:rPr>
      <w:fldChar w:fldCharType="separate"/>
    </w:r>
    <w:r w:rsidR="00BA044D">
      <w:rPr>
        <w:rStyle w:val="PageNumber"/>
        <w:noProof/>
      </w:rPr>
      <w:t>2</w:t>
    </w:r>
    <w:r>
      <w:rPr>
        <w:rStyle w:val="PageNumber"/>
      </w:rPr>
      <w:fldChar w:fldCharType="end"/>
    </w:r>
  </w:p>
  <w:p w:rsidR="00BA044D" w:rsidRDefault="00BA044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D" w:rsidRDefault="005E436E">
    <w:pPr>
      <w:pStyle w:val="Footer"/>
      <w:framePr w:wrap="around" w:vAnchor="text" w:hAnchor="margin" w:xAlign="center" w:y="1"/>
      <w:rPr>
        <w:rStyle w:val="PageNumber"/>
      </w:rPr>
    </w:pPr>
    <w:r>
      <w:rPr>
        <w:rStyle w:val="PageNumber"/>
      </w:rPr>
      <w:fldChar w:fldCharType="begin"/>
    </w:r>
    <w:r w:rsidR="00BA044D">
      <w:rPr>
        <w:rStyle w:val="PageNumber"/>
      </w:rPr>
      <w:instrText xml:space="preserve">PAGE  </w:instrText>
    </w:r>
    <w:r>
      <w:rPr>
        <w:rStyle w:val="PageNumber"/>
      </w:rPr>
      <w:fldChar w:fldCharType="separate"/>
    </w:r>
    <w:r w:rsidR="00F21CB4">
      <w:rPr>
        <w:rStyle w:val="PageNumber"/>
        <w:noProof/>
      </w:rPr>
      <w:t>7</w:t>
    </w:r>
    <w:r>
      <w:rPr>
        <w:rStyle w:val="PageNumber"/>
      </w:rPr>
      <w:fldChar w:fldCharType="end"/>
    </w:r>
  </w:p>
  <w:p w:rsidR="00BA044D" w:rsidRDefault="00BA044D" w:rsidP="002B0749">
    <w:pPr>
      <w:pStyle w:val="Footer"/>
      <w:jc w:val="right"/>
    </w:pPr>
    <w:r>
      <w:tab/>
    </w:r>
    <w:r>
      <w:tab/>
    </w:r>
    <w:r w:rsidRPr="001D3186">
      <w:rPr>
        <w:caps/>
        <w:color w:val="000080"/>
      </w:rPr>
      <w:t>PD09</w:t>
    </w:r>
    <w:r>
      <w:rPr>
        <w:caps/>
        <w:color w:val="000080"/>
      </w:rPr>
      <w:t>00077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C5" w:rsidRDefault="00606CC5">
      <w:r>
        <w:separator/>
      </w:r>
    </w:p>
  </w:footnote>
  <w:footnote w:type="continuationSeparator" w:id="0">
    <w:p w:rsidR="00606CC5" w:rsidRDefault="00606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278B"/>
    <w:rsid w:val="000145C2"/>
    <w:rsid w:val="00023D43"/>
    <w:rsid w:val="00035C3A"/>
    <w:rsid w:val="000379D0"/>
    <w:rsid w:val="00040FC4"/>
    <w:rsid w:val="000416F8"/>
    <w:rsid w:val="00051622"/>
    <w:rsid w:val="00072433"/>
    <w:rsid w:val="00082431"/>
    <w:rsid w:val="0008708B"/>
    <w:rsid w:val="0009000E"/>
    <w:rsid w:val="000A2BCE"/>
    <w:rsid w:val="000A4BBA"/>
    <w:rsid w:val="000B4FC0"/>
    <w:rsid w:val="000C7DE4"/>
    <w:rsid w:val="000D15E7"/>
    <w:rsid w:val="000D248A"/>
    <w:rsid w:val="000D43F9"/>
    <w:rsid w:val="000D4717"/>
    <w:rsid w:val="000D7D55"/>
    <w:rsid w:val="000E2586"/>
    <w:rsid w:val="000F427B"/>
    <w:rsid w:val="00101A72"/>
    <w:rsid w:val="0010417F"/>
    <w:rsid w:val="0010530E"/>
    <w:rsid w:val="001103CD"/>
    <w:rsid w:val="00114F20"/>
    <w:rsid w:val="001231DC"/>
    <w:rsid w:val="001315DD"/>
    <w:rsid w:val="00135385"/>
    <w:rsid w:val="001364D1"/>
    <w:rsid w:val="00151448"/>
    <w:rsid w:val="001541C5"/>
    <w:rsid w:val="00177659"/>
    <w:rsid w:val="00181E9D"/>
    <w:rsid w:val="00185ECB"/>
    <w:rsid w:val="0019273F"/>
    <w:rsid w:val="001A7538"/>
    <w:rsid w:val="001B5B59"/>
    <w:rsid w:val="001C181A"/>
    <w:rsid w:val="001C2053"/>
    <w:rsid w:val="001C28D1"/>
    <w:rsid w:val="001C6DCF"/>
    <w:rsid w:val="001C7418"/>
    <w:rsid w:val="001D0051"/>
    <w:rsid w:val="001D2224"/>
    <w:rsid w:val="001D68CF"/>
    <w:rsid w:val="001D6A8C"/>
    <w:rsid w:val="001D6C6D"/>
    <w:rsid w:val="001D7A56"/>
    <w:rsid w:val="002060B6"/>
    <w:rsid w:val="00216049"/>
    <w:rsid w:val="00217C09"/>
    <w:rsid w:val="00225196"/>
    <w:rsid w:val="00225CB4"/>
    <w:rsid w:val="002278DD"/>
    <w:rsid w:val="002338CA"/>
    <w:rsid w:val="00234889"/>
    <w:rsid w:val="00240393"/>
    <w:rsid w:val="0024227D"/>
    <w:rsid w:val="00244860"/>
    <w:rsid w:val="00246860"/>
    <w:rsid w:val="0025183C"/>
    <w:rsid w:val="0026318D"/>
    <w:rsid w:val="0027159C"/>
    <w:rsid w:val="00274549"/>
    <w:rsid w:val="00274E46"/>
    <w:rsid w:val="00276C86"/>
    <w:rsid w:val="002813D9"/>
    <w:rsid w:val="002A216B"/>
    <w:rsid w:val="002B03B2"/>
    <w:rsid w:val="002B0749"/>
    <w:rsid w:val="002C6E5B"/>
    <w:rsid w:val="002D18B4"/>
    <w:rsid w:val="002E1C31"/>
    <w:rsid w:val="002E211D"/>
    <w:rsid w:val="002E333A"/>
    <w:rsid w:val="002E3474"/>
    <w:rsid w:val="002E764B"/>
    <w:rsid w:val="002F7F81"/>
    <w:rsid w:val="003010A4"/>
    <w:rsid w:val="00322B8D"/>
    <w:rsid w:val="00323E70"/>
    <w:rsid w:val="00363362"/>
    <w:rsid w:val="003716DA"/>
    <w:rsid w:val="0037262D"/>
    <w:rsid w:val="0037520D"/>
    <w:rsid w:val="00377BD2"/>
    <w:rsid w:val="00385D6F"/>
    <w:rsid w:val="00393651"/>
    <w:rsid w:val="003A41BA"/>
    <w:rsid w:val="003A6A99"/>
    <w:rsid w:val="003B227A"/>
    <w:rsid w:val="003D2BA3"/>
    <w:rsid w:val="003D7DDB"/>
    <w:rsid w:val="003E0543"/>
    <w:rsid w:val="003E5E2A"/>
    <w:rsid w:val="003F58B0"/>
    <w:rsid w:val="004007E9"/>
    <w:rsid w:val="00401BBC"/>
    <w:rsid w:val="00404B45"/>
    <w:rsid w:val="00406CC5"/>
    <w:rsid w:val="004074A4"/>
    <w:rsid w:val="00407F3B"/>
    <w:rsid w:val="004172DB"/>
    <w:rsid w:val="00422B75"/>
    <w:rsid w:val="0043503A"/>
    <w:rsid w:val="0044384F"/>
    <w:rsid w:val="00445AA2"/>
    <w:rsid w:val="00446EF0"/>
    <w:rsid w:val="004543BC"/>
    <w:rsid w:val="00456A07"/>
    <w:rsid w:val="004574C6"/>
    <w:rsid w:val="00457BCF"/>
    <w:rsid w:val="004718E7"/>
    <w:rsid w:val="004761CC"/>
    <w:rsid w:val="00495350"/>
    <w:rsid w:val="004A1626"/>
    <w:rsid w:val="004A24D2"/>
    <w:rsid w:val="004A4136"/>
    <w:rsid w:val="004B03F3"/>
    <w:rsid w:val="004B7169"/>
    <w:rsid w:val="004C311E"/>
    <w:rsid w:val="004C6CDA"/>
    <w:rsid w:val="004D4E31"/>
    <w:rsid w:val="004E32EA"/>
    <w:rsid w:val="004E522C"/>
    <w:rsid w:val="00510588"/>
    <w:rsid w:val="0051146C"/>
    <w:rsid w:val="005222E7"/>
    <w:rsid w:val="0052590B"/>
    <w:rsid w:val="00526591"/>
    <w:rsid w:val="005350A5"/>
    <w:rsid w:val="00536379"/>
    <w:rsid w:val="00540BEF"/>
    <w:rsid w:val="005436C2"/>
    <w:rsid w:val="005453B6"/>
    <w:rsid w:val="0055288D"/>
    <w:rsid w:val="00593043"/>
    <w:rsid w:val="00596285"/>
    <w:rsid w:val="005A258C"/>
    <w:rsid w:val="005A3560"/>
    <w:rsid w:val="005B011A"/>
    <w:rsid w:val="005E436E"/>
    <w:rsid w:val="005F1115"/>
    <w:rsid w:val="005F27F2"/>
    <w:rsid w:val="005F424D"/>
    <w:rsid w:val="00606CC5"/>
    <w:rsid w:val="00615641"/>
    <w:rsid w:val="00634C4A"/>
    <w:rsid w:val="006418C9"/>
    <w:rsid w:val="00645046"/>
    <w:rsid w:val="006562BF"/>
    <w:rsid w:val="00662F08"/>
    <w:rsid w:val="00663589"/>
    <w:rsid w:val="00670DDC"/>
    <w:rsid w:val="0067443B"/>
    <w:rsid w:val="00684E2B"/>
    <w:rsid w:val="00686BFA"/>
    <w:rsid w:val="00690FDA"/>
    <w:rsid w:val="00696476"/>
    <w:rsid w:val="006A10FA"/>
    <w:rsid w:val="006A40E6"/>
    <w:rsid w:val="006A5339"/>
    <w:rsid w:val="006A5C07"/>
    <w:rsid w:val="006A75FA"/>
    <w:rsid w:val="006B07D5"/>
    <w:rsid w:val="006B5923"/>
    <w:rsid w:val="006B6C14"/>
    <w:rsid w:val="006D2D39"/>
    <w:rsid w:val="006E06D1"/>
    <w:rsid w:val="006E7356"/>
    <w:rsid w:val="006F1A46"/>
    <w:rsid w:val="007165CE"/>
    <w:rsid w:val="00720968"/>
    <w:rsid w:val="00721D12"/>
    <w:rsid w:val="00721F8B"/>
    <w:rsid w:val="00736A49"/>
    <w:rsid w:val="00744EBB"/>
    <w:rsid w:val="00746AE2"/>
    <w:rsid w:val="00750C82"/>
    <w:rsid w:val="0076100C"/>
    <w:rsid w:val="00781BD4"/>
    <w:rsid w:val="00784832"/>
    <w:rsid w:val="007868D3"/>
    <w:rsid w:val="00791F1E"/>
    <w:rsid w:val="007A0B39"/>
    <w:rsid w:val="007A168F"/>
    <w:rsid w:val="007A28E4"/>
    <w:rsid w:val="007A5AD1"/>
    <w:rsid w:val="007A7AF6"/>
    <w:rsid w:val="007B0A06"/>
    <w:rsid w:val="007B1BA4"/>
    <w:rsid w:val="007B7C41"/>
    <w:rsid w:val="007C433E"/>
    <w:rsid w:val="007D0292"/>
    <w:rsid w:val="007E2046"/>
    <w:rsid w:val="007E4FBB"/>
    <w:rsid w:val="007E66C6"/>
    <w:rsid w:val="00804404"/>
    <w:rsid w:val="00811D5B"/>
    <w:rsid w:val="00817713"/>
    <w:rsid w:val="00830999"/>
    <w:rsid w:val="00830D5E"/>
    <w:rsid w:val="00830F69"/>
    <w:rsid w:val="00834458"/>
    <w:rsid w:val="008367E4"/>
    <w:rsid w:val="00837465"/>
    <w:rsid w:val="00841457"/>
    <w:rsid w:val="0084374E"/>
    <w:rsid w:val="00844842"/>
    <w:rsid w:val="0085206E"/>
    <w:rsid w:val="00853718"/>
    <w:rsid w:val="008541EF"/>
    <w:rsid w:val="0086162B"/>
    <w:rsid w:val="00865207"/>
    <w:rsid w:val="00871262"/>
    <w:rsid w:val="00875B51"/>
    <w:rsid w:val="00875F2D"/>
    <w:rsid w:val="008A63A9"/>
    <w:rsid w:val="008A7251"/>
    <w:rsid w:val="008B5D31"/>
    <w:rsid w:val="008E2D99"/>
    <w:rsid w:val="008E4A60"/>
    <w:rsid w:val="009026E8"/>
    <w:rsid w:val="009109D0"/>
    <w:rsid w:val="00914ADB"/>
    <w:rsid w:val="00923B25"/>
    <w:rsid w:val="00942645"/>
    <w:rsid w:val="0095340A"/>
    <w:rsid w:val="00954581"/>
    <w:rsid w:val="0095466C"/>
    <w:rsid w:val="0096168C"/>
    <w:rsid w:val="00971E59"/>
    <w:rsid w:val="009732B8"/>
    <w:rsid w:val="00977CB4"/>
    <w:rsid w:val="00985099"/>
    <w:rsid w:val="009A0DE3"/>
    <w:rsid w:val="009B1534"/>
    <w:rsid w:val="009B69D3"/>
    <w:rsid w:val="009B7BA7"/>
    <w:rsid w:val="009C0938"/>
    <w:rsid w:val="009C3F82"/>
    <w:rsid w:val="009C7DF5"/>
    <w:rsid w:val="009D1ADE"/>
    <w:rsid w:val="009E1283"/>
    <w:rsid w:val="009E6167"/>
    <w:rsid w:val="00A1105B"/>
    <w:rsid w:val="00A16876"/>
    <w:rsid w:val="00A200AA"/>
    <w:rsid w:val="00A2186F"/>
    <w:rsid w:val="00A2270B"/>
    <w:rsid w:val="00A2496E"/>
    <w:rsid w:val="00A2537C"/>
    <w:rsid w:val="00A258B7"/>
    <w:rsid w:val="00A418F6"/>
    <w:rsid w:val="00A47CF1"/>
    <w:rsid w:val="00A50418"/>
    <w:rsid w:val="00A608FB"/>
    <w:rsid w:val="00A70E7B"/>
    <w:rsid w:val="00A7162A"/>
    <w:rsid w:val="00A76094"/>
    <w:rsid w:val="00A86CB6"/>
    <w:rsid w:val="00A8792E"/>
    <w:rsid w:val="00A90D55"/>
    <w:rsid w:val="00A95E65"/>
    <w:rsid w:val="00AA04B3"/>
    <w:rsid w:val="00AC439D"/>
    <w:rsid w:val="00AE2D29"/>
    <w:rsid w:val="00AF0FD5"/>
    <w:rsid w:val="00B32179"/>
    <w:rsid w:val="00B40A3E"/>
    <w:rsid w:val="00B522CD"/>
    <w:rsid w:val="00B55917"/>
    <w:rsid w:val="00B72303"/>
    <w:rsid w:val="00B82277"/>
    <w:rsid w:val="00B84D64"/>
    <w:rsid w:val="00B95833"/>
    <w:rsid w:val="00BA044D"/>
    <w:rsid w:val="00BA2D98"/>
    <w:rsid w:val="00BA30D1"/>
    <w:rsid w:val="00BA5BE2"/>
    <w:rsid w:val="00BA7F46"/>
    <w:rsid w:val="00BB0A0A"/>
    <w:rsid w:val="00BC09D1"/>
    <w:rsid w:val="00BD6806"/>
    <w:rsid w:val="00BD7831"/>
    <w:rsid w:val="00BD7C10"/>
    <w:rsid w:val="00BE0DEB"/>
    <w:rsid w:val="00BE6365"/>
    <w:rsid w:val="00C10958"/>
    <w:rsid w:val="00C13B34"/>
    <w:rsid w:val="00C261C6"/>
    <w:rsid w:val="00C30A97"/>
    <w:rsid w:val="00C31DDC"/>
    <w:rsid w:val="00C34326"/>
    <w:rsid w:val="00C368E8"/>
    <w:rsid w:val="00C4378D"/>
    <w:rsid w:val="00C5019E"/>
    <w:rsid w:val="00C54DF3"/>
    <w:rsid w:val="00C56FC8"/>
    <w:rsid w:val="00C71BEC"/>
    <w:rsid w:val="00C84AD1"/>
    <w:rsid w:val="00C85579"/>
    <w:rsid w:val="00C97AE0"/>
    <w:rsid w:val="00CA068D"/>
    <w:rsid w:val="00CA282D"/>
    <w:rsid w:val="00CA3B93"/>
    <w:rsid w:val="00CB23DC"/>
    <w:rsid w:val="00CB28E2"/>
    <w:rsid w:val="00CB7FF7"/>
    <w:rsid w:val="00CC2044"/>
    <w:rsid w:val="00CC69EC"/>
    <w:rsid w:val="00CD34C7"/>
    <w:rsid w:val="00CF158D"/>
    <w:rsid w:val="00CF4394"/>
    <w:rsid w:val="00D01FF8"/>
    <w:rsid w:val="00D12350"/>
    <w:rsid w:val="00D14BAE"/>
    <w:rsid w:val="00D1648B"/>
    <w:rsid w:val="00D20AC0"/>
    <w:rsid w:val="00D336C8"/>
    <w:rsid w:val="00D339E8"/>
    <w:rsid w:val="00D3563B"/>
    <w:rsid w:val="00D40B1F"/>
    <w:rsid w:val="00D50C8C"/>
    <w:rsid w:val="00D52393"/>
    <w:rsid w:val="00D53F14"/>
    <w:rsid w:val="00D76AB2"/>
    <w:rsid w:val="00D82004"/>
    <w:rsid w:val="00D829AD"/>
    <w:rsid w:val="00D83E92"/>
    <w:rsid w:val="00D87788"/>
    <w:rsid w:val="00D910C2"/>
    <w:rsid w:val="00D9189B"/>
    <w:rsid w:val="00D91DA6"/>
    <w:rsid w:val="00D972D4"/>
    <w:rsid w:val="00DA195B"/>
    <w:rsid w:val="00DB0015"/>
    <w:rsid w:val="00DB2AAD"/>
    <w:rsid w:val="00DD3593"/>
    <w:rsid w:val="00DE7E74"/>
    <w:rsid w:val="00DF68C4"/>
    <w:rsid w:val="00E00A69"/>
    <w:rsid w:val="00E017F0"/>
    <w:rsid w:val="00E041E4"/>
    <w:rsid w:val="00E0480C"/>
    <w:rsid w:val="00E14581"/>
    <w:rsid w:val="00E15539"/>
    <w:rsid w:val="00E16541"/>
    <w:rsid w:val="00E2632B"/>
    <w:rsid w:val="00E405EA"/>
    <w:rsid w:val="00E42789"/>
    <w:rsid w:val="00E50BEB"/>
    <w:rsid w:val="00E71FA6"/>
    <w:rsid w:val="00E82B6D"/>
    <w:rsid w:val="00EA11B6"/>
    <w:rsid w:val="00EA2DD8"/>
    <w:rsid w:val="00EA681F"/>
    <w:rsid w:val="00EB76E4"/>
    <w:rsid w:val="00EC0E65"/>
    <w:rsid w:val="00EC50C9"/>
    <w:rsid w:val="00ED2014"/>
    <w:rsid w:val="00ED711E"/>
    <w:rsid w:val="00EE0B44"/>
    <w:rsid w:val="00EF608E"/>
    <w:rsid w:val="00F0706C"/>
    <w:rsid w:val="00F07FF9"/>
    <w:rsid w:val="00F11EBE"/>
    <w:rsid w:val="00F1516A"/>
    <w:rsid w:val="00F21CB4"/>
    <w:rsid w:val="00F22A26"/>
    <w:rsid w:val="00F32139"/>
    <w:rsid w:val="00F34E08"/>
    <w:rsid w:val="00F41D91"/>
    <w:rsid w:val="00F46964"/>
    <w:rsid w:val="00F5126A"/>
    <w:rsid w:val="00F60344"/>
    <w:rsid w:val="00F718A8"/>
    <w:rsid w:val="00F72183"/>
    <w:rsid w:val="00F82981"/>
    <w:rsid w:val="00F8311F"/>
    <w:rsid w:val="00F83248"/>
    <w:rsid w:val="00F853AE"/>
    <w:rsid w:val="00F93DCC"/>
    <w:rsid w:val="00F9435D"/>
    <w:rsid w:val="00F959F1"/>
    <w:rsid w:val="00F95A1F"/>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21CB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470383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582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2009-12-14T13:58:00Z</cp:lastPrinted>
  <dcterms:created xsi:type="dcterms:W3CDTF">2012-01-11T16:01:00Z</dcterms:created>
  <dcterms:modified xsi:type="dcterms:W3CDTF">2012-01-23T17:07:00Z</dcterms:modified>
</cp:coreProperties>
</file>