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50625" w:rsidRDefault="00540BEF" w:rsidP="00B75887">
      <w:pPr>
        <w:tabs>
          <w:tab w:val="left" w:pos="288"/>
          <w:tab w:val="left" w:pos="4752"/>
        </w:tabs>
        <w:spacing w:line="240" w:lineRule="exact"/>
        <w:jc w:val="center"/>
        <w:rPr>
          <w:color w:val="000080"/>
        </w:rPr>
      </w:pPr>
      <w:r w:rsidRPr="00D50625">
        <w:rPr>
          <w:color w:val="000080"/>
        </w:rPr>
        <w:t>RECORD OF PROCEEDINGS</w:t>
      </w:r>
    </w:p>
    <w:p w:rsidR="00540BEF" w:rsidRPr="00D50625" w:rsidRDefault="00540BEF" w:rsidP="00B75887">
      <w:pPr>
        <w:tabs>
          <w:tab w:val="left" w:pos="288"/>
          <w:tab w:val="left" w:pos="4752"/>
        </w:tabs>
        <w:spacing w:line="240" w:lineRule="exact"/>
        <w:jc w:val="center"/>
        <w:rPr>
          <w:color w:val="000080"/>
        </w:rPr>
      </w:pPr>
      <w:r w:rsidRPr="00D50625">
        <w:rPr>
          <w:color w:val="000080"/>
        </w:rPr>
        <w:t>PHYSICAL DISABILITY BOARD OF REVIEW</w:t>
      </w:r>
    </w:p>
    <w:p w:rsidR="00540BEF" w:rsidRPr="00D50625" w:rsidRDefault="00540BEF" w:rsidP="00B75887">
      <w:pPr>
        <w:tabs>
          <w:tab w:val="left" w:pos="288"/>
          <w:tab w:val="left" w:pos="4752"/>
        </w:tabs>
        <w:spacing w:line="240" w:lineRule="exact"/>
        <w:jc w:val="both"/>
        <w:rPr>
          <w:color w:val="000080"/>
        </w:rPr>
      </w:pPr>
    </w:p>
    <w:p w:rsidR="00540BEF" w:rsidRPr="00D50625" w:rsidRDefault="00540BEF" w:rsidP="00B75887">
      <w:pPr>
        <w:tabs>
          <w:tab w:val="left" w:pos="288"/>
          <w:tab w:val="left" w:pos="4752"/>
        </w:tabs>
        <w:spacing w:line="240" w:lineRule="exact"/>
        <w:jc w:val="both"/>
        <w:rPr>
          <w:color w:val="000080"/>
        </w:rPr>
      </w:pPr>
      <w:r w:rsidRPr="00D50625">
        <w:rPr>
          <w:color w:val="000080"/>
        </w:rPr>
        <w:t>NAME:</w:t>
      </w:r>
      <w:r w:rsidRPr="00D50625">
        <w:rPr>
          <w:color w:val="000080"/>
        </w:rPr>
        <w:tab/>
      </w:r>
      <w:r w:rsidRPr="00D50625">
        <w:rPr>
          <w:color w:val="000080"/>
        </w:rPr>
        <w:tab/>
        <w:t xml:space="preserve">BRANCH OF SERVICE: </w:t>
      </w:r>
      <w:r w:rsidR="00EE4D60" w:rsidRPr="00D50625">
        <w:rPr>
          <w:color w:val="000080"/>
        </w:rPr>
        <w:t>ARMY</w:t>
      </w:r>
    </w:p>
    <w:p w:rsidR="00971D60" w:rsidRPr="00D50625" w:rsidRDefault="00540BEF" w:rsidP="00B75887">
      <w:pPr>
        <w:tabs>
          <w:tab w:val="left" w:pos="288"/>
          <w:tab w:val="left" w:pos="4752"/>
        </w:tabs>
        <w:spacing w:line="240" w:lineRule="exact"/>
        <w:jc w:val="both"/>
        <w:rPr>
          <w:color w:val="000080"/>
        </w:rPr>
      </w:pPr>
      <w:r w:rsidRPr="00D50625">
        <w:rPr>
          <w:color w:val="000080"/>
        </w:rPr>
        <w:t>CASE NUMBER:  PD0900</w:t>
      </w:r>
      <w:r w:rsidR="00EE4D60" w:rsidRPr="00D50625">
        <w:rPr>
          <w:color w:val="000080"/>
        </w:rPr>
        <w:t>063</w:t>
      </w:r>
      <w:r w:rsidRPr="00D50625">
        <w:rPr>
          <w:color w:val="000080"/>
        </w:rPr>
        <w:tab/>
      </w:r>
      <w:r w:rsidRPr="00D50625">
        <w:rPr>
          <w:color w:val="000080"/>
        </w:rPr>
        <w:tab/>
        <w:t xml:space="preserve">BOARD DATE: </w:t>
      </w:r>
      <w:r w:rsidR="00276C86" w:rsidRPr="00D50625">
        <w:rPr>
          <w:color w:val="000080"/>
        </w:rPr>
        <w:t>20</w:t>
      </w:r>
      <w:r w:rsidR="0082733B" w:rsidRPr="00D50625">
        <w:rPr>
          <w:color w:val="000080"/>
        </w:rPr>
        <w:t>100107</w:t>
      </w:r>
    </w:p>
    <w:p w:rsidR="00540BEF" w:rsidRPr="00D50625" w:rsidRDefault="00540BEF" w:rsidP="00B75887">
      <w:pPr>
        <w:tabs>
          <w:tab w:val="left" w:pos="288"/>
          <w:tab w:val="left" w:pos="4752"/>
        </w:tabs>
        <w:spacing w:line="240" w:lineRule="exact"/>
        <w:jc w:val="both"/>
        <w:rPr>
          <w:color w:val="000080"/>
        </w:rPr>
      </w:pPr>
      <w:r w:rsidRPr="00D50625">
        <w:rPr>
          <w:color w:val="000080"/>
        </w:rPr>
        <w:t xml:space="preserve">SEPARATION DATE: </w:t>
      </w:r>
      <w:r w:rsidR="00A331CF" w:rsidRPr="00D50625">
        <w:rPr>
          <w:color w:val="000080"/>
        </w:rPr>
        <w:t>20040925</w:t>
      </w:r>
    </w:p>
    <w:p w:rsidR="00540BEF" w:rsidRPr="00D50625" w:rsidRDefault="00540BEF" w:rsidP="00B75887">
      <w:pPr>
        <w:tabs>
          <w:tab w:val="left" w:pos="288"/>
          <w:tab w:val="left" w:pos="4752"/>
        </w:tabs>
        <w:spacing w:line="240" w:lineRule="exact"/>
        <w:jc w:val="both"/>
        <w:rPr>
          <w:color w:val="000080"/>
        </w:rPr>
      </w:pPr>
      <w:r w:rsidRPr="00D50625">
        <w:rPr>
          <w:color w:val="000080"/>
          <w:u w:val="single"/>
        </w:rPr>
        <w:t>_______________________________________________________________</w:t>
      </w:r>
      <w:r w:rsidRPr="00D50625">
        <w:rPr>
          <w:color w:val="000080"/>
        </w:rPr>
        <w:t>_</w:t>
      </w:r>
    </w:p>
    <w:p w:rsidR="00B522CD" w:rsidRPr="00D50625" w:rsidRDefault="00B522CD" w:rsidP="00B75887">
      <w:pPr>
        <w:tabs>
          <w:tab w:val="left" w:pos="288"/>
          <w:tab w:val="left" w:pos="4752"/>
        </w:tabs>
        <w:spacing w:line="240" w:lineRule="exact"/>
        <w:jc w:val="both"/>
        <w:rPr>
          <w:color w:val="000080"/>
        </w:rPr>
      </w:pPr>
    </w:p>
    <w:p w:rsidR="002C6E5B" w:rsidRPr="00D50625" w:rsidRDefault="002C6E5B" w:rsidP="00B75887">
      <w:pPr>
        <w:tabs>
          <w:tab w:val="left" w:pos="288"/>
          <w:tab w:val="left" w:pos="4752"/>
        </w:tabs>
        <w:spacing w:line="240" w:lineRule="exact"/>
        <w:jc w:val="both"/>
        <w:rPr>
          <w:color w:val="000080"/>
        </w:rPr>
      </w:pPr>
      <w:r w:rsidRPr="00D50625">
        <w:rPr>
          <w:color w:val="000080"/>
          <w:u w:val="single"/>
        </w:rPr>
        <w:t>SUMMARY OF CASE</w:t>
      </w:r>
      <w:r w:rsidRPr="00D50625">
        <w:rPr>
          <w:color w:val="000080"/>
        </w:rPr>
        <w:t xml:space="preserve">:  This covered individual (CI) was </w:t>
      </w:r>
      <w:r w:rsidR="0082733B" w:rsidRPr="00D50625">
        <w:rPr>
          <w:color w:val="000080"/>
        </w:rPr>
        <w:t>an active duty officer (Nurse Corps)</w:t>
      </w:r>
      <w:r w:rsidRPr="00D50625">
        <w:rPr>
          <w:color w:val="000080"/>
        </w:rPr>
        <w:t xml:space="preserve"> medically separated from the Army in 200</w:t>
      </w:r>
      <w:r w:rsidR="00D441C9" w:rsidRPr="00D50625">
        <w:rPr>
          <w:color w:val="000080"/>
        </w:rPr>
        <w:t>4</w:t>
      </w:r>
      <w:r w:rsidRPr="00D50625">
        <w:rPr>
          <w:color w:val="000080"/>
        </w:rPr>
        <w:t xml:space="preserve"> after </w:t>
      </w:r>
      <w:r w:rsidR="00D441C9" w:rsidRPr="00D50625">
        <w:rPr>
          <w:color w:val="000080"/>
        </w:rPr>
        <w:t>8</w:t>
      </w:r>
      <w:r w:rsidRPr="00D50625">
        <w:rPr>
          <w:color w:val="000080"/>
        </w:rPr>
        <w:t xml:space="preserve"> years of service.  The medical basis for the separation was </w:t>
      </w:r>
      <w:r w:rsidR="00D441C9" w:rsidRPr="00D50625">
        <w:rPr>
          <w:color w:val="000080"/>
        </w:rPr>
        <w:t xml:space="preserve">dermatitis and </w:t>
      </w:r>
      <w:r w:rsidR="0073303E" w:rsidRPr="00D50625">
        <w:rPr>
          <w:color w:val="000080"/>
        </w:rPr>
        <w:t xml:space="preserve">suspected </w:t>
      </w:r>
      <w:r w:rsidR="00D441C9" w:rsidRPr="00D50625">
        <w:rPr>
          <w:color w:val="000080"/>
        </w:rPr>
        <w:t xml:space="preserve">latex allergy.  </w:t>
      </w:r>
      <w:r w:rsidR="0073303E" w:rsidRPr="00D50625">
        <w:rPr>
          <w:color w:val="000080"/>
        </w:rPr>
        <w:t>She began to develop an intermittent rash in 2001</w:t>
      </w:r>
      <w:r w:rsidR="004D3AD9" w:rsidRPr="00D50625">
        <w:rPr>
          <w:color w:val="000080"/>
        </w:rPr>
        <w:t xml:space="preserve"> </w:t>
      </w:r>
      <w:r w:rsidR="009469B1" w:rsidRPr="00D50625">
        <w:rPr>
          <w:color w:val="000080"/>
        </w:rPr>
        <w:t xml:space="preserve">during a deployment to Korea, </w:t>
      </w:r>
      <w:r w:rsidR="00572217" w:rsidRPr="00D50625">
        <w:rPr>
          <w:color w:val="000080"/>
        </w:rPr>
        <w:t xml:space="preserve">which was temporally related to her nursing clinical duties.  </w:t>
      </w:r>
      <w:r w:rsidR="00A331CF" w:rsidRPr="00D50625">
        <w:rPr>
          <w:color w:val="000080"/>
        </w:rPr>
        <w:t>Initially the rash p</w:t>
      </w:r>
      <w:r w:rsidR="004D3AD9" w:rsidRPr="00D50625">
        <w:rPr>
          <w:color w:val="000080"/>
        </w:rPr>
        <w:t>redominant</w:t>
      </w:r>
      <w:r w:rsidR="00A331CF" w:rsidRPr="00D50625">
        <w:rPr>
          <w:color w:val="000080"/>
        </w:rPr>
        <w:t>ly</w:t>
      </w:r>
      <w:r w:rsidR="004D3AD9" w:rsidRPr="00D50625">
        <w:rPr>
          <w:color w:val="000080"/>
        </w:rPr>
        <w:t xml:space="preserve"> i</w:t>
      </w:r>
      <w:r w:rsidR="00A331CF" w:rsidRPr="00D50625">
        <w:rPr>
          <w:color w:val="000080"/>
        </w:rPr>
        <w:t>nvolved</w:t>
      </w:r>
      <w:r w:rsidR="00572217" w:rsidRPr="00D50625">
        <w:rPr>
          <w:color w:val="000080"/>
        </w:rPr>
        <w:t xml:space="preserve"> </w:t>
      </w:r>
      <w:r w:rsidR="00A331CF" w:rsidRPr="00D50625">
        <w:rPr>
          <w:color w:val="000080"/>
        </w:rPr>
        <w:t xml:space="preserve">the </w:t>
      </w:r>
      <w:r w:rsidR="00572217" w:rsidRPr="00D50625">
        <w:rPr>
          <w:color w:val="000080"/>
        </w:rPr>
        <w:t>hands, but l</w:t>
      </w:r>
      <w:r w:rsidR="004D3AD9" w:rsidRPr="00D50625">
        <w:rPr>
          <w:color w:val="000080"/>
        </w:rPr>
        <w:t xml:space="preserve">ater </w:t>
      </w:r>
      <w:r w:rsidR="00A331CF" w:rsidRPr="00D50625">
        <w:rPr>
          <w:color w:val="000080"/>
        </w:rPr>
        <w:t>it was more widely disseminated</w:t>
      </w:r>
      <w:r w:rsidR="009469B1" w:rsidRPr="00D50625">
        <w:rPr>
          <w:color w:val="000080"/>
        </w:rPr>
        <w:t xml:space="preserve">.  Latex allergy was suspected and she </w:t>
      </w:r>
      <w:r w:rsidR="00E91024" w:rsidRPr="00D50625">
        <w:rPr>
          <w:color w:val="000080"/>
        </w:rPr>
        <w:t xml:space="preserve">was </w:t>
      </w:r>
      <w:r w:rsidR="00572217" w:rsidRPr="00D50625">
        <w:rPr>
          <w:color w:val="000080"/>
        </w:rPr>
        <w:t>evacuated</w:t>
      </w:r>
      <w:r w:rsidR="00E91024" w:rsidRPr="00D50625">
        <w:rPr>
          <w:color w:val="000080"/>
        </w:rPr>
        <w:t xml:space="preserve"> to </w:t>
      </w:r>
      <w:r w:rsidR="009469B1" w:rsidRPr="00D50625">
        <w:rPr>
          <w:color w:val="000080"/>
        </w:rPr>
        <w:t>Tripler Army Medical Center</w:t>
      </w:r>
      <w:r w:rsidR="00E91024" w:rsidRPr="00D50625">
        <w:rPr>
          <w:color w:val="000080"/>
        </w:rPr>
        <w:t xml:space="preserve"> for further evaluation</w:t>
      </w:r>
      <w:r w:rsidR="009469B1" w:rsidRPr="00D50625">
        <w:rPr>
          <w:color w:val="000080"/>
        </w:rPr>
        <w:t>.</w:t>
      </w:r>
      <w:r w:rsidR="00E91024" w:rsidRPr="00D50625">
        <w:rPr>
          <w:color w:val="000080"/>
        </w:rPr>
        <w:t xml:space="preserve">  Although she had a suggestive </w:t>
      </w:r>
      <w:r w:rsidR="00E91024" w:rsidRPr="00D50625">
        <w:rPr>
          <w:rFonts w:hAnsiTheme="minorHAnsi"/>
          <w:color w:val="000080"/>
        </w:rPr>
        <w:t>‘</w:t>
      </w:r>
      <w:r w:rsidR="00E91024" w:rsidRPr="00D50625">
        <w:rPr>
          <w:color w:val="000080"/>
        </w:rPr>
        <w:t>use test</w:t>
      </w:r>
      <w:r w:rsidR="00E91024" w:rsidRPr="00D50625">
        <w:rPr>
          <w:rFonts w:hAnsiTheme="minorHAnsi"/>
          <w:color w:val="000080"/>
        </w:rPr>
        <w:t>’</w:t>
      </w:r>
      <w:r w:rsidR="00E91024" w:rsidRPr="00D50625">
        <w:rPr>
          <w:color w:val="000080"/>
        </w:rPr>
        <w:t xml:space="preserve"> for latex sensitivity, she was not positive to </w:t>
      </w:r>
      <w:r w:rsidR="009D543F" w:rsidRPr="00D50625">
        <w:rPr>
          <w:color w:val="000080"/>
        </w:rPr>
        <w:t xml:space="preserve">more </w:t>
      </w:r>
      <w:r w:rsidR="00E91024" w:rsidRPr="00D50625">
        <w:rPr>
          <w:color w:val="000080"/>
        </w:rPr>
        <w:t xml:space="preserve">specific </w:t>
      </w:r>
      <w:r w:rsidR="009D543F" w:rsidRPr="00D50625">
        <w:rPr>
          <w:color w:val="000080"/>
        </w:rPr>
        <w:t>skin and serologic testing for latex allergy.  It was felt that she probably had a more non-specific contact dermatitis related to the repetitive hand washing and use of surgical gloves required of her nursing duties.  She was returned to her duty station, but the profile limitations imposed by the condition were incompatible with her MOS and she was referred to WRAMC for further evaluation and a</w:t>
      </w:r>
      <w:r w:rsidR="00971D60" w:rsidRPr="00D50625">
        <w:rPr>
          <w:color w:val="000080"/>
        </w:rPr>
        <w:t>n</w:t>
      </w:r>
      <w:r w:rsidR="009D543F" w:rsidRPr="00D50625">
        <w:rPr>
          <w:color w:val="000080"/>
        </w:rPr>
        <w:t xml:space="preserve"> MEB.  </w:t>
      </w:r>
      <w:r w:rsidR="008E069C" w:rsidRPr="00D50625">
        <w:rPr>
          <w:color w:val="000080"/>
        </w:rPr>
        <w:t>During further skin testing there, she developed subjective symptoms of anaphylaxis (</w:t>
      </w:r>
      <w:r w:rsidR="00572217" w:rsidRPr="00D50625">
        <w:rPr>
          <w:color w:val="000080"/>
        </w:rPr>
        <w:t>a life-threatening allergic reaction</w:t>
      </w:r>
      <w:r w:rsidR="008E069C" w:rsidRPr="00D50625">
        <w:rPr>
          <w:color w:val="000080"/>
        </w:rPr>
        <w:t xml:space="preserve">) which required the use of epinephrine.  Although the specific etiology of this episode remained uncertain, the allergist at WRAMC opined that </w:t>
      </w:r>
      <w:r w:rsidR="004408ED" w:rsidRPr="00D50625">
        <w:rPr>
          <w:color w:val="000080"/>
        </w:rPr>
        <w:t xml:space="preserve">in addition to </w:t>
      </w:r>
      <w:r w:rsidR="00B26D4E" w:rsidRPr="00D50625">
        <w:rPr>
          <w:rFonts w:hAnsiTheme="minorHAnsi"/>
          <w:color w:val="000080"/>
        </w:rPr>
        <w:t>‘</w:t>
      </w:r>
      <w:r w:rsidR="00B26D4E" w:rsidRPr="00D50625">
        <w:rPr>
          <w:color w:val="000080"/>
        </w:rPr>
        <w:t>irritant contact hand dermatitis</w:t>
      </w:r>
      <w:r w:rsidR="00B26D4E" w:rsidRPr="00D50625">
        <w:rPr>
          <w:rFonts w:hAnsiTheme="minorHAnsi"/>
          <w:color w:val="000080"/>
        </w:rPr>
        <w:t>’</w:t>
      </w:r>
      <w:r w:rsidR="00B26D4E" w:rsidRPr="00D50625">
        <w:rPr>
          <w:color w:val="000080"/>
        </w:rPr>
        <w:t xml:space="preserve"> there was </w:t>
      </w:r>
      <w:r w:rsidR="00B26D4E" w:rsidRPr="00D50625">
        <w:rPr>
          <w:rFonts w:hAnsiTheme="minorHAnsi"/>
          <w:color w:val="000080"/>
        </w:rPr>
        <w:t>‘</w:t>
      </w:r>
      <w:r w:rsidR="00B26D4E" w:rsidRPr="00D50625">
        <w:rPr>
          <w:color w:val="000080"/>
        </w:rPr>
        <w:t>latex allergy causing anaphylaxis</w:t>
      </w:r>
      <w:r w:rsidR="00B26D4E" w:rsidRPr="00D50625">
        <w:rPr>
          <w:rFonts w:hAnsiTheme="minorHAnsi"/>
          <w:color w:val="000080"/>
        </w:rPr>
        <w:t>’</w:t>
      </w:r>
      <w:r w:rsidR="00B26D4E" w:rsidRPr="00D50625">
        <w:rPr>
          <w:color w:val="000080"/>
        </w:rPr>
        <w:t xml:space="preserve">.  </w:t>
      </w:r>
      <w:r w:rsidR="008E069C" w:rsidRPr="00D50625">
        <w:rPr>
          <w:color w:val="000080"/>
        </w:rPr>
        <w:t xml:space="preserve">The dermatologist who prepared the NARSUM </w:t>
      </w:r>
      <w:r w:rsidR="004408ED" w:rsidRPr="00D50625">
        <w:rPr>
          <w:color w:val="000080"/>
        </w:rPr>
        <w:t>doubted th</w:t>
      </w:r>
      <w:r w:rsidR="00B26D4E" w:rsidRPr="00D50625">
        <w:rPr>
          <w:color w:val="000080"/>
        </w:rPr>
        <w:t>e latter</w:t>
      </w:r>
      <w:r w:rsidR="004408ED" w:rsidRPr="00D50625">
        <w:rPr>
          <w:color w:val="000080"/>
        </w:rPr>
        <w:t xml:space="preserve"> diagnosis, citing the lack of objective signs of anaphylaxis or clear relationship to a latex allergen.  He </w:t>
      </w:r>
      <w:r w:rsidR="00B26D4E" w:rsidRPr="00D50625">
        <w:rPr>
          <w:color w:val="000080"/>
        </w:rPr>
        <w:t>diagnosed only the irritant</w:t>
      </w:r>
      <w:r w:rsidR="004408ED" w:rsidRPr="00D50625">
        <w:rPr>
          <w:color w:val="000080"/>
        </w:rPr>
        <w:t xml:space="preserve"> contact dermatitis.  Both the allergist and t</w:t>
      </w:r>
      <w:r w:rsidR="00B26D4E" w:rsidRPr="00D50625">
        <w:rPr>
          <w:color w:val="000080"/>
        </w:rPr>
        <w:t xml:space="preserve">he dermatologist opined that the condition was medically unacceptable in </w:t>
      </w:r>
      <w:r w:rsidR="000C534B" w:rsidRPr="00D50625">
        <w:rPr>
          <w:color w:val="000080"/>
        </w:rPr>
        <w:t>light of</w:t>
      </w:r>
      <w:r w:rsidR="00B26D4E" w:rsidRPr="00D50625">
        <w:rPr>
          <w:color w:val="000080"/>
        </w:rPr>
        <w:t xml:space="preserve"> the MOS.  The initial MEB DA 3947 listed </w:t>
      </w:r>
      <w:r w:rsidR="00840ACC" w:rsidRPr="00D50625">
        <w:rPr>
          <w:color w:val="000080"/>
        </w:rPr>
        <w:t xml:space="preserve">separate </w:t>
      </w:r>
      <w:r w:rsidR="00840ACC" w:rsidRPr="00D50625">
        <w:rPr>
          <w:rFonts w:hAnsiTheme="minorHAnsi"/>
          <w:color w:val="000080"/>
        </w:rPr>
        <w:t>‘</w:t>
      </w:r>
      <w:r w:rsidR="00840ACC" w:rsidRPr="00D50625">
        <w:rPr>
          <w:color w:val="000080"/>
        </w:rPr>
        <w:t>chronic dermatitis</w:t>
      </w:r>
      <w:r w:rsidR="00840ACC" w:rsidRPr="00D50625">
        <w:rPr>
          <w:rFonts w:hAnsiTheme="minorHAnsi"/>
          <w:color w:val="000080"/>
        </w:rPr>
        <w:t>’</w:t>
      </w:r>
      <w:r w:rsidR="00840ACC" w:rsidRPr="00D50625">
        <w:rPr>
          <w:color w:val="000080"/>
        </w:rPr>
        <w:t xml:space="preserve"> conditions for the hands and the </w:t>
      </w:r>
      <w:r w:rsidR="00840ACC" w:rsidRPr="00D50625">
        <w:rPr>
          <w:rFonts w:hAnsiTheme="minorHAnsi"/>
          <w:color w:val="000080"/>
        </w:rPr>
        <w:t>‘</w:t>
      </w:r>
      <w:r w:rsidR="00840ACC" w:rsidRPr="00D50625">
        <w:rPr>
          <w:color w:val="000080"/>
        </w:rPr>
        <w:t>trunk and extremities</w:t>
      </w:r>
      <w:r w:rsidR="00840ACC" w:rsidRPr="00D50625">
        <w:rPr>
          <w:rFonts w:hAnsiTheme="minorHAnsi"/>
          <w:color w:val="000080"/>
        </w:rPr>
        <w:t>’</w:t>
      </w:r>
      <w:r w:rsidR="00840ACC" w:rsidRPr="00D50625">
        <w:rPr>
          <w:color w:val="000080"/>
        </w:rPr>
        <w:t xml:space="preserve"> as medically unacceptable.  These were combined as a single unfitting condition by the Informal PEB and rated 0%.  Latex allergy was added as a separate condition on </w:t>
      </w:r>
      <w:r w:rsidR="000C534B" w:rsidRPr="00D50625">
        <w:rPr>
          <w:color w:val="000080"/>
        </w:rPr>
        <w:t xml:space="preserve">appeal and considered by </w:t>
      </w:r>
      <w:r w:rsidR="00840ACC" w:rsidRPr="00D50625">
        <w:rPr>
          <w:color w:val="000080"/>
        </w:rPr>
        <w:t xml:space="preserve">a Formal PEB.  The Formal PEB combined </w:t>
      </w:r>
      <w:r w:rsidR="000C534B" w:rsidRPr="00D50625">
        <w:rPr>
          <w:color w:val="000080"/>
        </w:rPr>
        <w:t>the latex allergy</w:t>
      </w:r>
      <w:r w:rsidR="00840ACC" w:rsidRPr="00D50625">
        <w:rPr>
          <w:color w:val="000080"/>
        </w:rPr>
        <w:t xml:space="preserve"> with the previous two</w:t>
      </w:r>
      <w:r w:rsidR="00A16A37" w:rsidRPr="00D50625">
        <w:rPr>
          <w:color w:val="000080"/>
        </w:rPr>
        <w:t xml:space="preserve"> </w:t>
      </w:r>
      <w:r w:rsidR="00840ACC" w:rsidRPr="00D50625">
        <w:rPr>
          <w:color w:val="000080"/>
        </w:rPr>
        <w:t xml:space="preserve">dermatitis conditions as a single unfitting condition rated 10%.  </w:t>
      </w:r>
    </w:p>
    <w:p w:rsidR="00840ACC" w:rsidRPr="00D50625" w:rsidRDefault="00840ACC" w:rsidP="00B75887">
      <w:pPr>
        <w:tabs>
          <w:tab w:val="left" w:pos="288"/>
          <w:tab w:val="left" w:pos="4752"/>
        </w:tabs>
        <w:spacing w:line="240" w:lineRule="exact"/>
        <w:jc w:val="both"/>
        <w:rPr>
          <w:color w:val="000080"/>
        </w:rPr>
      </w:pPr>
    </w:p>
    <w:p w:rsidR="00840ACC" w:rsidRPr="00D50625" w:rsidRDefault="00840ACC" w:rsidP="00B75887">
      <w:pPr>
        <w:tabs>
          <w:tab w:val="left" w:pos="288"/>
          <w:tab w:val="left" w:pos="4752"/>
        </w:tabs>
        <w:spacing w:line="240" w:lineRule="exact"/>
        <w:jc w:val="both"/>
        <w:rPr>
          <w:color w:val="auto"/>
          <w:szCs w:val="24"/>
        </w:rPr>
      </w:pPr>
      <w:r w:rsidRPr="00D50625">
        <w:rPr>
          <w:color w:val="000080"/>
        </w:rPr>
        <w:t>The CI additionally suffered a left knee condition which was forwarde</w:t>
      </w:r>
      <w:r w:rsidR="00E729C6" w:rsidRPr="00D50625">
        <w:rPr>
          <w:color w:val="000080"/>
        </w:rPr>
        <w:t xml:space="preserve">d on the DA 3947 as medically </w:t>
      </w:r>
      <w:r w:rsidRPr="00D50625">
        <w:rPr>
          <w:color w:val="000080"/>
        </w:rPr>
        <w:t xml:space="preserve">acceptable.  This was found not unfitting by the </w:t>
      </w:r>
      <w:r w:rsidR="009808DA" w:rsidRPr="00D50625">
        <w:rPr>
          <w:color w:val="000080"/>
        </w:rPr>
        <w:t>Informal and Formal PEB</w:t>
      </w:r>
      <w:r w:rsidR="009808DA" w:rsidRPr="00D50625">
        <w:rPr>
          <w:rFonts w:hAnsiTheme="minorHAnsi"/>
          <w:color w:val="000080"/>
        </w:rPr>
        <w:t>’</w:t>
      </w:r>
      <w:r w:rsidR="009808DA" w:rsidRPr="00D50625">
        <w:rPr>
          <w:color w:val="000080"/>
        </w:rPr>
        <w:t xml:space="preserve">s.  Subsequent to the Informal PEB, but prior to the Formal PEB, the CI suffered an automobile accident complicated by persistent neck and back pain.  These conditions were evaluated and treated at WRAMC, but not formally added as MEB conditions.  They were considered at the Formal PEB hearing and judged to be not </w:t>
      </w:r>
      <w:r w:rsidR="009808DA" w:rsidRPr="00D50625">
        <w:rPr>
          <w:color w:val="000080"/>
        </w:rPr>
        <w:lastRenderedPageBreak/>
        <w:t xml:space="preserve">separately unfitting, but this was not reflected as a specific DA 199 adjudication.  The </w:t>
      </w:r>
      <w:r w:rsidR="00CD770E" w:rsidRPr="00D50625">
        <w:rPr>
          <w:color w:val="000080"/>
        </w:rPr>
        <w:t xml:space="preserve">findings of the </w:t>
      </w:r>
      <w:r w:rsidR="009808DA" w:rsidRPr="00D50625">
        <w:rPr>
          <w:color w:val="000080"/>
        </w:rPr>
        <w:t xml:space="preserve">Formal PEB </w:t>
      </w:r>
      <w:r w:rsidR="00CD770E" w:rsidRPr="00D50625">
        <w:rPr>
          <w:color w:val="000080"/>
        </w:rPr>
        <w:t xml:space="preserve">were upheld on USAPDA appeal and the CI was medically separated at 10% disability for the </w:t>
      </w:r>
      <w:r w:rsidR="00E729C6" w:rsidRPr="00D50625">
        <w:rPr>
          <w:color w:val="000080"/>
        </w:rPr>
        <w:t>dermatitis/latex allergy</w:t>
      </w:r>
      <w:r w:rsidR="00CD770E" w:rsidRPr="00D50625">
        <w:rPr>
          <w:color w:val="000080"/>
        </w:rPr>
        <w:t xml:space="preserve"> condition.  The case was re-evaluated and upheld by </w:t>
      </w:r>
      <w:r w:rsidR="00A331CF" w:rsidRPr="00D50625">
        <w:rPr>
          <w:color w:val="000080"/>
        </w:rPr>
        <w:t>a</w:t>
      </w:r>
      <w:r w:rsidR="00CD770E" w:rsidRPr="00D50625">
        <w:rPr>
          <w:color w:val="000080"/>
        </w:rPr>
        <w:t xml:space="preserve"> USAPDA </w:t>
      </w:r>
      <w:r w:rsidR="00A331CF" w:rsidRPr="00D50625">
        <w:rPr>
          <w:color w:val="000080"/>
        </w:rPr>
        <w:t>advisory opinion</w:t>
      </w:r>
      <w:r w:rsidR="00CD770E" w:rsidRPr="00D50625">
        <w:rPr>
          <w:color w:val="000080"/>
        </w:rPr>
        <w:t xml:space="preserve"> </w:t>
      </w:r>
      <w:r w:rsidR="00E729C6" w:rsidRPr="00D50625">
        <w:rPr>
          <w:color w:val="000080"/>
        </w:rPr>
        <w:t>in 2006</w:t>
      </w:r>
      <w:r w:rsidR="00CD770E" w:rsidRPr="00D50625">
        <w:rPr>
          <w:color w:val="000080"/>
        </w:rPr>
        <w:t>.</w:t>
      </w:r>
      <w:r w:rsidR="00CD770E" w:rsidRPr="00D50625">
        <w:rPr>
          <w:color w:val="auto"/>
          <w:szCs w:val="24"/>
        </w:rPr>
        <w:t xml:space="preserve"> </w:t>
      </w:r>
    </w:p>
    <w:p w:rsidR="00923B25" w:rsidRPr="00D50625" w:rsidRDefault="008B5D31" w:rsidP="00B75887">
      <w:pPr>
        <w:tabs>
          <w:tab w:val="left" w:pos="288"/>
          <w:tab w:val="left" w:pos="4752"/>
        </w:tabs>
        <w:spacing w:line="240" w:lineRule="exact"/>
        <w:jc w:val="both"/>
        <w:rPr>
          <w:color w:val="000080"/>
        </w:rPr>
      </w:pPr>
      <w:r w:rsidRPr="00D50625">
        <w:rPr>
          <w:color w:val="000080"/>
          <w:u w:val="single"/>
        </w:rPr>
        <w:t>_______________________________________________________________</w:t>
      </w:r>
      <w:r w:rsidRPr="00D50625">
        <w:rPr>
          <w:color w:val="000080"/>
        </w:rPr>
        <w:t>_</w:t>
      </w:r>
    </w:p>
    <w:p w:rsidR="00923B25" w:rsidRPr="00D50625" w:rsidRDefault="00923B25" w:rsidP="00B75887">
      <w:pPr>
        <w:tabs>
          <w:tab w:val="left" w:pos="288"/>
          <w:tab w:val="left" w:pos="4752"/>
        </w:tabs>
        <w:spacing w:line="240" w:lineRule="exact"/>
        <w:jc w:val="both"/>
        <w:rPr>
          <w:color w:val="000080"/>
        </w:rPr>
      </w:pPr>
    </w:p>
    <w:p w:rsidR="00A90D55" w:rsidRPr="00D50625" w:rsidRDefault="002C6E5B" w:rsidP="00B75887">
      <w:pPr>
        <w:tabs>
          <w:tab w:val="left" w:pos="288"/>
          <w:tab w:val="left" w:pos="4752"/>
        </w:tabs>
        <w:spacing w:line="240" w:lineRule="exact"/>
        <w:jc w:val="both"/>
        <w:rPr>
          <w:color w:val="000080"/>
        </w:rPr>
      </w:pPr>
      <w:r w:rsidRPr="00D50625">
        <w:rPr>
          <w:color w:val="000080"/>
          <w:u w:val="single"/>
        </w:rPr>
        <w:t>CI CONTENTION</w:t>
      </w:r>
      <w:r w:rsidRPr="00D50625">
        <w:rPr>
          <w:color w:val="000080"/>
        </w:rPr>
        <w:t>:  The CI states:</w:t>
      </w:r>
      <w:r w:rsidR="00183DF2" w:rsidRPr="00D50625">
        <w:rPr>
          <w:color w:val="000080"/>
        </w:rPr>
        <w:t xml:space="preserve">  </w:t>
      </w:r>
      <w:r w:rsidR="00183DF2" w:rsidRPr="00D50625">
        <w:rPr>
          <w:rFonts w:hAnsiTheme="minorHAnsi"/>
          <w:color w:val="000080"/>
        </w:rPr>
        <w:t>‘</w:t>
      </w:r>
      <w:r w:rsidR="00183DF2" w:rsidRPr="00D50625">
        <w:rPr>
          <w:color w:val="000080"/>
        </w:rPr>
        <w:t>Was rated ten percent for dermatitis, not the actual, actual diagnosis was latex allergies which documented in service medical records.</w:t>
      </w:r>
      <w:r w:rsidR="00183DF2" w:rsidRPr="00D50625">
        <w:rPr>
          <w:rFonts w:hAnsiTheme="minorHAnsi"/>
          <w:color w:val="000080"/>
        </w:rPr>
        <w:t>’</w:t>
      </w:r>
    </w:p>
    <w:p w:rsidR="00A90D55" w:rsidRPr="00D50625" w:rsidRDefault="008B5D31" w:rsidP="00B75887">
      <w:pPr>
        <w:tabs>
          <w:tab w:val="left" w:pos="288"/>
          <w:tab w:val="left" w:pos="4752"/>
        </w:tabs>
        <w:spacing w:line="240" w:lineRule="exact"/>
        <w:jc w:val="both"/>
        <w:rPr>
          <w:color w:val="000080"/>
        </w:rPr>
      </w:pPr>
      <w:r w:rsidRPr="00D50625">
        <w:rPr>
          <w:color w:val="000080"/>
          <w:u w:val="single"/>
        </w:rPr>
        <w:t>_______________________________________________________________</w:t>
      </w:r>
      <w:r w:rsidRPr="00D50625">
        <w:rPr>
          <w:color w:val="000080"/>
        </w:rPr>
        <w:t>_</w:t>
      </w:r>
    </w:p>
    <w:p w:rsidR="00520115" w:rsidRPr="00D50625" w:rsidRDefault="00520115" w:rsidP="00B75887">
      <w:pPr>
        <w:spacing w:line="240" w:lineRule="exact"/>
        <w:rPr>
          <w:color w:val="000080"/>
        </w:rPr>
      </w:pPr>
    </w:p>
    <w:p w:rsidR="002338CA" w:rsidRPr="00D50625" w:rsidRDefault="002C6E5B" w:rsidP="00B75887">
      <w:pPr>
        <w:tabs>
          <w:tab w:val="left" w:pos="288"/>
          <w:tab w:val="left" w:pos="4752"/>
        </w:tabs>
        <w:spacing w:line="240" w:lineRule="exact"/>
        <w:jc w:val="both"/>
        <w:rPr>
          <w:color w:val="000080"/>
        </w:rPr>
      </w:pPr>
      <w:r w:rsidRPr="00D50625">
        <w:rPr>
          <w:color w:val="000080"/>
          <w:u w:val="single"/>
        </w:rPr>
        <w:t>RATING COMPARISON</w:t>
      </w:r>
      <w:r w:rsidRPr="00D50625">
        <w:rPr>
          <w:color w:val="000080"/>
        </w:rPr>
        <w:t>:</w:t>
      </w:r>
    </w:p>
    <w:p w:rsidR="00F82981" w:rsidRPr="00D50625" w:rsidRDefault="00F82981" w:rsidP="00B75887">
      <w:pPr>
        <w:tabs>
          <w:tab w:val="left" w:pos="288"/>
          <w:tab w:val="left" w:pos="4752"/>
        </w:tabs>
        <w:spacing w:line="240" w:lineRule="exact"/>
        <w:jc w:val="both"/>
        <w:rPr>
          <w:color w:val="000080"/>
        </w:rPr>
      </w:pPr>
    </w:p>
    <w:tbl>
      <w:tblPr>
        <w:tblStyle w:val="TableGrid"/>
        <w:tblW w:w="10890" w:type="dxa"/>
        <w:tblInd w:w="-612" w:type="dxa"/>
        <w:tblLayout w:type="fixed"/>
        <w:tblLook w:val="04A0"/>
      </w:tblPr>
      <w:tblGrid>
        <w:gridCol w:w="2610"/>
        <w:gridCol w:w="720"/>
        <w:gridCol w:w="810"/>
        <w:gridCol w:w="990"/>
        <w:gridCol w:w="2250"/>
        <w:gridCol w:w="720"/>
        <w:gridCol w:w="810"/>
        <w:gridCol w:w="990"/>
        <w:gridCol w:w="990"/>
      </w:tblGrid>
      <w:tr w:rsidR="00684E2B" w:rsidRPr="00D50625" w:rsidTr="000C217D">
        <w:trPr>
          <w:trHeight w:val="233"/>
        </w:trPr>
        <w:tc>
          <w:tcPr>
            <w:tcW w:w="5130" w:type="dxa"/>
            <w:gridSpan w:val="4"/>
            <w:tcBorders>
              <w:right w:val="thinThickThinSmallGap" w:sz="24" w:space="0" w:color="auto"/>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Service PEB</w:t>
            </w:r>
          </w:p>
        </w:tc>
        <w:tc>
          <w:tcPr>
            <w:tcW w:w="5760" w:type="dxa"/>
            <w:gridSpan w:val="5"/>
            <w:tcBorders>
              <w:left w:val="thinThickThinSmallGap" w:sz="24" w:space="0" w:color="auto"/>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VA (</w:t>
            </w:r>
            <w:r w:rsidR="00183DF2" w:rsidRPr="00D50625">
              <w:rPr>
                <w:rFonts w:ascii="Courier" w:hAnsi="Courier" w:cs="Times New Roman"/>
                <w:b/>
                <w:sz w:val="20"/>
                <w:szCs w:val="20"/>
              </w:rPr>
              <w:t>4</w:t>
            </w:r>
            <w:r w:rsidRPr="00D50625">
              <w:rPr>
                <w:rFonts w:ascii="Courier" w:hAnsi="Courier" w:cs="Times New Roman"/>
                <w:b/>
                <w:sz w:val="20"/>
                <w:szCs w:val="20"/>
              </w:rPr>
              <w:t xml:space="preserve"> Mo. after Separation)</w:t>
            </w:r>
          </w:p>
        </w:tc>
      </w:tr>
      <w:tr w:rsidR="000C217D" w:rsidRPr="00D50625" w:rsidTr="000C217D">
        <w:trPr>
          <w:trHeight w:val="233"/>
        </w:trPr>
        <w:tc>
          <w:tcPr>
            <w:tcW w:w="2610" w:type="dxa"/>
            <w:tcBorders>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Code</w:t>
            </w:r>
          </w:p>
        </w:tc>
        <w:tc>
          <w:tcPr>
            <w:tcW w:w="810" w:type="dxa"/>
            <w:tcBorders>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Date</w:t>
            </w:r>
          </w:p>
        </w:tc>
        <w:tc>
          <w:tcPr>
            <w:tcW w:w="2250" w:type="dxa"/>
            <w:tcBorders>
              <w:left w:val="thinThickThinSmallGap" w:sz="24" w:space="0" w:color="auto"/>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Code</w:t>
            </w:r>
          </w:p>
        </w:tc>
        <w:tc>
          <w:tcPr>
            <w:tcW w:w="810" w:type="dxa"/>
            <w:tcBorders>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Rating</w:t>
            </w:r>
          </w:p>
        </w:tc>
        <w:tc>
          <w:tcPr>
            <w:tcW w:w="990" w:type="dxa"/>
            <w:tcBorders>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Exam</w:t>
            </w:r>
          </w:p>
        </w:tc>
        <w:tc>
          <w:tcPr>
            <w:tcW w:w="990" w:type="dxa"/>
            <w:tcBorders>
              <w:bottom w:val="single" w:sz="4" w:space="0" w:color="000000" w:themeColor="text1"/>
            </w:tcBorders>
            <w:shd w:val="clear" w:color="auto" w:fill="EEECE1" w:themeFill="background2"/>
          </w:tcPr>
          <w:p w:rsidR="00684E2B" w:rsidRPr="00D50625" w:rsidRDefault="00684E2B"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Effective</w:t>
            </w:r>
          </w:p>
        </w:tc>
      </w:tr>
      <w:tr w:rsidR="000C217D" w:rsidRPr="00D50625" w:rsidTr="000C217D">
        <w:trPr>
          <w:trHeight w:val="152"/>
        </w:trPr>
        <w:tc>
          <w:tcPr>
            <w:tcW w:w="2610" w:type="dxa"/>
            <w:shd w:val="clear" w:color="auto" w:fill="FFFFFF" w:themeFill="background1"/>
          </w:tcPr>
          <w:p w:rsidR="00684E2B" w:rsidRPr="00D50625" w:rsidRDefault="00183DF2" w:rsidP="00B75887">
            <w:pPr>
              <w:pStyle w:val="ListParagraph"/>
              <w:spacing w:after="0" w:line="240" w:lineRule="exact"/>
              <w:ind w:left="0"/>
              <w:rPr>
                <w:rFonts w:ascii="Courier" w:hAnsi="Courier" w:cs="Times New Roman"/>
                <w:sz w:val="18"/>
                <w:szCs w:val="18"/>
              </w:rPr>
            </w:pPr>
            <w:r w:rsidRPr="00D50625">
              <w:rPr>
                <w:rFonts w:ascii="Courier" w:hAnsi="Courier" w:cs="Times New Roman"/>
                <w:sz w:val="18"/>
                <w:szCs w:val="18"/>
              </w:rPr>
              <w:t>Chronic Hand Irritant Dermatitis with a Component of Latex Sensitivity</w:t>
            </w:r>
            <w:r w:rsidRPr="00D50625">
              <w:rPr>
                <w:rFonts w:ascii="Courier" w:cs="Times New Roman"/>
                <w:sz w:val="18"/>
                <w:szCs w:val="18"/>
              </w:rPr>
              <w:t>…</w:t>
            </w:r>
          </w:p>
        </w:tc>
        <w:tc>
          <w:tcPr>
            <w:tcW w:w="720" w:type="dxa"/>
            <w:shd w:val="clear" w:color="auto" w:fill="FFFFFF" w:themeFill="background1"/>
          </w:tcPr>
          <w:p w:rsidR="00684E2B"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7809-7806</w:t>
            </w:r>
          </w:p>
        </w:tc>
        <w:tc>
          <w:tcPr>
            <w:tcW w:w="810" w:type="dxa"/>
            <w:shd w:val="clear" w:color="auto" w:fill="FFFFFF" w:themeFill="background1"/>
          </w:tcPr>
          <w:p w:rsidR="00684E2B"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10%</w:t>
            </w:r>
          </w:p>
        </w:tc>
        <w:tc>
          <w:tcPr>
            <w:tcW w:w="990" w:type="dxa"/>
            <w:tcBorders>
              <w:right w:val="thinThickThinSmallGap" w:sz="24" w:space="0" w:color="auto"/>
            </w:tcBorders>
            <w:shd w:val="clear" w:color="auto" w:fill="FFFFFF" w:themeFill="background1"/>
          </w:tcPr>
          <w:p w:rsidR="00684E2B"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20040713</w:t>
            </w:r>
          </w:p>
        </w:tc>
        <w:tc>
          <w:tcPr>
            <w:tcW w:w="2250" w:type="dxa"/>
            <w:tcBorders>
              <w:left w:val="thinThickThinSmallGap" w:sz="24" w:space="0" w:color="auto"/>
            </w:tcBorders>
            <w:shd w:val="clear" w:color="auto" w:fill="FFFFFF" w:themeFill="background1"/>
          </w:tcPr>
          <w:p w:rsidR="00684E2B" w:rsidRPr="00D50625" w:rsidRDefault="00183DF2" w:rsidP="00B75887">
            <w:pPr>
              <w:pStyle w:val="ListParagraph"/>
              <w:spacing w:after="0" w:line="240" w:lineRule="exact"/>
              <w:ind w:left="0"/>
              <w:rPr>
                <w:rFonts w:ascii="Courier" w:hAnsi="Courier" w:cs="Times New Roman"/>
                <w:sz w:val="18"/>
                <w:szCs w:val="18"/>
              </w:rPr>
            </w:pPr>
            <w:r w:rsidRPr="00D50625">
              <w:rPr>
                <w:rFonts w:ascii="Courier" w:hAnsi="Courier" w:cs="Times New Roman"/>
                <w:sz w:val="18"/>
                <w:szCs w:val="18"/>
              </w:rPr>
              <w:t>Allergic Reaction to Latex</w:t>
            </w:r>
            <w:r w:rsidRPr="00D50625">
              <w:rPr>
                <w:rFonts w:ascii="Courier" w:cs="Times New Roman"/>
                <w:sz w:val="18"/>
                <w:szCs w:val="18"/>
              </w:rPr>
              <w:t>…</w:t>
            </w:r>
          </w:p>
        </w:tc>
        <w:tc>
          <w:tcPr>
            <w:tcW w:w="720" w:type="dxa"/>
            <w:shd w:val="clear" w:color="auto" w:fill="FFFFFF" w:themeFill="background1"/>
          </w:tcPr>
          <w:p w:rsidR="00684E2B"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7806</w:t>
            </w:r>
          </w:p>
        </w:tc>
        <w:tc>
          <w:tcPr>
            <w:tcW w:w="810" w:type="dxa"/>
            <w:shd w:val="clear" w:color="auto" w:fill="FFFFFF" w:themeFill="background1"/>
          </w:tcPr>
          <w:p w:rsidR="00684E2B"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30%</w:t>
            </w:r>
          </w:p>
        </w:tc>
        <w:tc>
          <w:tcPr>
            <w:tcW w:w="990" w:type="dxa"/>
            <w:shd w:val="clear" w:color="auto" w:fill="FFFFFF" w:themeFill="background1"/>
          </w:tcPr>
          <w:p w:rsidR="00684E2B"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20050128</w:t>
            </w:r>
          </w:p>
        </w:tc>
        <w:tc>
          <w:tcPr>
            <w:tcW w:w="990" w:type="dxa"/>
            <w:shd w:val="clear" w:color="auto" w:fill="FFFFFF" w:themeFill="background1"/>
          </w:tcPr>
          <w:p w:rsidR="00684E2B"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20040926</w:t>
            </w:r>
          </w:p>
        </w:tc>
      </w:tr>
      <w:tr w:rsidR="00183DF2" w:rsidRPr="00D50625" w:rsidTr="000C217D">
        <w:trPr>
          <w:trHeight w:val="188"/>
        </w:trPr>
        <w:tc>
          <w:tcPr>
            <w:tcW w:w="2610" w:type="dxa"/>
            <w:shd w:val="clear" w:color="auto" w:fill="FFFFFF" w:themeFill="background1"/>
          </w:tcPr>
          <w:p w:rsidR="00183DF2" w:rsidRPr="00D50625" w:rsidRDefault="00183DF2" w:rsidP="00B75887">
            <w:pPr>
              <w:pStyle w:val="ListParagraph"/>
              <w:spacing w:after="0" w:line="240" w:lineRule="exact"/>
              <w:ind w:left="0"/>
              <w:rPr>
                <w:rFonts w:ascii="Courier" w:hAnsi="Courier" w:cs="Times New Roman"/>
                <w:sz w:val="18"/>
                <w:szCs w:val="18"/>
              </w:rPr>
            </w:pPr>
            <w:r w:rsidRPr="00D50625">
              <w:rPr>
                <w:rFonts w:ascii="Courier" w:hAnsi="Courier" w:cs="Times New Roman"/>
                <w:sz w:val="18"/>
                <w:szCs w:val="18"/>
              </w:rPr>
              <w:t>Healed L Knee Medial Meniscus</w:t>
            </w:r>
          </w:p>
        </w:tc>
        <w:tc>
          <w:tcPr>
            <w:tcW w:w="1530" w:type="dxa"/>
            <w:gridSpan w:val="2"/>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Not Unfitting</w:t>
            </w:r>
          </w:p>
        </w:tc>
        <w:tc>
          <w:tcPr>
            <w:tcW w:w="990" w:type="dxa"/>
            <w:tcBorders>
              <w:right w:val="thinThickThinSmallGap" w:sz="2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20040713</w:t>
            </w:r>
          </w:p>
        </w:tc>
        <w:tc>
          <w:tcPr>
            <w:tcW w:w="2250" w:type="dxa"/>
            <w:tcBorders>
              <w:left w:val="thinThickThinSmallGap" w:sz="24" w:space="0" w:color="auto"/>
            </w:tcBorders>
            <w:shd w:val="clear" w:color="auto" w:fill="FFFFFF" w:themeFill="background1"/>
          </w:tcPr>
          <w:p w:rsidR="00183DF2" w:rsidRPr="00D50625" w:rsidRDefault="00183DF2" w:rsidP="00B75887">
            <w:pPr>
              <w:pStyle w:val="ListParagraph"/>
              <w:spacing w:after="0" w:line="240" w:lineRule="exact"/>
              <w:ind w:left="0"/>
              <w:rPr>
                <w:rFonts w:ascii="Courier" w:hAnsi="Courier" w:cs="Times New Roman"/>
                <w:sz w:val="18"/>
                <w:szCs w:val="18"/>
              </w:rPr>
            </w:pPr>
            <w:r w:rsidRPr="00D50625">
              <w:rPr>
                <w:rFonts w:ascii="Courier" w:hAnsi="Courier" w:cs="Times New Roman"/>
                <w:sz w:val="18"/>
                <w:szCs w:val="18"/>
              </w:rPr>
              <w:t>Residuals of L Knee Surgery</w:t>
            </w:r>
          </w:p>
        </w:tc>
        <w:tc>
          <w:tcPr>
            <w:tcW w:w="72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5259</w:t>
            </w:r>
          </w:p>
        </w:tc>
        <w:tc>
          <w:tcPr>
            <w:tcW w:w="81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10%</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20050128</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20040926</w:t>
            </w:r>
          </w:p>
        </w:tc>
      </w:tr>
      <w:tr w:rsidR="00183DF2" w:rsidRPr="00D50625" w:rsidTr="000C217D">
        <w:trPr>
          <w:trHeight w:val="197"/>
        </w:trPr>
        <w:tc>
          <w:tcPr>
            <w:tcW w:w="5130" w:type="dxa"/>
            <w:gridSpan w:val="4"/>
            <w:tcBorders>
              <w:right w:val="thinThickThinSmallGap" w:sz="2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eastAsiaTheme="minorEastAsia" w:hAnsi="Courier"/>
                <w:sz w:val="18"/>
                <w:szCs w:val="18"/>
              </w:rPr>
            </w:pPr>
            <w:r w:rsidRPr="00D50625">
              <w:rPr>
                <w:rFonts w:ascii="Courier" w:eastAsiaTheme="minorEastAsia" w:hAnsi="Courier"/>
                <w:sz w:val="18"/>
                <w:szCs w:val="18"/>
              </w:rPr>
              <w:t>No DA 3947 Entry.</w:t>
            </w:r>
          </w:p>
        </w:tc>
        <w:tc>
          <w:tcPr>
            <w:tcW w:w="2250" w:type="dxa"/>
            <w:tcBorders>
              <w:left w:val="thinThickThinSmallGap" w:sz="24" w:space="0" w:color="auto"/>
              <w:right w:val="single" w:sz="4" w:space="0" w:color="auto"/>
            </w:tcBorders>
            <w:shd w:val="clear" w:color="auto" w:fill="FFFFFF" w:themeFill="background1"/>
          </w:tcPr>
          <w:p w:rsidR="00183DF2" w:rsidRPr="00D50625" w:rsidRDefault="00183DF2" w:rsidP="00B75887">
            <w:pPr>
              <w:pStyle w:val="ListParagraph"/>
              <w:spacing w:after="0" w:line="240" w:lineRule="exact"/>
              <w:ind w:left="0"/>
              <w:rPr>
                <w:rFonts w:ascii="Courier" w:hAnsi="Courier" w:cs="Times New Roman"/>
                <w:sz w:val="18"/>
                <w:szCs w:val="18"/>
              </w:rPr>
            </w:pPr>
            <w:r w:rsidRPr="00D50625">
              <w:rPr>
                <w:rFonts w:ascii="Courier" w:hAnsi="Courier" w:cs="Times New Roman"/>
                <w:sz w:val="18"/>
                <w:szCs w:val="18"/>
              </w:rPr>
              <w:t>Cervical Spine Strain</w:t>
            </w:r>
          </w:p>
        </w:tc>
        <w:tc>
          <w:tcPr>
            <w:tcW w:w="720" w:type="dxa"/>
            <w:tcBorders>
              <w:left w:val="single" w:sz="4" w:space="0" w:color="auto"/>
              <w:right w:val="single" w:sz="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5237</w:t>
            </w:r>
          </w:p>
        </w:tc>
        <w:tc>
          <w:tcPr>
            <w:tcW w:w="810" w:type="dxa"/>
            <w:tcBorders>
              <w:left w:val="single" w:sz="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0%</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20050128</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20040926</w:t>
            </w:r>
          </w:p>
        </w:tc>
      </w:tr>
      <w:tr w:rsidR="00183DF2" w:rsidRPr="00D50625" w:rsidTr="000C217D">
        <w:trPr>
          <w:trHeight w:val="197"/>
        </w:trPr>
        <w:tc>
          <w:tcPr>
            <w:tcW w:w="5130" w:type="dxa"/>
            <w:gridSpan w:val="4"/>
            <w:tcBorders>
              <w:right w:val="thinThickThinSmallGap" w:sz="2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eastAsiaTheme="minorEastAsia" w:hAnsi="Courier"/>
                <w:sz w:val="18"/>
                <w:szCs w:val="18"/>
              </w:rPr>
            </w:pPr>
            <w:r w:rsidRPr="00D50625">
              <w:rPr>
                <w:rFonts w:ascii="Courier" w:eastAsiaTheme="minorEastAsia" w:hAnsi="Courier"/>
                <w:sz w:val="18"/>
                <w:szCs w:val="18"/>
              </w:rPr>
              <w:t>No DA 3947 Entry.</w:t>
            </w:r>
          </w:p>
        </w:tc>
        <w:tc>
          <w:tcPr>
            <w:tcW w:w="2250" w:type="dxa"/>
            <w:tcBorders>
              <w:left w:val="thinThickThinSmallGap" w:sz="24" w:space="0" w:color="auto"/>
              <w:right w:val="single" w:sz="4" w:space="0" w:color="auto"/>
            </w:tcBorders>
            <w:shd w:val="clear" w:color="auto" w:fill="FFFFFF" w:themeFill="background1"/>
          </w:tcPr>
          <w:p w:rsidR="00183DF2" w:rsidRPr="00D50625" w:rsidRDefault="00183DF2" w:rsidP="00B75887">
            <w:pPr>
              <w:pStyle w:val="ListParagraph"/>
              <w:spacing w:after="0" w:line="240" w:lineRule="exact"/>
              <w:ind w:left="0"/>
              <w:rPr>
                <w:rFonts w:ascii="Courier" w:hAnsi="Courier" w:cs="Times New Roman"/>
                <w:sz w:val="18"/>
                <w:szCs w:val="18"/>
              </w:rPr>
            </w:pPr>
            <w:r w:rsidRPr="00D50625">
              <w:rPr>
                <w:rFonts w:ascii="Courier" w:hAnsi="Courier" w:cs="Times New Roman"/>
                <w:sz w:val="18"/>
                <w:szCs w:val="18"/>
              </w:rPr>
              <w:t>Degen</w:t>
            </w:r>
            <w:r w:rsidR="001016C0" w:rsidRPr="00D50625">
              <w:rPr>
                <w:rFonts w:ascii="Courier" w:hAnsi="Courier" w:cs="Times New Roman"/>
                <w:sz w:val="18"/>
                <w:szCs w:val="18"/>
              </w:rPr>
              <w:t>erative</w:t>
            </w:r>
            <w:r w:rsidRPr="00D50625">
              <w:rPr>
                <w:rFonts w:ascii="Courier" w:hAnsi="Courier" w:cs="Times New Roman"/>
                <w:sz w:val="18"/>
                <w:szCs w:val="18"/>
              </w:rPr>
              <w:t xml:space="preserve"> Disc Disease L5-S1</w:t>
            </w:r>
          </w:p>
        </w:tc>
        <w:tc>
          <w:tcPr>
            <w:tcW w:w="720" w:type="dxa"/>
            <w:tcBorders>
              <w:left w:val="single" w:sz="4" w:space="0" w:color="auto"/>
              <w:right w:val="single" w:sz="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5243</w:t>
            </w:r>
          </w:p>
        </w:tc>
        <w:tc>
          <w:tcPr>
            <w:tcW w:w="810" w:type="dxa"/>
            <w:tcBorders>
              <w:left w:val="single" w:sz="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10%</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20050128</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20040926</w:t>
            </w:r>
          </w:p>
        </w:tc>
      </w:tr>
      <w:tr w:rsidR="00183DF2" w:rsidRPr="00D50625" w:rsidTr="000C217D">
        <w:trPr>
          <w:trHeight w:val="197"/>
        </w:trPr>
        <w:tc>
          <w:tcPr>
            <w:tcW w:w="5130" w:type="dxa"/>
            <w:gridSpan w:val="4"/>
            <w:tcBorders>
              <w:right w:val="thinThickThinSmallGap" w:sz="2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b/>
                <w:sz w:val="18"/>
                <w:szCs w:val="18"/>
              </w:rPr>
            </w:pPr>
            <w:r w:rsidRPr="00D50625">
              <w:rPr>
                <w:rFonts w:ascii="Courier" w:eastAsiaTheme="minorEastAsia" w:hAnsi="Courier"/>
                <w:sz w:val="18"/>
                <w:szCs w:val="18"/>
              </w:rPr>
              <w:t>No Additional DA 3947 Entries.</w:t>
            </w:r>
          </w:p>
        </w:tc>
        <w:tc>
          <w:tcPr>
            <w:tcW w:w="3780" w:type="dxa"/>
            <w:gridSpan w:val="3"/>
            <w:tcBorders>
              <w:left w:val="thinThickThinSmallGap" w:sz="24" w:space="0" w:color="auto"/>
            </w:tcBorders>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Non-PEB X  6 / NSC X 6</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20050128</w:t>
            </w:r>
          </w:p>
        </w:tc>
        <w:tc>
          <w:tcPr>
            <w:tcW w:w="990" w:type="dxa"/>
            <w:shd w:val="clear" w:color="auto" w:fill="FFFFFF" w:themeFill="background1"/>
          </w:tcPr>
          <w:p w:rsidR="00183DF2" w:rsidRPr="00D50625" w:rsidRDefault="00183DF2" w:rsidP="00B75887">
            <w:pPr>
              <w:pStyle w:val="ListParagraph"/>
              <w:spacing w:after="0" w:line="240" w:lineRule="exact"/>
              <w:ind w:left="0"/>
              <w:jc w:val="center"/>
              <w:rPr>
                <w:rFonts w:ascii="Courier" w:hAnsi="Courier" w:cs="Times New Roman"/>
                <w:sz w:val="18"/>
                <w:szCs w:val="18"/>
              </w:rPr>
            </w:pPr>
            <w:r w:rsidRPr="00D50625">
              <w:rPr>
                <w:rFonts w:ascii="Courier" w:hAnsi="Courier" w:cs="Times New Roman"/>
                <w:sz w:val="18"/>
                <w:szCs w:val="18"/>
              </w:rPr>
              <w:t>20040926</w:t>
            </w:r>
          </w:p>
        </w:tc>
      </w:tr>
      <w:tr w:rsidR="00183DF2" w:rsidRPr="00D50625" w:rsidTr="000C217D">
        <w:trPr>
          <w:trHeight w:val="242"/>
        </w:trPr>
        <w:tc>
          <w:tcPr>
            <w:tcW w:w="5130" w:type="dxa"/>
            <w:gridSpan w:val="4"/>
            <w:tcBorders>
              <w:right w:val="thinThickThinSmallGap" w:sz="24" w:space="0" w:color="auto"/>
            </w:tcBorders>
            <w:shd w:val="clear" w:color="auto" w:fill="EEECE1" w:themeFill="background2"/>
          </w:tcPr>
          <w:p w:rsidR="00183DF2" w:rsidRPr="00D50625" w:rsidRDefault="00183DF2"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TOTAL Combined:  10%</w:t>
            </w:r>
          </w:p>
        </w:tc>
        <w:tc>
          <w:tcPr>
            <w:tcW w:w="5760" w:type="dxa"/>
            <w:gridSpan w:val="5"/>
            <w:tcBorders>
              <w:left w:val="thinThickThinSmallGap" w:sz="24" w:space="0" w:color="auto"/>
            </w:tcBorders>
            <w:shd w:val="clear" w:color="auto" w:fill="EEECE1" w:themeFill="background2"/>
          </w:tcPr>
          <w:p w:rsidR="00183DF2" w:rsidRPr="00D50625" w:rsidRDefault="00183DF2" w:rsidP="00B75887">
            <w:pPr>
              <w:pStyle w:val="ListParagraph"/>
              <w:spacing w:after="0" w:line="240" w:lineRule="exact"/>
              <w:ind w:left="0"/>
              <w:jc w:val="center"/>
              <w:rPr>
                <w:rFonts w:ascii="Courier" w:hAnsi="Courier" w:cs="Times New Roman"/>
                <w:b/>
                <w:sz w:val="20"/>
                <w:szCs w:val="20"/>
              </w:rPr>
            </w:pPr>
            <w:r w:rsidRPr="00D50625">
              <w:rPr>
                <w:rFonts w:ascii="Courier" w:hAnsi="Courier" w:cs="Times New Roman"/>
                <w:b/>
                <w:sz w:val="20"/>
                <w:szCs w:val="20"/>
              </w:rPr>
              <w:t>TOTAL Combined (</w:t>
            </w:r>
            <w:r w:rsidRPr="00D50625">
              <w:rPr>
                <w:rFonts w:ascii="Courier" w:hAnsi="Courier" w:cs="Times New Roman"/>
                <w:b/>
                <w:i/>
                <w:sz w:val="20"/>
                <w:szCs w:val="20"/>
              </w:rPr>
              <w:t>Includes Non-PEB Conditions</w:t>
            </w:r>
            <w:r w:rsidRPr="00D50625">
              <w:rPr>
                <w:rFonts w:ascii="Courier" w:hAnsi="Courier" w:cs="Times New Roman"/>
                <w:b/>
                <w:sz w:val="20"/>
                <w:szCs w:val="20"/>
              </w:rPr>
              <w:t xml:space="preserve">):    50%                                                                         </w:t>
            </w:r>
            <w:r w:rsidRPr="00D50625">
              <w:rPr>
                <w:rFonts w:ascii="Courier" w:hAnsi="Courier" w:cs="Times New Roman"/>
                <w:color w:val="000000"/>
                <w:sz w:val="20"/>
                <w:szCs w:val="20"/>
              </w:rPr>
              <w:t xml:space="preserve"> </w:t>
            </w:r>
          </w:p>
        </w:tc>
      </w:tr>
    </w:tbl>
    <w:p w:rsidR="00A90D55" w:rsidRPr="00D50625" w:rsidRDefault="008B5D31" w:rsidP="00B75887">
      <w:pPr>
        <w:tabs>
          <w:tab w:val="left" w:pos="288"/>
          <w:tab w:val="left" w:pos="4752"/>
        </w:tabs>
        <w:spacing w:line="240" w:lineRule="exact"/>
        <w:jc w:val="both"/>
        <w:rPr>
          <w:color w:val="000080"/>
        </w:rPr>
      </w:pPr>
      <w:r w:rsidRPr="00D50625">
        <w:rPr>
          <w:color w:val="000080"/>
          <w:u w:val="single"/>
        </w:rPr>
        <w:t>_______________________________________________________________</w:t>
      </w:r>
      <w:r w:rsidR="00A90D55" w:rsidRPr="00D50625">
        <w:rPr>
          <w:color w:val="000080"/>
        </w:rPr>
        <w:t>_</w:t>
      </w:r>
    </w:p>
    <w:p w:rsidR="00A90D55" w:rsidRPr="00D50625" w:rsidRDefault="00A90D55" w:rsidP="00B75887">
      <w:pPr>
        <w:tabs>
          <w:tab w:val="left" w:pos="288"/>
          <w:tab w:val="left" w:pos="4752"/>
        </w:tabs>
        <w:spacing w:line="240" w:lineRule="exact"/>
        <w:jc w:val="both"/>
        <w:rPr>
          <w:color w:val="000080"/>
        </w:rPr>
      </w:pPr>
    </w:p>
    <w:p w:rsidR="002C6E5B" w:rsidRPr="00D50625" w:rsidRDefault="002C6E5B" w:rsidP="00B75887">
      <w:pPr>
        <w:tabs>
          <w:tab w:val="left" w:pos="288"/>
          <w:tab w:val="left" w:pos="4752"/>
        </w:tabs>
        <w:spacing w:line="240" w:lineRule="exact"/>
        <w:jc w:val="both"/>
        <w:rPr>
          <w:color w:val="000080"/>
        </w:rPr>
      </w:pPr>
      <w:r w:rsidRPr="00D50625">
        <w:rPr>
          <w:color w:val="000080"/>
          <w:u w:val="single"/>
        </w:rPr>
        <w:t>ANALYSIS SUMMARY</w:t>
      </w:r>
      <w:r w:rsidRPr="00D50625">
        <w:rPr>
          <w:color w:val="000080"/>
        </w:rPr>
        <w:t>:</w:t>
      </w:r>
    </w:p>
    <w:p w:rsidR="002C6E5B" w:rsidRPr="00D50625" w:rsidRDefault="002C6E5B" w:rsidP="00B75887">
      <w:pPr>
        <w:tabs>
          <w:tab w:val="left" w:pos="288"/>
          <w:tab w:val="left" w:pos="4752"/>
        </w:tabs>
        <w:spacing w:line="240" w:lineRule="exact"/>
        <w:jc w:val="both"/>
        <w:rPr>
          <w:color w:val="000080"/>
        </w:rPr>
      </w:pPr>
    </w:p>
    <w:p w:rsidR="002C6E5B" w:rsidRPr="00D50625" w:rsidRDefault="00C31118" w:rsidP="00B75887">
      <w:pPr>
        <w:tabs>
          <w:tab w:val="left" w:pos="288"/>
          <w:tab w:val="left" w:pos="4752"/>
        </w:tabs>
        <w:spacing w:line="240" w:lineRule="exact"/>
        <w:jc w:val="both"/>
        <w:rPr>
          <w:color w:val="000080"/>
        </w:rPr>
      </w:pPr>
      <w:proofErr w:type="gramStart"/>
      <w:r w:rsidRPr="00D50625">
        <w:rPr>
          <w:color w:val="000080"/>
          <w:u w:val="single"/>
        </w:rPr>
        <w:t>Dermatitis</w:t>
      </w:r>
      <w:r w:rsidR="000C217D" w:rsidRPr="00D50625">
        <w:rPr>
          <w:color w:val="000080"/>
          <w:u w:val="single"/>
        </w:rPr>
        <w:t>/Latex</w:t>
      </w:r>
      <w:r w:rsidR="002C6E5B" w:rsidRPr="00D50625">
        <w:rPr>
          <w:color w:val="000080"/>
          <w:u w:val="single"/>
        </w:rPr>
        <w:t xml:space="preserve"> Condition</w:t>
      </w:r>
      <w:r w:rsidR="002C6E5B" w:rsidRPr="00D50625">
        <w:rPr>
          <w:color w:val="000080"/>
        </w:rPr>
        <w:t>.</w:t>
      </w:r>
      <w:proofErr w:type="gramEnd"/>
      <w:r w:rsidR="002C6E5B" w:rsidRPr="00D50625">
        <w:rPr>
          <w:color w:val="000080"/>
        </w:rPr>
        <w:t xml:space="preserve">  The</w:t>
      </w:r>
      <w:r w:rsidR="000C217D" w:rsidRPr="00D50625">
        <w:rPr>
          <w:color w:val="000080"/>
        </w:rPr>
        <w:t xml:space="preserve"> medical details of this condition (or group of conditions) are somewhat complex.  There was a plethora of specialty evaluations, testing and opinions.  It is clear that, as a minimum, there was a contact dermatitis related to offending agents specific to the CI</w:t>
      </w:r>
      <w:r w:rsidR="000C217D" w:rsidRPr="00D50625">
        <w:rPr>
          <w:rFonts w:hAnsiTheme="minorHAnsi"/>
          <w:color w:val="000080"/>
        </w:rPr>
        <w:t>’</w:t>
      </w:r>
      <w:r w:rsidR="000C217D" w:rsidRPr="00D50625">
        <w:rPr>
          <w:color w:val="000080"/>
        </w:rPr>
        <w:t>s medical MOS.  It is clear that this was associated intermittent</w:t>
      </w:r>
      <w:r w:rsidR="000C534B" w:rsidRPr="00D50625">
        <w:rPr>
          <w:color w:val="000080"/>
        </w:rPr>
        <w:t xml:space="preserve">ly with a wider </w:t>
      </w:r>
      <w:r w:rsidR="000C217D" w:rsidRPr="00D50625">
        <w:rPr>
          <w:color w:val="000080"/>
        </w:rPr>
        <w:t xml:space="preserve">distribution than </w:t>
      </w:r>
      <w:r w:rsidR="000C534B" w:rsidRPr="00D50625">
        <w:rPr>
          <w:color w:val="000080"/>
        </w:rPr>
        <w:t xml:space="preserve">just </w:t>
      </w:r>
      <w:r w:rsidR="00A331CF" w:rsidRPr="00D50625">
        <w:rPr>
          <w:color w:val="000080"/>
        </w:rPr>
        <w:t>the hands;</w:t>
      </w:r>
      <w:r w:rsidR="000C217D" w:rsidRPr="00D50625">
        <w:rPr>
          <w:color w:val="000080"/>
        </w:rPr>
        <w:t xml:space="preserve"> </w:t>
      </w:r>
      <w:r w:rsidR="00A331CF" w:rsidRPr="00D50625">
        <w:rPr>
          <w:color w:val="000080"/>
        </w:rPr>
        <w:t xml:space="preserve">clear </w:t>
      </w:r>
      <w:r w:rsidR="000C217D" w:rsidRPr="00D50625">
        <w:rPr>
          <w:color w:val="000080"/>
        </w:rPr>
        <w:t xml:space="preserve">that there </w:t>
      </w:r>
      <w:r w:rsidR="00746633" w:rsidRPr="00D50625">
        <w:rPr>
          <w:color w:val="000080"/>
        </w:rPr>
        <w:t xml:space="preserve">were </w:t>
      </w:r>
      <w:r w:rsidR="00571EA0" w:rsidRPr="00D50625">
        <w:rPr>
          <w:color w:val="000080"/>
        </w:rPr>
        <w:t>occasional</w:t>
      </w:r>
      <w:r w:rsidR="000C217D" w:rsidRPr="00D50625">
        <w:rPr>
          <w:color w:val="000080"/>
        </w:rPr>
        <w:t xml:space="preserve"> systemic allergic</w:t>
      </w:r>
      <w:r w:rsidR="00571EA0" w:rsidRPr="00D50625">
        <w:rPr>
          <w:color w:val="000080"/>
        </w:rPr>
        <w:t xml:space="preserve"> symptoms</w:t>
      </w:r>
      <w:r w:rsidR="00A331CF" w:rsidRPr="00D50625">
        <w:rPr>
          <w:color w:val="000080"/>
        </w:rPr>
        <w:t>;</w:t>
      </w:r>
      <w:r w:rsidR="00571EA0" w:rsidRPr="00D50625">
        <w:rPr>
          <w:color w:val="000080"/>
        </w:rPr>
        <w:t xml:space="preserve"> and </w:t>
      </w:r>
      <w:r w:rsidR="00A331CF" w:rsidRPr="00D50625">
        <w:rPr>
          <w:color w:val="000080"/>
        </w:rPr>
        <w:t xml:space="preserve">clear </w:t>
      </w:r>
      <w:r w:rsidR="00571EA0" w:rsidRPr="00D50625">
        <w:rPr>
          <w:color w:val="000080"/>
        </w:rPr>
        <w:t xml:space="preserve">that the condition was incompatible with </w:t>
      </w:r>
      <w:r w:rsidR="00746633" w:rsidRPr="00D50625">
        <w:rPr>
          <w:color w:val="000080"/>
        </w:rPr>
        <w:t>her clinical MOS.  It will be assumed that latex played a role, although there is conflicting evidence in that regard.  The allergy specialist</w:t>
      </w:r>
      <w:r w:rsidR="00746633" w:rsidRPr="00D50625">
        <w:rPr>
          <w:rFonts w:hAnsiTheme="minorHAnsi"/>
          <w:color w:val="000080"/>
        </w:rPr>
        <w:t>’</w:t>
      </w:r>
      <w:r w:rsidR="00746633" w:rsidRPr="00D50625">
        <w:rPr>
          <w:color w:val="000080"/>
        </w:rPr>
        <w:t xml:space="preserve">s conclusion that the CI suffered an anaphylactic complication is subject to doubt, given the clinical details.  She suffered a later episode with some evidence of a more serious reaction, and the presence of </w:t>
      </w:r>
      <w:proofErr w:type="spellStart"/>
      <w:r w:rsidR="00746633" w:rsidRPr="00D50625">
        <w:rPr>
          <w:color w:val="000080"/>
        </w:rPr>
        <w:t>urticaria</w:t>
      </w:r>
      <w:proofErr w:type="spellEnd"/>
      <w:r w:rsidR="00746633" w:rsidRPr="00D50625">
        <w:rPr>
          <w:color w:val="000080"/>
        </w:rPr>
        <w:t xml:space="preserve"> (hives) was documented on </w:t>
      </w:r>
      <w:r w:rsidR="000C534B" w:rsidRPr="00D50625">
        <w:rPr>
          <w:color w:val="000080"/>
        </w:rPr>
        <w:t>various</w:t>
      </w:r>
      <w:r w:rsidR="00746633" w:rsidRPr="00D50625">
        <w:rPr>
          <w:color w:val="000080"/>
        </w:rPr>
        <w:t xml:space="preserve"> occasion</w:t>
      </w:r>
      <w:r w:rsidR="000C534B" w:rsidRPr="00D50625">
        <w:rPr>
          <w:color w:val="000080"/>
        </w:rPr>
        <w:t>s</w:t>
      </w:r>
      <w:r w:rsidR="00746633" w:rsidRPr="00D50625">
        <w:rPr>
          <w:color w:val="000080"/>
        </w:rPr>
        <w:t xml:space="preserve">.  She was prescribed an emergency epinephrine auto-injector, and it will be assumed that she </w:t>
      </w:r>
      <w:r w:rsidR="002D535B" w:rsidRPr="00D50625">
        <w:rPr>
          <w:color w:val="000080"/>
        </w:rPr>
        <w:t>suffered from a</w:t>
      </w:r>
      <w:r w:rsidR="00C9303E" w:rsidRPr="00D50625">
        <w:rPr>
          <w:color w:val="000080"/>
        </w:rPr>
        <w:t xml:space="preserve"> life-threatening </w:t>
      </w:r>
      <w:r w:rsidR="002D535B" w:rsidRPr="00D50625">
        <w:rPr>
          <w:color w:val="000080"/>
        </w:rPr>
        <w:lastRenderedPageBreak/>
        <w:t>allergy</w:t>
      </w:r>
      <w:r w:rsidR="00C9303E" w:rsidRPr="00D50625">
        <w:rPr>
          <w:color w:val="000080"/>
        </w:rPr>
        <w:t>.  As the USAPDA pointed out in an advisory opinion dated 7 SEP 2006</w:t>
      </w:r>
      <w:r w:rsidR="00971D60" w:rsidRPr="00D50625">
        <w:rPr>
          <w:color w:val="000080"/>
        </w:rPr>
        <w:t>;</w:t>
      </w:r>
      <w:r w:rsidR="00C9303E" w:rsidRPr="00D50625">
        <w:rPr>
          <w:color w:val="000080"/>
        </w:rPr>
        <w:t xml:space="preserve"> however, neither the loss of a preferred career nor the risk of possible future complications are grounds for a higher disability rating </w:t>
      </w:r>
      <w:r w:rsidR="002D535B" w:rsidRPr="00D50625">
        <w:rPr>
          <w:color w:val="000080"/>
        </w:rPr>
        <w:t>than can be</w:t>
      </w:r>
      <w:r w:rsidR="00C9303E" w:rsidRPr="00D50625">
        <w:rPr>
          <w:color w:val="000080"/>
        </w:rPr>
        <w:t xml:space="preserve"> supported under the VASRD.  </w:t>
      </w:r>
      <w:r w:rsidR="005A040E" w:rsidRPr="00D50625">
        <w:rPr>
          <w:color w:val="000080"/>
        </w:rPr>
        <w:t>T</w:t>
      </w:r>
      <w:r w:rsidR="00C9303E" w:rsidRPr="00D50625">
        <w:rPr>
          <w:color w:val="000080"/>
        </w:rPr>
        <w:t xml:space="preserve">he 7806 dermatitis code, </w:t>
      </w:r>
      <w:r w:rsidR="005A040E" w:rsidRPr="00D50625">
        <w:rPr>
          <w:color w:val="000080"/>
        </w:rPr>
        <w:t xml:space="preserve">applied by the PEB and the VA, was an appropriate fit for the contact dermatitis component of the condition.  The rating under 7806 is dependent on the percentage of body surface area </w:t>
      </w:r>
      <w:r w:rsidR="008000BA" w:rsidRPr="00D50625">
        <w:rPr>
          <w:color w:val="000080"/>
        </w:rPr>
        <w:t xml:space="preserve">(BSA) </w:t>
      </w:r>
      <w:r w:rsidR="005A040E" w:rsidRPr="00D50625">
        <w:rPr>
          <w:color w:val="000080"/>
        </w:rPr>
        <w:t xml:space="preserve">involved </w:t>
      </w:r>
      <w:r w:rsidR="008000BA" w:rsidRPr="00D50625">
        <w:rPr>
          <w:color w:val="000080"/>
        </w:rPr>
        <w:t>(</w:t>
      </w:r>
      <w:r w:rsidR="00520115" w:rsidRPr="00D50625">
        <w:rPr>
          <w:rFonts w:hAnsiTheme="minorHAnsi"/>
          <w:color w:val="000080"/>
        </w:rPr>
        <w:t>≥</w:t>
      </w:r>
      <w:r w:rsidR="008000BA" w:rsidRPr="00D50625">
        <w:rPr>
          <w:color w:val="000080"/>
        </w:rPr>
        <w:t xml:space="preserve"> 20% for the higher 30% rating) </w:t>
      </w:r>
      <w:r w:rsidR="005A040E" w:rsidRPr="00D50625">
        <w:rPr>
          <w:color w:val="000080"/>
        </w:rPr>
        <w:t>and whether protracted courses of corticosteroids (</w:t>
      </w:r>
      <w:r w:rsidR="00520115" w:rsidRPr="00D50625">
        <w:rPr>
          <w:rFonts w:hAnsiTheme="minorHAnsi"/>
          <w:color w:val="000080"/>
        </w:rPr>
        <w:t>≥</w:t>
      </w:r>
      <w:r w:rsidR="005A040E" w:rsidRPr="00D50625">
        <w:rPr>
          <w:color w:val="000080"/>
        </w:rPr>
        <w:t xml:space="preserve"> total of 6 weeks duration for the higher 30% rating) are required.  </w:t>
      </w:r>
      <w:r w:rsidR="008000BA" w:rsidRPr="00D50625">
        <w:rPr>
          <w:color w:val="000080"/>
        </w:rPr>
        <w:t xml:space="preserve">One exam during an </w:t>
      </w:r>
      <w:r w:rsidR="008000BA" w:rsidRPr="00D50625">
        <w:rPr>
          <w:rFonts w:hAnsiTheme="minorHAnsi"/>
          <w:color w:val="000080"/>
        </w:rPr>
        <w:t>‘</w:t>
      </w:r>
      <w:r w:rsidR="008000BA" w:rsidRPr="00D50625">
        <w:rPr>
          <w:color w:val="000080"/>
        </w:rPr>
        <w:t>acute flare</w:t>
      </w:r>
      <w:r w:rsidR="008000BA" w:rsidRPr="00D50625">
        <w:rPr>
          <w:rFonts w:hAnsiTheme="minorHAnsi"/>
          <w:color w:val="000080"/>
        </w:rPr>
        <w:t>’</w:t>
      </w:r>
      <w:r w:rsidR="008000BA" w:rsidRPr="00D50625">
        <w:rPr>
          <w:color w:val="000080"/>
        </w:rPr>
        <w:t xml:space="preserve"> documented a BSA </w:t>
      </w:r>
      <w:r w:rsidR="004B07AC" w:rsidRPr="00D50625">
        <w:rPr>
          <w:color w:val="000080"/>
        </w:rPr>
        <w:t xml:space="preserve">involvement </w:t>
      </w:r>
      <w:r w:rsidR="008000BA" w:rsidRPr="00D50625">
        <w:rPr>
          <w:color w:val="000080"/>
        </w:rPr>
        <w:t xml:space="preserve">of 25%.  All other exams documented &lt; 5% or no BSA involvement.  The records also document that the CI did not tolerate side effects of corticosteroids, and that their routine use (except for single emergent doses) was discontinued after 2002.  </w:t>
      </w:r>
      <w:r w:rsidR="003619BB" w:rsidRPr="00D50625">
        <w:rPr>
          <w:color w:val="000080"/>
        </w:rPr>
        <w:t>With strict application of the VASRD language for 7806, therefore, there is no foundation for a rating higher than the 10% accorded by the PEB.  The VA Rating Decision for 30% was not supported by a rating examination which documented a higher BSA involvement (skin was clear on that exam) or by corticosteroid requirement</w:t>
      </w:r>
      <w:r w:rsidR="001C4F0D" w:rsidRPr="00D50625">
        <w:rPr>
          <w:color w:val="000080"/>
        </w:rPr>
        <w:t xml:space="preserve">, </w:t>
      </w:r>
      <w:r w:rsidR="003619BB" w:rsidRPr="00D50625">
        <w:rPr>
          <w:color w:val="000080"/>
        </w:rPr>
        <w:t xml:space="preserve">although a conflicting history of intermittent oral steroid use was </w:t>
      </w:r>
      <w:r w:rsidR="001C4F0D" w:rsidRPr="00D50625">
        <w:rPr>
          <w:color w:val="000080"/>
        </w:rPr>
        <w:t>obtained (not at the 30% rating threshold)</w:t>
      </w:r>
      <w:r w:rsidR="003619BB" w:rsidRPr="00D50625">
        <w:rPr>
          <w:color w:val="000080"/>
        </w:rPr>
        <w:t xml:space="preserve">.  </w:t>
      </w:r>
      <w:r w:rsidR="001C4F0D" w:rsidRPr="00D50625">
        <w:rPr>
          <w:color w:val="000080"/>
        </w:rPr>
        <w:t xml:space="preserve">The examiner concluded, </w:t>
      </w:r>
      <w:r w:rsidR="001C4F0D" w:rsidRPr="00D50625">
        <w:rPr>
          <w:rFonts w:hAnsiTheme="minorHAnsi"/>
          <w:color w:val="000080"/>
        </w:rPr>
        <w:t>‘</w:t>
      </w:r>
      <w:r w:rsidR="001C4F0D" w:rsidRPr="00D50625">
        <w:rPr>
          <w:color w:val="000080"/>
        </w:rPr>
        <w:t>This is an unusual case.  It would really be difficult to say what percentage of the body this actually covers.</w:t>
      </w:r>
      <w:r w:rsidR="001C4F0D" w:rsidRPr="00D50625">
        <w:rPr>
          <w:rFonts w:hAnsiTheme="minorHAnsi"/>
          <w:color w:val="000080"/>
        </w:rPr>
        <w:t>’</w:t>
      </w:r>
      <w:r w:rsidR="001C4F0D" w:rsidRPr="00D50625">
        <w:rPr>
          <w:color w:val="000080"/>
        </w:rPr>
        <w:t xml:space="preserve">  The Rating Decision paraphrased this conclusion but went on to state, </w:t>
      </w:r>
      <w:r w:rsidR="001C4F0D" w:rsidRPr="00D50625">
        <w:rPr>
          <w:rFonts w:hAnsiTheme="minorHAnsi"/>
          <w:color w:val="000080"/>
        </w:rPr>
        <w:t>‘</w:t>
      </w:r>
      <w:r w:rsidR="001C4F0D" w:rsidRPr="00D50625">
        <w:rPr>
          <w:color w:val="000080"/>
        </w:rPr>
        <w:t>Resolving all remaining doubt in your favor, it is held that the recorded manifestation of this disability more nearly resemble the requirements for an evaluation of 30 percent.</w:t>
      </w:r>
      <w:r w:rsidR="001C4F0D" w:rsidRPr="00D50625">
        <w:rPr>
          <w:rFonts w:hAnsiTheme="minorHAnsi"/>
          <w:color w:val="000080"/>
        </w:rPr>
        <w:t>’</w:t>
      </w:r>
      <w:r w:rsidR="001C4F0D" w:rsidRPr="00D50625">
        <w:rPr>
          <w:color w:val="000080"/>
        </w:rPr>
        <w:t xml:space="preserve">  Notwithstanding the single </w:t>
      </w:r>
      <w:r w:rsidR="00991549" w:rsidRPr="00D50625">
        <w:rPr>
          <w:color w:val="000080"/>
        </w:rPr>
        <w:t xml:space="preserve">25% BSA exam documented among the many examinations in evidence, there really is no foundation for the </w:t>
      </w:r>
      <w:r w:rsidR="00991549" w:rsidRPr="00D50625">
        <w:rPr>
          <w:rFonts w:hAnsiTheme="minorHAnsi"/>
          <w:color w:val="000080"/>
        </w:rPr>
        <w:t>‘</w:t>
      </w:r>
      <w:r w:rsidR="00991549" w:rsidRPr="00D50625">
        <w:rPr>
          <w:color w:val="000080"/>
        </w:rPr>
        <w:t>remaining doubt</w:t>
      </w:r>
      <w:r w:rsidR="00991549" w:rsidRPr="00D50625">
        <w:rPr>
          <w:rFonts w:hAnsiTheme="minorHAnsi"/>
          <w:color w:val="000080"/>
        </w:rPr>
        <w:t>’</w:t>
      </w:r>
      <w:r w:rsidR="00991549" w:rsidRPr="00D50625">
        <w:rPr>
          <w:color w:val="000080"/>
        </w:rPr>
        <w:t xml:space="preserve"> referenced in the VA decision.  Although the rater may well have taken into account the </w:t>
      </w:r>
      <w:r w:rsidR="00991549" w:rsidRPr="00D50625">
        <w:rPr>
          <w:rFonts w:hAnsiTheme="minorHAnsi"/>
          <w:color w:val="000080"/>
        </w:rPr>
        <w:t>‘</w:t>
      </w:r>
      <w:r w:rsidR="00991549" w:rsidRPr="00D50625">
        <w:rPr>
          <w:color w:val="000080"/>
        </w:rPr>
        <w:t>non-VASRD</w:t>
      </w:r>
      <w:r w:rsidR="00991549" w:rsidRPr="00D50625">
        <w:rPr>
          <w:rFonts w:hAnsiTheme="minorHAnsi"/>
          <w:color w:val="000080"/>
        </w:rPr>
        <w:t>’</w:t>
      </w:r>
      <w:r w:rsidR="00991549" w:rsidRPr="00D50625">
        <w:rPr>
          <w:color w:val="000080"/>
        </w:rPr>
        <w:t xml:space="preserve"> elements of the condition, this would constitute an extra-</w:t>
      </w:r>
      <w:proofErr w:type="spellStart"/>
      <w:r w:rsidR="00991549" w:rsidRPr="00D50625">
        <w:rPr>
          <w:color w:val="000080"/>
        </w:rPr>
        <w:t>schedular</w:t>
      </w:r>
      <w:proofErr w:type="spellEnd"/>
      <w:r w:rsidR="00991549" w:rsidRPr="00D50625">
        <w:rPr>
          <w:color w:val="000080"/>
        </w:rPr>
        <w:t xml:space="preserve"> rating which was not specified.  The Board cannot support a higher </w:t>
      </w:r>
      <w:r w:rsidR="0084608C" w:rsidRPr="00D50625">
        <w:rPr>
          <w:color w:val="000080"/>
        </w:rPr>
        <w:t xml:space="preserve">rating </w:t>
      </w:r>
      <w:r w:rsidR="00991549" w:rsidRPr="00D50625">
        <w:rPr>
          <w:color w:val="000080"/>
        </w:rPr>
        <w:t xml:space="preserve">than </w:t>
      </w:r>
      <w:r w:rsidR="0084608C" w:rsidRPr="00D50625">
        <w:rPr>
          <w:color w:val="000080"/>
        </w:rPr>
        <w:t xml:space="preserve">10% under 7806 which would be both compliant with the language of the VASRD and consistent with the facts in evidence.  </w:t>
      </w:r>
      <w:r w:rsidR="00032213" w:rsidRPr="00D50625">
        <w:rPr>
          <w:color w:val="000080"/>
        </w:rPr>
        <w:t>T</w:t>
      </w:r>
      <w:r w:rsidR="0084608C" w:rsidRPr="00D50625">
        <w:rPr>
          <w:color w:val="000080"/>
        </w:rPr>
        <w:t>here is not reasonable doubt in the CI</w:t>
      </w:r>
      <w:r w:rsidR="0084608C" w:rsidRPr="00D50625">
        <w:rPr>
          <w:rFonts w:hAnsiTheme="minorHAnsi"/>
          <w:color w:val="000080"/>
        </w:rPr>
        <w:t>’</w:t>
      </w:r>
      <w:r w:rsidR="0084608C" w:rsidRPr="00D50625">
        <w:rPr>
          <w:color w:val="000080"/>
        </w:rPr>
        <w:t>s favor</w:t>
      </w:r>
      <w:r w:rsidR="00032213" w:rsidRPr="00D50625">
        <w:rPr>
          <w:color w:val="000080"/>
        </w:rPr>
        <w:t>, therefore,</w:t>
      </w:r>
      <w:r w:rsidR="0084608C" w:rsidRPr="00D50625">
        <w:rPr>
          <w:color w:val="000080"/>
        </w:rPr>
        <w:t xml:space="preserve"> supporting </w:t>
      </w:r>
      <w:proofErr w:type="spellStart"/>
      <w:r w:rsidR="0084608C" w:rsidRPr="00D50625">
        <w:rPr>
          <w:color w:val="000080"/>
        </w:rPr>
        <w:t>recharacterization</w:t>
      </w:r>
      <w:proofErr w:type="spellEnd"/>
      <w:r w:rsidR="0084608C" w:rsidRPr="00D50625">
        <w:rPr>
          <w:color w:val="000080"/>
        </w:rPr>
        <w:t xml:space="preserve"> of the PEB rating adjudication for the dermatitis component of her condition.</w:t>
      </w:r>
    </w:p>
    <w:p w:rsidR="0084608C" w:rsidRPr="00D50625" w:rsidRDefault="002A2E60" w:rsidP="00B75887">
      <w:pPr>
        <w:tabs>
          <w:tab w:val="left" w:pos="288"/>
          <w:tab w:val="left" w:pos="4752"/>
        </w:tabs>
        <w:spacing w:line="240" w:lineRule="exact"/>
        <w:jc w:val="both"/>
        <w:rPr>
          <w:color w:val="000080"/>
        </w:rPr>
      </w:pPr>
      <w:r w:rsidRPr="00D50625">
        <w:rPr>
          <w:color w:val="000080"/>
        </w:rPr>
        <w:t>`</w:t>
      </w:r>
    </w:p>
    <w:p w:rsidR="002C6E5B" w:rsidRPr="00D50625" w:rsidRDefault="0084608C" w:rsidP="00B75887">
      <w:pPr>
        <w:tabs>
          <w:tab w:val="left" w:pos="288"/>
          <w:tab w:val="left" w:pos="4752"/>
        </w:tabs>
        <w:spacing w:line="240" w:lineRule="exact"/>
        <w:jc w:val="both"/>
        <w:rPr>
          <w:color w:val="000080"/>
        </w:rPr>
      </w:pPr>
      <w:r w:rsidRPr="00D50625">
        <w:rPr>
          <w:color w:val="000080"/>
        </w:rPr>
        <w:t xml:space="preserve">A central </w:t>
      </w:r>
      <w:r w:rsidR="00032213" w:rsidRPr="00D50625">
        <w:rPr>
          <w:color w:val="000080"/>
        </w:rPr>
        <w:t>contention</w:t>
      </w:r>
      <w:r w:rsidRPr="00D50625">
        <w:rPr>
          <w:color w:val="000080"/>
        </w:rPr>
        <w:t xml:space="preserve"> in this case, as repeatedly stressed by the CI and her counsel, is that latex allergy </w:t>
      </w:r>
      <w:r w:rsidR="00032213" w:rsidRPr="00D50625">
        <w:rPr>
          <w:color w:val="000080"/>
        </w:rPr>
        <w:t xml:space="preserve">is more debilitating than can be coded for under the </w:t>
      </w:r>
      <w:r w:rsidR="00EE4F83" w:rsidRPr="00D50625">
        <w:rPr>
          <w:color w:val="000080"/>
        </w:rPr>
        <w:t xml:space="preserve">existing </w:t>
      </w:r>
      <w:r w:rsidR="00032213" w:rsidRPr="00D50625">
        <w:rPr>
          <w:color w:val="000080"/>
        </w:rPr>
        <w:t xml:space="preserve">VASRD.  The diagnosis of latex allergy (or whatever offending allergen) was conceded by the PEB as unfitting.  The systemic allergic manifestations and implications of latex allergy are not encompassed </w:t>
      </w:r>
      <w:r w:rsidR="002D535B" w:rsidRPr="00D50625">
        <w:rPr>
          <w:color w:val="000080"/>
        </w:rPr>
        <w:t>by</w:t>
      </w:r>
      <w:r w:rsidR="00032213" w:rsidRPr="00D50625">
        <w:rPr>
          <w:color w:val="000080"/>
        </w:rPr>
        <w:t xml:space="preserve"> the 7806 code</w:t>
      </w:r>
      <w:r w:rsidR="00461DDE" w:rsidRPr="00D50625">
        <w:rPr>
          <w:color w:val="000080"/>
        </w:rPr>
        <w:t xml:space="preserve">, although both the PEB and the VA subsumed </w:t>
      </w:r>
      <w:r w:rsidR="00EE4F83" w:rsidRPr="00D50625">
        <w:rPr>
          <w:color w:val="000080"/>
        </w:rPr>
        <w:t>them</w:t>
      </w:r>
      <w:r w:rsidR="00461DDE" w:rsidRPr="00D50625">
        <w:rPr>
          <w:color w:val="000080"/>
        </w:rPr>
        <w:t xml:space="preserve"> under that code</w:t>
      </w:r>
      <w:r w:rsidR="00032213" w:rsidRPr="00D50625">
        <w:rPr>
          <w:color w:val="000080"/>
        </w:rPr>
        <w:t xml:space="preserve">.  </w:t>
      </w:r>
      <w:r w:rsidR="00461DDE" w:rsidRPr="00D50625">
        <w:rPr>
          <w:color w:val="000080"/>
        </w:rPr>
        <w:t xml:space="preserve">It was perhaps the </w:t>
      </w:r>
      <w:r w:rsidR="00461DDE" w:rsidRPr="00D50625">
        <w:rPr>
          <w:rFonts w:hAnsiTheme="minorHAnsi"/>
          <w:color w:val="000080"/>
        </w:rPr>
        <w:t>‘</w:t>
      </w:r>
      <w:r w:rsidR="00461DDE" w:rsidRPr="00D50625">
        <w:rPr>
          <w:color w:val="000080"/>
        </w:rPr>
        <w:t>hidden agenda</w:t>
      </w:r>
      <w:r w:rsidR="00461DDE" w:rsidRPr="00D50625">
        <w:rPr>
          <w:rFonts w:hAnsiTheme="minorHAnsi"/>
          <w:color w:val="000080"/>
        </w:rPr>
        <w:t>’</w:t>
      </w:r>
      <w:r w:rsidR="00461DDE" w:rsidRPr="00D50625">
        <w:rPr>
          <w:color w:val="000080"/>
        </w:rPr>
        <w:t xml:space="preserve"> for the VA</w:t>
      </w:r>
      <w:r w:rsidR="00461DDE" w:rsidRPr="00D50625">
        <w:rPr>
          <w:rFonts w:hAnsiTheme="minorHAnsi"/>
          <w:color w:val="000080"/>
        </w:rPr>
        <w:t>’</w:t>
      </w:r>
      <w:r w:rsidR="00461DDE" w:rsidRPr="00D50625">
        <w:rPr>
          <w:color w:val="000080"/>
        </w:rPr>
        <w:t xml:space="preserve">s higher rating.  Although there is not a clean fit for latex allergy as a distinctly coded condition in the VASRD, fairness dictates that an additional code and rating be applied in this case.  </w:t>
      </w:r>
      <w:r w:rsidR="00EE4F83" w:rsidRPr="00D50625">
        <w:rPr>
          <w:color w:val="000080"/>
        </w:rPr>
        <w:t xml:space="preserve">It was a separately diagnosed and separately unfitting condition.  This was established by the MEB, reflected on the DA 3947 and </w:t>
      </w:r>
      <w:r w:rsidR="00EE4F83" w:rsidRPr="00D50625">
        <w:rPr>
          <w:color w:val="000080"/>
        </w:rPr>
        <w:lastRenderedPageBreak/>
        <w:t xml:space="preserve">acknowledged on the DA 199.  </w:t>
      </w:r>
      <w:r w:rsidR="00B03388" w:rsidRPr="00D50625">
        <w:rPr>
          <w:color w:val="000080"/>
        </w:rPr>
        <w:t xml:space="preserve">Anaphylaxis is typically coded under 7118 for </w:t>
      </w:r>
      <w:proofErr w:type="spellStart"/>
      <w:r w:rsidR="00B03388" w:rsidRPr="00D50625">
        <w:rPr>
          <w:color w:val="000080"/>
        </w:rPr>
        <w:t>angioneurotic</w:t>
      </w:r>
      <w:proofErr w:type="spellEnd"/>
      <w:r w:rsidR="00B03388" w:rsidRPr="00D50625">
        <w:rPr>
          <w:color w:val="000080"/>
        </w:rPr>
        <w:t xml:space="preserve"> edema.  The CI</w:t>
      </w:r>
      <w:r w:rsidR="00B03388" w:rsidRPr="00D50625">
        <w:rPr>
          <w:rFonts w:hAnsiTheme="minorHAnsi"/>
          <w:color w:val="000080"/>
        </w:rPr>
        <w:t>’</w:t>
      </w:r>
      <w:r w:rsidR="00B03388" w:rsidRPr="00D50625">
        <w:rPr>
          <w:color w:val="000080"/>
        </w:rPr>
        <w:t>s acute reactions were not clinically distinct for anaphylaxis</w:t>
      </w:r>
      <w:r w:rsidR="00971D60" w:rsidRPr="00D50625">
        <w:rPr>
          <w:color w:val="000080"/>
        </w:rPr>
        <w:t>;</w:t>
      </w:r>
      <w:r w:rsidR="00B03388" w:rsidRPr="00D50625">
        <w:rPr>
          <w:color w:val="000080"/>
        </w:rPr>
        <w:t xml:space="preserve"> however, and were not associated with laryngeal </w:t>
      </w:r>
      <w:r w:rsidR="00AF65CD" w:rsidRPr="00D50625">
        <w:rPr>
          <w:color w:val="000080"/>
        </w:rPr>
        <w:t xml:space="preserve">(or even oral or facial) </w:t>
      </w:r>
      <w:r w:rsidR="00B03388" w:rsidRPr="00D50625">
        <w:rPr>
          <w:color w:val="000080"/>
        </w:rPr>
        <w:t xml:space="preserve">edema.  </w:t>
      </w:r>
      <w:r w:rsidR="00AF65CD" w:rsidRPr="00D50625">
        <w:rPr>
          <w:color w:val="000080"/>
        </w:rPr>
        <w:t xml:space="preserve">What they were associated with was </w:t>
      </w:r>
      <w:proofErr w:type="spellStart"/>
      <w:r w:rsidR="00AF65CD" w:rsidRPr="00D50625">
        <w:rPr>
          <w:color w:val="000080"/>
        </w:rPr>
        <w:t>urticaria</w:t>
      </w:r>
      <w:proofErr w:type="spellEnd"/>
      <w:r w:rsidR="00AF65CD" w:rsidRPr="00D50625">
        <w:rPr>
          <w:color w:val="000080"/>
        </w:rPr>
        <w:t xml:space="preserve">, which does have a VASRD code (7825).  At one point this was suggested by a VA </w:t>
      </w:r>
      <w:r w:rsidR="004B07AC" w:rsidRPr="00D50625">
        <w:rPr>
          <w:color w:val="000080"/>
        </w:rPr>
        <w:t>physician</w:t>
      </w:r>
      <w:r w:rsidR="00AF65CD" w:rsidRPr="00D50625">
        <w:rPr>
          <w:color w:val="000080"/>
        </w:rPr>
        <w:t xml:space="preserve"> and petitioned for by the CI.  </w:t>
      </w:r>
      <w:r w:rsidR="0062130F" w:rsidRPr="00D50625">
        <w:rPr>
          <w:color w:val="000080"/>
        </w:rPr>
        <w:t>The VA examiner</w:t>
      </w:r>
      <w:r w:rsidR="0062130F" w:rsidRPr="00D50625">
        <w:rPr>
          <w:rFonts w:hAnsiTheme="minorHAnsi"/>
          <w:color w:val="000080"/>
        </w:rPr>
        <w:t>’</w:t>
      </w:r>
      <w:r w:rsidR="0062130F" w:rsidRPr="00D50625">
        <w:rPr>
          <w:color w:val="000080"/>
        </w:rPr>
        <w:t xml:space="preserve">s opinion was that </w:t>
      </w:r>
      <w:r w:rsidR="0062130F" w:rsidRPr="00D50625">
        <w:rPr>
          <w:rFonts w:hAnsiTheme="minorHAnsi"/>
          <w:color w:val="000080"/>
        </w:rPr>
        <w:t>‘</w:t>
      </w:r>
      <w:r w:rsidR="0062130F" w:rsidRPr="00D50625">
        <w:rPr>
          <w:color w:val="000080"/>
        </w:rPr>
        <w:t>she may meet the requirements for a 30% evaluation</w:t>
      </w:r>
      <w:r w:rsidR="0062130F" w:rsidRPr="00D50625">
        <w:rPr>
          <w:rFonts w:hAnsiTheme="minorHAnsi"/>
          <w:color w:val="000080"/>
        </w:rPr>
        <w:t>’</w:t>
      </w:r>
      <w:r w:rsidR="0062130F" w:rsidRPr="00D50625">
        <w:rPr>
          <w:color w:val="000080"/>
        </w:rPr>
        <w:t xml:space="preserve"> under 7825.  It was also documented that the VA physician did not stand by that opinion after reviewing the e</w:t>
      </w:r>
      <w:r w:rsidR="00971D60" w:rsidRPr="00D50625">
        <w:rPr>
          <w:color w:val="000080"/>
        </w:rPr>
        <w:t>ntire case file.  This approach;</w:t>
      </w:r>
      <w:r w:rsidR="0062130F" w:rsidRPr="00D50625">
        <w:rPr>
          <w:color w:val="000080"/>
        </w:rPr>
        <w:t xml:space="preserve"> however, was premised on substituting (not adding) the 7825 code.  The Board agrees that the 7806 code best addresses the dermatitis as discussed above, but believes that the latex allergy condition </w:t>
      </w:r>
      <w:r w:rsidR="001D1BCD" w:rsidRPr="00D50625">
        <w:rPr>
          <w:color w:val="000080"/>
        </w:rPr>
        <w:t xml:space="preserve">does merit separate coding and rating </w:t>
      </w:r>
      <w:proofErr w:type="gramStart"/>
      <w:r w:rsidR="001D1BCD" w:rsidRPr="00D50625">
        <w:rPr>
          <w:color w:val="000080"/>
        </w:rPr>
        <w:t>under</w:t>
      </w:r>
      <w:proofErr w:type="gramEnd"/>
      <w:r w:rsidR="001D1BCD" w:rsidRPr="00D50625">
        <w:rPr>
          <w:color w:val="000080"/>
        </w:rPr>
        <w:t xml:space="preserve"> 7825.  The 7825 code stipulates that </w:t>
      </w:r>
      <w:proofErr w:type="spellStart"/>
      <w:r w:rsidR="001D1BCD" w:rsidRPr="00D50625">
        <w:rPr>
          <w:color w:val="000080"/>
        </w:rPr>
        <w:t>urticaria</w:t>
      </w:r>
      <w:proofErr w:type="spellEnd"/>
      <w:r w:rsidR="001D1BCD" w:rsidRPr="00D50625">
        <w:rPr>
          <w:color w:val="000080"/>
        </w:rPr>
        <w:t xml:space="preserve"> be manifested at least four times over the past twelve months, and hives or </w:t>
      </w:r>
      <w:proofErr w:type="spellStart"/>
      <w:r w:rsidR="001D1BCD" w:rsidRPr="00D50625">
        <w:rPr>
          <w:color w:val="000080"/>
        </w:rPr>
        <w:t>urticaria</w:t>
      </w:r>
      <w:proofErr w:type="spellEnd"/>
      <w:r w:rsidR="001D1BCD" w:rsidRPr="00D50625">
        <w:rPr>
          <w:color w:val="000080"/>
        </w:rPr>
        <w:t xml:space="preserve"> was documented at that frequency in the Army record.  This alone supports a 10% rating </w:t>
      </w:r>
      <w:proofErr w:type="gramStart"/>
      <w:r w:rsidR="001D1BCD" w:rsidRPr="00D50625">
        <w:rPr>
          <w:color w:val="000080"/>
        </w:rPr>
        <w:t>under</w:t>
      </w:r>
      <w:proofErr w:type="gramEnd"/>
      <w:r w:rsidR="001D1BCD" w:rsidRPr="00D50625">
        <w:rPr>
          <w:color w:val="000080"/>
        </w:rPr>
        <w:t xml:space="preserve"> 7825.  The next higher 30% rating requires at least four </w:t>
      </w:r>
      <w:r w:rsidR="001D1BCD" w:rsidRPr="00D50625">
        <w:rPr>
          <w:rFonts w:hAnsiTheme="minorHAnsi"/>
          <w:color w:val="000080"/>
        </w:rPr>
        <w:t>‘</w:t>
      </w:r>
      <w:r w:rsidR="001D1BCD" w:rsidRPr="00D50625">
        <w:rPr>
          <w:color w:val="000080"/>
        </w:rPr>
        <w:t>debilitating</w:t>
      </w:r>
      <w:r w:rsidR="001D1BCD" w:rsidRPr="00D50625">
        <w:rPr>
          <w:rFonts w:hAnsiTheme="minorHAnsi"/>
          <w:color w:val="000080"/>
        </w:rPr>
        <w:t>’</w:t>
      </w:r>
      <w:r w:rsidR="001D1BCD" w:rsidRPr="00D50625">
        <w:rPr>
          <w:color w:val="000080"/>
        </w:rPr>
        <w:t xml:space="preserve"> episodes and </w:t>
      </w:r>
      <w:r w:rsidR="001D1BCD" w:rsidRPr="00D50625">
        <w:rPr>
          <w:rFonts w:hAnsiTheme="minorHAnsi"/>
          <w:color w:val="000080"/>
        </w:rPr>
        <w:t>‘</w:t>
      </w:r>
      <w:r w:rsidR="001D1BCD" w:rsidRPr="00D50625">
        <w:rPr>
          <w:color w:val="000080"/>
        </w:rPr>
        <w:t>intermittent immunosuppressive therapy for control</w:t>
      </w:r>
      <w:r w:rsidR="001D1BCD" w:rsidRPr="00D50625">
        <w:rPr>
          <w:rFonts w:hAnsiTheme="minorHAnsi"/>
          <w:color w:val="000080"/>
        </w:rPr>
        <w:t>’</w:t>
      </w:r>
      <w:r w:rsidR="001D1BCD" w:rsidRPr="00D50625">
        <w:rPr>
          <w:color w:val="000080"/>
        </w:rPr>
        <w:t xml:space="preserve">.  There were only two episodes documented which required </w:t>
      </w:r>
      <w:r w:rsidR="005A4BC8" w:rsidRPr="00D50625">
        <w:rPr>
          <w:color w:val="000080"/>
        </w:rPr>
        <w:t xml:space="preserve">prompt treatment, and no other indications of any </w:t>
      </w:r>
      <w:r w:rsidR="005A4BC8" w:rsidRPr="00D50625">
        <w:rPr>
          <w:rFonts w:hAnsiTheme="minorHAnsi"/>
          <w:color w:val="000080"/>
        </w:rPr>
        <w:t>‘</w:t>
      </w:r>
      <w:r w:rsidR="005A4BC8" w:rsidRPr="00D50625">
        <w:rPr>
          <w:color w:val="000080"/>
        </w:rPr>
        <w:t>debilitating</w:t>
      </w:r>
      <w:r w:rsidR="005A4BC8" w:rsidRPr="00D50625">
        <w:rPr>
          <w:rFonts w:hAnsiTheme="minorHAnsi"/>
          <w:color w:val="000080"/>
        </w:rPr>
        <w:t>’</w:t>
      </w:r>
      <w:r w:rsidR="005A4BC8" w:rsidRPr="00D50625">
        <w:rPr>
          <w:color w:val="000080"/>
        </w:rPr>
        <w:t xml:space="preserve"> episodes.  Also the </w:t>
      </w:r>
      <w:r w:rsidR="005A4BC8" w:rsidRPr="00D50625">
        <w:rPr>
          <w:rFonts w:hAnsiTheme="minorHAnsi"/>
          <w:color w:val="000080"/>
        </w:rPr>
        <w:t>‘</w:t>
      </w:r>
      <w:r w:rsidR="005A4BC8" w:rsidRPr="00D50625">
        <w:rPr>
          <w:color w:val="000080"/>
        </w:rPr>
        <w:t>immunosuppressive therapy</w:t>
      </w:r>
      <w:r w:rsidR="005A4BC8" w:rsidRPr="00D50625">
        <w:rPr>
          <w:rFonts w:hAnsiTheme="minorHAnsi"/>
          <w:color w:val="000080"/>
        </w:rPr>
        <w:t>’</w:t>
      </w:r>
      <w:r w:rsidR="005A4BC8" w:rsidRPr="00D50625">
        <w:rPr>
          <w:color w:val="000080"/>
        </w:rPr>
        <w:t xml:space="preserve"> requirement was not met by the CI</w:t>
      </w:r>
      <w:r w:rsidR="005A4BC8" w:rsidRPr="00D50625">
        <w:rPr>
          <w:rFonts w:hAnsiTheme="minorHAnsi"/>
          <w:color w:val="000080"/>
        </w:rPr>
        <w:t>’</w:t>
      </w:r>
      <w:r w:rsidR="005A4BC8" w:rsidRPr="00D50625">
        <w:rPr>
          <w:color w:val="000080"/>
        </w:rPr>
        <w:t xml:space="preserve">s sporadic (at most) use of steroids.  The Board therefore recommends the addition of latex allergy as a separately coded (7899-7825) unfitting condition, but </w:t>
      </w:r>
      <w:r w:rsidR="002D535B" w:rsidRPr="00D50625">
        <w:rPr>
          <w:color w:val="000080"/>
        </w:rPr>
        <w:t xml:space="preserve">can </w:t>
      </w:r>
      <w:r w:rsidR="004C4052" w:rsidRPr="00D50625">
        <w:rPr>
          <w:color w:val="000080"/>
        </w:rPr>
        <w:t xml:space="preserve">find criteria only in </w:t>
      </w:r>
      <w:r w:rsidR="002D535B" w:rsidRPr="00D50625">
        <w:rPr>
          <w:color w:val="000080"/>
        </w:rPr>
        <w:t xml:space="preserve">support </w:t>
      </w:r>
      <w:r w:rsidR="004C4052" w:rsidRPr="00D50625">
        <w:rPr>
          <w:color w:val="000080"/>
        </w:rPr>
        <w:t>of a</w:t>
      </w:r>
      <w:r w:rsidR="00E729C6" w:rsidRPr="00D50625">
        <w:rPr>
          <w:color w:val="000080"/>
        </w:rPr>
        <w:t xml:space="preserve"> 10% rating</w:t>
      </w:r>
      <w:r w:rsidR="004C4052" w:rsidRPr="00D50625">
        <w:rPr>
          <w:color w:val="000080"/>
        </w:rPr>
        <w:t xml:space="preserve"> recommendation</w:t>
      </w:r>
      <w:r w:rsidR="00E729C6" w:rsidRPr="00D50625">
        <w:rPr>
          <w:color w:val="000080"/>
        </w:rPr>
        <w:t>.</w:t>
      </w:r>
    </w:p>
    <w:p w:rsidR="00EE4F83" w:rsidRPr="00D50625" w:rsidRDefault="00EE4F83" w:rsidP="00B75887">
      <w:pPr>
        <w:tabs>
          <w:tab w:val="left" w:pos="288"/>
          <w:tab w:val="left" w:pos="4752"/>
        </w:tabs>
        <w:spacing w:line="240" w:lineRule="exact"/>
        <w:jc w:val="both"/>
        <w:rPr>
          <w:color w:val="000080"/>
        </w:rPr>
      </w:pPr>
    </w:p>
    <w:p w:rsidR="00D356CA" w:rsidRPr="00D50625" w:rsidRDefault="00E729C6" w:rsidP="00B75887">
      <w:pPr>
        <w:tabs>
          <w:tab w:val="left" w:pos="288"/>
          <w:tab w:val="left" w:pos="4752"/>
        </w:tabs>
        <w:spacing w:line="240" w:lineRule="exact"/>
        <w:jc w:val="both"/>
        <w:rPr>
          <w:color w:val="000080"/>
        </w:rPr>
      </w:pPr>
      <w:proofErr w:type="gramStart"/>
      <w:r w:rsidRPr="00D50625">
        <w:rPr>
          <w:color w:val="000080"/>
          <w:u w:val="single"/>
        </w:rPr>
        <w:t>Left Knee Condition</w:t>
      </w:r>
      <w:r w:rsidRPr="00D50625">
        <w:rPr>
          <w:color w:val="000080"/>
        </w:rPr>
        <w:t>.</w:t>
      </w:r>
      <w:proofErr w:type="gramEnd"/>
      <w:r w:rsidRPr="00D50625">
        <w:rPr>
          <w:color w:val="000080"/>
        </w:rPr>
        <w:t xml:space="preserve">  The</w:t>
      </w:r>
      <w:r w:rsidR="009C32C5" w:rsidRPr="00D50625">
        <w:rPr>
          <w:color w:val="000080"/>
        </w:rPr>
        <w:t xml:space="preserve"> CI had a four year history of left knee pain, which had included two prior arthroscopic surgeries and temporary profiles.  </w:t>
      </w:r>
      <w:r w:rsidR="00913735" w:rsidRPr="00D50625">
        <w:rPr>
          <w:color w:val="000080"/>
        </w:rPr>
        <w:t>An orthopedist raised the question of repeat surgery in 2003, but this was not followed through.  She was not profiled for her knee at the time of separation.  Her Commander</w:t>
      </w:r>
      <w:r w:rsidR="00913735" w:rsidRPr="00D50625">
        <w:rPr>
          <w:rFonts w:hAnsiTheme="minorHAnsi"/>
          <w:color w:val="000080"/>
        </w:rPr>
        <w:t>’</w:t>
      </w:r>
      <w:r w:rsidR="00913735" w:rsidRPr="00D50625">
        <w:rPr>
          <w:color w:val="000080"/>
        </w:rPr>
        <w:t xml:space="preserve">s statement, although exceptionally brief and devoid of details, specified only </w:t>
      </w:r>
      <w:r w:rsidR="00913735" w:rsidRPr="00D50625">
        <w:rPr>
          <w:rFonts w:hAnsiTheme="minorHAnsi"/>
          <w:color w:val="000080"/>
        </w:rPr>
        <w:t>‘</w:t>
      </w:r>
      <w:r w:rsidR="00913735" w:rsidRPr="00D50625">
        <w:rPr>
          <w:color w:val="000080"/>
        </w:rPr>
        <w:t>latex allergy</w:t>
      </w:r>
      <w:r w:rsidR="00913735" w:rsidRPr="00D50625">
        <w:rPr>
          <w:rFonts w:hAnsiTheme="minorHAnsi"/>
          <w:color w:val="000080"/>
        </w:rPr>
        <w:t>’</w:t>
      </w:r>
      <w:r w:rsidR="00913735" w:rsidRPr="00D50625">
        <w:rPr>
          <w:color w:val="000080"/>
        </w:rPr>
        <w:t xml:space="preserve"> as detrimental to performance.  </w:t>
      </w:r>
      <w:r w:rsidR="00D356CA" w:rsidRPr="00D50625">
        <w:rPr>
          <w:color w:val="000080"/>
        </w:rPr>
        <w:t>There was no indication on the MEB physical that it was an acute issue, and t</w:t>
      </w:r>
      <w:r w:rsidR="00913735" w:rsidRPr="00D50625">
        <w:rPr>
          <w:color w:val="000080"/>
        </w:rPr>
        <w:t>he MEB determined the condi</w:t>
      </w:r>
      <w:r w:rsidR="00D356CA" w:rsidRPr="00D50625">
        <w:rPr>
          <w:color w:val="000080"/>
        </w:rPr>
        <w:t>tion to be medically acceptable.  All evidence considered</w:t>
      </w:r>
      <w:proofErr w:type="gramStart"/>
      <w:r w:rsidR="00D356CA" w:rsidRPr="00D50625">
        <w:rPr>
          <w:color w:val="000080"/>
        </w:rPr>
        <w:t>,</w:t>
      </w:r>
      <w:proofErr w:type="gramEnd"/>
      <w:r w:rsidR="00D356CA" w:rsidRPr="00D50625">
        <w:rPr>
          <w:color w:val="000080"/>
        </w:rPr>
        <w:t xml:space="preserve"> there is not reasonable doubt in the CI</w:t>
      </w:r>
      <w:r w:rsidR="00D356CA" w:rsidRPr="00D50625">
        <w:rPr>
          <w:rFonts w:hAnsiTheme="minorHAnsi"/>
          <w:color w:val="000080"/>
        </w:rPr>
        <w:t>’</w:t>
      </w:r>
      <w:r w:rsidR="00D356CA" w:rsidRPr="00D50625">
        <w:rPr>
          <w:color w:val="000080"/>
        </w:rPr>
        <w:t xml:space="preserve">s favor supporting </w:t>
      </w:r>
      <w:proofErr w:type="spellStart"/>
      <w:r w:rsidR="00D356CA" w:rsidRPr="00D50625">
        <w:rPr>
          <w:color w:val="000080"/>
        </w:rPr>
        <w:t>recharacterization</w:t>
      </w:r>
      <w:proofErr w:type="spellEnd"/>
      <w:r w:rsidR="00D356CA" w:rsidRPr="00D50625">
        <w:rPr>
          <w:color w:val="000080"/>
        </w:rPr>
        <w:t xml:space="preserve"> of the PEB fitness adjudication for the knee condition.</w:t>
      </w:r>
    </w:p>
    <w:p w:rsidR="00E729C6" w:rsidRPr="00D50625" w:rsidRDefault="00E729C6" w:rsidP="00B75887">
      <w:pPr>
        <w:tabs>
          <w:tab w:val="left" w:pos="288"/>
          <w:tab w:val="left" w:pos="4752"/>
        </w:tabs>
        <w:spacing w:line="240" w:lineRule="exact"/>
        <w:jc w:val="both"/>
        <w:rPr>
          <w:color w:val="000080"/>
        </w:rPr>
      </w:pPr>
    </w:p>
    <w:p w:rsidR="001812C0" w:rsidRPr="00D50625" w:rsidRDefault="00D356CA" w:rsidP="00B75887">
      <w:pPr>
        <w:tabs>
          <w:tab w:val="left" w:pos="288"/>
          <w:tab w:val="left" w:pos="4752"/>
        </w:tabs>
        <w:spacing w:line="240" w:lineRule="exact"/>
        <w:jc w:val="both"/>
        <w:rPr>
          <w:color w:val="000080"/>
        </w:rPr>
      </w:pPr>
      <w:r w:rsidRPr="00D50625">
        <w:rPr>
          <w:color w:val="000080"/>
          <w:u w:val="single"/>
        </w:rPr>
        <w:t>Neck and Back Conditions</w:t>
      </w:r>
      <w:r w:rsidRPr="00D50625">
        <w:rPr>
          <w:color w:val="000080"/>
        </w:rPr>
        <w:t>.  These conditions surfaced late in the MEB process as a consequence of an automobile accident</w:t>
      </w:r>
      <w:r w:rsidR="00AF6051" w:rsidRPr="00D50625">
        <w:rPr>
          <w:color w:val="000080"/>
        </w:rPr>
        <w:t xml:space="preserve"> six months prior to separation, </w:t>
      </w:r>
      <w:r w:rsidR="00E942E8" w:rsidRPr="00D50625">
        <w:rPr>
          <w:color w:val="000080"/>
        </w:rPr>
        <w:t>but</w:t>
      </w:r>
      <w:r w:rsidR="00AF6051" w:rsidRPr="00D50625">
        <w:rPr>
          <w:color w:val="000080"/>
        </w:rPr>
        <w:t xml:space="preserve"> t</w:t>
      </w:r>
      <w:r w:rsidRPr="00D50625">
        <w:rPr>
          <w:color w:val="000080"/>
        </w:rPr>
        <w:t>here are numerous physical therapy notes and imaging studies from WRAMC documenting the</w:t>
      </w:r>
      <w:r w:rsidR="00AF6051" w:rsidRPr="00D50625">
        <w:rPr>
          <w:color w:val="000080"/>
        </w:rPr>
        <w:t>ir</w:t>
      </w:r>
      <w:r w:rsidRPr="00D50625">
        <w:rPr>
          <w:color w:val="000080"/>
        </w:rPr>
        <w:t xml:space="preserve"> evaluation and treatment </w:t>
      </w:r>
      <w:r w:rsidR="00AF6051" w:rsidRPr="00D50625">
        <w:rPr>
          <w:color w:val="000080"/>
        </w:rPr>
        <w:t>during that period</w:t>
      </w:r>
      <w:r w:rsidR="00653FB1" w:rsidRPr="00D50625">
        <w:rPr>
          <w:color w:val="000080"/>
        </w:rPr>
        <w:t xml:space="preserve">.  The CI was, in fact, issued permanent U3 and L3 profiles for them four months prior to separation.  </w:t>
      </w:r>
      <w:r w:rsidR="0073505B" w:rsidRPr="00D50625">
        <w:rPr>
          <w:color w:val="000080"/>
        </w:rPr>
        <w:t xml:space="preserve">The conditions post-dated the Informal PEB and were not submitted by the MEB to the Formal PEB for adjudication.  Quoting the 2006 USAPDA advisory opinion, </w:t>
      </w:r>
      <w:r w:rsidR="0073505B" w:rsidRPr="00D50625">
        <w:rPr>
          <w:rFonts w:hAnsiTheme="minorHAnsi"/>
          <w:color w:val="000080"/>
        </w:rPr>
        <w:t>‘</w:t>
      </w:r>
      <w:r w:rsidR="0073505B" w:rsidRPr="00D50625">
        <w:rPr>
          <w:color w:val="000080"/>
        </w:rPr>
        <w:t xml:space="preserve">The applicant also provided an undated addendum for back and neck pain before the formal hearing. </w:t>
      </w:r>
      <w:r w:rsidR="00971D60" w:rsidRPr="00D50625">
        <w:rPr>
          <w:color w:val="000080"/>
        </w:rPr>
        <w:t xml:space="preserve"> </w:t>
      </w:r>
      <w:r w:rsidR="0073505B" w:rsidRPr="00D50625">
        <w:rPr>
          <w:color w:val="000080"/>
        </w:rPr>
        <w:t xml:space="preserve">None of these </w:t>
      </w:r>
      <w:r w:rsidR="0073505B" w:rsidRPr="00D50625">
        <w:rPr>
          <w:rFonts w:hAnsiTheme="minorHAnsi"/>
          <w:color w:val="000080"/>
        </w:rPr>
        <w:t>‘</w:t>
      </w:r>
      <w:r w:rsidR="0073505B" w:rsidRPr="00D50625">
        <w:rPr>
          <w:color w:val="000080"/>
        </w:rPr>
        <w:t>addendums</w:t>
      </w:r>
      <w:r w:rsidR="0073505B" w:rsidRPr="00D50625">
        <w:rPr>
          <w:rFonts w:hAnsiTheme="minorHAnsi"/>
          <w:color w:val="000080"/>
        </w:rPr>
        <w:t>’</w:t>
      </w:r>
      <w:r w:rsidR="0073505B" w:rsidRPr="00D50625">
        <w:rPr>
          <w:color w:val="000080"/>
        </w:rPr>
        <w:t xml:space="preserve"> were ever processed or reviewed in accordance with MEB procedures </w:t>
      </w:r>
      <w:r w:rsidR="0073505B" w:rsidRPr="00D50625">
        <w:rPr>
          <w:color w:val="000080"/>
        </w:rPr>
        <w:lastRenderedPageBreak/>
        <w:t>(Chapter 7, AR40-400).</w:t>
      </w:r>
      <w:r w:rsidR="00AF6051" w:rsidRPr="00D50625">
        <w:rPr>
          <w:rFonts w:hAnsiTheme="minorHAnsi"/>
          <w:color w:val="000080"/>
        </w:rPr>
        <w:t>’</w:t>
      </w:r>
      <w:r w:rsidR="0073505B" w:rsidRPr="00D50625">
        <w:rPr>
          <w:color w:val="000080"/>
        </w:rPr>
        <w:t xml:space="preserve">  Th</w:t>
      </w:r>
      <w:r w:rsidR="00F3578F" w:rsidRPr="00D50625">
        <w:rPr>
          <w:color w:val="000080"/>
        </w:rPr>
        <w:t>e undated</w:t>
      </w:r>
      <w:r w:rsidR="0073505B" w:rsidRPr="00D50625">
        <w:rPr>
          <w:color w:val="000080"/>
        </w:rPr>
        <w:t xml:space="preserve"> </w:t>
      </w:r>
      <w:r w:rsidR="0073505B" w:rsidRPr="00D50625">
        <w:rPr>
          <w:rFonts w:hAnsiTheme="minorHAnsi"/>
          <w:color w:val="000080"/>
        </w:rPr>
        <w:t>‘</w:t>
      </w:r>
      <w:r w:rsidR="0073505B" w:rsidRPr="00D50625">
        <w:rPr>
          <w:color w:val="000080"/>
        </w:rPr>
        <w:t>addendum</w:t>
      </w:r>
      <w:r w:rsidR="0073505B" w:rsidRPr="00D50625">
        <w:rPr>
          <w:rFonts w:hAnsiTheme="minorHAnsi"/>
          <w:color w:val="000080"/>
        </w:rPr>
        <w:t>’</w:t>
      </w:r>
      <w:r w:rsidR="00F3578F" w:rsidRPr="00D50625">
        <w:rPr>
          <w:color w:val="000080"/>
        </w:rPr>
        <w:t xml:space="preserve">, signed by a Physical Medicine staff physician at WRAMC, </w:t>
      </w:r>
      <w:r w:rsidR="00AF6051" w:rsidRPr="00D50625">
        <w:rPr>
          <w:color w:val="000080"/>
        </w:rPr>
        <w:t>designated</w:t>
      </w:r>
      <w:r w:rsidR="00F3578F" w:rsidRPr="00D50625">
        <w:rPr>
          <w:color w:val="000080"/>
        </w:rPr>
        <w:t xml:space="preserve"> both conditions </w:t>
      </w:r>
      <w:r w:rsidR="00AF6051" w:rsidRPr="00D50625">
        <w:rPr>
          <w:color w:val="000080"/>
        </w:rPr>
        <w:t>as</w:t>
      </w:r>
      <w:r w:rsidR="00F3578F" w:rsidRPr="00D50625">
        <w:rPr>
          <w:color w:val="000080"/>
        </w:rPr>
        <w:t xml:space="preserve"> medically unacceptable.  Although the USAPDA advisory opinion stated </w:t>
      </w:r>
      <w:r w:rsidR="00F3578F" w:rsidRPr="00D50625">
        <w:rPr>
          <w:rFonts w:hAnsiTheme="minorHAnsi"/>
          <w:color w:val="000080"/>
        </w:rPr>
        <w:t>‘</w:t>
      </w:r>
      <w:r w:rsidR="00F3578F" w:rsidRPr="00D50625">
        <w:rPr>
          <w:color w:val="000080"/>
        </w:rPr>
        <w:t>back and neck pain were properly considered by the PEB to not be independently unfitting</w:t>
      </w:r>
      <w:r w:rsidR="00F3578F" w:rsidRPr="00D50625">
        <w:rPr>
          <w:rFonts w:hAnsiTheme="minorHAnsi"/>
          <w:color w:val="000080"/>
        </w:rPr>
        <w:t>’</w:t>
      </w:r>
      <w:r w:rsidR="00F3578F" w:rsidRPr="00D50625">
        <w:rPr>
          <w:color w:val="000080"/>
        </w:rPr>
        <w:t>, there was no entry to that effect on the Formal PEB</w:t>
      </w:r>
      <w:r w:rsidR="00F3578F" w:rsidRPr="00D50625">
        <w:rPr>
          <w:rFonts w:hAnsiTheme="minorHAnsi"/>
          <w:color w:val="000080"/>
        </w:rPr>
        <w:t>’</w:t>
      </w:r>
      <w:r w:rsidR="00F3578F" w:rsidRPr="00D50625">
        <w:rPr>
          <w:color w:val="000080"/>
        </w:rPr>
        <w:t xml:space="preserve">s DA 199.  The conditions were not contended in the Formal PEB appeal or </w:t>
      </w:r>
      <w:r w:rsidR="00507A31" w:rsidRPr="00D50625">
        <w:rPr>
          <w:color w:val="000080"/>
        </w:rPr>
        <w:t>prior to separation.  While apparently a point of contention in 2006, the conditions were not mentioned in the CI</w:t>
      </w:r>
      <w:r w:rsidR="00507A31" w:rsidRPr="00D50625">
        <w:rPr>
          <w:rFonts w:hAnsiTheme="minorHAnsi"/>
          <w:color w:val="000080"/>
        </w:rPr>
        <w:t>’</w:t>
      </w:r>
      <w:r w:rsidR="00507A31" w:rsidRPr="00D50625">
        <w:rPr>
          <w:color w:val="000080"/>
        </w:rPr>
        <w:t xml:space="preserve">s application to the Board.  Although the VA ratings (0% neck, 10% back) question the severity of either condition, a case could be made </w:t>
      </w:r>
      <w:r w:rsidR="008B7C33" w:rsidRPr="00D50625">
        <w:rPr>
          <w:color w:val="000080"/>
        </w:rPr>
        <w:t>in challenge to the Formal PEB</w:t>
      </w:r>
      <w:r w:rsidR="008B7C33" w:rsidRPr="00D50625">
        <w:rPr>
          <w:rFonts w:hAnsiTheme="minorHAnsi"/>
          <w:color w:val="000080"/>
        </w:rPr>
        <w:t>’</w:t>
      </w:r>
      <w:r w:rsidR="008B7C33" w:rsidRPr="00D50625">
        <w:rPr>
          <w:color w:val="000080"/>
        </w:rPr>
        <w:t xml:space="preserve">s </w:t>
      </w:r>
      <w:r w:rsidR="008B7C33" w:rsidRPr="00D50625">
        <w:rPr>
          <w:rFonts w:hAnsiTheme="minorHAnsi"/>
          <w:color w:val="000080"/>
        </w:rPr>
        <w:t>‘</w:t>
      </w:r>
      <w:r w:rsidR="008B7C33" w:rsidRPr="00D50625">
        <w:rPr>
          <w:color w:val="000080"/>
        </w:rPr>
        <w:t>informal</w:t>
      </w:r>
      <w:r w:rsidR="008B7C33" w:rsidRPr="00D50625">
        <w:rPr>
          <w:rFonts w:hAnsiTheme="minorHAnsi"/>
          <w:color w:val="000080"/>
        </w:rPr>
        <w:t>’</w:t>
      </w:r>
      <w:r w:rsidR="008B7C33" w:rsidRPr="00D50625">
        <w:rPr>
          <w:color w:val="000080"/>
        </w:rPr>
        <w:t xml:space="preserve"> findings that they were not unfitting.  </w:t>
      </w:r>
      <w:r w:rsidR="00D05644" w:rsidRPr="00D50625">
        <w:rPr>
          <w:color w:val="000080"/>
        </w:rPr>
        <w:t xml:space="preserve">There are imposing limitations to such a challenge, however.  </w:t>
      </w:r>
      <w:r w:rsidR="008B7C33" w:rsidRPr="00D50625">
        <w:rPr>
          <w:color w:val="000080"/>
        </w:rPr>
        <w:t>The conditions were not subject to formal scrutiny regarding fitness, not addressed by a Commander</w:t>
      </w:r>
      <w:r w:rsidR="008B7C33" w:rsidRPr="00D50625">
        <w:rPr>
          <w:rFonts w:hAnsiTheme="minorHAnsi"/>
          <w:color w:val="000080"/>
        </w:rPr>
        <w:t>’</w:t>
      </w:r>
      <w:r w:rsidR="008B7C33" w:rsidRPr="00D50625">
        <w:rPr>
          <w:color w:val="000080"/>
        </w:rPr>
        <w:t xml:space="preserve">s statement and </w:t>
      </w:r>
      <w:r w:rsidR="00D05644" w:rsidRPr="00D50625">
        <w:rPr>
          <w:color w:val="000080"/>
        </w:rPr>
        <w:t xml:space="preserve">non-existent </w:t>
      </w:r>
      <w:r w:rsidR="00E942E8" w:rsidRPr="00D50625">
        <w:rPr>
          <w:color w:val="000080"/>
        </w:rPr>
        <w:t>during the performance</w:t>
      </w:r>
      <w:r w:rsidR="00D05644" w:rsidRPr="00D50625">
        <w:rPr>
          <w:color w:val="000080"/>
        </w:rPr>
        <w:t xml:space="preserve"> of the CI</w:t>
      </w:r>
      <w:r w:rsidR="00D05644" w:rsidRPr="00D50625">
        <w:rPr>
          <w:rFonts w:hAnsiTheme="minorHAnsi"/>
          <w:color w:val="000080"/>
        </w:rPr>
        <w:t>’</w:t>
      </w:r>
      <w:r w:rsidR="00D05644" w:rsidRPr="00D50625">
        <w:rPr>
          <w:color w:val="000080"/>
        </w:rPr>
        <w:t xml:space="preserve">s usual MOS duties. </w:t>
      </w:r>
      <w:r w:rsidR="008B7C33" w:rsidRPr="00D50625">
        <w:rPr>
          <w:color w:val="000080"/>
        </w:rPr>
        <w:t xml:space="preserve"> </w:t>
      </w:r>
      <w:r w:rsidR="001812C0" w:rsidRPr="00D50625">
        <w:rPr>
          <w:color w:val="000080"/>
        </w:rPr>
        <w:t xml:space="preserve">The authority of the Board to consider these conditions is unclear, since it is not clear whether they were in fact part of the DES review.  Lacking evidence of an egregious error that would be appropriate to point out to the designated decision authority, the Board may not rule on whether these conditions should have been found unfitting and rated.  This would still leave the CI the option of taking these issues to </w:t>
      </w:r>
      <w:r w:rsidR="004C4052" w:rsidRPr="00D50625">
        <w:rPr>
          <w:color w:val="000080"/>
        </w:rPr>
        <w:t>the ABMCR</w:t>
      </w:r>
      <w:r w:rsidR="001812C0" w:rsidRPr="00D50625">
        <w:rPr>
          <w:color w:val="000080"/>
        </w:rPr>
        <w:t>.</w:t>
      </w:r>
      <w:r w:rsidR="004C4052" w:rsidRPr="00D50625">
        <w:rPr>
          <w:color w:val="000080"/>
        </w:rPr>
        <w:t xml:space="preserve">  There is evidence that she may have done so, but no record of such proceedings.</w:t>
      </w:r>
      <w:r w:rsidR="001812C0" w:rsidRPr="00D50625">
        <w:rPr>
          <w:color w:val="000080"/>
        </w:rPr>
        <w:t xml:space="preserve">  The Board, therefore, has neither firm jurisdiction nor strong evidence for recommending the neck or back as additional unfitting conditions.  </w:t>
      </w:r>
    </w:p>
    <w:p w:rsidR="0073505B" w:rsidRPr="00D50625" w:rsidRDefault="0073505B" w:rsidP="00B75887">
      <w:pPr>
        <w:tabs>
          <w:tab w:val="left" w:pos="288"/>
          <w:tab w:val="left" w:pos="4752"/>
        </w:tabs>
        <w:spacing w:line="240" w:lineRule="exact"/>
        <w:jc w:val="both"/>
        <w:rPr>
          <w:color w:val="000080"/>
        </w:rPr>
      </w:pPr>
    </w:p>
    <w:p w:rsidR="00572217" w:rsidRPr="00D50625" w:rsidRDefault="002C6E5B" w:rsidP="00B75887">
      <w:pPr>
        <w:tabs>
          <w:tab w:val="left" w:pos="288"/>
          <w:tab w:val="left" w:pos="4752"/>
        </w:tabs>
        <w:spacing w:line="240" w:lineRule="exact"/>
        <w:jc w:val="both"/>
        <w:rPr>
          <w:color w:val="000080"/>
        </w:rPr>
      </w:pPr>
      <w:proofErr w:type="gramStart"/>
      <w:r w:rsidRPr="00D50625">
        <w:rPr>
          <w:color w:val="000080"/>
          <w:u w:val="single"/>
        </w:rPr>
        <w:t>Other Conditions</w:t>
      </w:r>
      <w:r w:rsidRPr="00D50625">
        <w:rPr>
          <w:color w:val="000080"/>
        </w:rPr>
        <w:t>.</w:t>
      </w:r>
      <w:proofErr w:type="gramEnd"/>
      <w:r w:rsidRPr="00D50625">
        <w:rPr>
          <w:color w:val="000080"/>
        </w:rPr>
        <w:t xml:space="preserve">  </w:t>
      </w:r>
      <w:r w:rsidR="00A841DD" w:rsidRPr="00D50625">
        <w:rPr>
          <w:color w:val="000080"/>
        </w:rPr>
        <w:t xml:space="preserve">The CI was followed by Psychiatry for a period prior to separation.  She was felt to have an adjustment disorder, although consideration was given to PTSD (related to details involving the automobile accident).  No psychiatric conditions were coded by the VA.  No </w:t>
      </w:r>
      <w:r w:rsidR="003B7FE5" w:rsidRPr="00D50625">
        <w:rPr>
          <w:color w:val="000080"/>
        </w:rPr>
        <w:t>fitness implications are in evidence</w:t>
      </w:r>
      <w:r w:rsidR="00A841DD" w:rsidRPr="00D50625">
        <w:rPr>
          <w:color w:val="000080"/>
        </w:rPr>
        <w:t xml:space="preserve">.  </w:t>
      </w:r>
      <w:r w:rsidR="003B7FE5" w:rsidRPr="00D50625">
        <w:rPr>
          <w:color w:val="000080"/>
        </w:rPr>
        <w:t>There were several other medical conditions documented in the service and VA records.  These included post-traumatic headaches, eye nevus, rhinitis, irritable bowel syndrome, cervical dysplasia and various conditions</w:t>
      </w:r>
      <w:r w:rsidR="004B07AC" w:rsidRPr="00D50625">
        <w:rPr>
          <w:color w:val="000080"/>
        </w:rPr>
        <w:t xml:space="preserve"> not service connected by the VA</w:t>
      </w:r>
      <w:r w:rsidR="003B7FE5" w:rsidRPr="00D50625">
        <w:rPr>
          <w:color w:val="000080"/>
        </w:rPr>
        <w:t>.  The only condition with a compensable rating by the VA, not already discussed, was post-traumatic headaches</w:t>
      </w:r>
      <w:r w:rsidR="003A08E1" w:rsidRPr="00D50625">
        <w:rPr>
          <w:color w:val="000080"/>
        </w:rPr>
        <w:t xml:space="preserve"> (rated 10%)</w:t>
      </w:r>
      <w:r w:rsidR="003B7FE5" w:rsidRPr="00D50625">
        <w:rPr>
          <w:color w:val="000080"/>
        </w:rPr>
        <w:t xml:space="preserve">.  </w:t>
      </w:r>
      <w:r w:rsidR="003A08E1" w:rsidRPr="00D50625">
        <w:rPr>
          <w:color w:val="000080"/>
        </w:rPr>
        <w:t xml:space="preserve">This was related to the motor vehicle accident which precipitated the neck and back </w:t>
      </w:r>
      <w:r w:rsidR="004B07AC" w:rsidRPr="00D50625">
        <w:rPr>
          <w:color w:val="000080"/>
        </w:rPr>
        <w:t>conditions</w:t>
      </w:r>
      <w:r w:rsidR="003A08E1" w:rsidRPr="00D50625">
        <w:rPr>
          <w:color w:val="000080"/>
        </w:rPr>
        <w:t xml:space="preserve">.  It was mentioned in </w:t>
      </w:r>
      <w:r w:rsidR="000E1799" w:rsidRPr="00D50625">
        <w:rPr>
          <w:color w:val="000080"/>
        </w:rPr>
        <w:t>a few</w:t>
      </w:r>
      <w:r w:rsidR="003A08E1" w:rsidRPr="00D50625">
        <w:rPr>
          <w:color w:val="000080"/>
        </w:rPr>
        <w:t xml:space="preserve"> of the </w:t>
      </w:r>
      <w:r w:rsidR="000E1799" w:rsidRPr="00D50625">
        <w:rPr>
          <w:color w:val="000080"/>
        </w:rPr>
        <w:t xml:space="preserve">Physical Medicine </w:t>
      </w:r>
      <w:r w:rsidR="003A08E1" w:rsidRPr="00D50625">
        <w:rPr>
          <w:color w:val="000080"/>
        </w:rPr>
        <w:t>notes</w:t>
      </w:r>
      <w:r w:rsidR="000E1799" w:rsidRPr="00D50625">
        <w:rPr>
          <w:color w:val="000080"/>
        </w:rPr>
        <w:t xml:space="preserve">. </w:t>
      </w:r>
      <w:r w:rsidR="003A08E1" w:rsidRPr="00D50625">
        <w:rPr>
          <w:color w:val="000080"/>
        </w:rPr>
        <w:t xml:space="preserve"> </w:t>
      </w:r>
      <w:r w:rsidR="000E1799" w:rsidRPr="00D50625">
        <w:rPr>
          <w:color w:val="000080"/>
        </w:rPr>
        <w:t>A</w:t>
      </w:r>
      <w:r w:rsidR="003A08E1" w:rsidRPr="00D50625">
        <w:rPr>
          <w:color w:val="000080"/>
        </w:rPr>
        <w:t xml:space="preserve"> neurology </w:t>
      </w:r>
      <w:r w:rsidR="000E1799" w:rsidRPr="00D50625">
        <w:rPr>
          <w:color w:val="000080"/>
        </w:rPr>
        <w:t>referral was documented</w:t>
      </w:r>
      <w:r w:rsidR="003A08E1" w:rsidRPr="00D50625">
        <w:rPr>
          <w:color w:val="000080"/>
        </w:rPr>
        <w:t xml:space="preserve">, but no consult is found in the record.  </w:t>
      </w:r>
      <w:r w:rsidR="000E1799" w:rsidRPr="00D50625">
        <w:rPr>
          <w:color w:val="000080"/>
        </w:rPr>
        <w:t>The same</w:t>
      </w:r>
      <w:r w:rsidR="003A08E1" w:rsidRPr="00D50625">
        <w:rPr>
          <w:color w:val="000080"/>
        </w:rPr>
        <w:t xml:space="preserve"> Board jurisdiction</w:t>
      </w:r>
      <w:r w:rsidR="000E1799" w:rsidRPr="00D50625">
        <w:rPr>
          <w:color w:val="000080"/>
        </w:rPr>
        <w:t xml:space="preserve"> issue applies to this condition as with the neck and back.</w:t>
      </w:r>
      <w:r w:rsidR="00C31118" w:rsidRPr="00D50625">
        <w:rPr>
          <w:color w:val="000080"/>
        </w:rPr>
        <w:t xml:space="preserve"> </w:t>
      </w:r>
      <w:r w:rsidR="003A08E1" w:rsidRPr="00D50625">
        <w:rPr>
          <w:color w:val="000080"/>
        </w:rPr>
        <w:t xml:space="preserve"> </w:t>
      </w:r>
      <w:r w:rsidR="00C31118" w:rsidRPr="00D50625">
        <w:rPr>
          <w:color w:val="000080"/>
        </w:rPr>
        <w:t>There is scant documentation and no connection to fitness in evidence</w:t>
      </w:r>
      <w:r w:rsidR="00B37BDF" w:rsidRPr="00D50625">
        <w:rPr>
          <w:color w:val="000080"/>
        </w:rPr>
        <w:t xml:space="preserve">.  </w:t>
      </w:r>
    </w:p>
    <w:p w:rsidR="00572217" w:rsidRPr="00D50625" w:rsidRDefault="00572217" w:rsidP="00B75887">
      <w:pPr>
        <w:tabs>
          <w:tab w:val="left" w:pos="288"/>
          <w:tab w:val="left" w:pos="4752"/>
        </w:tabs>
        <w:spacing w:line="240" w:lineRule="exact"/>
        <w:jc w:val="both"/>
        <w:rPr>
          <w:color w:val="000080"/>
        </w:rPr>
      </w:pPr>
    </w:p>
    <w:p w:rsidR="00C31118" w:rsidRPr="00D50625" w:rsidRDefault="00C31118" w:rsidP="00B75887">
      <w:pPr>
        <w:tabs>
          <w:tab w:val="left" w:pos="288"/>
          <w:tab w:val="left" w:pos="4752"/>
        </w:tabs>
        <w:spacing w:line="240" w:lineRule="exact"/>
        <w:jc w:val="both"/>
        <w:rPr>
          <w:color w:val="000080"/>
        </w:rPr>
      </w:pPr>
      <w:r w:rsidRPr="00D50625">
        <w:rPr>
          <w:color w:val="000080"/>
        </w:rPr>
        <w:t>The Board, therefore, has no reasonable basis for recommending any additional unfitting conditions for separation rating.</w:t>
      </w:r>
    </w:p>
    <w:p w:rsidR="00A90D55" w:rsidRPr="00D50625" w:rsidRDefault="008B5D31" w:rsidP="00B75887">
      <w:pPr>
        <w:tabs>
          <w:tab w:val="left" w:pos="288"/>
          <w:tab w:val="left" w:pos="4752"/>
        </w:tabs>
        <w:spacing w:line="240" w:lineRule="exact"/>
        <w:jc w:val="both"/>
        <w:rPr>
          <w:color w:val="000080"/>
        </w:rPr>
      </w:pPr>
      <w:r w:rsidRPr="00D50625">
        <w:rPr>
          <w:color w:val="000080"/>
          <w:u w:val="single"/>
        </w:rPr>
        <w:t>_______________________________________________________________</w:t>
      </w:r>
      <w:r w:rsidRPr="00D50625">
        <w:rPr>
          <w:color w:val="000080"/>
        </w:rPr>
        <w:t>_</w:t>
      </w:r>
    </w:p>
    <w:p w:rsidR="00A90D55" w:rsidRPr="00D50625" w:rsidRDefault="00A90D55" w:rsidP="00B75887">
      <w:pPr>
        <w:tabs>
          <w:tab w:val="left" w:pos="288"/>
          <w:tab w:val="left" w:pos="4752"/>
        </w:tabs>
        <w:spacing w:line="240" w:lineRule="exact"/>
        <w:jc w:val="both"/>
        <w:rPr>
          <w:color w:val="000080"/>
        </w:rPr>
      </w:pPr>
    </w:p>
    <w:p w:rsidR="001A4977" w:rsidRPr="00D50625" w:rsidRDefault="00C56FC8" w:rsidP="00B75887">
      <w:pPr>
        <w:tabs>
          <w:tab w:val="left" w:pos="288"/>
          <w:tab w:val="left" w:pos="4752"/>
        </w:tabs>
        <w:spacing w:line="240" w:lineRule="exact"/>
        <w:jc w:val="both"/>
        <w:rPr>
          <w:color w:val="000080"/>
        </w:rPr>
      </w:pPr>
      <w:r w:rsidRPr="00D50625">
        <w:rPr>
          <w:color w:val="000080"/>
          <w:u w:val="single"/>
        </w:rPr>
        <w:t>BOARD FINDINGS</w:t>
      </w:r>
      <w:r w:rsidRPr="00D50625">
        <w:rPr>
          <w:color w:val="000080"/>
        </w:rPr>
        <w:t xml:space="preserve">:  IAW </w:t>
      </w:r>
      <w:proofErr w:type="spellStart"/>
      <w:r w:rsidRPr="00D50625">
        <w:rPr>
          <w:color w:val="000080"/>
        </w:rPr>
        <w:t>DoDI</w:t>
      </w:r>
      <w:proofErr w:type="spellEnd"/>
      <w:r w:rsidRPr="00D50625">
        <w:rPr>
          <w:color w:val="000080"/>
        </w:rPr>
        <w:t xml:space="preserve"> 6040.44, provisions of </w:t>
      </w:r>
      <w:proofErr w:type="spellStart"/>
      <w:r w:rsidRPr="00D50625">
        <w:rPr>
          <w:color w:val="000080"/>
        </w:rPr>
        <w:t>DoD</w:t>
      </w:r>
      <w:proofErr w:type="spellEnd"/>
      <w:r w:rsidRPr="00D50625">
        <w:rPr>
          <w:color w:val="000080"/>
        </w:rPr>
        <w:t xml:space="preserve"> or Military Department regulations or guidelines relied upon by the PEB will not be considered by the Board to the extent they were </w:t>
      </w:r>
      <w:r w:rsidRPr="00D50625">
        <w:rPr>
          <w:color w:val="000080"/>
        </w:rPr>
        <w:lastRenderedPageBreak/>
        <w:t xml:space="preserve">inconsistent with the VASRD in effect at the time of the adjudication. </w:t>
      </w:r>
      <w:r w:rsidR="00C31118" w:rsidRPr="00D50625">
        <w:rPr>
          <w:color w:val="000080"/>
        </w:rPr>
        <w:t xml:space="preserve"> </w:t>
      </w:r>
      <w:r w:rsidRPr="00D50625">
        <w:rPr>
          <w:color w:val="000080"/>
        </w:rPr>
        <w:t>The Board did not surmise from the record or PEB ruling in this case that any prerogatives outside the VASRD were exercised.</w:t>
      </w:r>
      <w:r w:rsidR="00C31118" w:rsidRPr="00D50625">
        <w:rPr>
          <w:color w:val="000080"/>
        </w:rPr>
        <w:t xml:space="preserve">  In the matter of the dermatitis/latex condition the Board </w:t>
      </w:r>
      <w:r w:rsidR="004E0E84" w:rsidRPr="00D50625">
        <w:rPr>
          <w:color w:val="000080"/>
        </w:rPr>
        <w:t>unanimously recommends that it be co</w:t>
      </w:r>
      <w:r w:rsidR="001A4977" w:rsidRPr="00D50625">
        <w:rPr>
          <w:color w:val="000080"/>
        </w:rPr>
        <w:t xml:space="preserve">ded as two separate unfitting conditions.  These consist of </w:t>
      </w:r>
      <w:r w:rsidR="004E0E84" w:rsidRPr="00D50625">
        <w:rPr>
          <w:color w:val="000080"/>
        </w:rPr>
        <w:t xml:space="preserve">dermatitis </w:t>
      </w:r>
      <w:r w:rsidR="001A4977" w:rsidRPr="00D50625">
        <w:rPr>
          <w:color w:val="000080"/>
        </w:rPr>
        <w:t xml:space="preserve">coded 7806 and rated 10% IAW VASRD </w:t>
      </w:r>
      <w:r w:rsidR="001A4977" w:rsidRPr="00D50625">
        <w:rPr>
          <w:rFonts w:hAnsiTheme="minorHAnsi"/>
          <w:color w:val="000080"/>
        </w:rPr>
        <w:t>§</w:t>
      </w:r>
      <w:r w:rsidR="001A4977" w:rsidRPr="00D50625">
        <w:rPr>
          <w:color w:val="000080"/>
        </w:rPr>
        <w:t xml:space="preserve">4.118, and latex allergy coded 7899-7825 and rated 10% IAW VASRD </w:t>
      </w:r>
      <w:r w:rsidR="001A4977" w:rsidRPr="00D50625">
        <w:rPr>
          <w:rFonts w:hAnsiTheme="minorHAnsi"/>
          <w:color w:val="000080"/>
        </w:rPr>
        <w:t>§</w:t>
      </w:r>
      <w:r w:rsidR="001A4977" w:rsidRPr="00D50625">
        <w:rPr>
          <w:color w:val="000080"/>
        </w:rPr>
        <w:t xml:space="preserve">4.118.  In the matter of the left knee condition, the Board unanimously recommends no </w:t>
      </w:r>
      <w:proofErr w:type="spellStart"/>
      <w:r w:rsidR="001A4977" w:rsidRPr="00D50625">
        <w:rPr>
          <w:color w:val="000080"/>
        </w:rPr>
        <w:t>recharacterization</w:t>
      </w:r>
      <w:proofErr w:type="spellEnd"/>
      <w:r w:rsidR="001A4977" w:rsidRPr="00D50625">
        <w:rPr>
          <w:color w:val="000080"/>
        </w:rPr>
        <w:t xml:space="preserve"> of the PEB adjudication as not unfitting.  In the matter of the neck pain, back pain, </w:t>
      </w:r>
      <w:r w:rsidR="00B37BDF" w:rsidRPr="00D50625">
        <w:rPr>
          <w:color w:val="000080"/>
        </w:rPr>
        <w:t xml:space="preserve">post-traumatic </w:t>
      </w:r>
      <w:r w:rsidR="001A4977" w:rsidRPr="00D50625">
        <w:rPr>
          <w:color w:val="000080"/>
        </w:rPr>
        <w:t>headache and all of the CI</w:t>
      </w:r>
      <w:r w:rsidR="001A4977" w:rsidRPr="00D50625">
        <w:rPr>
          <w:rFonts w:hAnsiTheme="minorHAnsi"/>
          <w:color w:val="000080"/>
        </w:rPr>
        <w:t>’</w:t>
      </w:r>
      <w:r w:rsidR="001A4977" w:rsidRPr="00D50625">
        <w:rPr>
          <w:color w:val="000080"/>
        </w:rPr>
        <w:t>s other medical conditions; the Board unanimously agrees that it cannot recommend any findings of unfit for additional rating at separation.</w:t>
      </w:r>
    </w:p>
    <w:p w:rsidR="00FB593A" w:rsidRPr="00D50625" w:rsidRDefault="008B5D31" w:rsidP="00B75887">
      <w:pPr>
        <w:tabs>
          <w:tab w:val="left" w:pos="288"/>
          <w:tab w:val="left" w:pos="4752"/>
        </w:tabs>
        <w:spacing w:line="240" w:lineRule="exact"/>
        <w:jc w:val="both"/>
        <w:rPr>
          <w:color w:val="000080"/>
        </w:rPr>
      </w:pPr>
      <w:r w:rsidRPr="00D50625">
        <w:rPr>
          <w:color w:val="000080"/>
          <w:u w:val="single"/>
        </w:rPr>
        <w:t>_______________________________________________________________</w:t>
      </w:r>
      <w:r w:rsidRPr="00D50625">
        <w:rPr>
          <w:color w:val="000080"/>
        </w:rPr>
        <w:t>_</w:t>
      </w:r>
    </w:p>
    <w:p w:rsidR="00FB593A" w:rsidRPr="00D50625" w:rsidRDefault="00FB593A" w:rsidP="00B75887">
      <w:pPr>
        <w:tabs>
          <w:tab w:val="left" w:pos="288"/>
          <w:tab w:val="left" w:pos="4752"/>
        </w:tabs>
        <w:spacing w:line="240" w:lineRule="exact"/>
        <w:jc w:val="both"/>
        <w:rPr>
          <w:color w:val="000080"/>
        </w:rPr>
      </w:pPr>
    </w:p>
    <w:p w:rsidR="00C56FC8" w:rsidRPr="00D50625" w:rsidRDefault="00C56FC8" w:rsidP="00B75887">
      <w:pPr>
        <w:tabs>
          <w:tab w:val="left" w:pos="288"/>
          <w:tab w:val="left" w:pos="4752"/>
        </w:tabs>
        <w:spacing w:line="240" w:lineRule="exact"/>
        <w:jc w:val="both"/>
        <w:rPr>
          <w:color w:val="000080"/>
        </w:rPr>
      </w:pPr>
      <w:r w:rsidRPr="00D50625">
        <w:rPr>
          <w:color w:val="000080"/>
          <w:u w:val="single"/>
        </w:rPr>
        <w:t>RECOMMENDATION</w:t>
      </w:r>
      <w:r w:rsidRPr="00D50625">
        <w:rPr>
          <w:color w:val="000080"/>
        </w:rPr>
        <w:t xml:space="preserve">: </w:t>
      </w:r>
      <w:r w:rsidR="00B37BDF" w:rsidRPr="00D50625">
        <w:rPr>
          <w:color w:val="000080"/>
        </w:rPr>
        <w:t xml:space="preserve"> </w:t>
      </w:r>
      <w:r w:rsidRPr="00D50625">
        <w:rPr>
          <w:color w:val="000080"/>
        </w:rPr>
        <w:t>The Board recommends that the CI</w:t>
      </w:r>
      <w:r w:rsidRPr="00D50625">
        <w:rPr>
          <w:rFonts w:hAnsiTheme="minorHAnsi"/>
          <w:color w:val="000080"/>
        </w:rPr>
        <w:t>’</w:t>
      </w:r>
      <w:r w:rsidRPr="00D50625">
        <w:rPr>
          <w:color w:val="000080"/>
        </w:rPr>
        <w:t>s prior determination be modified as follows, effective as of the date of her prior medical separation.</w:t>
      </w:r>
    </w:p>
    <w:p w:rsidR="004101B2" w:rsidRPr="00D50625" w:rsidRDefault="004101B2" w:rsidP="00B75887">
      <w:pPr>
        <w:tabs>
          <w:tab w:val="left" w:pos="288"/>
          <w:tab w:val="left" w:pos="4752"/>
        </w:tabs>
        <w:spacing w:line="240" w:lineRule="exact"/>
        <w:jc w:val="both"/>
        <w:rPr>
          <w:color w:val="000080"/>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706"/>
        <w:gridCol w:w="1084"/>
      </w:tblGrid>
      <w:tr w:rsidR="004101B2" w:rsidRPr="00D50625" w:rsidTr="00B37BDF">
        <w:trPr>
          <w:trHeight w:val="287"/>
        </w:trPr>
        <w:tc>
          <w:tcPr>
            <w:tcW w:w="5310" w:type="dxa"/>
            <w:shd w:val="clear" w:color="auto" w:fill="D9D9D9"/>
          </w:tcPr>
          <w:p w:rsidR="004101B2" w:rsidRPr="00D50625" w:rsidRDefault="004101B2" w:rsidP="00B75887">
            <w:pPr>
              <w:tabs>
                <w:tab w:val="left" w:pos="288"/>
                <w:tab w:val="left" w:pos="4752"/>
              </w:tabs>
              <w:spacing w:line="240" w:lineRule="exact"/>
              <w:jc w:val="center"/>
              <w:rPr>
                <w:b/>
                <w:color w:val="000080"/>
                <w:szCs w:val="24"/>
              </w:rPr>
            </w:pPr>
            <w:r w:rsidRPr="00D50625">
              <w:rPr>
                <w:b/>
                <w:color w:val="000080"/>
                <w:szCs w:val="24"/>
              </w:rPr>
              <w:t>UNFITTING CONDITION</w:t>
            </w:r>
          </w:p>
        </w:tc>
        <w:tc>
          <w:tcPr>
            <w:tcW w:w="1706" w:type="dxa"/>
            <w:shd w:val="clear" w:color="auto" w:fill="D9D9D9"/>
          </w:tcPr>
          <w:p w:rsidR="004101B2" w:rsidRPr="00D50625" w:rsidRDefault="004101B2" w:rsidP="00B75887">
            <w:pPr>
              <w:tabs>
                <w:tab w:val="left" w:pos="288"/>
                <w:tab w:val="left" w:pos="4752"/>
              </w:tabs>
              <w:spacing w:line="240" w:lineRule="exact"/>
              <w:jc w:val="center"/>
              <w:rPr>
                <w:b/>
                <w:color w:val="000080"/>
                <w:szCs w:val="24"/>
              </w:rPr>
            </w:pPr>
            <w:r w:rsidRPr="00D50625">
              <w:rPr>
                <w:b/>
                <w:color w:val="000080"/>
                <w:szCs w:val="24"/>
              </w:rPr>
              <w:t>VASRD CODE</w:t>
            </w:r>
          </w:p>
        </w:tc>
        <w:tc>
          <w:tcPr>
            <w:tcW w:w="1084" w:type="dxa"/>
            <w:shd w:val="clear" w:color="auto" w:fill="D9D9D9"/>
          </w:tcPr>
          <w:p w:rsidR="004101B2" w:rsidRPr="00D50625" w:rsidRDefault="004101B2" w:rsidP="00B75887">
            <w:pPr>
              <w:tabs>
                <w:tab w:val="left" w:pos="288"/>
                <w:tab w:val="left" w:pos="4752"/>
              </w:tabs>
              <w:spacing w:line="240" w:lineRule="exact"/>
              <w:jc w:val="center"/>
              <w:rPr>
                <w:b/>
                <w:color w:val="000080"/>
                <w:szCs w:val="24"/>
              </w:rPr>
            </w:pPr>
            <w:r w:rsidRPr="00D50625">
              <w:rPr>
                <w:b/>
                <w:color w:val="000080"/>
                <w:szCs w:val="24"/>
              </w:rPr>
              <w:t>RATING</w:t>
            </w:r>
          </w:p>
        </w:tc>
      </w:tr>
      <w:tr w:rsidR="004101B2" w:rsidRPr="00D50625" w:rsidTr="00B37BDF">
        <w:tc>
          <w:tcPr>
            <w:tcW w:w="5310" w:type="dxa"/>
          </w:tcPr>
          <w:p w:rsidR="004101B2" w:rsidRPr="00D50625" w:rsidRDefault="00B37BDF" w:rsidP="00B75887">
            <w:pPr>
              <w:tabs>
                <w:tab w:val="left" w:pos="288"/>
                <w:tab w:val="left" w:pos="4752"/>
              </w:tabs>
              <w:spacing w:line="240" w:lineRule="exact"/>
              <w:rPr>
                <w:color w:val="000080"/>
                <w:szCs w:val="24"/>
              </w:rPr>
            </w:pPr>
            <w:r w:rsidRPr="00D50625">
              <w:rPr>
                <w:color w:val="000080"/>
                <w:szCs w:val="24"/>
              </w:rPr>
              <w:t>Chronic Irritant Contact Dermatitis</w:t>
            </w:r>
          </w:p>
        </w:tc>
        <w:tc>
          <w:tcPr>
            <w:tcW w:w="1706" w:type="dxa"/>
          </w:tcPr>
          <w:p w:rsidR="004101B2" w:rsidRPr="00D50625" w:rsidRDefault="00B37BDF" w:rsidP="00B75887">
            <w:pPr>
              <w:tabs>
                <w:tab w:val="left" w:pos="288"/>
                <w:tab w:val="left" w:pos="4752"/>
              </w:tabs>
              <w:spacing w:line="240" w:lineRule="exact"/>
              <w:jc w:val="center"/>
              <w:rPr>
                <w:color w:val="000080"/>
                <w:szCs w:val="24"/>
              </w:rPr>
            </w:pPr>
            <w:r w:rsidRPr="00D50625">
              <w:rPr>
                <w:color w:val="000080"/>
                <w:szCs w:val="24"/>
              </w:rPr>
              <w:t>7806</w:t>
            </w:r>
          </w:p>
        </w:tc>
        <w:tc>
          <w:tcPr>
            <w:tcW w:w="1084" w:type="dxa"/>
          </w:tcPr>
          <w:p w:rsidR="004101B2" w:rsidRPr="00D50625" w:rsidRDefault="00B37BDF" w:rsidP="00B75887">
            <w:pPr>
              <w:tabs>
                <w:tab w:val="left" w:pos="288"/>
                <w:tab w:val="left" w:pos="4752"/>
              </w:tabs>
              <w:spacing w:line="240" w:lineRule="exact"/>
              <w:jc w:val="center"/>
              <w:rPr>
                <w:color w:val="000080"/>
                <w:szCs w:val="24"/>
              </w:rPr>
            </w:pPr>
            <w:r w:rsidRPr="00D50625">
              <w:rPr>
                <w:color w:val="000080"/>
                <w:szCs w:val="24"/>
              </w:rPr>
              <w:t>10%</w:t>
            </w:r>
          </w:p>
        </w:tc>
      </w:tr>
      <w:tr w:rsidR="00B37BDF" w:rsidRPr="00D50625" w:rsidTr="00B37BDF">
        <w:tc>
          <w:tcPr>
            <w:tcW w:w="5310" w:type="dxa"/>
          </w:tcPr>
          <w:p w:rsidR="00B37BDF" w:rsidRPr="00D50625" w:rsidRDefault="00B37BDF" w:rsidP="00B75887">
            <w:pPr>
              <w:tabs>
                <w:tab w:val="left" w:pos="288"/>
                <w:tab w:val="left" w:pos="4752"/>
              </w:tabs>
              <w:spacing w:line="240" w:lineRule="exact"/>
              <w:rPr>
                <w:color w:val="000080"/>
                <w:szCs w:val="24"/>
              </w:rPr>
            </w:pPr>
            <w:r w:rsidRPr="00D50625">
              <w:rPr>
                <w:color w:val="000080"/>
                <w:szCs w:val="24"/>
              </w:rPr>
              <w:t>Allergic Reactions to Latex and Other Occupational Allergens</w:t>
            </w:r>
          </w:p>
        </w:tc>
        <w:tc>
          <w:tcPr>
            <w:tcW w:w="1706" w:type="dxa"/>
          </w:tcPr>
          <w:p w:rsidR="00B37BDF" w:rsidRPr="00D50625" w:rsidRDefault="00B37BDF" w:rsidP="00B75887">
            <w:pPr>
              <w:tabs>
                <w:tab w:val="left" w:pos="288"/>
                <w:tab w:val="left" w:pos="4752"/>
              </w:tabs>
              <w:spacing w:line="240" w:lineRule="exact"/>
              <w:jc w:val="center"/>
              <w:rPr>
                <w:color w:val="000080"/>
                <w:szCs w:val="24"/>
              </w:rPr>
            </w:pPr>
            <w:r w:rsidRPr="00D50625">
              <w:rPr>
                <w:color w:val="000080"/>
                <w:szCs w:val="24"/>
              </w:rPr>
              <w:t>7899-7825</w:t>
            </w:r>
          </w:p>
        </w:tc>
        <w:tc>
          <w:tcPr>
            <w:tcW w:w="1084" w:type="dxa"/>
          </w:tcPr>
          <w:p w:rsidR="00B37BDF" w:rsidRPr="00D50625" w:rsidRDefault="00B37BDF" w:rsidP="00B75887">
            <w:pPr>
              <w:tabs>
                <w:tab w:val="left" w:pos="288"/>
                <w:tab w:val="left" w:pos="4752"/>
              </w:tabs>
              <w:spacing w:line="240" w:lineRule="exact"/>
              <w:jc w:val="center"/>
              <w:rPr>
                <w:color w:val="000080"/>
                <w:szCs w:val="24"/>
              </w:rPr>
            </w:pPr>
            <w:r w:rsidRPr="00D50625">
              <w:rPr>
                <w:color w:val="000080"/>
                <w:szCs w:val="24"/>
              </w:rPr>
              <w:t>10%</w:t>
            </w:r>
          </w:p>
        </w:tc>
      </w:tr>
      <w:tr w:rsidR="004101B2" w:rsidRPr="00D50625" w:rsidTr="00B37BDF">
        <w:tblPrEx>
          <w:tblLook w:val="0000"/>
        </w:tblPrEx>
        <w:trPr>
          <w:gridBefore w:val="1"/>
          <w:wBefore w:w="5310" w:type="dxa"/>
          <w:trHeight w:val="287"/>
        </w:trPr>
        <w:tc>
          <w:tcPr>
            <w:tcW w:w="1706" w:type="dxa"/>
            <w:tcBorders>
              <w:left w:val="single" w:sz="4" w:space="0" w:color="auto"/>
              <w:bottom w:val="single" w:sz="4" w:space="0" w:color="000000"/>
            </w:tcBorders>
            <w:shd w:val="clear" w:color="auto" w:fill="D9D9D9" w:themeFill="background1" w:themeFillShade="D9"/>
          </w:tcPr>
          <w:p w:rsidR="004101B2" w:rsidRPr="00D50625" w:rsidRDefault="004101B2" w:rsidP="00B75887">
            <w:pPr>
              <w:tabs>
                <w:tab w:val="left" w:pos="288"/>
                <w:tab w:val="left" w:pos="4752"/>
              </w:tabs>
              <w:spacing w:line="240" w:lineRule="exact"/>
              <w:jc w:val="center"/>
              <w:rPr>
                <w:b/>
                <w:color w:val="000080"/>
                <w:szCs w:val="24"/>
              </w:rPr>
            </w:pPr>
            <w:r w:rsidRPr="00D50625">
              <w:rPr>
                <w:b/>
                <w:color w:val="000080"/>
                <w:szCs w:val="24"/>
              </w:rPr>
              <w:t>COMBINED</w:t>
            </w:r>
          </w:p>
        </w:tc>
        <w:tc>
          <w:tcPr>
            <w:tcW w:w="1084" w:type="dxa"/>
            <w:tcBorders>
              <w:bottom w:val="single" w:sz="4" w:space="0" w:color="000000"/>
            </w:tcBorders>
            <w:shd w:val="clear" w:color="auto" w:fill="D9D9D9" w:themeFill="background1" w:themeFillShade="D9"/>
          </w:tcPr>
          <w:p w:rsidR="004101B2" w:rsidRPr="00D50625" w:rsidRDefault="00B37BDF" w:rsidP="00B75887">
            <w:pPr>
              <w:tabs>
                <w:tab w:val="left" w:pos="288"/>
                <w:tab w:val="left" w:pos="4752"/>
              </w:tabs>
              <w:spacing w:line="240" w:lineRule="exact"/>
              <w:jc w:val="center"/>
              <w:rPr>
                <w:b/>
                <w:color w:val="000080"/>
                <w:szCs w:val="24"/>
              </w:rPr>
            </w:pPr>
            <w:r w:rsidRPr="00D50625">
              <w:rPr>
                <w:b/>
                <w:color w:val="000080"/>
                <w:szCs w:val="24"/>
              </w:rPr>
              <w:t>20</w:t>
            </w:r>
            <w:r w:rsidR="004101B2" w:rsidRPr="00D50625">
              <w:rPr>
                <w:b/>
                <w:color w:val="000080"/>
                <w:szCs w:val="24"/>
              </w:rPr>
              <w:t>%</w:t>
            </w:r>
          </w:p>
        </w:tc>
      </w:tr>
    </w:tbl>
    <w:p w:rsidR="00B522CD" w:rsidRPr="00D50625" w:rsidRDefault="008B5D31" w:rsidP="00B75887">
      <w:pPr>
        <w:tabs>
          <w:tab w:val="left" w:pos="288"/>
          <w:tab w:val="left" w:pos="4752"/>
        </w:tabs>
        <w:spacing w:line="240" w:lineRule="exact"/>
        <w:jc w:val="both"/>
        <w:rPr>
          <w:color w:val="000080"/>
        </w:rPr>
      </w:pPr>
      <w:r w:rsidRPr="00D50625">
        <w:rPr>
          <w:color w:val="000080"/>
          <w:u w:val="single"/>
        </w:rPr>
        <w:t>_______________________________________________________________</w:t>
      </w:r>
      <w:r w:rsidRPr="00D50625">
        <w:rPr>
          <w:color w:val="000080"/>
        </w:rPr>
        <w:t>_</w:t>
      </w:r>
    </w:p>
    <w:p w:rsidR="00D91DA6" w:rsidRPr="00D50625" w:rsidRDefault="00D91DA6" w:rsidP="00B75887">
      <w:pPr>
        <w:tabs>
          <w:tab w:val="left" w:pos="288"/>
          <w:tab w:val="left" w:pos="4752"/>
        </w:tabs>
        <w:spacing w:line="240" w:lineRule="exact"/>
        <w:jc w:val="both"/>
        <w:rPr>
          <w:color w:val="000080"/>
        </w:rPr>
      </w:pPr>
    </w:p>
    <w:p w:rsidR="00D91DA6" w:rsidRPr="00D50625" w:rsidRDefault="00114F20" w:rsidP="00B75887">
      <w:pPr>
        <w:tabs>
          <w:tab w:val="left" w:pos="288"/>
          <w:tab w:val="left" w:pos="4752"/>
        </w:tabs>
        <w:spacing w:line="240" w:lineRule="exact"/>
        <w:jc w:val="both"/>
        <w:rPr>
          <w:color w:val="000080"/>
        </w:rPr>
      </w:pPr>
      <w:r w:rsidRPr="00D50625">
        <w:rPr>
          <w:color w:val="000080"/>
        </w:rPr>
        <w:t>The following documentary evidence was considered:</w:t>
      </w:r>
    </w:p>
    <w:p w:rsidR="00114F20" w:rsidRPr="00D50625" w:rsidRDefault="00114F20" w:rsidP="00B75887">
      <w:pPr>
        <w:tabs>
          <w:tab w:val="left" w:pos="288"/>
          <w:tab w:val="left" w:pos="4752"/>
        </w:tabs>
        <w:spacing w:line="240" w:lineRule="exact"/>
        <w:jc w:val="both"/>
        <w:rPr>
          <w:color w:val="000080"/>
        </w:rPr>
      </w:pPr>
    </w:p>
    <w:p w:rsidR="00114F20" w:rsidRPr="00D50625" w:rsidRDefault="0051146C" w:rsidP="00B75887">
      <w:pPr>
        <w:tabs>
          <w:tab w:val="left" w:pos="288"/>
          <w:tab w:val="left" w:pos="4752"/>
        </w:tabs>
        <w:spacing w:line="240" w:lineRule="exact"/>
        <w:jc w:val="both"/>
        <w:rPr>
          <w:color w:val="000080"/>
        </w:rPr>
      </w:pPr>
      <w:r w:rsidRPr="00D50625">
        <w:rPr>
          <w:color w:val="000080"/>
        </w:rPr>
        <w:t xml:space="preserve">Exhibit A.  DD Form </w:t>
      </w:r>
      <w:proofErr w:type="gramStart"/>
      <w:r w:rsidRPr="00D50625">
        <w:rPr>
          <w:color w:val="000080"/>
        </w:rPr>
        <w:t>294,</w:t>
      </w:r>
      <w:proofErr w:type="gramEnd"/>
      <w:r w:rsidRPr="00D50625">
        <w:rPr>
          <w:color w:val="000080"/>
        </w:rPr>
        <w:t xml:space="preserve"> dated </w:t>
      </w:r>
      <w:r w:rsidR="0019273F" w:rsidRPr="00D50625">
        <w:rPr>
          <w:color w:val="000080"/>
        </w:rPr>
        <w:t>2009</w:t>
      </w:r>
      <w:r w:rsidR="00EE4D60" w:rsidRPr="00D50625">
        <w:rPr>
          <w:color w:val="000080"/>
        </w:rPr>
        <w:t>0121</w:t>
      </w:r>
      <w:r w:rsidR="00114F20" w:rsidRPr="00D50625">
        <w:rPr>
          <w:color w:val="000080"/>
        </w:rPr>
        <w:t>, w/</w:t>
      </w:r>
      <w:proofErr w:type="spellStart"/>
      <w:r w:rsidR="00114F20" w:rsidRPr="00D50625">
        <w:rPr>
          <w:color w:val="000080"/>
        </w:rPr>
        <w:t>atchs</w:t>
      </w:r>
      <w:proofErr w:type="spellEnd"/>
      <w:r w:rsidR="00114F20" w:rsidRPr="00D50625">
        <w:rPr>
          <w:color w:val="000080"/>
        </w:rPr>
        <w:t>.</w:t>
      </w:r>
    </w:p>
    <w:p w:rsidR="00114F20" w:rsidRPr="00D50625" w:rsidRDefault="00114F20" w:rsidP="00B75887">
      <w:pPr>
        <w:tabs>
          <w:tab w:val="left" w:pos="288"/>
          <w:tab w:val="left" w:pos="4752"/>
        </w:tabs>
        <w:spacing w:line="240" w:lineRule="exact"/>
        <w:jc w:val="both"/>
        <w:rPr>
          <w:color w:val="000080"/>
        </w:rPr>
      </w:pPr>
      <w:r w:rsidRPr="00D50625">
        <w:rPr>
          <w:color w:val="000080"/>
        </w:rPr>
        <w:t xml:space="preserve">Exhibit B.  </w:t>
      </w:r>
      <w:proofErr w:type="gramStart"/>
      <w:r w:rsidRPr="00D50625">
        <w:rPr>
          <w:color w:val="000080"/>
        </w:rPr>
        <w:t>Service Treatment Record.</w:t>
      </w:r>
      <w:proofErr w:type="gramEnd"/>
    </w:p>
    <w:p w:rsidR="00656C8B" w:rsidRDefault="00114F20" w:rsidP="00B75887">
      <w:pPr>
        <w:tabs>
          <w:tab w:val="left" w:pos="288"/>
          <w:tab w:val="left" w:pos="4752"/>
        </w:tabs>
        <w:spacing w:line="240" w:lineRule="exact"/>
        <w:jc w:val="both"/>
        <w:rPr>
          <w:color w:val="000080"/>
        </w:rPr>
      </w:pPr>
      <w:r w:rsidRPr="00D50625">
        <w:rPr>
          <w:color w:val="000080"/>
        </w:rPr>
        <w:t xml:space="preserve">Exhibit C.  </w:t>
      </w:r>
      <w:proofErr w:type="gramStart"/>
      <w:r w:rsidRPr="00D50625">
        <w:rPr>
          <w:color w:val="000080"/>
        </w:rPr>
        <w:t>Department of Veterans</w:t>
      </w:r>
      <w:r w:rsidR="00385D6F" w:rsidRPr="00D50625">
        <w:rPr>
          <w:color w:val="000080"/>
        </w:rPr>
        <w:t>'</w:t>
      </w:r>
      <w:r w:rsidRPr="00D50625">
        <w:rPr>
          <w:color w:val="000080"/>
        </w:rPr>
        <w:t xml:space="preserve"> Affairs Treatment Record.</w:t>
      </w:r>
      <w:proofErr w:type="gramEnd"/>
    </w:p>
    <w:p w:rsidR="00656C8B" w:rsidRDefault="00656C8B">
      <w:pPr>
        <w:rPr>
          <w:color w:val="000080"/>
        </w:rPr>
      </w:pPr>
      <w:r>
        <w:rPr>
          <w:color w:val="000080"/>
        </w:rPr>
        <w:br w:type="page"/>
      </w:r>
    </w:p>
    <w:p w:rsidR="00656C8B" w:rsidRDefault="00656C8B" w:rsidP="00656C8B">
      <w:pPr>
        <w:pStyle w:val="Default"/>
        <w:framePr w:w="16682" w:wrap="auto" w:vAnchor="page" w:hAnchor="page" w:x="1" w:y="1"/>
      </w:pPr>
      <w:r>
        <w:rPr>
          <w:noProof/>
        </w:rPr>
        <w:lastRenderedPageBreak/>
        <w:drawing>
          <wp:inline distT="0" distB="0" distL="0" distR="0">
            <wp:extent cx="7798435"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p w:rsidR="00114F20" w:rsidRPr="00D50625" w:rsidRDefault="00114F20" w:rsidP="00B75887">
      <w:pPr>
        <w:tabs>
          <w:tab w:val="left" w:pos="288"/>
          <w:tab w:val="left" w:pos="4752"/>
        </w:tabs>
        <w:spacing w:line="240" w:lineRule="exact"/>
        <w:jc w:val="both"/>
        <w:rPr>
          <w:color w:val="000080"/>
        </w:rPr>
      </w:pPr>
    </w:p>
    <w:p w:rsidR="00D91DA6" w:rsidRPr="00D50625" w:rsidRDefault="00D91DA6" w:rsidP="00B75887">
      <w:pPr>
        <w:tabs>
          <w:tab w:val="left" w:pos="288"/>
          <w:tab w:val="left" w:pos="4752"/>
        </w:tabs>
        <w:spacing w:line="240" w:lineRule="exact"/>
        <w:jc w:val="both"/>
        <w:rPr>
          <w:color w:val="000080"/>
        </w:rPr>
      </w:pPr>
    </w:p>
    <w:p w:rsidR="00114F20" w:rsidRPr="00D50625" w:rsidRDefault="00114F20" w:rsidP="00B75887">
      <w:pPr>
        <w:tabs>
          <w:tab w:val="left" w:pos="288"/>
          <w:tab w:val="left" w:pos="4752"/>
        </w:tabs>
        <w:spacing w:line="240" w:lineRule="exact"/>
        <w:jc w:val="both"/>
        <w:rPr>
          <w:color w:val="000080"/>
        </w:rPr>
      </w:pPr>
    </w:p>
    <w:p w:rsidR="00114F20" w:rsidRPr="00D50625" w:rsidRDefault="00114F20" w:rsidP="00B75887">
      <w:pPr>
        <w:tabs>
          <w:tab w:val="left" w:pos="288"/>
          <w:tab w:val="left" w:pos="4752"/>
        </w:tabs>
        <w:spacing w:line="240" w:lineRule="exact"/>
        <w:jc w:val="both"/>
        <w:rPr>
          <w:color w:val="000080"/>
        </w:rPr>
      </w:pPr>
    </w:p>
    <w:p w:rsidR="00114F20" w:rsidRPr="00D50625" w:rsidRDefault="00114F20" w:rsidP="00B75887">
      <w:pPr>
        <w:tabs>
          <w:tab w:val="left" w:pos="288"/>
          <w:tab w:val="left" w:pos="4752"/>
        </w:tabs>
        <w:spacing w:line="240" w:lineRule="exact"/>
        <w:jc w:val="both"/>
        <w:rPr>
          <w:color w:val="000080"/>
        </w:rPr>
      </w:pPr>
    </w:p>
    <w:p w:rsidR="00AA04B3" w:rsidRPr="00D50625" w:rsidRDefault="00C30A97" w:rsidP="00986D13">
      <w:pPr>
        <w:tabs>
          <w:tab w:val="left" w:pos="0"/>
          <w:tab w:val="left" w:pos="4320"/>
        </w:tabs>
        <w:spacing w:line="240" w:lineRule="exact"/>
        <w:jc w:val="both"/>
        <w:rPr>
          <w:color w:val="000080"/>
        </w:rPr>
      </w:pPr>
      <w:r w:rsidRPr="00D50625">
        <w:rPr>
          <w:color w:val="000080"/>
        </w:rPr>
        <w:t xml:space="preserve">                             </w:t>
      </w:r>
    </w:p>
    <w:p w:rsidR="00572217" w:rsidRPr="00B75887" w:rsidRDefault="00572217" w:rsidP="00B75887">
      <w:pPr>
        <w:tabs>
          <w:tab w:val="left" w:pos="288"/>
          <w:tab w:val="left" w:pos="4770"/>
        </w:tabs>
        <w:spacing w:line="240" w:lineRule="exact"/>
        <w:jc w:val="both"/>
        <w:rPr>
          <w:rFonts w:asciiTheme="minorHAnsi" w:hAnsiTheme="minorHAnsi"/>
          <w:color w:val="000080"/>
          <w:szCs w:val="24"/>
        </w:rPr>
      </w:pPr>
    </w:p>
    <w:sectPr w:rsidR="00572217" w:rsidRPr="00B75887"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4E" w:rsidRDefault="0039444E">
      <w:r>
        <w:separator/>
      </w:r>
    </w:p>
  </w:endnote>
  <w:endnote w:type="continuationSeparator" w:id="0">
    <w:p w:rsidR="0039444E" w:rsidRDefault="0039444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5B" w:rsidRDefault="001C7467">
    <w:pPr>
      <w:pStyle w:val="Footer"/>
      <w:framePr w:wrap="around" w:vAnchor="text" w:hAnchor="margin" w:xAlign="center" w:y="1"/>
      <w:rPr>
        <w:rStyle w:val="PageNumber"/>
      </w:rPr>
    </w:pPr>
    <w:r>
      <w:rPr>
        <w:rStyle w:val="PageNumber"/>
      </w:rPr>
      <w:fldChar w:fldCharType="begin"/>
    </w:r>
    <w:r w:rsidR="0073505B">
      <w:rPr>
        <w:rStyle w:val="PageNumber"/>
      </w:rPr>
      <w:instrText xml:space="preserve">PAGE  </w:instrText>
    </w:r>
    <w:r>
      <w:rPr>
        <w:rStyle w:val="PageNumber"/>
      </w:rPr>
      <w:fldChar w:fldCharType="separate"/>
    </w:r>
    <w:r w:rsidR="0073505B">
      <w:rPr>
        <w:rStyle w:val="PageNumber"/>
        <w:noProof/>
      </w:rPr>
      <w:t>2</w:t>
    </w:r>
    <w:r>
      <w:rPr>
        <w:rStyle w:val="PageNumber"/>
      </w:rPr>
      <w:fldChar w:fldCharType="end"/>
    </w:r>
  </w:p>
  <w:p w:rsidR="0073505B" w:rsidRDefault="0073505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5B" w:rsidRDefault="001C7467">
    <w:pPr>
      <w:pStyle w:val="Footer"/>
      <w:framePr w:wrap="around" w:vAnchor="text" w:hAnchor="margin" w:xAlign="center" w:y="1"/>
      <w:rPr>
        <w:rStyle w:val="PageNumber"/>
      </w:rPr>
    </w:pPr>
    <w:r>
      <w:rPr>
        <w:rStyle w:val="PageNumber"/>
      </w:rPr>
      <w:fldChar w:fldCharType="begin"/>
    </w:r>
    <w:r w:rsidR="0073505B">
      <w:rPr>
        <w:rStyle w:val="PageNumber"/>
      </w:rPr>
      <w:instrText xml:space="preserve">PAGE  </w:instrText>
    </w:r>
    <w:r>
      <w:rPr>
        <w:rStyle w:val="PageNumber"/>
      </w:rPr>
      <w:fldChar w:fldCharType="separate"/>
    </w:r>
    <w:r w:rsidR="00656C8B">
      <w:rPr>
        <w:rStyle w:val="PageNumber"/>
        <w:noProof/>
      </w:rPr>
      <w:t>7</w:t>
    </w:r>
    <w:r>
      <w:rPr>
        <w:rStyle w:val="PageNumber"/>
      </w:rPr>
      <w:fldChar w:fldCharType="end"/>
    </w:r>
  </w:p>
  <w:p w:rsidR="0073505B" w:rsidRDefault="0073505B" w:rsidP="002B0749">
    <w:pPr>
      <w:pStyle w:val="Footer"/>
      <w:jc w:val="right"/>
    </w:pPr>
    <w:r>
      <w:tab/>
    </w:r>
    <w:r>
      <w:tab/>
    </w:r>
    <w:r w:rsidRPr="001D3186">
      <w:rPr>
        <w:caps/>
        <w:color w:val="000080"/>
      </w:rPr>
      <w:t>PD09</w:t>
    </w:r>
    <w:r>
      <w:rPr>
        <w:caps/>
        <w:color w:val="000080"/>
      </w:rPr>
      <w:t>00063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4E" w:rsidRDefault="0039444E">
      <w:r>
        <w:separator/>
      </w:r>
    </w:p>
  </w:footnote>
  <w:footnote w:type="continuationSeparator" w:id="0">
    <w:p w:rsidR="0039444E" w:rsidRDefault="00394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2213"/>
    <w:rsid w:val="00035C3A"/>
    <w:rsid w:val="000379D0"/>
    <w:rsid w:val="00040FC4"/>
    <w:rsid w:val="000416F8"/>
    <w:rsid w:val="00051622"/>
    <w:rsid w:val="00053D7C"/>
    <w:rsid w:val="00055625"/>
    <w:rsid w:val="00071CB5"/>
    <w:rsid w:val="00072433"/>
    <w:rsid w:val="0008708B"/>
    <w:rsid w:val="000A2BCE"/>
    <w:rsid w:val="000A4BBA"/>
    <w:rsid w:val="000C217D"/>
    <w:rsid w:val="000C534B"/>
    <w:rsid w:val="000C7DE4"/>
    <w:rsid w:val="000D15E7"/>
    <w:rsid w:val="000D248A"/>
    <w:rsid w:val="000D43F9"/>
    <w:rsid w:val="000D4717"/>
    <w:rsid w:val="000D7D55"/>
    <w:rsid w:val="000E1799"/>
    <w:rsid w:val="000F427B"/>
    <w:rsid w:val="001016C0"/>
    <w:rsid w:val="0010417F"/>
    <w:rsid w:val="0010530E"/>
    <w:rsid w:val="001103CD"/>
    <w:rsid w:val="00114F20"/>
    <w:rsid w:val="001231DC"/>
    <w:rsid w:val="001315DD"/>
    <w:rsid w:val="00135385"/>
    <w:rsid w:val="001364D1"/>
    <w:rsid w:val="001541C5"/>
    <w:rsid w:val="00155000"/>
    <w:rsid w:val="00177659"/>
    <w:rsid w:val="001812C0"/>
    <w:rsid w:val="00183DF2"/>
    <w:rsid w:val="00185ECB"/>
    <w:rsid w:val="0019273F"/>
    <w:rsid w:val="001A4977"/>
    <w:rsid w:val="001A7538"/>
    <w:rsid w:val="001B5B59"/>
    <w:rsid w:val="001C181A"/>
    <w:rsid w:val="001C2053"/>
    <w:rsid w:val="001C28D1"/>
    <w:rsid w:val="001C4F0D"/>
    <w:rsid w:val="001C7418"/>
    <w:rsid w:val="001C7467"/>
    <w:rsid w:val="001D0051"/>
    <w:rsid w:val="001D1BCD"/>
    <w:rsid w:val="001D2224"/>
    <w:rsid w:val="001D68CF"/>
    <w:rsid w:val="001D6A8C"/>
    <w:rsid w:val="001D7A56"/>
    <w:rsid w:val="001E18E2"/>
    <w:rsid w:val="001E4FD0"/>
    <w:rsid w:val="002060B6"/>
    <w:rsid w:val="00216049"/>
    <w:rsid w:val="00217C09"/>
    <w:rsid w:val="00225196"/>
    <w:rsid w:val="00225CB4"/>
    <w:rsid w:val="00227CB0"/>
    <w:rsid w:val="002338CA"/>
    <w:rsid w:val="0024227D"/>
    <w:rsid w:val="00246860"/>
    <w:rsid w:val="0025183C"/>
    <w:rsid w:val="0026318D"/>
    <w:rsid w:val="0027159C"/>
    <w:rsid w:val="00274549"/>
    <w:rsid w:val="00274E46"/>
    <w:rsid w:val="00276C86"/>
    <w:rsid w:val="0028623D"/>
    <w:rsid w:val="002A2E60"/>
    <w:rsid w:val="002B03B2"/>
    <w:rsid w:val="002B0749"/>
    <w:rsid w:val="002C6E5B"/>
    <w:rsid w:val="002D18B4"/>
    <w:rsid w:val="002D535B"/>
    <w:rsid w:val="002E1C31"/>
    <w:rsid w:val="002E333A"/>
    <w:rsid w:val="002E3474"/>
    <w:rsid w:val="002E764B"/>
    <w:rsid w:val="002F7F81"/>
    <w:rsid w:val="00323E70"/>
    <w:rsid w:val="0033555E"/>
    <w:rsid w:val="00341A54"/>
    <w:rsid w:val="003619BB"/>
    <w:rsid w:val="00363362"/>
    <w:rsid w:val="003670DD"/>
    <w:rsid w:val="0037520D"/>
    <w:rsid w:val="00377BD2"/>
    <w:rsid w:val="003857D4"/>
    <w:rsid w:val="00385D6F"/>
    <w:rsid w:val="00386623"/>
    <w:rsid w:val="00393651"/>
    <w:rsid w:val="0039444E"/>
    <w:rsid w:val="003A08E1"/>
    <w:rsid w:val="003A41BA"/>
    <w:rsid w:val="003A6A99"/>
    <w:rsid w:val="003B227A"/>
    <w:rsid w:val="003B7FE5"/>
    <w:rsid w:val="003D2BA3"/>
    <w:rsid w:val="003D7DDB"/>
    <w:rsid w:val="003E0543"/>
    <w:rsid w:val="003F58B0"/>
    <w:rsid w:val="004007E9"/>
    <w:rsid w:val="00401BBC"/>
    <w:rsid w:val="00404B45"/>
    <w:rsid w:val="00406CC5"/>
    <w:rsid w:val="004074A4"/>
    <w:rsid w:val="004101B2"/>
    <w:rsid w:val="004172DB"/>
    <w:rsid w:val="00422B75"/>
    <w:rsid w:val="0043503A"/>
    <w:rsid w:val="004408ED"/>
    <w:rsid w:val="00440E61"/>
    <w:rsid w:val="0044384F"/>
    <w:rsid w:val="004543BC"/>
    <w:rsid w:val="004574C6"/>
    <w:rsid w:val="00457BCF"/>
    <w:rsid w:val="00461DDE"/>
    <w:rsid w:val="004718E7"/>
    <w:rsid w:val="004761CC"/>
    <w:rsid w:val="00492528"/>
    <w:rsid w:val="00495350"/>
    <w:rsid w:val="004A24D2"/>
    <w:rsid w:val="004A4136"/>
    <w:rsid w:val="004B03F3"/>
    <w:rsid w:val="004B07AC"/>
    <w:rsid w:val="004B7169"/>
    <w:rsid w:val="004C4052"/>
    <w:rsid w:val="004C6CDA"/>
    <w:rsid w:val="004D3AD9"/>
    <w:rsid w:val="004E0E84"/>
    <w:rsid w:val="004E32EA"/>
    <w:rsid w:val="00507A31"/>
    <w:rsid w:val="00510588"/>
    <w:rsid w:val="0051146C"/>
    <w:rsid w:val="00520115"/>
    <w:rsid w:val="005201C4"/>
    <w:rsid w:val="005222E7"/>
    <w:rsid w:val="0052590B"/>
    <w:rsid w:val="00526591"/>
    <w:rsid w:val="00531E7E"/>
    <w:rsid w:val="005350A5"/>
    <w:rsid w:val="00536379"/>
    <w:rsid w:val="00540BEF"/>
    <w:rsid w:val="00542304"/>
    <w:rsid w:val="005436C2"/>
    <w:rsid w:val="0055288D"/>
    <w:rsid w:val="00553988"/>
    <w:rsid w:val="00571EA0"/>
    <w:rsid w:val="00572217"/>
    <w:rsid w:val="00593043"/>
    <w:rsid w:val="005A040E"/>
    <w:rsid w:val="005A258C"/>
    <w:rsid w:val="005A3560"/>
    <w:rsid w:val="005A4BC8"/>
    <w:rsid w:val="005B011A"/>
    <w:rsid w:val="005D7F7E"/>
    <w:rsid w:val="005F1115"/>
    <w:rsid w:val="005F27F2"/>
    <w:rsid w:val="005F424D"/>
    <w:rsid w:val="006051C1"/>
    <w:rsid w:val="00615641"/>
    <w:rsid w:val="0062130F"/>
    <w:rsid w:val="006307BA"/>
    <w:rsid w:val="00634C4A"/>
    <w:rsid w:val="006418C9"/>
    <w:rsid w:val="00645046"/>
    <w:rsid w:val="00653FB1"/>
    <w:rsid w:val="00656C8B"/>
    <w:rsid w:val="00662F08"/>
    <w:rsid w:val="00663589"/>
    <w:rsid w:val="006644CA"/>
    <w:rsid w:val="00670DDC"/>
    <w:rsid w:val="0067443B"/>
    <w:rsid w:val="0068114B"/>
    <w:rsid w:val="00684E2B"/>
    <w:rsid w:val="00690FDA"/>
    <w:rsid w:val="00696476"/>
    <w:rsid w:val="006A10FA"/>
    <w:rsid w:val="006A40E6"/>
    <w:rsid w:val="006A5C07"/>
    <w:rsid w:val="006A75FA"/>
    <w:rsid w:val="006B07D5"/>
    <w:rsid w:val="006B5923"/>
    <w:rsid w:val="006B6C14"/>
    <w:rsid w:val="006D1421"/>
    <w:rsid w:val="006D2D39"/>
    <w:rsid w:val="006E06D1"/>
    <w:rsid w:val="006E7356"/>
    <w:rsid w:val="006F1A46"/>
    <w:rsid w:val="007165CE"/>
    <w:rsid w:val="00720968"/>
    <w:rsid w:val="00721D12"/>
    <w:rsid w:val="00721F8B"/>
    <w:rsid w:val="0073303E"/>
    <w:rsid w:val="0073505B"/>
    <w:rsid w:val="00736A49"/>
    <w:rsid w:val="00744EBB"/>
    <w:rsid w:val="00746633"/>
    <w:rsid w:val="00746AE2"/>
    <w:rsid w:val="00750C82"/>
    <w:rsid w:val="0076100C"/>
    <w:rsid w:val="007651ED"/>
    <w:rsid w:val="00781BD4"/>
    <w:rsid w:val="00784832"/>
    <w:rsid w:val="00791F1E"/>
    <w:rsid w:val="007A0B39"/>
    <w:rsid w:val="007A14A4"/>
    <w:rsid w:val="007A168F"/>
    <w:rsid w:val="007A28E4"/>
    <w:rsid w:val="007A5AD1"/>
    <w:rsid w:val="007B0A06"/>
    <w:rsid w:val="007B5C5C"/>
    <w:rsid w:val="007B7C41"/>
    <w:rsid w:val="007C08A1"/>
    <w:rsid w:val="007C433E"/>
    <w:rsid w:val="007C6322"/>
    <w:rsid w:val="007D0292"/>
    <w:rsid w:val="007E2046"/>
    <w:rsid w:val="007E4FBB"/>
    <w:rsid w:val="008000BA"/>
    <w:rsid w:val="00811D5B"/>
    <w:rsid w:val="00817713"/>
    <w:rsid w:val="0082733B"/>
    <w:rsid w:val="0082778F"/>
    <w:rsid w:val="00830999"/>
    <w:rsid w:val="00830D5E"/>
    <w:rsid w:val="00830F69"/>
    <w:rsid w:val="00834458"/>
    <w:rsid w:val="00837465"/>
    <w:rsid w:val="00840ACC"/>
    <w:rsid w:val="00841457"/>
    <w:rsid w:val="0084374E"/>
    <w:rsid w:val="00844842"/>
    <w:rsid w:val="0084608C"/>
    <w:rsid w:val="0085206E"/>
    <w:rsid w:val="00853718"/>
    <w:rsid w:val="008541EF"/>
    <w:rsid w:val="0086162B"/>
    <w:rsid w:val="00865207"/>
    <w:rsid w:val="00871262"/>
    <w:rsid w:val="00875B51"/>
    <w:rsid w:val="00875F2D"/>
    <w:rsid w:val="008A63A9"/>
    <w:rsid w:val="008B04DB"/>
    <w:rsid w:val="008B5D31"/>
    <w:rsid w:val="008B7C33"/>
    <w:rsid w:val="008D7B07"/>
    <w:rsid w:val="008E069C"/>
    <w:rsid w:val="008E2078"/>
    <w:rsid w:val="008E2D99"/>
    <w:rsid w:val="008E4A60"/>
    <w:rsid w:val="009026E8"/>
    <w:rsid w:val="00913735"/>
    <w:rsid w:val="00914ADB"/>
    <w:rsid w:val="00923B25"/>
    <w:rsid w:val="00942645"/>
    <w:rsid w:val="009469B1"/>
    <w:rsid w:val="0095340A"/>
    <w:rsid w:val="00954581"/>
    <w:rsid w:val="0095466C"/>
    <w:rsid w:val="00957885"/>
    <w:rsid w:val="0096168C"/>
    <w:rsid w:val="00962F2D"/>
    <w:rsid w:val="00971D60"/>
    <w:rsid w:val="009732B8"/>
    <w:rsid w:val="00977CB4"/>
    <w:rsid w:val="009808DA"/>
    <w:rsid w:val="00985099"/>
    <w:rsid w:val="00986D13"/>
    <w:rsid w:val="00991549"/>
    <w:rsid w:val="009A0DE3"/>
    <w:rsid w:val="009B1534"/>
    <w:rsid w:val="009B69D3"/>
    <w:rsid w:val="009B7BA7"/>
    <w:rsid w:val="009C0938"/>
    <w:rsid w:val="009C32C5"/>
    <w:rsid w:val="009C3F82"/>
    <w:rsid w:val="009C7DF5"/>
    <w:rsid w:val="009D1ADE"/>
    <w:rsid w:val="009D543F"/>
    <w:rsid w:val="009E1283"/>
    <w:rsid w:val="00A1105B"/>
    <w:rsid w:val="00A16876"/>
    <w:rsid w:val="00A16A37"/>
    <w:rsid w:val="00A200AA"/>
    <w:rsid w:val="00A2186F"/>
    <w:rsid w:val="00A2270B"/>
    <w:rsid w:val="00A2496E"/>
    <w:rsid w:val="00A258B7"/>
    <w:rsid w:val="00A331CF"/>
    <w:rsid w:val="00A47CF1"/>
    <w:rsid w:val="00A50418"/>
    <w:rsid w:val="00A608FB"/>
    <w:rsid w:val="00A70E7B"/>
    <w:rsid w:val="00A76094"/>
    <w:rsid w:val="00A841DD"/>
    <w:rsid w:val="00A86CB6"/>
    <w:rsid w:val="00A90D55"/>
    <w:rsid w:val="00AA04B3"/>
    <w:rsid w:val="00AA5AA9"/>
    <w:rsid w:val="00AA7C27"/>
    <w:rsid w:val="00AC439D"/>
    <w:rsid w:val="00AE2D29"/>
    <w:rsid w:val="00AF6051"/>
    <w:rsid w:val="00AF65CD"/>
    <w:rsid w:val="00B03388"/>
    <w:rsid w:val="00B05A47"/>
    <w:rsid w:val="00B26D4E"/>
    <w:rsid w:val="00B27F35"/>
    <w:rsid w:val="00B32179"/>
    <w:rsid w:val="00B37BDF"/>
    <w:rsid w:val="00B40A3E"/>
    <w:rsid w:val="00B427B7"/>
    <w:rsid w:val="00B522CD"/>
    <w:rsid w:val="00B55917"/>
    <w:rsid w:val="00B70333"/>
    <w:rsid w:val="00B72303"/>
    <w:rsid w:val="00B75887"/>
    <w:rsid w:val="00B82277"/>
    <w:rsid w:val="00B95833"/>
    <w:rsid w:val="00BA2D98"/>
    <w:rsid w:val="00BA30D1"/>
    <w:rsid w:val="00BA4609"/>
    <w:rsid w:val="00BA5BE2"/>
    <w:rsid w:val="00BA7F46"/>
    <w:rsid w:val="00BB03E2"/>
    <w:rsid w:val="00BB0A0A"/>
    <w:rsid w:val="00BC06C1"/>
    <w:rsid w:val="00BC09D1"/>
    <w:rsid w:val="00BC4FDA"/>
    <w:rsid w:val="00BC5CC9"/>
    <w:rsid w:val="00BD6806"/>
    <w:rsid w:val="00BD7831"/>
    <w:rsid w:val="00BD7C10"/>
    <w:rsid w:val="00BE0DEB"/>
    <w:rsid w:val="00BE6365"/>
    <w:rsid w:val="00C13B34"/>
    <w:rsid w:val="00C261C6"/>
    <w:rsid w:val="00C30A97"/>
    <w:rsid w:val="00C31118"/>
    <w:rsid w:val="00C31DDC"/>
    <w:rsid w:val="00C34326"/>
    <w:rsid w:val="00C368E8"/>
    <w:rsid w:val="00C5019E"/>
    <w:rsid w:val="00C53E8A"/>
    <w:rsid w:val="00C54DF3"/>
    <w:rsid w:val="00C56FC8"/>
    <w:rsid w:val="00C71BEC"/>
    <w:rsid w:val="00C84AD1"/>
    <w:rsid w:val="00C85579"/>
    <w:rsid w:val="00C9303E"/>
    <w:rsid w:val="00CA068D"/>
    <w:rsid w:val="00CA282D"/>
    <w:rsid w:val="00CB23DC"/>
    <w:rsid w:val="00CB28E2"/>
    <w:rsid w:val="00CB7FF7"/>
    <w:rsid w:val="00CC2044"/>
    <w:rsid w:val="00CC69EC"/>
    <w:rsid w:val="00CD34C7"/>
    <w:rsid w:val="00CD63C8"/>
    <w:rsid w:val="00CD770E"/>
    <w:rsid w:val="00CF158D"/>
    <w:rsid w:val="00CF4394"/>
    <w:rsid w:val="00D05644"/>
    <w:rsid w:val="00D14BAE"/>
    <w:rsid w:val="00D1648B"/>
    <w:rsid w:val="00D16819"/>
    <w:rsid w:val="00D17735"/>
    <w:rsid w:val="00D20AC0"/>
    <w:rsid w:val="00D25E7C"/>
    <w:rsid w:val="00D336C8"/>
    <w:rsid w:val="00D339E8"/>
    <w:rsid w:val="00D356CA"/>
    <w:rsid w:val="00D40018"/>
    <w:rsid w:val="00D40B1F"/>
    <w:rsid w:val="00D441C9"/>
    <w:rsid w:val="00D50625"/>
    <w:rsid w:val="00D50C8C"/>
    <w:rsid w:val="00D52393"/>
    <w:rsid w:val="00D53F14"/>
    <w:rsid w:val="00D662AC"/>
    <w:rsid w:val="00D73EB5"/>
    <w:rsid w:val="00D76AB2"/>
    <w:rsid w:val="00D7779B"/>
    <w:rsid w:val="00D829AD"/>
    <w:rsid w:val="00D87788"/>
    <w:rsid w:val="00D910C2"/>
    <w:rsid w:val="00D9189B"/>
    <w:rsid w:val="00D91DA6"/>
    <w:rsid w:val="00D972D4"/>
    <w:rsid w:val="00DA195B"/>
    <w:rsid w:val="00DB0015"/>
    <w:rsid w:val="00DB2AAD"/>
    <w:rsid w:val="00DD3593"/>
    <w:rsid w:val="00DE7E74"/>
    <w:rsid w:val="00E00A69"/>
    <w:rsid w:val="00E017F0"/>
    <w:rsid w:val="00E041E4"/>
    <w:rsid w:val="00E14581"/>
    <w:rsid w:val="00E15539"/>
    <w:rsid w:val="00E16541"/>
    <w:rsid w:val="00E2632B"/>
    <w:rsid w:val="00E405EA"/>
    <w:rsid w:val="00E42789"/>
    <w:rsid w:val="00E464F0"/>
    <w:rsid w:val="00E50BEB"/>
    <w:rsid w:val="00E53005"/>
    <w:rsid w:val="00E54C36"/>
    <w:rsid w:val="00E64471"/>
    <w:rsid w:val="00E729C6"/>
    <w:rsid w:val="00E738CB"/>
    <w:rsid w:val="00E82B6D"/>
    <w:rsid w:val="00E91024"/>
    <w:rsid w:val="00E942E8"/>
    <w:rsid w:val="00EA11B6"/>
    <w:rsid w:val="00EA2DD8"/>
    <w:rsid w:val="00EA681F"/>
    <w:rsid w:val="00EB76E4"/>
    <w:rsid w:val="00EC0E65"/>
    <w:rsid w:val="00EC50C9"/>
    <w:rsid w:val="00ED2467"/>
    <w:rsid w:val="00ED5AAC"/>
    <w:rsid w:val="00EE0B44"/>
    <w:rsid w:val="00EE4D60"/>
    <w:rsid w:val="00EE4F83"/>
    <w:rsid w:val="00EF608E"/>
    <w:rsid w:val="00F0706C"/>
    <w:rsid w:val="00F11EBE"/>
    <w:rsid w:val="00F1516A"/>
    <w:rsid w:val="00F22A26"/>
    <w:rsid w:val="00F24072"/>
    <w:rsid w:val="00F32139"/>
    <w:rsid w:val="00F3308F"/>
    <w:rsid w:val="00F34E08"/>
    <w:rsid w:val="00F3578F"/>
    <w:rsid w:val="00F41D91"/>
    <w:rsid w:val="00F46964"/>
    <w:rsid w:val="00F5126A"/>
    <w:rsid w:val="00F718A8"/>
    <w:rsid w:val="00F72183"/>
    <w:rsid w:val="00F82981"/>
    <w:rsid w:val="00F8311F"/>
    <w:rsid w:val="00F83248"/>
    <w:rsid w:val="00F853AE"/>
    <w:rsid w:val="00F93DCC"/>
    <w:rsid w:val="00F9435D"/>
    <w:rsid w:val="00FB22BB"/>
    <w:rsid w:val="00FB593A"/>
    <w:rsid w:val="00FB6E82"/>
    <w:rsid w:val="00FC1DAF"/>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656C8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075326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2010-01-11T12:52:00Z</cp:lastPrinted>
  <dcterms:created xsi:type="dcterms:W3CDTF">2012-01-11T15:48:00Z</dcterms:created>
  <dcterms:modified xsi:type="dcterms:W3CDTF">2012-01-23T16:33:00Z</dcterms:modified>
</cp:coreProperties>
</file>