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3D" w:rsidRPr="00D91DA6" w:rsidRDefault="00E1523D" w:rsidP="00E1523D">
      <w:pPr>
        <w:tabs>
          <w:tab w:val="left" w:pos="288"/>
          <w:tab w:val="left" w:pos="4752"/>
        </w:tabs>
        <w:spacing w:line="240" w:lineRule="exact"/>
        <w:jc w:val="center"/>
        <w:rPr>
          <w:color w:val="000080"/>
        </w:rPr>
      </w:pPr>
      <w:r w:rsidRPr="00D91DA6">
        <w:rPr>
          <w:color w:val="000080"/>
        </w:rPr>
        <w:t>RECORD OF PROCEEDINGS</w:t>
      </w:r>
    </w:p>
    <w:p w:rsidR="00E1523D" w:rsidRPr="00D91DA6" w:rsidRDefault="00E1523D" w:rsidP="00E1523D">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E1523D" w:rsidRPr="00D91DA6" w:rsidRDefault="00E1523D" w:rsidP="00E1523D">
      <w:pPr>
        <w:tabs>
          <w:tab w:val="left" w:pos="288"/>
          <w:tab w:val="left" w:pos="4752"/>
        </w:tabs>
        <w:spacing w:line="240" w:lineRule="exact"/>
        <w:jc w:val="center"/>
        <w:rPr>
          <w:color w:val="000080"/>
        </w:rPr>
      </w:pPr>
    </w:p>
    <w:p w:rsidR="00E1523D" w:rsidRPr="00D91DA6" w:rsidRDefault="00E1523D" w:rsidP="00E1523D">
      <w:pPr>
        <w:tabs>
          <w:tab w:val="left" w:pos="288"/>
          <w:tab w:val="left" w:pos="4752"/>
        </w:tabs>
        <w:spacing w:line="240" w:lineRule="exact"/>
        <w:rPr>
          <w:color w:val="000080"/>
        </w:rPr>
      </w:pPr>
      <w:r>
        <w:rPr>
          <w:color w:val="000080"/>
        </w:rPr>
        <w:t>NAME:</w:t>
      </w:r>
      <w:r w:rsidRPr="00D91DA6">
        <w:rPr>
          <w:color w:val="000080"/>
        </w:rPr>
        <w:tab/>
      </w:r>
      <w:r w:rsidRPr="00D91DA6">
        <w:rPr>
          <w:color w:val="000080"/>
        </w:rPr>
        <w:tab/>
      </w:r>
      <w:r>
        <w:rPr>
          <w:color w:val="000080"/>
        </w:rPr>
        <w:t>BRANCH OF SERVICE: ARMY</w:t>
      </w:r>
    </w:p>
    <w:p w:rsidR="00E1523D" w:rsidRPr="00D91DA6" w:rsidRDefault="00E1523D" w:rsidP="00E1523D">
      <w:pPr>
        <w:tabs>
          <w:tab w:val="left" w:pos="288"/>
          <w:tab w:val="left" w:pos="4752"/>
        </w:tabs>
        <w:spacing w:line="240" w:lineRule="exact"/>
        <w:rPr>
          <w:color w:val="000080"/>
        </w:rPr>
      </w:pPr>
      <w:r>
        <w:rPr>
          <w:color w:val="000080"/>
        </w:rPr>
        <w:t>CASE</w:t>
      </w:r>
      <w:r w:rsidRPr="00D91DA6">
        <w:rPr>
          <w:color w:val="000080"/>
        </w:rPr>
        <w:t xml:space="preserve"> NUMBER:  </w:t>
      </w:r>
      <w:r>
        <w:rPr>
          <w:color w:val="000080"/>
        </w:rPr>
        <w:t>PD0900057</w:t>
      </w:r>
      <w:r w:rsidRPr="00D91DA6">
        <w:rPr>
          <w:color w:val="000080"/>
        </w:rPr>
        <w:tab/>
      </w:r>
      <w:r w:rsidRPr="00D91DA6">
        <w:rPr>
          <w:color w:val="000080"/>
        </w:rPr>
        <w:tab/>
      </w:r>
      <w:r>
        <w:rPr>
          <w:color w:val="000080"/>
        </w:rPr>
        <w:t>COMPONENT: ACTIVE</w:t>
      </w:r>
    </w:p>
    <w:p w:rsidR="00E1523D" w:rsidRPr="00D91DA6" w:rsidRDefault="00E1523D" w:rsidP="00E1523D">
      <w:pPr>
        <w:tabs>
          <w:tab w:val="left" w:pos="288"/>
          <w:tab w:val="left" w:pos="4752"/>
        </w:tabs>
        <w:spacing w:line="240" w:lineRule="exact"/>
        <w:rPr>
          <w:color w:val="000080"/>
        </w:rPr>
      </w:pPr>
      <w:r>
        <w:rPr>
          <w:color w:val="000080"/>
        </w:rPr>
        <w:t>BOARD DATE: 20090723</w:t>
      </w:r>
      <w:r>
        <w:rPr>
          <w:color w:val="000080"/>
        </w:rPr>
        <w:tab/>
      </w:r>
      <w:r>
        <w:rPr>
          <w:color w:val="000080"/>
        </w:rPr>
        <w:tab/>
        <w:t>SEPARATION DATE: 20030130</w:t>
      </w:r>
    </w:p>
    <w:p w:rsidR="00E1523D" w:rsidRPr="00D91DA6" w:rsidRDefault="00E1523D" w:rsidP="00E1523D">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E1523D" w:rsidRDefault="00E1523D" w:rsidP="00E1523D">
      <w:pPr>
        <w:tabs>
          <w:tab w:val="left" w:pos="288"/>
          <w:tab w:val="left" w:pos="4752"/>
        </w:tabs>
        <w:spacing w:line="240" w:lineRule="exact"/>
        <w:jc w:val="both"/>
        <w:rPr>
          <w:color w:val="000080"/>
        </w:rPr>
      </w:pPr>
    </w:p>
    <w:p w:rsidR="00E1523D" w:rsidRDefault="00E1523D" w:rsidP="00E1523D">
      <w:pPr>
        <w:tabs>
          <w:tab w:val="left" w:pos="288"/>
          <w:tab w:val="left" w:pos="4752"/>
        </w:tabs>
        <w:spacing w:line="240" w:lineRule="exact"/>
        <w:jc w:val="both"/>
        <w:rPr>
          <w:color w:val="000080"/>
        </w:rPr>
      </w:pPr>
      <w:r w:rsidRPr="00D91DA6">
        <w:rPr>
          <w:color w:val="000080"/>
          <w:u w:val="single"/>
        </w:rPr>
        <w:t>SUMMARY OF CASE</w:t>
      </w:r>
      <w:r w:rsidRPr="00D91DA6">
        <w:rPr>
          <w:color w:val="000080"/>
        </w:rPr>
        <w:t>:</w:t>
      </w:r>
      <w:r w:rsidR="00AD75AA">
        <w:rPr>
          <w:color w:val="000080"/>
        </w:rPr>
        <w:t xml:space="preserve">  </w:t>
      </w:r>
      <w:r w:rsidRPr="00646FBC">
        <w:rPr>
          <w:color w:val="000080"/>
        </w:rPr>
        <w:t xml:space="preserve">This covered individual (CI) was </w:t>
      </w:r>
      <w:r>
        <w:rPr>
          <w:color w:val="000080"/>
        </w:rPr>
        <w:t xml:space="preserve">an officer </w:t>
      </w:r>
      <w:r w:rsidRPr="00646FBC">
        <w:rPr>
          <w:color w:val="000080"/>
        </w:rPr>
        <w:t>medically</w:t>
      </w:r>
      <w:r>
        <w:rPr>
          <w:color w:val="000080"/>
        </w:rPr>
        <w:t xml:space="preserve"> separated from the Army in 2003 for a cardiac arrhythmia.</w:t>
      </w:r>
      <w:r w:rsidRPr="00646FBC">
        <w:rPr>
          <w:color w:val="000080"/>
        </w:rPr>
        <w:t xml:space="preserve">  </w:t>
      </w:r>
      <w:r>
        <w:rPr>
          <w:color w:val="000080"/>
        </w:rPr>
        <w:t>He was diagnosed with SVT (</w:t>
      </w:r>
      <w:proofErr w:type="spellStart"/>
      <w:r>
        <w:rPr>
          <w:color w:val="000080"/>
        </w:rPr>
        <w:t>supraventricular</w:t>
      </w:r>
      <w:proofErr w:type="spellEnd"/>
      <w:r>
        <w:rPr>
          <w:color w:val="000080"/>
        </w:rPr>
        <w:t xml:space="preserve"> tachycardia) after developing palpitations with exertion in 2001.  An initial </w:t>
      </w:r>
      <w:proofErr w:type="spellStart"/>
      <w:r>
        <w:rPr>
          <w:color w:val="000080"/>
        </w:rPr>
        <w:t>Holter</w:t>
      </w:r>
      <w:proofErr w:type="spellEnd"/>
      <w:r>
        <w:rPr>
          <w:color w:val="000080"/>
        </w:rPr>
        <w:t xml:space="preserve"> monitor demonstrated multiple episodes of SVT during the monitored period.  An ablation procedure was performed and he was placed on follow-up treatment with anti-arrhythmic medications.  Although improved, the CI continued to experience palpitations and chest pain.  A repeat </w:t>
      </w:r>
      <w:proofErr w:type="spellStart"/>
      <w:r>
        <w:rPr>
          <w:color w:val="000080"/>
        </w:rPr>
        <w:t>Holter</w:t>
      </w:r>
      <w:proofErr w:type="spellEnd"/>
      <w:r>
        <w:rPr>
          <w:color w:val="000080"/>
        </w:rPr>
        <w:t xml:space="preserve"> demonstrated 4 episodes of tachycardia.  A repeat ablation procedure was offered and declined.  Medications were adjusted, but control was not adequate enough to avoid a medical board.  During the MEB process, a repeat </w:t>
      </w:r>
      <w:proofErr w:type="spellStart"/>
      <w:r>
        <w:rPr>
          <w:color w:val="000080"/>
        </w:rPr>
        <w:t>Holter</w:t>
      </w:r>
      <w:proofErr w:type="spellEnd"/>
      <w:r>
        <w:rPr>
          <w:color w:val="000080"/>
        </w:rPr>
        <w:t xml:space="preserve"> was obtained which demonstrated no arrhythmias.  </w:t>
      </w:r>
      <w:r w:rsidRPr="00646FBC">
        <w:rPr>
          <w:color w:val="000080"/>
        </w:rPr>
        <w:t>He was referred to the PEB, found unfit a</w:t>
      </w:r>
      <w:r>
        <w:rPr>
          <w:color w:val="000080"/>
        </w:rPr>
        <w:t>nd separated at 10% disability.  The CI received the same coding and rating concurrently from the VA.</w:t>
      </w:r>
    </w:p>
    <w:p w:rsidR="00E1523D" w:rsidRPr="00D91DA6" w:rsidRDefault="00E1523D" w:rsidP="00E1523D">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E1523D" w:rsidRPr="00D91DA6" w:rsidRDefault="00E1523D" w:rsidP="00E1523D">
      <w:pPr>
        <w:tabs>
          <w:tab w:val="left" w:pos="288"/>
          <w:tab w:val="left" w:pos="4752"/>
        </w:tabs>
        <w:spacing w:line="240" w:lineRule="exact"/>
        <w:jc w:val="both"/>
        <w:rPr>
          <w:color w:val="000080"/>
        </w:rPr>
      </w:pPr>
    </w:p>
    <w:p w:rsidR="00E1523D" w:rsidRDefault="00E1523D" w:rsidP="00E1523D">
      <w:pPr>
        <w:tabs>
          <w:tab w:val="left" w:pos="288"/>
          <w:tab w:val="left" w:pos="4752"/>
        </w:tabs>
        <w:spacing w:line="240" w:lineRule="exact"/>
        <w:jc w:val="both"/>
        <w:rPr>
          <w:color w:val="000080"/>
        </w:rPr>
      </w:pPr>
      <w:r>
        <w:rPr>
          <w:color w:val="000080"/>
          <w:u w:val="single"/>
        </w:rPr>
        <w:t>CI CONTENTIONS</w:t>
      </w:r>
      <w:r w:rsidRPr="00D91DA6">
        <w:rPr>
          <w:color w:val="000080"/>
        </w:rPr>
        <w:t>:</w:t>
      </w:r>
      <w:r w:rsidR="00AD75AA">
        <w:rPr>
          <w:color w:val="000080"/>
        </w:rPr>
        <w:t xml:space="preserve">  </w:t>
      </w:r>
      <w:r>
        <w:rPr>
          <w:color w:val="000080"/>
        </w:rPr>
        <w:t xml:space="preserve">The CI contends that neither the PEB nor the VA rating is fair.  He states that his </w:t>
      </w:r>
      <w:proofErr w:type="spellStart"/>
      <w:r>
        <w:rPr>
          <w:color w:val="000080"/>
        </w:rPr>
        <w:t>atrio</w:t>
      </w:r>
      <w:proofErr w:type="spellEnd"/>
      <w:r>
        <w:rPr>
          <w:color w:val="000080"/>
        </w:rPr>
        <w:t xml:space="preserve">-ventricular (AV) node </w:t>
      </w:r>
      <w:proofErr w:type="gramStart"/>
      <w:r>
        <w:rPr>
          <w:color w:val="000080"/>
        </w:rPr>
        <w:t>was</w:t>
      </w:r>
      <w:proofErr w:type="gramEnd"/>
      <w:r>
        <w:rPr>
          <w:color w:val="000080"/>
        </w:rPr>
        <w:t xml:space="preserve"> damaged by ‘Army surgeons’, and that he was not notified of the damage until it was detected by a ‘civilian surgeon’.  He also contends that during ‘2 weeks of wearing a monitor’ he experienced ‘multiple recorded episodes, and not just the 4</w:t>
      </w:r>
      <w:r w:rsidR="00AD75AA">
        <w:rPr>
          <w:color w:val="000080"/>
        </w:rPr>
        <w:t> </w:t>
      </w:r>
      <w:r>
        <w:rPr>
          <w:color w:val="000080"/>
        </w:rPr>
        <w:t>episodes on which his rating was based.</w:t>
      </w:r>
    </w:p>
    <w:p w:rsidR="00AD75AA" w:rsidRPr="00D91DA6" w:rsidRDefault="00AD75AA" w:rsidP="00E1523D">
      <w:pPr>
        <w:tabs>
          <w:tab w:val="left" w:pos="288"/>
          <w:tab w:val="left" w:pos="4752"/>
        </w:tabs>
        <w:spacing w:line="240" w:lineRule="exact"/>
        <w:jc w:val="both"/>
        <w:rPr>
          <w:color w:val="000080"/>
        </w:rPr>
      </w:pPr>
    </w:p>
    <w:p w:rsidR="00E1523D" w:rsidRDefault="00E1523D" w:rsidP="00C44BEA">
      <w:pPr>
        <w:rPr>
          <w:color w:val="000080"/>
        </w:rPr>
      </w:pPr>
      <w:r>
        <w:rPr>
          <w:color w:val="000080"/>
          <w:u w:val="single"/>
        </w:rPr>
        <w:t>RATING COMPARISON</w:t>
      </w:r>
      <w:r>
        <w:rPr>
          <w:color w:val="000080"/>
        </w:rPr>
        <w:t>:</w:t>
      </w:r>
    </w:p>
    <w:p w:rsidR="00E1523D" w:rsidRDefault="00E1523D" w:rsidP="00E1523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250"/>
        <w:gridCol w:w="810"/>
        <w:gridCol w:w="810"/>
        <w:gridCol w:w="1170"/>
        <w:gridCol w:w="2250"/>
        <w:gridCol w:w="810"/>
        <w:gridCol w:w="810"/>
        <w:gridCol w:w="1170"/>
        <w:gridCol w:w="1170"/>
      </w:tblGrid>
      <w:tr w:rsidR="00C44BEA" w:rsidTr="00631E4C">
        <w:trPr>
          <w:trHeight w:val="264"/>
        </w:trPr>
        <w:tc>
          <w:tcPr>
            <w:tcW w:w="5040" w:type="dxa"/>
            <w:gridSpan w:val="4"/>
            <w:tcBorders>
              <w:right w:val="thinThickThinSmallGap" w:sz="24" w:space="0" w:color="auto"/>
            </w:tcBorders>
          </w:tcPr>
          <w:p w:rsidR="00C44BEA" w:rsidRPr="00B301BC" w:rsidRDefault="00C44BEA" w:rsidP="00631E4C">
            <w:pPr>
              <w:pStyle w:val="ListParagraph"/>
              <w:ind w:left="0"/>
              <w:jc w:val="center"/>
              <w:rPr>
                <w:b/>
                <w:u w:val="single"/>
              </w:rPr>
            </w:pPr>
            <w:r w:rsidRPr="00B301BC">
              <w:rPr>
                <w:b/>
                <w:u w:val="single"/>
              </w:rPr>
              <w:t>Service (</w:t>
            </w:r>
            <w:r w:rsidRPr="00932122">
              <w:rPr>
                <w:b/>
                <w:u w:val="single"/>
              </w:rPr>
              <w:t>PEB</w:t>
            </w:r>
            <w:r w:rsidRPr="00B301BC">
              <w:rPr>
                <w:b/>
                <w:u w:val="single"/>
              </w:rPr>
              <w:t>)</w:t>
            </w:r>
          </w:p>
        </w:tc>
        <w:tc>
          <w:tcPr>
            <w:tcW w:w="6210" w:type="dxa"/>
            <w:gridSpan w:val="5"/>
            <w:tcBorders>
              <w:left w:val="thinThickThinSmallGap" w:sz="24" w:space="0" w:color="auto"/>
            </w:tcBorders>
            <w:shd w:val="clear" w:color="auto" w:fill="FFFFFF" w:themeFill="background1"/>
          </w:tcPr>
          <w:p w:rsidR="00C44BEA" w:rsidRPr="00B301BC" w:rsidRDefault="00C44BEA" w:rsidP="00631E4C">
            <w:pPr>
              <w:pStyle w:val="ListParagraph"/>
              <w:ind w:left="0"/>
              <w:jc w:val="center"/>
              <w:rPr>
                <w:b/>
                <w:u w:val="single"/>
              </w:rPr>
            </w:pPr>
            <w:r>
              <w:rPr>
                <w:b/>
                <w:u w:val="single"/>
              </w:rPr>
              <w:t xml:space="preserve">VA   Pre-Separation (date not specified) </w:t>
            </w:r>
          </w:p>
        </w:tc>
      </w:tr>
      <w:tr w:rsidR="00C44BEA" w:rsidTr="00631E4C">
        <w:trPr>
          <w:trHeight w:val="280"/>
        </w:trPr>
        <w:tc>
          <w:tcPr>
            <w:tcW w:w="2250" w:type="dxa"/>
          </w:tcPr>
          <w:p w:rsidR="00C44BEA" w:rsidRPr="00B301BC" w:rsidRDefault="00C44BEA" w:rsidP="00631E4C">
            <w:pPr>
              <w:pStyle w:val="ListParagraph"/>
              <w:ind w:left="0"/>
              <w:jc w:val="center"/>
              <w:rPr>
                <w:b/>
                <w:u w:val="single"/>
              </w:rPr>
            </w:pPr>
            <w:r>
              <w:rPr>
                <w:b/>
                <w:u w:val="single"/>
              </w:rPr>
              <w:t xml:space="preserve">PEB </w:t>
            </w:r>
            <w:r w:rsidRPr="00B301BC">
              <w:rPr>
                <w:b/>
                <w:u w:val="single"/>
              </w:rPr>
              <w:t>Condition</w:t>
            </w:r>
          </w:p>
        </w:tc>
        <w:tc>
          <w:tcPr>
            <w:tcW w:w="810" w:type="dxa"/>
          </w:tcPr>
          <w:p w:rsidR="00C44BEA" w:rsidRPr="00B301BC" w:rsidRDefault="00C44BEA" w:rsidP="00631E4C">
            <w:pPr>
              <w:pStyle w:val="ListParagraph"/>
              <w:ind w:left="0"/>
              <w:jc w:val="center"/>
              <w:rPr>
                <w:b/>
                <w:u w:val="single"/>
              </w:rPr>
            </w:pPr>
            <w:r w:rsidRPr="00B301BC">
              <w:rPr>
                <w:b/>
                <w:u w:val="single"/>
              </w:rPr>
              <w:t>Code</w:t>
            </w:r>
          </w:p>
        </w:tc>
        <w:tc>
          <w:tcPr>
            <w:tcW w:w="810" w:type="dxa"/>
          </w:tcPr>
          <w:p w:rsidR="00C44BEA" w:rsidRPr="00B301BC" w:rsidRDefault="00C44BEA" w:rsidP="00631E4C">
            <w:pPr>
              <w:pStyle w:val="ListParagraph"/>
              <w:ind w:left="0"/>
              <w:jc w:val="center"/>
              <w:rPr>
                <w:b/>
                <w:u w:val="single"/>
              </w:rPr>
            </w:pPr>
            <w:r w:rsidRPr="00B301BC">
              <w:rPr>
                <w:b/>
                <w:u w:val="single"/>
              </w:rPr>
              <w:t>Rating</w:t>
            </w:r>
          </w:p>
        </w:tc>
        <w:tc>
          <w:tcPr>
            <w:tcW w:w="1170" w:type="dxa"/>
            <w:tcBorders>
              <w:right w:val="thinThickThinSmallGap" w:sz="24" w:space="0" w:color="auto"/>
            </w:tcBorders>
          </w:tcPr>
          <w:p w:rsidR="00C44BEA" w:rsidRPr="00B301BC" w:rsidRDefault="00C44BEA" w:rsidP="00631E4C">
            <w:pPr>
              <w:pStyle w:val="ListParagraph"/>
              <w:ind w:left="0"/>
              <w:jc w:val="center"/>
              <w:rPr>
                <w:b/>
                <w:u w:val="single"/>
              </w:rPr>
            </w:pPr>
            <w:r w:rsidRPr="00B301BC">
              <w:rPr>
                <w:b/>
                <w:u w:val="single"/>
              </w:rPr>
              <w:t>Date</w:t>
            </w:r>
          </w:p>
        </w:tc>
        <w:tc>
          <w:tcPr>
            <w:tcW w:w="2250" w:type="dxa"/>
            <w:tcBorders>
              <w:left w:val="thinThickThinSmallGap" w:sz="24" w:space="0" w:color="auto"/>
            </w:tcBorders>
            <w:shd w:val="clear" w:color="auto" w:fill="FFFFFF" w:themeFill="background1"/>
          </w:tcPr>
          <w:p w:rsidR="00C44BEA" w:rsidRPr="00B301BC" w:rsidRDefault="00C44BEA" w:rsidP="00631E4C">
            <w:pPr>
              <w:pStyle w:val="ListParagraph"/>
              <w:ind w:left="0"/>
              <w:jc w:val="center"/>
              <w:rPr>
                <w:b/>
                <w:u w:val="single"/>
              </w:rPr>
            </w:pPr>
            <w:r w:rsidRPr="00B301BC">
              <w:rPr>
                <w:b/>
                <w:u w:val="single"/>
              </w:rPr>
              <w:t>Condition</w:t>
            </w:r>
          </w:p>
        </w:tc>
        <w:tc>
          <w:tcPr>
            <w:tcW w:w="810" w:type="dxa"/>
            <w:shd w:val="clear" w:color="auto" w:fill="FFFFFF" w:themeFill="background1"/>
          </w:tcPr>
          <w:p w:rsidR="00C44BEA" w:rsidRPr="00B301BC" w:rsidRDefault="00C44BEA" w:rsidP="00631E4C">
            <w:pPr>
              <w:pStyle w:val="ListParagraph"/>
              <w:ind w:left="0"/>
              <w:jc w:val="center"/>
              <w:rPr>
                <w:b/>
                <w:u w:val="single"/>
              </w:rPr>
            </w:pPr>
            <w:r w:rsidRPr="00B301BC">
              <w:rPr>
                <w:b/>
                <w:u w:val="single"/>
              </w:rPr>
              <w:t>Code</w:t>
            </w:r>
          </w:p>
        </w:tc>
        <w:tc>
          <w:tcPr>
            <w:tcW w:w="810" w:type="dxa"/>
            <w:shd w:val="clear" w:color="auto" w:fill="FFFFFF" w:themeFill="background1"/>
          </w:tcPr>
          <w:p w:rsidR="00C44BEA" w:rsidRPr="00B301BC" w:rsidRDefault="00C44BEA" w:rsidP="00631E4C">
            <w:pPr>
              <w:pStyle w:val="ListParagraph"/>
              <w:ind w:left="0"/>
              <w:jc w:val="center"/>
              <w:rPr>
                <w:b/>
                <w:u w:val="single"/>
              </w:rPr>
            </w:pPr>
            <w:r w:rsidRPr="00B301BC">
              <w:rPr>
                <w:b/>
                <w:u w:val="single"/>
              </w:rPr>
              <w:t>Rating</w:t>
            </w:r>
          </w:p>
        </w:tc>
        <w:tc>
          <w:tcPr>
            <w:tcW w:w="1170" w:type="dxa"/>
            <w:shd w:val="clear" w:color="auto" w:fill="FFFFFF" w:themeFill="background1"/>
          </w:tcPr>
          <w:p w:rsidR="00C44BEA" w:rsidRPr="00B301BC" w:rsidRDefault="00C44BEA" w:rsidP="00631E4C">
            <w:pPr>
              <w:pStyle w:val="ListParagraph"/>
              <w:ind w:left="0"/>
              <w:jc w:val="center"/>
              <w:rPr>
                <w:b/>
                <w:u w:val="single"/>
              </w:rPr>
            </w:pPr>
            <w:r>
              <w:rPr>
                <w:b/>
                <w:u w:val="single"/>
              </w:rPr>
              <w:t>Exam</w:t>
            </w:r>
          </w:p>
        </w:tc>
        <w:tc>
          <w:tcPr>
            <w:tcW w:w="1170" w:type="dxa"/>
            <w:shd w:val="clear" w:color="auto" w:fill="FFFFFF" w:themeFill="background1"/>
          </w:tcPr>
          <w:p w:rsidR="00C44BEA" w:rsidRDefault="00C44BEA" w:rsidP="00631E4C">
            <w:pPr>
              <w:pStyle w:val="ListParagraph"/>
              <w:ind w:left="0"/>
              <w:jc w:val="center"/>
              <w:rPr>
                <w:b/>
                <w:u w:val="single"/>
              </w:rPr>
            </w:pPr>
            <w:r>
              <w:rPr>
                <w:b/>
                <w:u w:val="single"/>
              </w:rPr>
              <w:t>Effective</w:t>
            </w:r>
          </w:p>
        </w:tc>
      </w:tr>
      <w:tr w:rsidR="00C44BEA" w:rsidRPr="00E524C8" w:rsidTr="00631E4C">
        <w:trPr>
          <w:trHeight w:val="280"/>
        </w:trPr>
        <w:tc>
          <w:tcPr>
            <w:tcW w:w="2250" w:type="dxa"/>
            <w:shd w:val="clear" w:color="auto" w:fill="EEECE1" w:themeFill="background2"/>
          </w:tcPr>
          <w:p w:rsidR="00C44BEA" w:rsidRPr="00E524C8" w:rsidRDefault="00C44BEA" w:rsidP="00631E4C">
            <w:pPr>
              <w:autoSpaceDE w:val="0"/>
              <w:autoSpaceDN w:val="0"/>
              <w:adjustRightInd w:val="0"/>
              <w:rPr>
                <w:rFonts w:cs="Times New Roman"/>
                <w:sz w:val="18"/>
                <w:szCs w:val="18"/>
              </w:rPr>
            </w:pPr>
            <w:r w:rsidRPr="00E524C8">
              <w:rPr>
                <w:rFonts w:cs="Times New Roman"/>
                <w:sz w:val="18"/>
                <w:szCs w:val="18"/>
              </w:rPr>
              <w:t>SUPRAVENTRICULAR TACHYCARDIA, WITH EPISODES OF VENTRICULAR TACHYCARDIA, NOT SUSTAINED, STATUS POST ABLATIVE THERAPY, WITH FOUR EPISODES DOCUMENTED ON</w:t>
            </w:r>
            <w:r w:rsidRPr="00E524C8">
              <w:rPr>
                <w:rFonts w:cs="Arial"/>
                <w:sz w:val="18"/>
                <w:szCs w:val="18"/>
              </w:rPr>
              <w:t xml:space="preserve"> </w:t>
            </w:r>
            <w:r w:rsidRPr="00E524C8">
              <w:rPr>
                <w:rFonts w:cs="Times New Roman"/>
                <w:sz w:val="18"/>
                <w:szCs w:val="18"/>
              </w:rPr>
              <w:t xml:space="preserve">HOLTER MONITOR </w:t>
            </w:r>
          </w:p>
        </w:tc>
        <w:tc>
          <w:tcPr>
            <w:tcW w:w="810" w:type="dxa"/>
            <w:shd w:val="clear" w:color="auto" w:fill="EEECE1" w:themeFill="background2"/>
          </w:tcPr>
          <w:p w:rsidR="00C44BEA" w:rsidRPr="00E524C8" w:rsidRDefault="00C44BEA" w:rsidP="00631E4C">
            <w:pPr>
              <w:pStyle w:val="ListParagraph"/>
              <w:ind w:left="0"/>
              <w:jc w:val="center"/>
            </w:pPr>
            <w:r w:rsidRPr="00E524C8">
              <w:rPr>
                <w:rFonts w:cs="Times New Roman"/>
              </w:rPr>
              <w:t>7010</w:t>
            </w:r>
          </w:p>
        </w:tc>
        <w:tc>
          <w:tcPr>
            <w:tcW w:w="810" w:type="dxa"/>
            <w:shd w:val="clear" w:color="auto" w:fill="EEECE1" w:themeFill="background2"/>
          </w:tcPr>
          <w:p w:rsidR="00C44BEA" w:rsidRPr="00E524C8" w:rsidRDefault="00C44BEA" w:rsidP="00631E4C">
            <w:pPr>
              <w:autoSpaceDE w:val="0"/>
              <w:autoSpaceDN w:val="0"/>
              <w:adjustRightInd w:val="0"/>
              <w:rPr>
                <w:rFonts w:cs="Times New Roman"/>
              </w:rPr>
            </w:pPr>
            <w:r w:rsidRPr="00E524C8">
              <w:rPr>
                <w:rFonts w:cs="Times New Roman"/>
              </w:rPr>
              <w:t>10%</w:t>
            </w:r>
          </w:p>
          <w:p w:rsidR="00C44BEA" w:rsidRPr="00E524C8" w:rsidRDefault="00C44BEA" w:rsidP="00631E4C">
            <w:pPr>
              <w:pStyle w:val="ListParagraph"/>
              <w:ind w:left="0"/>
              <w:jc w:val="center"/>
            </w:pPr>
          </w:p>
        </w:tc>
        <w:tc>
          <w:tcPr>
            <w:tcW w:w="1170" w:type="dxa"/>
            <w:tcBorders>
              <w:right w:val="thinThickThinSmallGap" w:sz="24" w:space="0" w:color="auto"/>
            </w:tcBorders>
            <w:shd w:val="clear" w:color="auto" w:fill="EEECE1" w:themeFill="background2"/>
          </w:tcPr>
          <w:p w:rsidR="00C44BEA" w:rsidRPr="00E524C8" w:rsidRDefault="00C44BEA" w:rsidP="00631E4C">
            <w:pPr>
              <w:autoSpaceDE w:val="0"/>
              <w:autoSpaceDN w:val="0"/>
              <w:adjustRightInd w:val="0"/>
              <w:rPr>
                <w:rFonts w:cs="Times New Roman"/>
              </w:rPr>
            </w:pPr>
            <w:r w:rsidRPr="00E524C8">
              <w:rPr>
                <w:rFonts w:cs="Times New Roman"/>
              </w:rPr>
              <w:t>20021217</w:t>
            </w:r>
          </w:p>
          <w:p w:rsidR="00C44BEA" w:rsidRPr="00E524C8" w:rsidRDefault="00C44BEA" w:rsidP="00631E4C"/>
        </w:tc>
        <w:tc>
          <w:tcPr>
            <w:tcW w:w="2250" w:type="dxa"/>
            <w:tcBorders>
              <w:left w:val="thinThickThinSmallGap" w:sz="24" w:space="0" w:color="auto"/>
            </w:tcBorders>
            <w:shd w:val="clear" w:color="auto" w:fill="EEECE1" w:themeFill="background2"/>
          </w:tcPr>
          <w:p w:rsidR="00C44BEA" w:rsidRPr="00BC6837" w:rsidRDefault="00C44BEA" w:rsidP="00631E4C">
            <w:pPr>
              <w:autoSpaceDE w:val="0"/>
              <w:autoSpaceDN w:val="0"/>
              <w:adjustRightInd w:val="0"/>
              <w:rPr>
                <w:rFonts w:cs="Times New Roman"/>
                <w:sz w:val="18"/>
                <w:szCs w:val="18"/>
              </w:rPr>
            </w:pPr>
            <w:r w:rsidRPr="00E524C8">
              <w:rPr>
                <w:rFonts w:cs="Times New Roman"/>
                <w:sz w:val="18"/>
                <w:szCs w:val="18"/>
              </w:rPr>
              <w:t>SUPRAVENTRICULAR TACHYCARDIA</w:t>
            </w:r>
          </w:p>
        </w:tc>
        <w:tc>
          <w:tcPr>
            <w:tcW w:w="810" w:type="dxa"/>
            <w:shd w:val="clear" w:color="auto" w:fill="EEECE1" w:themeFill="background2"/>
          </w:tcPr>
          <w:p w:rsidR="00C44BEA" w:rsidRPr="00E524C8" w:rsidRDefault="00C44BEA" w:rsidP="00631E4C">
            <w:pPr>
              <w:pStyle w:val="ListParagraph"/>
              <w:ind w:left="0"/>
              <w:jc w:val="center"/>
            </w:pPr>
            <w:r w:rsidRPr="00E524C8">
              <w:rPr>
                <w:rFonts w:cs="Times New Roman"/>
              </w:rPr>
              <w:t>7010</w:t>
            </w:r>
          </w:p>
        </w:tc>
        <w:tc>
          <w:tcPr>
            <w:tcW w:w="810" w:type="dxa"/>
            <w:shd w:val="clear" w:color="auto" w:fill="EEECE1" w:themeFill="background2"/>
          </w:tcPr>
          <w:p w:rsidR="00C44BEA" w:rsidRDefault="00C44BEA" w:rsidP="00631E4C">
            <w:pPr>
              <w:autoSpaceDE w:val="0"/>
              <w:autoSpaceDN w:val="0"/>
              <w:adjustRightInd w:val="0"/>
              <w:jc w:val="center"/>
              <w:rPr>
                <w:rFonts w:cs="Times New Roman"/>
              </w:rPr>
            </w:pPr>
            <w:r w:rsidRPr="00E524C8">
              <w:rPr>
                <w:rFonts w:cs="Times New Roman"/>
              </w:rPr>
              <w:t>10%</w:t>
            </w:r>
          </w:p>
          <w:p w:rsidR="00C44BEA" w:rsidRDefault="00C44BEA" w:rsidP="00631E4C">
            <w:pPr>
              <w:autoSpaceDE w:val="0"/>
              <w:autoSpaceDN w:val="0"/>
              <w:adjustRightInd w:val="0"/>
              <w:jc w:val="center"/>
              <w:rPr>
                <w:rFonts w:cs="Times New Roman"/>
              </w:rPr>
            </w:pPr>
          </w:p>
          <w:p w:rsidR="00C44BEA" w:rsidRDefault="00C44BEA" w:rsidP="00631E4C">
            <w:pPr>
              <w:autoSpaceDE w:val="0"/>
              <w:autoSpaceDN w:val="0"/>
              <w:adjustRightInd w:val="0"/>
              <w:jc w:val="center"/>
              <w:rPr>
                <w:rFonts w:cs="Times New Roman"/>
              </w:rPr>
            </w:pPr>
            <w:r>
              <w:rPr>
                <w:rFonts w:cs="Times New Roman"/>
              </w:rPr>
              <w:t>10%</w:t>
            </w:r>
          </w:p>
          <w:p w:rsidR="00C44BEA" w:rsidRDefault="00C44BEA" w:rsidP="00631E4C">
            <w:pPr>
              <w:autoSpaceDE w:val="0"/>
              <w:autoSpaceDN w:val="0"/>
              <w:adjustRightInd w:val="0"/>
              <w:jc w:val="center"/>
              <w:rPr>
                <w:rFonts w:cs="Times New Roman"/>
              </w:rPr>
            </w:pPr>
          </w:p>
          <w:p w:rsidR="00C44BEA" w:rsidRDefault="00C44BEA" w:rsidP="00631E4C">
            <w:pPr>
              <w:autoSpaceDE w:val="0"/>
              <w:autoSpaceDN w:val="0"/>
              <w:adjustRightInd w:val="0"/>
              <w:jc w:val="center"/>
              <w:rPr>
                <w:rFonts w:cs="Times New Roman"/>
              </w:rPr>
            </w:pPr>
          </w:p>
          <w:p w:rsidR="00C44BEA" w:rsidRPr="00E524C8" w:rsidRDefault="00C44BEA" w:rsidP="00631E4C">
            <w:pPr>
              <w:autoSpaceDE w:val="0"/>
              <w:autoSpaceDN w:val="0"/>
              <w:adjustRightInd w:val="0"/>
              <w:jc w:val="center"/>
              <w:rPr>
                <w:rFonts w:cs="Times New Roman"/>
              </w:rPr>
            </w:pPr>
            <w:r>
              <w:rPr>
                <w:rFonts w:cs="Times New Roman"/>
              </w:rPr>
              <w:t>10%</w:t>
            </w:r>
          </w:p>
          <w:p w:rsidR="00C44BEA" w:rsidRPr="00E524C8" w:rsidRDefault="00C44BEA" w:rsidP="00631E4C">
            <w:pPr>
              <w:pStyle w:val="ListParagraph"/>
              <w:ind w:left="0"/>
              <w:jc w:val="center"/>
            </w:pPr>
          </w:p>
        </w:tc>
        <w:tc>
          <w:tcPr>
            <w:tcW w:w="1170" w:type="dxa"/>
            <w:shd w:val="clear" w:color="auto" w:fill="EEECE1" w:themeFill="background2"/>
          </w:tcPr>
          <w:p w:rsidR="00C44BEA" w:rsidRDefault="00C44BEA" w:rsidP="00631E4C">
            <w:pPr>
              <w:autoSpaceDE w:val="0"/>
              <w:autoSpaceDN w:val="0"/>
              <w:adjustRightInd w:val="0"/>
              <w:jc w:val="center"/>
              <w:rPr>
                <w:rFonts w:cs="Times New Roman"/>
              </w:rPr>
            </w:pPr>
            <w:r w:rsidRPr="00BC6837">
              <w:rPr>
                <w:rFonts w:cs="Times New Roman"/>
              </w:rPr>
              <w:t>Pre-Sep</w:t>
            </w:r>
          </w:p>
          <w:p w:rsidR="00C44BEA" w:rsidRDefault="00C44BEA" w:rsidP="00631E4C">
            <w:pPr>
              <w:autoSpaceDE w:val="0"/>
              <w:autoSpaceDN w:val="0"/>
              <w:adjustRightInd w:val="0"/>
              <w:jc w:val="center"/>
              <w:rPr>
                <w:rFonts w:cs="Times New Roman"/>
              </w:rPr>
            </w:pPr>
          </w:p>
          <w:p w:rsidR="00C44BEA" w:rsidRDefault="00C44BEA" w:rsidP="00631E4C">
            <w:pPr>
              <w:autoSpaceDE w:val="0"/>
              <w:autoSpaceDN w:val="0"/>
              <w:adjustRightInd w:val="0"/>
              <w:jc w:val="center"/>
              <w:rPr>
                <w:rFonts w:cs="Times New Roman"/>
              </w:rPr>
            </w:pPr>
            <w:r>
              <w:rPr>
                <w:rFonts w:cs="Times New Roman"/>
              </w:rPr>
              <w:t>20040511</w:t>
            </w:r>
          </w:p>
          <w:p w:rsidR="00C44BEA" w:rsidRDefault="00C44BEA" w:rsidP="00631E4C">
            <w:pPr>
              <w:autoSpaceDE w:val="0"/>
              <w:autoSpaceDN w:val="0"/>
              <w:adjustRightInd w:val="0"/>
              <w:jc w:val="center"/>
              <w:rPr>
                <w:rFonts w:cs="Times New Roman"/>
              </w:rPr>
            </w:pPr>
            <w:r>
              <w:rPr>
                <w:rFonts w:cs="Times New Roman"/>
              </w:rPr>
              <w:t>(13 Mos.)</w:t>
            </w:r>
          </w:p>
          <w:p w:rsidR="00C44BEA" w:rsidRDefault="00C44BEA" w:rsidP="00631E4C">
            <w:pPr>
              <w:autoSpaceDE w:val="0"/>
              <w:autoSpaceDN w:val="0"/>
              <w:adjustRightInd w:val="0"/>
              <w:jc w:val="center"/>
              <w:rPr>
                <w:rFonts w:cs="Times New Roman"/>
              </w:rPr>
            </w:pPr>
          </w:p>
          <w:p w:rsidR="00C44BEA" w:rsidRPr="001947F4" w:rsidRDefault="00C44BEA" w:rsidP="00631E4C">
            <w:pPr>
              <w:autoSpaceDE w:val="0"/>
              <w:autoSpaceDN w:val="0"/>
              <w:adjustRightInd w:val="0"/>
              <w:jc w:val="center"/>
              <w:rPr>
                <w:b/>
              </w:rPr>
            </w:pPr>
            <w:r>
              <w:rPr>
                <w:rFonts w:cs="Times New Roman"/>
              </w:rPr>
              <w:t>20090317</w:t>
            </w:r>
          </w:p>
        </w:tc>
        <w:tc>
          <w:tcPr>
            <w:tcW w:w="1170" w:type="dxa"/>
            <w:shd w:val="clear" w:color="auto" w:fill="EEECE1" w:themeFill="background2"/>
          </w:tcPr>
          <w:p w:rsidR="00C44BEA" w:rsidRPr="00E524C8" w:rsidRDefault="00C44BEA" w:rsidP="00631E4C">
            <w:pPr>
              <w:pStyle w:val="ListParagraph"/>
              <w:ind w:left="0"/>
              <w:jc w:val="center"/>
              <w:rPr>
                <w:rFonts w:cs="Times New Roman"/>
              </w:rPr>
            </w:pPr>
            <w:r w:rsidRPr="00E524C8">
              <w:rPr>
                <w:rFonts w:cs="Times New Roman"/>
              </w:rPr>
              <w:t>20030131</w:t>
            </w:r>
          </w:p>
        </w:tc>
      </w:tr>
      <w:tr w:rsidR="00C44BEA" w:rsidTr="00631E4C">
        <w:trPr>
          <w:trHeight w:val="264"/>
        </w:trPr>
        <w:tc>
          <w:tcPr>
            <w:tcW w:w="2250" w:type="dxa"/>
            <w:shd w:val="clear" w:color="auto" w:fill="EEECE1" w:themeFill="background2"/>
          </w:tcPr>
          <w:p w:rsidR="00C44BEA" w:rsidRPr="001947F4" w:rsidRDefault="00C44BEA" w:rsidP="00631E4C">
            <w:pPr>
              <w:pStyle w:val="ListParagraph"/>
              <w:ind w:left="0"/>
            </w:pPr>
          </w:p>
        </w:tc>
        <w:tc>
          <w:tcPr>
            <w:tcW w:w="810" w:type="dxa"/>
            <w:shd w:val="clear" w:color="auto" w:fill="EEECE1" w:themeFill="background2"/>
          </w:tcPr>
          <w:p w:rsidR="00C44BEA" w:rsidRPr="001947F4" w:rsidRDefault="00C44BEA" w:rsidP="00631E4C">
            <w:pPr>
              <w:pStyle w:val="ListParagraph"/>
              <w:ind w:left="0"/>
              <w:jc w:val="center"/>
            </w:pPr>
          </w:p>
        </w:tc>
        <w:tc>
          <w:tcPr>
            <w:tcW w:w="810" w:type="dxa"/>
            <w:shd w:val="clear" w:color="auto" w:fill="EEECE1" w:themeFill="background2"/>
          </w:tcPr>
          <w:p w:rsidR="00C44BEA" w:rsidRPr="001947F4" w:rsidRDefault="00C44BEA" w:rsidP="00631E4C">
            <w:pPr>
              <w:pStyle w:val="ListParagraph"/>
              <w:ind w:left="0"/>
              <w:jc w:val="center"/>
            </w:pPr>
          </w:p>
        </w:tc>
        <w:tc>
          <w:tcPr>
            <w:tcW w:w="1170" w:type="dxa"/>
            <w:tcBorders>
              <w:right w:val="thinThickThinSmallGap" w:sz="24" w:space="0" w:color="auto"/>
            </w:tcBorders>
            <w:shd w:val="clear" w:color="auto" w:fill="EEECE1" w:themeFill="background2"/>
          </w:tcPr>
          <w:p w:rsidR="00C44BEA" w:rsidRPr="001947F4" w:rsidRDefault="00C44BEA" w:rsidP="00631E4C">
            <w:pPr>
              <w:pStyle w:val="ListParagraph"/>
              <w:ind w:left="0"/>
              <w:jc w:val="center"/>
              <w:rPr>
                <w:b/>
              </w:rPr>
            </w:pPr>
          </w:p>
        </w:tc>
        <w:tc>
          <w:tcPr>
            <w:tcW w:w="2250" w:type="dxa"/>
            <w:tcBorders>
              <w:left w:val="thinThickThinSmallGap" w:sz="24" w:space="0" w:color="auto"/>
            </w:tcBorders>
            <w:shd w:val="clear" w:color="auto" w:fill="EEECE1" w:themeFill="background2"/>
          </w:tcPr>
          <w:p w:rsidR="00C44BEA" w:rsidRPr="001947F4" w:rsidRDefault="00C44BEA" w:rsidP="00631E4C">
            <w:pPr>
              <w:pStyle w:val="ListParagraph"/>
              <w:ind w:left="0"/>
            </w:pPr>
            <w:r>
              <w:t>Non-PEB X 1</w:t>
            </w:r>
          </w:p>
        </w:tc>
        <w:tc>
          <w:tcPr>
            <w:tcW w:w="810" w:type="dxa"/>
            <w:shd w:val="clear" w:color="auto" w:fill="EEECE1" w:themeFill="background2"/>
          </w:tcPr>
          <w:p w:rsidR="00C44BEA" w:rsidRPr="001947F4" w:rsidRDefault="00C44BEA" w:rsidP="00631E4C">
            <w:pPr>
              <w:pStyle w:val="ListParagraph"/>
              <w:ind w:left="0"/>
              <w:jc w:val="center"/>
            </w:pPr>
          </w:p>
        </w:tc>
        <w:tc>
          <w:tcPr>
            <w:tcW w:w="810" w:type="dxa"/>
            <w:shd w:val="clear" w:color="auto" w:fill="EEECE1" w:themeFill="background2"/>
          </w:tcPr>
          <w:p w:rsidR="00C44BEA" w:rsidRPr="001947F4" w:rsidRDefault="00C44BEA" w:rsidP="00631E4C">
            <w:pPr>
              <w:pStyle w:val="ListParagraph"/>
              <w:ind w:left="0"/>
              <w:jc w:val="center"/>
            </w:pPr>
          </w:p>
        </w:tc>
        <w:tc>
          <w:tcPr>
            <w:tcW w:w="1170" w:type="dxa"/>
            <w:shd w:val="clear" w:color="auto" w:fill="EEECE1" w:themeFill="background2"/>
          </w:tcPr>
          <w:p w:rsidR="00C44BEA" w:rsidRPr="001947F4" w:rsidRDefault="00C44BEA" w:rsidP="00631E4C">
            <w:pPr>
              <w:pStyle w:val="ListParagraph"/>
              <w:ind w:left="0"/>
              <w:jc w:val="center"/>
              <w:rPr>
                <w:b/>
              </w:rPr>
            </w:pPr>
          </w:p>
        </w:tc>
        <w:tc>
          <w:tcPr>
            <w:tcW w:w="1170" w:type="dxa"/>
            <w:shd w:val="clear" w:color="auto" w:fill="EEECE1" w:themeFill="background2"/>
          </w:tcPr>
          <w:p w:rsidR="00C44BEA" w:rsidRPr="001947F4" w:rsidRDefault="00C44BEA" w:rsidP="00631E4C">
            <w:pPr>
              <w:pStyle w:val="ListParagraph"/>
              <w:ind w:left="0"/>
              <w:jc w:val="center"/>
              <w:rPr>
                <w:b/>
              </w:rPr>
            </w:pPr>
            <w:r w:rsidRPr="00E524C8">
              <w:rPr>
                <w:rFonts w:cs="Times New Roman"/>
              </w:rPr>
              <w:t>20030131</w:t>
            </w:r>
          </w:p>
        </w:tc>
      </w:tr>
      <w:tr w:rsidR="00C44BEA" w:rsidTr="00631E4C">
        <w:trPr>
          <w:trHeight w:val="280"/>
        </w:trPr>
        <w:tc>
          <w:tcPr>
            <w:tcW w:w="5040" w:type="dxa"/>
            <w:gridSpan w:val="4"/>
            <w:tcBorders>
              <w:right w:val="thinThickThinSmallGap" w:sz="24" w:space="0" w:color="auto"/>
            </w:tcBorders>
            <w:shd w:val="clear" w:color="auto" w:fill="EEECE1" w:themeFill="background2"/>
          </w:tcPr>
          <w:p w:rsidR="00C44BEA" w:rsidRPr="0048009F" w:rsidRDefault="00C44BEA" w:rsidP="00631E4C">
            <w:pPr>
              <w:pStyle w:val="ListParagraph"/>
              <w:ind w:left="0"/>
              <w:jc w:val="center"/>
              <w:rPr>
                <w:b/>
              </w:rPr>
            </w:pPr>
          </w:p>
        </w:tc>
        <w:tc>
          <w:tcPr>
            <w:tcW w:w="6210" w:type="dxa"/>
            <w:gridSpan w:val="5"/>
            <w:tcBorders>
              <w:left w:val="thinThickThinSmallGap" w:sz="24" w:space="0" w:color="auto"/>
            </w:tcBorders>
            <w:shd w:val="clear" w:color="auto" w:fill="EEECE1" w:themeFill="background2"/>
          </w:tcPr>
          <w:p w:rsidR="00C44BEA" w:rsidRPr="0048009F" w:rsidRDefault="00C44BEA" w:rsidP="00631E4C">
            <w:pPr>
              <w:pStyle w:val="ListParagraph"/>
              <w:ind w:left="0"/>
              <w:jc w:val="center"/>
              <w:rPr>
                <w:b/>
              </w:rPr>
            </w:pPr>
          </w:p>
        </w:tc>
      </w:tr>
    </w:tbl>
    <w:p w:rsidR="00E1523D" w:rsidRDefault="00E1523D" w:rsidP="00E1523D">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E1523D" w:rsidRDefault="00E1523D" w:rsidP="00E1523D">
      <w:pPr>
        <w:tabs>
          <w:tab w:val="left" w:pos="288"/>
          <w:tab w:val="left" w:pos="4752"/>
        </w:tabs>
        <w:spacing w:line="240" w:lineRule="exact"/>
        <w:jc w:val="both"/>
        <w:rPr>
          <w:color w:val="000080"/>
        </w:rPr>
      </w:pPr>
    </w:p>
    <w:p w:rsidR="00E1523D" w:rsidRPr="00E13D41" w:rsidRDefault="00E1523D" w:rsidP="00E1523D">
      <w:pPr>
        <w:tabs>
          <w:tab w:val="left" w:pos="288"/>
          <w:tab w:val="left" w:pos="4752"/>
        </w:tabs>
        <w:spacing w:line="240" w:lineRule="exact"/>
        <w:jc w:val="both"/>
        <w:rPr>
          <w:color w:val="000080"/>
        </w:rPr>
      </w:pPr>
      <w:proofErr w:type="gramStart"/>
      <w:r w:rsidRPr="00E1523D">
        <w:rPr>
          <w:color w:val="000080"/>
          <w:u w:val="single"/>
        </w:rPr>
        <w:t>CI Contentions</w:t>
      </w:r>
      <w:r w:rsidRPr="00E13D41">
        <w:rPr>
          <w:color w:val="000080"/>
        </w:rPr>
        <w:t>.</w:t>
      </w:r>
      <w:proofErr w:type="gramEnd"/>
      <w:r w:rsidRPr="00E13D41">
        <w:rPr>
          <w:color w:val="000080"/>
        </w:rPr>
        <w:t xml:space="preserve">  </w:t>
      </w:r>
      <w:proofErr w:type="gramStart"/>
      <w:r w:rsidRPr="00E13D41">
        <w:rPr>
          <w:color w:val="000080"/>
        </w:rPr>
        <w:t>Investigating the CI’s concern re: service-connected damage to the AV node of his heart yielded the following observations.</w:t>
      </w:r>
      <w:proofErr w:type="gramEnd"/>
      <w:r w:rsidRPr="00E13D41">
        <w:rPr>
          <w:color w:val="000080"/>
        </w:rPr>
        <w:t xml:space="preserve">  1) The source of his information from a civilian surgeon documenting damage to the AV node was not specified.  It was not readily apparent in the evidence forwarded with the application or in available STR (service treatment record) or VA records.  2) There is no indication in the STR </w:t>
      </w:r>
      <w:r w:rsidR="004D0EA5">
        <w:rPr>
          <w:color w:val="000080"/>
        </w:rPr>
        <w:t>of any procedural complications.</w:t>
      </w:r>
      <w:r w:rsidRPr="00E13D41">
        <w:rPr>
          <w:color w:val="000080"/>
        </w:rPr>
        <w:t xml:space="preserve"> </w:t>
      </w:r>
      <w:r w:rsidR="004D0EA5">
        <w:rPr>
          <w:color w:val="000080"/>
        </w:rPr>
        <w:t xml:space="preserve"> A</w:t>
      </w:r>
      <w:r w:rsidRPr="00E13D41">
        <w:rPr>
          <w:color w:val="000080"/>
        </w:rPr>
        <w:t xml:space="preserve">lbeit possible, it is unlikely that this is missing or undocumented.  Multiple follow-up EKG’s after the procedure did not reflect any AV node pathology.   3) If there was a complication, it was an inherent risk of the procedure; and good informed consent is in evidence.  4)  Even if there were compensable service-connected disease, this board has no authority beyond application of the VASRD rating schedule.  Unless the suspected damage causes </w:t>
      </w:r>
      <w:proofErr w:type="spellStart"/>
      <w:r w:rsidRPr="00E13D41">
        <w:rPr>
          <w:color w:val="000080"/>
        </w:rPr>
        <w:t>bradycardia</w:t>
      </w:r>
      <w:proofErr w:type="spellEnd"/>
      <w:r w:rsidRPr="00E13D41">
        <w:rPr>
          <w:color w:val="000080"/>
        </w:rPr>
        <w:t xml:space="preserve"> or other </w:t>
      </w:r>
      <w:proofErr w:type="spellStart"/>
      <w:r w:rsidRPr="00E13D41">
        <w:rPr>
          <w:color w:val="000080"/>
        </w:rPr>
        <w:t>schedular</w:t>
      </w:r>
      <w:proofErr w:type="spellEnd"/>
      <w:r w:rsidRPr="00E13D41">
        <w:rPr>
          <w:color w:val="000080"/>
        </w:rPr>
        <w:t xml:space="preserve"> pathology, it is subsumed within the current VASRD code and rating.  Regarding the contention that there were more monitored episodes than rated by the PEB, no supporting documentation is in evidence.  There is no evidence of a single or cumulative two week period of monitoring in application documents, STR or VA records within the 12 month period preceding the PEB.  All available evidence of arrhythmias is elaborated below.</w:t>
      </w:r>
    </w:p>
    <w:p w:rsidR="00E1523D" w:rsidRPr="00E13D41" w:rsidRDefault="00E1523D" w:rsidP="00E1523D">
      <w:pPr>
        <w:tabs>
          <w:tab w:val="left" w:pos="288"/>
          <w:tab w:val="left" w:pos="4752"/>
        </w:tabs>
        <w:spacing w:line="240" w:lineRule="exact"/>
        <w:jc w:val="both"/>
        <w:rPr>
          <w:color w:val="000080"/>
        </w:rPr>
      </w:pPr>
    </w:p>
    <w:p w:rsidR="00E1523D" w:rsidRPr="00E13D41" w:rsidRDefault="00E1523D" w:rsidP="00E1523D">
      <w:pPr>
        <w:tabs>
          <w:tab w:val="left" w:pos="288"/>
          <w:tab w:val="left" w:pos="4752"/>
        </w:tabs>
        <w:spacing w:line="240" w:lineRule="exact"/>
        <w:jc w:val="both"/>
        <w:rPr>
          <w:color w:val="000080"/>
        </w:rPr>
      </w:pPr>
      <w:proofErr w:type="gramStart"/>
      <w:r w:rsidRPr="004D0EA5">
        <w:rPr>
          <w:color w:val="000080"/>
          <w:u w:val="single"/>
        </w:rPr>
        <w:t>SVT Rating</w:t>
      </w:r>
      <w:r w:rsidRPr="00E13D41">
        <w:rPr>
          <w:color w:val="000080"/>
        </w:rPr>
        <w:t>.</w:t>
      </w:r>
      <w:proofErr w:type="gramEnd"/>
      <w:r w:rsidRPr="00E13D41">
        <w:rPr>
          <w:color w:val="000080"/>
        </w:rPr>
        <w:t xml:space="preserve">  The PEB adjudication was made on the basis of the two post-ablation </w:t>
      </w:r>
      <w:proofErr w:type="spellStart"/>
      <w:r w:rsidRPr="00E13D41">
        <w:rPr>
          <w:color w:val="000080"/>
        </w:rPr>
        <w:t>Holters</w:t>
      </w:r>
      <w:proofErr w:type="spellEnd"/>
      <w:r w:rsidRPr="00E13D41">
        <w:rPr>
          <w:color w:val="000080"/>
        </w:rPr>
        <w:t xml:space="preserve"> referenced above.  The PEB specifically requested all available monitored or EKG episodes from the MTF.  These were confined to the </w:t>
      </w:r>
      <w:proofErr w:type="spellStart"/>
      <w:r w:rsidRPr="00E13D41">
        <w:rPr>
          <w:color w:val="000080"/>
        </w:rPr>
        <w:t>Holter</w:t>
      </w:r>
      <w:proofErr w:type="spellEnd"/>
      <w:r w:rsidRPr="00E13D41">
        <w:rPr>
          <w:color w:val="000080"/>
        </w:rPr>
        <w:t xml:space="preserve"> demonstrating 4</w:t>
      </w:r>
      <w:r w:rsidR="00AD75AA">
        <w:rPr>
          <w:color w:val="000080"/>
        </w:rPr>
        <w:t> </w:t>
      </w:r>
      <w:r w:rsidRPr="00E13D41">
        <w:rPr>
          <w:color w:val="000080"/>
        </w:rPr>
        <w:t xml:space="preserve">episodes and </w:t>
      </w:r>
      <w:r w:rsidR="004D0EA5">
        <w:rPr>
          <w:color w:val="000080"/>
        </w:rPr>
        <w:t>an additional study</w:t>
      </w:r>
      <w:r w:rsidRPr="00E13D41">
        <w:rPr>
          <w:color w:val="000080"/>
        </w:rPr>
        <w:t xml:space="preserve"> demonstrating none.  All </w:t>
      </w:r>
      <w:proofErr w:type="spellStart"/>
      <w:r w:rsidRPr="00E13D41">
        <w:rPr>
          <w:color w:val="000080"/>
        </w:rPr>
        <w:t>Holter</w:t>
      </w:r>
      <w:proofErr w:type="spellEnd"/>
      <w:r w:rsidRPr="00E13D41">
        <w:rPr>
          <w:color w:val="000080"/>
        </w:rPr>
        <w:t xml:space="preserve"> rhythm recordings and multiple EKG’s in evidence were reviewed, and it was concluded that no additional undocumented arrhythmias are demonstrable.  Specifically investigated was an ER encounter during the MEB period which resulted from </w:t>
      </w:r>
      <w:proofErr w:type="spellStart"/>
      <w:r w:rsidRPr="00E13D41">
        <w:rPr>
          <w:color w:val="000080"/>
        </w:rPr>
        <w:t>exertional</w:t>
      </w:r>
      <w:proofErr w:type="spellEnd"/>
      <w:r w:rsidRPr="00E13D41">
        <w:rPr>
          <w:color w:val="000080"/>
        </w:rPr>
        <w:t xml:space="preserve"> symptoms that may have been caused by an additional episode of SVT.  Symptoms were resolved on presentation and no monitored arrhythmia was captured.  A follow-up cardiologist entry in the STR opined that the event was from volume-depletion, but the exact etiology remains speculative.  </w:t>
      </w:r>
    </w:p>
    <w:p w:rsidR="00E1523D" w:rsidRPr="00E13D41" w:rsidRDefault="00E1523D" w:rsidP="00E1523D">
      <w:pPr>
        <w:tabs>
          <w:tab w:val="left" w:pos="288"/>
          <w:tab w:val="left" w:pos="4752"/>
        </w:tabs>
        <w:spacing w:line="240" w:lineRule="exact"/>
        <w:jc w:val="both"/>
        <w:rPr>
          <w:color w:val="000080"/>
        </w:rPr>
      </w:pPr>
    </w:p>
    <w:p w:rsidR="00E1523D" w:rsidRPr="00E13D41" w:rsidRDefault="00E1523D" w:rsidP="00E1523D">
      <w:pPr>
        <w:tabs>
          <w:tab w:val="left" w:pos="288"/>
          <w:tab w:val="left" w:pos="4752"/>
        </w:tabs>
        <w:spacing w:line="240" w:lineRule="exact"/>
        <w:jc w:val="both"/>
        <w:rPr>
          <w:color w:val="000080"/>
        </w:rPr>
      </w:pPr>
      <w:r w:rsidRPr="00AD75AA">
        <w:rPr>
          <w:color w:val="000080"/>
          <w:u w:val="single"/>
        </w:rPr>
        <w:t>BOARD FINDINGS</w:t>
      </w:r>
      <w:r w:rsidRPr="00E13D41">
        <w:rPr>
          <w:color w:val="000080"/>
        </w:rPr>
        <w:t>:</w:t>
      </w:r>
      <w:r w:rsidR="00AD75AA">
        <w:rPr>
          <w:color w:val="000080"/>
        </w:rPr>
        <w:t xml:space="preserve">  </w:t>
      </w:r>
      <w:r w:rsidRPr="00E13D41">
        <w:rPr>
          <w:color w:val="000080"/>
        </w:rPr>
        <w:t xml:space="preserve">IAW </w:t>
      </w:r>
      <w:proofErr w:type="spellStart"/>
      <w:r w:rsidRPr="00E13D41">
        <w:rPr>
          <w:color w:val="000080"/>
        </w:rPr>
        <w:t>DoDI</w:t>
      </w:r>
      <w:proofErr w:type="spellEnd"/>
      <w:r w:rsidRPr="00E13D41">
        <w:rPr>
          <w:color w:val="000080"/>
        </w:rPr>
        <w:t xml:space="preserve"> 6040.44, provisions of </w:t>
      </w:r>
      <w:proofErr w:type="spellStart"/>
      <w:r w:rsidRPr="00E13D41">
        <w:rPr>
          <w:color w:val="000080"/>
        </w:rPr>
        <w:t>DoD</w:t>
      </w:r>
      <w:proofErr w:type="spellEnd"/>
      <w:r w:rsidRPr="00E13D41">
        <w:rPr>
          <w:color w:val="000080"/>
        </w:rPr>
        <w:t xml:space="preserve"> or Military Department regulations or guidelines relied upon by the PEB will not be considered by the PDBR to the extent they were inconsistent with the VASRD in effect at the time of the adjudication.  The </w:t>
      </w:r>
      <w:r w:rsidR="00AD75AA">
        <w:rPr>
          <w:color w:val="000080"/>
        </w:rPr>
        <w:t>B</w:t>
      </w:r>
      <w:r w:rsidRPr="00E13D41">
        <w:rPr>
          <w:color w:val="000080"/>
        </w:rPr>
        <w:t>oard did not surmise from the record or PEB ruling in this case that any prerogatives outside the VASRD were exercised.  The VASR</w:t>
      </w:r>
      <w:r w:rsidR="004D0EA5">
        <w:rPr>
          <w:color w:val="000080"/>
        </w:rPr>
        <w:t>D rating for 4 or less episodes</w:t>
      </w:r>
      <w:r w:rsidRPr="00E13D41">
        <w:rPr>
          <w:color w:val="000080"/>
        </w:rPr>
        <w:t xml:space="preserve"> of SVT per year is the 10% assigned by both the PEB and the VA.  Consideration was given for crediting the possible unmonitored episode preceding the ER visit previously noted.  If counted, this would tip the rating scale to 30%.   The board could not support addition of that episode for rating recommendation because:  1) The VA rated 10% at the equivalent point in time.  </w:t>
      </w:r>
      <w:r w:rsidRPr="00E13D41">
        <w:rPr>
          <w:color w:val="000080"/>
        </w:rPr>
        <w:lastRenderedPageBreak/>
        <w:t>2)  The VASRD specifically requires monitored episodes for rating, although a subsequent VA rating decision in this case referenced presumptive unmonitored episodes.  However, the discretion for circumventing the letter of the VASRD is not routinely exercised by this board.  And, 3) The subsequent stability of the arrhythmia at the 10% VA rating threshold is good medical support for suggesting that a separation rat</w:t>
      </w:r>
      <w:r w:rsidR="004D0EA5">
        <w:rPr>
          <w:color w:val="000080"/>
        </w:rPr>
        <w:t>ing of 30% would be based on a ‘fluke’</w:t>
      </w:r>
      <w:r w:rsidRPr="00E13D41">
        <w:rPr>
          <w:color w:val="000080"/>
        </w:rPr>
        <w:t xml:space="preserve">.  The multiple episodes of SVT on the initial diagnostic </w:t>
      </w:r>
      <w:proofErr w:type="spellStart"/>
      <w:r w:rsidRPr="00E13D41">
        <w:rPr>
          <w:color w:val="000080"/>
        </w:rPr>
        <w:t>Holter</w:t>
      </w:r>
      <w:proofErr w:type="spellEnd"/>
      <w:r w:rsidRPr="00E13D41">
        <w:rPr>
          <w:color w:val="000080"/>
        </w:rPr>
        <w:t xml:space="preserve"> were not considered applicable for rating purposes because: 1) </w:t>
      </w:r>
      <w:proofErr w:type="gramStart"/>
      <w:r w:rsidRPr="00E13D41">
        <w:rPr>
          <w:color w:val="000080"/>
        </w:rPr>
        <w:t>They</w:t>
      </w:r>
      <w:proofErr w:type="gramEnd"/>
      <w:r w:rsidRPr="00E13D41">
        <w:rPr>
          <w:color w:val="000080"/>
        </w:rPr>
        <w:t xml:space="preserve"> occurred outside the preceding 12 month rating period adjudicated by the PEB.  And, 2) </w:t>
      </w:r>
      <w:proofErr w:type="gramStart"/>
      <w:r w:rsidRPr="00E13D41">
        <w:rPr>
          <w:color w:val="000080"/>
        </w:rPr>
        <w:t>They</w:t>
      </w:r>
      <w:proofErr w:type="gramEnd"/>
      <w:r w:rsidRPr="00E13D41">
        <w:rPr>
          <w:color w:val="000080"/>
        </w:rPr>
        <w:t xml:space="preserve"> occurred before ablation</w:t>
      </w:r>
      <w:r w:rsidR="004D0EA5">
        <w:rPr>
          <w:color w:val="000080"/>
        </w:rPr>
        <w:t>,</w:t>
      </w:r>
      <w:r w:rsidRPr="00E13D41">
        <w:rPr>
          <w:color w:val="000080"/>
        </w:rPr>
        <w:t xml:space="preserve"> which resulted in decreased severity of the condition at separation.  The board unanimously concluded, therefore, that the basis for the PEB rating was valid and the determination was IAW VASRD §</w:t>
      </w:r>
      <w:r w:rsidR="004D0EA5">
        <w:rPr>
          <w:color w:val="000080"/>
        </w:rPr>
        <w:t>4.104</w:t>
      </w:r>
      <w:r w:rsidRPr="00E13D41">
        <w:rPr>
          <w:color w:val="000080"/>
        </w:rPr>
        <w:t>.</w:t>
      </w:r>
    </w:p>
    <w:p w:rsidR="00AD75AA" w:rsidRPr="00D91DA6" w:rsidRDefault="00AD75AA" w:rsidP="00AD75AA">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E1523D" w:rsidRPr="00D91DA6" w:rsidRDefault="00E1523D" w:rsidP="00E1523D">
      <w:pPr>
        <w:tabs>
          <w:tab w:val="left" w:pos="288"/>
          <w:tab w:val="left" w:pos="4752"/>
        </w:tabs>
        <w:spacing w:line="240" w:lineRule="exact"/>
        <w:jc w:val="both"/>
        <w:rPr>
          <w:color w:val="000080"/>
        </w:rPr>
      </w:pPr>
    </w:p>
    <w:p w:rsidR="00E1523D" w:rsidRPr="00E13D41" w:rsidRDefault="00E1523D" w:rsidP="00E1523D">
      <w:pPr>
        <w:tabs>
          <w:tab w:val="left" w:pos="288"/>
          <w:tab w:val="left" w:pos="4752"/>
        </w:tabs>
        <w:spacing w:line="240" w:lineRule="exact"/>
        <w:jc w:val="both"/>
        <w:rPr>
          <w:color w:val="000080"/>
        </w:rPr>
      </w:pPr>
      <w:r w:rsidRPr="00E13D41">
        <w:rPr>
          <w:color w:val="000080"/>
        </w:rPr>
        <w:t>RECOMMENDATION:</w:t>
      </w:r>
      <w:r w:rsidR="00AD75AA">
        <w:rPr>
          <w:color w:val="000080"/>
        </w:rPr>
        <w:t xml:space="preserve">  </w:t>
      </w:r>
      <w:r w:rsidRPr="00E13D41">
        <w:rPr>
          <w:color w:val="000080"/>
        </w:rPr>
        <w:t>The PDBR therefore recommends that there be no re-characterization of the CI’s Physical Evaluation Board adjudication of 12 DEC 2002.</w:t>
      </w:r>
    </w:p>
    <w:p w:rsidR="00AD75AA" w:rsidRPr="00D91DA6" w:rsidRDefault="00AD75AA" w:rsidP="00AD75AA">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E1523D" w:rsidRDefault="00E1523D" w:rsidP="00E1523D">
      <w:pPr>
        <w:tabs>
          <w:tab w:val="left" w:pos="288"/>
          <w:tab w:val="left" w:pos="4752"/>
        </w:tabs>
        <w:spacing w:line="240" w:lineRule="exact"/>
        <w:jc w:val="both"/>
        <w:rPr>
          <w:color w:val="000080"/>
        </w:rPr>
      </w:pPr>
    </w:p>
    <w:p w:rsidR="00E1523D" w:rsidRDefault="00E1523D" w:rsidP="00E1523D">
      <w:pPr>
        <w:tabs>
          <w:tab w:val="left" w:pos="288"/>
          <w:tab w:val="left" w:pos="4752"/>
        </w:tabs>
        <w:spacing w:line="240" w:lineRule="exact"/>
        <w:jc w:val="both"/>
        <w:rPr>
          <w:color w:val="000080"/>
        </w:rPr>
      </w:pPr>
      <w:r>
        <w:rPr>
          <w:color w:val="000080"/>
        </w:rPr>
        <w:t>The following documentary evidence was considered:</w:t>
      </w:r>
    </w:p>
    <w:p w:rsidR="00E1523D" w:rsidRDefault="00E1523D" w:rsidP="00E1523D">
      <w:pPr>
        <w:tabs>
          <w:tab w:val="left" w:pos="288"/>
          <w:tab w:val="left" w:pos="4752"/>
        </w:tabs>
        <w:spacing w:line="240" w:lineRule="exact"/>
        <w:jc w:val="both"/>
        <w:rPr>
          <w:color w:val="000080"/>
        </w:rPr>
      </w:pPr>
    </w:p>
    <w:p w:rsidR="00E1523D" w:rsidRDefault="00E1523D" w:rsidP="00E1523D">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 20090102, w/</w:t>
      </w:r>
      <w:proofErr w:type="spellStart"/>
      <w:r>
        <w:rPr>
          <w:color w:val="000080"/>
        </w:rPr>
        <w:t>atchs</w:t>
      </w:r>
      <w:proofErr w:type="spellEnd"/>
      <w:r>
        <w:rPr>
          <w:color w:val="000080"/>
        </w:rPr>
        <w:t>.</w:t>
      </w:r>
    </w:p>
    <w:p w:rsidR="00E1523D" w:rsidRDefault="00E1523D" w:rsidP="00E1523D">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E1523D" w:rsidRDefault="00E1523D" w:rsidP="00E1523D">
      <w:pPr>
        <w:tabs>
          <w:tab w:val="left" w:pos="288"/>
          <w:tab w:val="left" w:pos="4752"/>
        </w:tabs>
        <w:spacing w:line="240" w:lineRule="exact"/>
        <w:rPr>
          <w:color w:val="000080"/>
        </w:rPr>
      </w:pPr>
      <w:r>
        <w:rPr>
          <w:color w:val="000080"/>
        </w:rPr>
        <w:t xml:space="preserve">Exhibit C.  </w:t>
      </w:r>
      <w:proofErr w:type="gramStart"/>
      <w:r>
        <w:rPr>
          <w:color w:val="000080"/>
        </w:rPr>
        <w:t>Department of Veterans' Affairs Treatment Record.</w:t>
      </w:r>
      <w:proofErr w:type="gramEnd"/>
    </w:p>
    <w:p w:rsidR="00B70896" w:rsidRDefault="00B70896">
      <w:pPr>
        <w:rPr>
          <w:color w:val="000080"/>
        </w:rPr>
      </w:pPr>
      <w:r>
        <w:rPr>
          <w:color w:val="000080"/>
        </w:rPr>
        <w:br w:type="page"/>
      </w:r>
    </w:p>
    <w:p w:rsidR="00B70896" w:rsidRDefault="00B70896" w:rsidP="00B70896">
      <w:pPr>
        <w:pStyle w:val="Default"/>
        <w:framePr w:w="16728" w:wrap="auto" w:vAnchor="page" w:hAnchor="page" w:x="101" w:y="13945"/>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E1523D" w:rsidRDefault="00E1523D" w:rsidP="00E1523D">
      <w:pPr>
        <w:tabs>
          <w:tab w:val="left" w:pos="288"/>
          <w:tab w:val="left" w:pos="4752"/>
        </w:tabs>
        <w:spacing w:line="240" w:lineRule="exact"/>
        <w:jc w:val="both"/>
        <w:rPr>
          <w:color w:val="000080"/>
        </w:rPr>
      </w:pPr>
    </w:p>
    <w:p w:rsidR="00E1523D" w:rsidRDefault="00E1523D" w:rsidP="00E1523D">
      <w:pPr>
        <w:tabs>
          <w:tab w:val="left" w:pos="288"/>
          <w:tab w:val="left" w:pos="4752"/>
        </w:tabs>
        <w:spacing w:line="240" w:lineRule="exact"/>
        <w:jc w:val="both"/>
        <w:rPr>
          <w:color w:val="000080"/>
        </w:rPr>
      </w:pPr>
    </w:p>
    <w:p w:rsidR="00E1523D" w:rsidRDefault="00E1523D" w:rsidP="00E1523D">
      <w:pPr>
        <w:tabs>
          <w:tab w:val="left" w:pos="288"/>
          <w:tab w:val="left" w:pos="4752"/>
        </w:tabs>
        <w:spacing w:line="240" w:lineRule="exact"/>
        <w:jc w:val="both"/>
        <w:rPr>
          <w:color w:val="000080"/>
        </w:rPr>
      </w:pPr>
    </w:p>
    <w:p w:rsidR="00E1523D" w:rsidRPr="00D91DA6" w:rsidRDefault="00E1523D" w:rsidP="00E1523D">
      <w:pPr>
        <w:tabs>
          <w:tab w:val="left" w:pos="288"/>
          <w:tab w:val="left" w:pos="4752"/>
        </w:tabs>
        <w:spacing w:line="240" w:lineRule="exact"/>
        <w:jc w:val="both"/>
        <w:rPr>
          <w:color w:val="000080"/>
        </w:rPr>
      </w:pPr>
    </w:p>
    <w:p w:rsidR="00E1523D" w:rsidRDefault="00E1523D" w:rsidP="003D0CD7">
      <w:pPr>
        <w:tabs>
          <w:tab w:val="left" w:pos="0"/>
          <w:tab w:val="left" w:pos="4320"/>
        </w:tabs>
        <w:spacing w:line="240" w:lineRule="exact"/>
        <w:rPr>
          <w:color w:val="000080"/>
        </w:rPr>
      </w:pPr>
      <w:r>
        <w:rPr>
          <w:color w:val="000080"/>
        </w:rPr>
        <w:t xml:space="preserve">                             </w:t>
      </w:r>
    </w:p>
    <w:p w:rsidR="00E1523D" w:rsidRDefault="00E1523D" w:rsidP="00E1523D">
      <w:pPr>
        <w:tabs>
          <w:tab w:val="left" w:pos="288"/>
          <w:tab w:val="left" w:pos="4320"/>
          <w:tab w:val="left" w:pos="4410"/>
          <w:tab w:val="left" w:pos="4770"/>
          <w:tab w:val="left" w:pos="4860"/>
          <w:tab w:val="left" w:pos="5040"/>
        </w:tabs>
        <w:spacing w:line="240" w:lineRule="exact"/>
        <w:rPr>
          <w:color w:val="000080"/>
        </w:rPr>
      </w:pPr>
    </w:p>
    <w:p w:rsidR="00E1523D" w:rsidRDefault="00E1523D" w:rsidP="00E1523D">
      <w:pPr>
        <w:tabs>
          <w:tab w:val="left" w:pos="288"/>
          <w:tab w:val="left" w:pos="4320"/>
          <w:tab w:val="left" w:pos="4410"/>
          <w:tab w:val="left" w:pos="4770"/>
          <w:tab w:val="left" w:pos="4860"/>
          <w:tab w:val="left" w:pos="5040"/>
        </w:tabs>
        <w:spacing w:line="240" w:lineRule="exact"/>
        <w:rPr>
          <w:color w:val="000080"/>
        </w:rPr>
      </w:pPr>
    </w:p>
    <w:p w:rsidR="00E1523D" w:rsidRDefault="00E1523D" w:rsidP="00E1523D">
      <w:pPr>
        <w:tabs>
          <w:tab w:val="left" w:pos="288"/>
          <w:tab w:val="left" w:pos="4320"/>
          <w:tab w:val="left" w:pos="4410"/>
          <w:tab w:val="left" w:pos="4770"/>
          <w:tab w:val="left" w:pos="4860"/>
          <w:tab w:val="left" w:pos="5040"/>
        </w:tabs>
        <w:spacing w:line="240" w:lineRule="exact"/>
        <w:rPr>
          <w:color w:val="000080"/>
        </w:rPr>
      </w:pPr>
    </w:p>
    <w:p w:rsidR="00E1523D" w:rsidRDefault="00E1523D" w:rsidP="00E1523D">
      <w:pPr>
        <w:tabs>
          <w:tab w:val="left" w:pos="288"/>
          <w:tab w:val="left" w:pos="4320"/>
          <w:tab w:val="left" w:pos="4410"/>
          <w:tab w:val="left" w:pos="4770"/>
          <w:tab w:val="left" w:pos="4860"/>
          <w:tab w:val="left" w:pos="5040"/>
        </w:tabs>
        <w:spacing w:line="240" w:lineRule="exact"/>
        <w:rPr>
          <w:color w:val="000080"/>
        </w:rPr>
      </w:pPr>
    </w:p>
    <w:p w:rsidR="00E1523D" w:rsidRPr="00D91DA6" w:rsidRDefault="00E1523D" w:rsidP="00E1523D">
      <w:pPr>
        <w:tabs>
          <w:tab w:val="left" w:pos="288"/>
          <w:tab w:val="left" w:pos="4320"/>
          <w:tab w:val="left" w:pos="4410"/>
          <w:tab w:val="left" w:pos="4770"/>
          <w:tab w:val="left" w:pos="4860"/>
          <w:tab w:val="left" w:pos="5040"/>
        </w:tabs>
        <w:spacing w:line="240" w:lineRule="exact"/>
        <w:rPr>
          <w:color w:val="000080"/>
          <w:sz w:val="32"/>
        </w:rPr>
      </w:pPr>
    </w:p>
    <w:p w:rsidR="00BE0DEB" w:rsidRDefault="00BE0DEB">
      <w:pPr>
        <w:tabs>
          <w:tab w:val="left" w:pos="288"/>
          <w:tab w:val="left" w:pos="4752"/>
        </w:tabs>
        <w:spacing w:line="240" w:lineRule="exact"/>
        <w:jc w:val="center"/>
        <w:rPr>
          <w:color w:val="000080"/>
        </w:rPr>
      </w:pPr>
    </w:p>
    <w:sectPr w:rsidR="00BE0DEB"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4BA" w:rsidRDefault="00D404BA">
      <w:r>
        <w:separator/>
      </w:r>
    </w:p>
  </w:endnote>
  <w:endnote w:type="continuationSeparator" w:id="0">
    <w:p w:rsidR="00D404BA" w:rsidRDefault="00D404B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AE5B7F">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B70896">
      <w:rPr>
        <w:rStyle w:val="PageNumber"/>
        <w:noProof/>
      </w:rPr>
      <w:t>4</w:t>
    </w:r>
    <w:r>
      <w:rPr>
        <w:rStyle w:val="PageNumber"/>
      </w:rPr>
      <w:fldChar w:fldCharType="end"/>
    </w:r>
  </w:p>
  <w:p w:rsidR="000D43F9" w:rsidRDefault="000379D0">
    <w:pPr>
      <w:pStyle w:val="Footer"/>
    </w:pPr>
    <w:r>
      <w:t>PD-2009-</w:t>
    </w:r>
    <w:r w:rsidR="00E1523D">
      <w:t>00057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AE5B7F">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B70896">
      <w:rPr>
        <w:rStyle w:val="PageNumber"/>
        <w:noProof/>
      </w:rPr>
      <w:t>5</w:t>
    </w:r>
    <w:r>
      <w:rPr>
        <w:rStyle w:val="PageNumber"/>
      </w:rPr>
      <w:fldChar w:fldCharType="end"/>
    </w:r>
  </w:p>
  <w:p w:rsidR="00E1523D" w:rsidRDefault="00E1523D" w:rsidP="00E1523D">
    <w:pPr>
      <w:pStyle w:val="Footer"/>
    </w:pPr>
    <w:r>
      <w:t>PD-2009-00057</w:t>
    </w:r>
  </w:p>
  <w:p w:rsidR="000D43F9" w:rsidRDefault="000D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4BA" w:rsidRDefault="00D404BA">
      <w:r>
        <w:separator/>
      </w:r>
    </w:p>
  </w:footnote>
  <w:footnote w:type="continuationSeparator" w:id="0">
    <w:p w:rsidR="00D404BA" w:rsidRDefault="00D40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28EC"/>
    <w:rsid w:val="000379D0"/>
    <w:rsid w:val="00051622"/>
    <w:rsid w:val="000A2BCE"/>
    <w:rsid w:val="000D43F9"/>
    <w:rsid w:val="000F427B"/>
    <w:rsid w:val="0010530E"/>
    <w:rsid w:val="00114F20"/>
    <w:rsid w:val="00177659"/>
    <w:rsid w:val="00185ECB"/>
    <w:rsid w:val="001C181A"/>
    <w:rsid w:val="001C2053"/>
    <w:rsid w:val="001C28D1"/>
    <w:rsid w:val="001C7418"/>
    <w:rsid w:val="001D6A8C"/>
    <w:rsid w:val="00246860"/>
    <w:rsid w:val="00274E46"/>
    <w:rsid w:val="00323E70"/>
    <w:rsid w:val="00385D6F"/>
    <w:rsid w:val="00393651"/>
    <w:rsid w:val="003D0CD7"/>
    <w:rsid w:val="003D2BA3"/>
    <w:rsid w:val="003D7DDB"/>
    <w:rsid w:val="003E0543"/>
    <w:rsid w:val="004007E9"/>
    <w:rsid w:val="004574C6"/>
    <w:rsid w:val="004A4136"/>
    <w:rsid w:val="004D0EA5"/>
    <w:rsid w:val="0052590B"/>
    <w:rsid w:val="00526591"/>
    <w:rsid w:val="005436C2"/>
    <w:rsid w:val="005B011A"/>
    <w:rsid w:val="00662F08"/>
    <w:rsid w:val="006A40E6"/>
    <w:rsid w:val="006B7325"/>
    <w:rsid w:val="006E7356"/>
    <w:rsid w:val="006F1A46"/>
    <w:rsid w:val="00744EBB"/>
    <w:rsid w:val="00791F1E"/>
    <w:rsid w:val="007A0B39"/>
    <w:rsid w:val="007A168F"/>
    <w:rsid w:val="007B0A06"/>
    <w:rsid w:val="007C433E"/>
    <w:rsid w:val="007D0292"/>
    <w:rsid w:val="007E4FBB"/>
    <w:rsid w:val="00804A95"/>
    <w:rsid w:val="00811D5B"/>
    <w:rsid w:val="00817713"/>
    <w:rsid w:val="00830999"/>
    <w:rsid w:val="00830D5E"/>
    <w:rsid w:val="00836C12"/>
    <w:rsid w:val="00837465"/>
    <w:rsid w:val="00875B51"/>
    <w:rsid w:val="008B3FAC"/>
    <w:rsid w:val="008E4A60"/>
    <w:rsid w:val="00914ADB"/>
    <w:rsid w:val="00923B25"/>
    <w:rsid w:val="00942645"/>
    <w:rsid w:val="00985099"/>
    <w:rsid w:val="009B69D3"/>
    <w:rsid w:val="009C0938"/>
    <w:rsid w:val="00A86CB6"/>
    <w:rsid w:val="00A90D55"/>
    <w:rsid w:val="00AC439D"/>
    <w:rsid w:val="00AD75AA"/>
    <w:rsid w:val="00AE5B7F"/>
    <w:rsid w:val="00B32179"/>
    <w:rsid w:val="00B522CD"/>
    <w:rsid w:val="00B70896"/>
    <w:rsid w:val="00B82277"/>
    <w:rsid w:val="00BD6806"/>
    <w:rsid w:val="00BE0DEB"/>
    <w:rsid w:val="00C30A97"/>
    <w:rsid w:val="00C44BEA"/>
    <w:rsid w:val="00C85579"/>
    <w:rsid w:val="00CA068D"/>
    <w:rsid w:val="00CB23DC"/>
    <w:rsid w:val="00CB28E2"/>
    <w:rsid w:val="00CB7FF7"/>
    <w:rsid w:val="00CC2044"/>
    <w:rsid w:val="00CD34C7"/>
    <w:rsid w:val="00D404BA"/>
    <w:rsid w:val="00D52393"/>
    <w:rsid w:val="00D76AB2"/>
    <w:rsid w:val="00D87788"/>
    <w:rsid w:val="00D910C2"/>
    <w:rsid w:val="00D91DA6"/>
    <w:rsid w:val="00DE7E74"/>
    <w:rsid w:val="00E1523D"/>
    <w:rsid w:val="00E15539"/>
    <w:rsid w:val="00EA2DD8"/>
    <w:rsid w:val="00EF608E"/>
    <w:rsid w:val="00F1516A"/>
    <w:rsid w:val="00F22A26"/>
    <w:rsid w:val="00F72183"/>
    <w:rsid w:val="00F85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B7089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971494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967</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2009-08-03T17:28:00Z</cp:lastPrinted>
  <dcterms:created xsi:type="dcterms:W3CDTF">2012-01-11T15:43:00Z</dcterms:created>
  <dcterms:modified xsi:type="dcterms:W3CDTF">2012-01-23T16:32:00Z</dcterms:modified>
</cp:coreProperties>
</file>