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875F2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875F2D">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9A5497" w:rsidP="009A5497">
      <w:pPr>
        <w:tabs>
          <w:tab w:val="left" w:pos="2760"/>
        </w:tabs>
        <w:spacing w:line="240" w:lineRule="exact"/>
        <w:jc w:val="both"/>
        <w:rPr>
          <w:color w:val="000080"/>
        </w:rPr>
      </w:pPr>
      <w:r>
        <w:rPr>
          <w:color w:val="000080"/>
        </w:rPr>
        <w:tab/>
      </w:r>
    </w:p>
    <w:p w:rsidR="009A5497" w:rsidRPr="00EB6ABA" w:rsidRDefault="009A5497" w:rsidP="009A5497">
      <w:pPr>
        <w:tabs>
          <w:tab w:val="left" w:pos="288"/>
          <w:tab w:val="left" w:pos="4752"/>
        </w:tabs>
        <w:spacing w:line="240" w:lineRule="exact"/>
        <w:rPr>
          <w:color w:val="000080"/>
        </w:rPr>
      </w:pPr>
      <w:r w:rsidRPr="00EB6ABA">
        <w:rPr>
          <w:color w:val="000080"/>
        </w:rPr>
        <w:t>NAME:</w:t>
      </w:r>
      <w:r w:rsidRPr="00EB6ABA">
        <w:rPr>
          <w:color w:val="000080"/>
        </w:rPr>
        <w:tab/>
      </w:r>
      <w:r w:rsidRPr="00EB6ABA">
        <w:rPr>
          <w:color w:val="000080"/>
        </w:rPr>
        <w:tab/>
        <w:t xml:space="preserve">BRANCH OF SERVICE: </w:t>
      </w:r>
      <w:r>
        <w:rPr>
          <w:color w:val="000080"/>
        </w:rPr>
        <w:t>ARMY</w:t>
      </w:r>
    </w:p>
    <w:p w:rsidR="00525237" w:rsidRDefault="009A5497" w:rsidP="009A5497">
      <w:pPr>
        <w:tabs>
          <w:tab w:val="left" w:pos="288"/>
          <w:tab w:val="left" w:pos="4752"/>
        </w:tabs>
        <w:spacing w:line="240" w:lineRule="exact"/>
        <w:rPr>
          <w:color w:val="000080"/>
        </w:rPr>
      </w:pPr>
      <w:r w:rsidRPr="00EB6ABA">
        <w:rPr>
          <w:color w:val="000080"/>
        </w:rPr>
        <w:t>CASE NUMBER:  PD0900</w:t>
      </w:r>
      <w:r>
        <w:rPr>
          <w:color w:val="000080"/>
        </w:rPr>
        <w:t>052</w:t>
      </w:r>
      <w:r w:rsidRPr="00EB6ABA">
        <w:rPr>
          <w:color w:val="000080"/>
        </w:rPr>
        <w:tab/>
      </w:r>
      <w:r w:rsidRPr="00EB6ABA">
        <w:rPr>
          <w:color w:val="000080"/>
        </w:rPr>
        <w:tab/>
        <w:t xml:space="preserve">BOARD DATE: </w:t>
      </w:r>
      <w:r>
        <w:rPr>
          <w:color w:val="000080"/>
        </w:rPr>
        <w:t>20090910</w:t>
      </w:r>
      <w:r w:rsidRPr="00EB6ABA">
        <w:rPr>
          <w:color w:val="000080"/>
        </w:rPr>
        <w:tab/>
      </w:r>
    </w:p>
    <w:p w:rsidR="009A5497" w:rsidRPr="00EB6ABA" w:rsidRDefault="009A5497" w:rsidP="009A5497">
      <w:pPr>
        <w:tabs>
          <w:tab w:val="left" w:pos="288"/>
          <w:tab w:val="left" w:pos="4752"/>
        </w:tabs>
        <w:spacing w:line="240" w:lineRule="exact"/>
        <w:rPr>
          <w:color w:val="000080"/>
        </w:rPr>
      </w:pPr>
      <w:r w:rsidRPr="00EB6ABA">
        <w:rPr>
          <w:color w:val="000080"/>
        </w:rPr>
        <w:t xml:space="preserve">SEPARATION DATE: </w:t>
      </w:r>
      <w:r>
        <w:rPr>
          <w:color w:val="000080"/>
        </w:rPr>
        <w:t>20060314</w:t>
      </w:r>
    </w:p>
    <w:p w:rsidR="00B522CD"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6F1A46">
        <w:rPr>
          <w:color w:val="000080"/>
        </w:rPr>
        <w:t>_</w:t>
      </w:r>
    </w:p>
    <w:p w:rsidR="006F1A46" w:rsidRDefault="006F1A46" w:rsidP="00875F2D">
      <w:pPr>
        <w:tabs>
          <w:tab w:val="left" w:pos="288"/>
          <w:tab w:val="left" w:pos="4752"/>
        </w:tabs>
        <w:spacing w:line="240" w:lineRule="exact"/>
        <w:jc w:val="both"/>
        <w:rPr>
          <w:color w:val="000080"/>
        </w:rPr>
      </w:pPr>
    </w:p>
    <w:p w:rsidR="009A5497" w:rsidRPr="009A5497" w:rsidRDefault="00811D5B" w:rsidP="00875F2D">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9A5497" w:rsidRPr="009A5497">
        <w:rPr>
          <w:color w:val="000080"/>
        </w:rPr>
        <w:t xml:space="preserve">This covered individual (CI) was an NCO placed on TDRL in January, 2002 for a psychiatric condition.  She was medically separated in 2006 after 15 years of service.  The CI had no mental health history until an </w:t>
      </w:r>
      <w:r w:rsidR="00931A5C">
        <w:rPr>
          <w:color w:val="000080"/>
        </w:rPr>
        <w:t xml:space="preserve">abrupt psychotic break in </w:t>
      </w:r>
      <w:r w:rsidR="009A5497" w:rsidRPr="009A5497">
        <w:rPr>
          <w:color w:val="000080"/>
        </w:rPr>
        <w:t>2001.  This required a prolonged hospital admission, and she did not stabilize well enough for return to duty.  She was placed on TDRL with an Axis I diagnosis of major depression wi</w:t>
      </w:r>
      <w:r w:rsidR="00367719">
        <w:rPr>
          <w:color w:val="000080"/>
        </w:rPr>
        <w:t>th psychotic features.  During the</w:t>
      </w:r>
      <w:r w:rsidR="009A5497" w:rsidRPr="009A5497">
        <w:rPr>
          <w:color w:val="000080"/>
        </w:rPr>
        <w:t xml:space="preserve"> TDRL </w:t>
      </w:r>
      <w:r w:rsidR="00367719">
        <w:rPr>
          <w:color w:val="000080"/>
        </w:rPr>
        <w:t>period</w:t>
      </w:r>
      <w:r w:rsidR="009A5497" w:rsidRPr="009A5497">
        <w:rPr>
          <w:color w:val="000080"/>
        </w:rPr>
        <w:t xml:space="preserve"> she </w:t>
      </w:r>
      <w:r w:rsidR="00367719">
        <w:rPr>
          <w:color w:val="000080"/>
        </w:rPr>
        <w:t>underwent 3 more psychiatric admissions</w:t>
      </w:r>
      <w:r w:rsidR="009A5497" w:rsidRPr="009A5497">
        <w:rPr>
          <w:color w:val="000080"/>
        </w:rPr>
        <w:t xml:space="preserve">, and was diagnosed specifically with bipolar disorder.  Her condition was stabilized, but not medically acceptable for retention, and she was referred for final PEB determination.  </w:t>
      </w:r>
      <w:r w:rsidR="00931A5C">
        <w:rPr>
          <w:color w:val="000080"/>
        </w:rPr>
        <w:t xml:space="preserve">The CI’s other medical conditions included </w:t>
      </w:r>
      <w:r w:rsidR="009A5497" w:rsidRPr="009A5497">
        <w:rPr>
          <w:color w:val="000080"/>
        </w:rPr>
        <w:t xml:space="preserve">endometriosis, requiring laparoscopic surgery in 2001.  She was diagnosed with a bilateral bunion disorder early in her military career, requiring surgeries on each foot in 1991 and 1993.   She was being treated by Internal Medicine for iron deficiency anemia at the time of her placement on TDRL.  All of these conditions were addressed by specialty addendums and forwarded as medically acceptable </w:t>
      </w:r>
      <w:r w:rsidR="00367719">
        <w:rPr>
          <w:color w:val="000080"/>
        </w:rPr>
        <w:t>by the MEB</w:t>
      </w:r>
      <w:r w:rsidR="009A5497" w:rsidRPr="009A5497">
        <w:rPr>
          <w:color w:val="000080"/>
        </w:rPr>
        <w:t>.  All of the non-psychiatric conditions were adjudicated as fit by the initial PEB, and were not reflected on her final DA 199 at separation.  She was separated at 10% for the bipolar disorder.</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9A5497" w:rsidRPr="009A5497" w:rsidRDefault="001C181A" w:rsidP="009A5497">
      <w:pPr>
        <w:tabs>
          <w:tab w:val="left" w:pos="288"/>
          <w:tab w:val="left" w:pos="4752"/>
        </w:tabs>
        <w:spacing w:line="240" w:lineRule="exact"/>
        <w:jc w:val="both"/>
        <w:rPr>
          <w:color w:val="000080"/>
        </w:rPr>
      </w:pPr>
      <w:r>
        <w:rPr>
          <w:color w:val="000080"/>
          <w:u w:val="single"/>
        </w:rPr>
        <w:t>CI CONTENTION</w:t>
      </w:r>
      <w:r w:rsidRPr="00D91DA6">
        <w:rPr>
          <w:color w:val="000080"/>
        </w:rPr>
        <w:t>:</w:t>
      </w:r>
      <w:r w:rsidR="00DA195B">
        <w:rPr>
          <w:color w:val="000080"/>
        </w:rPr>
        <w:t xml:space="preserve"> </w:t>
      </w:r>
      <w:r w:rsidR="009A5497" w:rsidRPr="009A5497">
        <w:rPr>
          <w:color w:val="000080"/>
        </w:rPr>
        <w:t xml:space="preserve">The CI contends that the rating of her psychiatric condition was unfair.  She does not specifically contend for a review of the fitness adjudications of her other conditions, although </w:t>
      </w:r>
      <w:r w:rsidR="00367719">
        <w:rPr>
          <w:color w:val="000080"/>
        </w:rPr>
        <w:t>did so</w:t>
      </w:r>
      <w:r w:rsidR="009A5497" w:rsidRPr="009A5497">
        <w:rPr>
          <w:color w:val="000080"/>
        </w:rPr>
        <w:t xml:space="preserve"> in </w:t>
      </w:r>
      <w:r w:rsidR="00367719">
        <w:rPr>
          <w:color w:val="000080"/>
        </w:rPr>
        <w:t>a</w:t>
      </w:r>
      <w:r w:rsidR="009A5497" w:rsidRPr="009A5497">
        <w:rPr>
          <w:color w:val="000080"/>
        </w:rPr>
        <w:t xml:space="preserve"> </w:t>
      </w:r>
      <w:r w:rsidR="00367719">
        <w:rPr>
          <w:color w:val="000080"/>
        </w:rPr>
        <w:t xml:space="preserve">prior </w:t>
      </w:r>
      <w:r w:rsidR="009A5497" w:rsidRPr="009A5497">
        <w:rPr>
          <w:color w:val="000080"/>
        </w:rPr>
        <w:t>USAPDA appeal.</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Default="00A90D55" w:rsidP="00875F2D">
      <w:pPr>
        <w:tabs>
          <w:tab w:val="left" w:pos="288"/>
          <w:tab w:val="left" w:pos="4752"/>
        </w:tabs>
        <w:spacing w:line="240" w:lineRule="exact"/>
        <w:jc w:val="both"/>
        <w:rPr>
          <w:color w:val="000080"/>
        </w:rPr>
      </w:pPr>
      <w:r>
        <w:rPr>
          <w:color w:val="000080"/>
          <w:u w:val="single"/>
        </w:rPr>
        <w:t>RATING COMPARISON</w:t>
      </w:r>
      <w:r>
        <w:rPr>
          <w:color w:val="000080"/>
        </w:rPr>
        <w:t>:</w:t>
      </w:r>
    </w:p>
    <w:p w:rsidR="009A5497" w:rsidRDefault="009A5497" w:rsidP="00875F2D">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250"/>
        <w:gridCol w:w="810"/>
        <w:gridCol w:w="810"/>
        <w:gridCol w:w="1260"/>
        <w:gridCol w:w="2160"/>
        <w:gridCol w:w="720"/>
        <w:gridCol w:w="810"/>
        <w:gridCol w:w="1260"/>
        <w:gridCol w:w="1170"/>
      </w:tblGrid>
      <w:tr w:rsidR="009A5497" w:rsidTr="004473DE">
        <w:trPr>
          <w:trHeight w:val="264"/>
        </w:trPr>
        <w:tc>
          <w:tcPr>
            <w:tcW w:w="5130" w:type="dxa"/>
            <w:gridSpan w:val="4"/>
            <w:tcBorders>
              <w:right w:val="thinThickThinSmallGap" w:sz="24" w:space="0" w:color="auto"/>
            </w:tcBorders>
            <w:shd w:val="clear" w:color="auto" w:fill="EEECE1" w:themeFill="background2"/>
          </w:tcPr>
          <w:p w:rsidR="009A5497" w:rsidRPr="00177902" w:rsidRDefault="009A5497" w:rsidP="004473DE">
            <w:pPr>
              <w:pStyle w:val="ListParagraph"/>
              <w:spacing w:after="0" w:line="240" w:lineRule="exact"/>
              <w:ind w:left="0"/>
              <w:jc w:val="center"/>
              <w:rPr>
                <w:rFonts w:ascii="Times New Roman" w:hAnsi="Times New Roman" w:cs="Times New Roman"/>
                <w:b/>
              </w:rPr>
            </w:pPr>
            <w:r w:rsidRPr="00177902">
              <w:rPr>
                <w:rFonts w:ascii="Times New Roman" w:hAnsi="Times New Roman" w:cs="Times New Roman"/>
                <w:b/>
              </w:rPr>
              <w:t>Service PEB</w:t>
            </w:r>
          </w:p>
        </w:tc>
        <w:tc>
          <w:tcPr>
            <w:tcW w:w="6120" w:type="dxa"/>
            <w:gridSpan w:val="5"/>
            <w:tcBorders>
              <w:left w:val="thinThickThinSmallGap" w:sz="24" w:space="0" w:color="auto"/>
            </w:tcBorders>
            <w:shd w:val="clear" w:color="auto" w:fill="EEECE1" w:themeFill="background2"/>
          </w:tcPr>
          <w:p w:rsidR="009A5497" w:rsidRPr="00177902" w:rsidRDefault="009A5497" w:rsidP="004473DE">
            <w:pPr>
              <w:pStyle w:val="ListParagraph"/>
              <w:spacing w:after="0" w:line="240" w:lineRule="exact"/>
              <w:ind w:left="0"/>
              <w:jc w:val="center"/>
              <w:rPr>
                <w:rFonts w:ascii="Times New Roman" w:hAnsi="Times New Roman" w:cs="Times New Roman"/>
                <w:b/>
              </w:rPr>
            </w:pPr>
            <w:r w:rsidRPr="00177902">
              <w:rPr>
                <w:rFonts w:ascii="Times New Roman" w:hAnsi="Times New Roman" w:cs="Times New Roman"/>
                <w:b/>
              </w:rPr>
              <w:t>VA (</w:t>
            </w:r>
            <w:r>
              <w:rPr>
                <w:rFonts w:ascii="Times New Roman" w:hAnsi="Times New Roman" w:cs="Times New Roman"/>
                <w:b/>
              </w:rPr>
              <w:t xml:space="preserve">Pre-TDRL Placement </w:t>
            </w:r>
            <w:r w:rsidRPr="00177902">
              <w:rPr>
                <w:rFonts w:ascii="Times New Roman" w:hAnsi="Times New Roman" w:cs="Times New Roman"/>
                <w:b/>
              </w:rPr>
              <w:t>)</w:t>
            </w:r>
          </w:p>
        </w:tc>
      </w:tr>
      <w:tr w:rsidR="009A5497" w:rsidTr="004473DE">
        <w:trPr>
          <w:trHeight w:val="280"/>
        </w:trPr>
        <w:tc>
          <w:tcPr>
            <w:tcW w:w="2250" w:type="dxa"/>
            <w:tcBorders>
              <w:bottom w:val="single" w:sz="4" w:space="0" w:color="000000" w:themeColor="text1"/>
            </w:tcBorders>
            <w:shd w:val="clear" w:color="auto" w:fill="EEECE1" w:themeFill="background2"/>
          </w:tcPr>
          <w:p w:rsidR="009A5497" w:rsidRPr="00177902" w:rsidRDefault="009A5497" w:rsidP="004473DE">
            <w:pPr>
              <w:pStyle w:val="ListParagraph"/>
              <w:spacing w:after="0" w:line="240" w:lineRule="exact"/>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9A5497" w:rsidRPr="00177902" w:rsidRDefault="009A5497" w:rsidP="004473DE">
            <w:pPr>
              <w:pStyle w:val="ListParagraph"/>
              <w:spacing w:after="0" w:line="240" w:lineRule="exact"/>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9A5497" w:rsidRPr="00177902" w:rsidRDefault="009A5497" w:rsidP="004473DE">
            <w:pPr>
              <w:pStyle w:val="ListParagraph"/>
              <w:spacing w:after="0" w:line="240" w:lineRule="exact"/>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260" w:type="dxa"/>
            <w:tcBorders>
              <w:bottom w:val="single" w:sz="4" w:space="0" w:color="000000" w:themeColor="text1"/>
              <w:right w:val="thinThickThinSmallGap" w:sz="24" w:space="0" w:color="auto"/>
            </w:tcBorders>
            <w:shd w:val="clear" w:color="auto" w:fill="EEECE1" w:themeFill="background2"/>
          </w:tcPr>
          <w:p w:rsidR="009A5497" w:rsidRPr="00177902" w:rsidRDefault="009A5497" w:rsidP="004473DE">
            <w:pPr>
              <w:pStyle w:val="ListParagraph"/>
              <w:spacing w:after="0" w:line="240" w:lineRule="exact"/>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2160" w:type="dxa"/>
            <w:tcBorders>
              <w:left w:val="thinThickThinSmallGap" w:sz="24" w:space="0" w:color="auto"/>
              <w:bottom w:val="single" w:sz="4" w:space="0" w:color="000000" w:themeColor="text1"/>
            </w:tcBorders>
            <w:shd w:val="clear" w:color="auto" w:fill="EEECE1" w:themeFill="background2"/>
          </w:tcPr>
          <w:p w:rsidR="009A5497" w:rsidRPr="00177902" w:rsidRDefault="009A5497" w:rsidP="004473DE">
            <w:pPr>
              <w:pStyle w:val="ListParagraph"/>
              <w:spacing w:after="0" w:line="240" w:lineRule="exact"/>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720" w:type="dxa"/>
            <w:tcBorders>
              <w:bottom w:val="single" w:sz="4" w:space="0" w:color="000000" w:themeColor="text1"/>
            </w:tcBorders>
            <w:shd w:val="clear" w:color="auto" w:fill="EEECE1" w:themeFill="background2"/>
          </w:tcPr>
          <w:p w:rsidR="009A5497" w:rsidRPr="00177902" w:rsidRDefault="009A5497" w:rsidP="004473DE">
            <w:pPr>
              <w:pStyle w:val="ListParagraph"/>
              <w:spacing w:after="0" w:line="240" w:lineRule="exact"/>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9A5497" w:rsidRPr="00177902" w:rsidRDefault="009A5497" w:rsidP="004473DE">
            <w:pPr>
              <w:pStyle w:val="ListParagraph"/>
              <w:spacing w:after="0" w:line="240" w:lineRule="exact"/>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260" w:type="dxa"/>
            <w:tcBorders>
              <w:bottom w:val="single" w:sz="4" w:space="0" w:color="000000" w:themeColor="text1"/>
            </w:tcBorders>
            <w:shd w:val="clear" w:color="auto" w:fill="EEECE1" w:themeFill="background2"/>
          </w:tcPr>
          <w:p w:rsidR="009A5497" w:rsidRPr="00177902" w:rsidRDefault="009A5497" w:rsidP="004473DE">
            <w:pPr>
              <w:pStyle w:val="ListParagraph"/>
              <w:spacing w:after="0" w:line="240" w:lineRule="exact"/>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170" w:type="dxa"/>
            <w:tcBorders>
              <w:bottom w:val="single" w:sz="4" w:space="0" w:color="000000" w:themeColor="text1"/>
            </w:tcBorders>
            <w:shd w:val="clear" w:color="auto" w:fill="EEECE1" w:themeFill="background2"/>
          </w:tcPr>
          <w:p w:rsidR="009A5497" w:rsidRPr="00177902" w:rsidRDefault="009A5497" w:rsidP="004473DE">
            <w:pPr>
              <w:pStyle w:val="ListParagraph"/>
              <w:spacing w:after="0" w:line="240" w:lineRule="exact"/>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9A5497" w:rsidTr="004473DE">
        <w:trPr>
          <w:trHeight w:val="280"/>
        </w:trPr>
        <w:tc>
          <w:tcPr>
            <w:tcW w:w="2250" w:type="dxa"/>
            <w:shd w:val="clear" w:color="auto" w:fill="FFFFFF" w:themeFill="background1"/>
          </w:tcPr>
          <w:p w:rsidR="009A5497" w:rsidRPr="00276B33"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BIPOLAR I DISORDER</w:t>
            </w:r>
          </w:p>
        </w:tc>
        <w:tc>
          <w:tcPr>
            <w:tcW w:w="810" w:type="dxa"/>
            <w:shd w:val="clear" w:color="auto" w:fill="FFFFFF" w:themeFill="background1"/>
          </w:tcPr>
          <w:p w:rsidR="009A5497" w:rsidRPr="00C42F12"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9432</w:t>
            </w:r>
          </w:p>
        </w:tc>
        <w:tc>
          <w:tcPr>
            <w:tcW w:w="810" w:type="dxa"/>
            <w:shd w:val="clear" w:color="auto" w:fill="FFFFFF" w:themeFill="background1"/>
          </w:tcPr>
          <w:p w:rsidR="009A5497" w:rsidRPr="00C42F12"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1260" w:type="dxa"/>
            <w:tcBorders>
              <w:right w:val="thinThickThinSmallGap" w:sz="24" w:space="0" w:color="auto"/>
            </w:tcBorders>
            <w:shd w:val="clear" w:color="auto" w:fill="FFFFFF" w:themeFill="background1"/>
          </w:tcPr>
          <w:p w:rsidR="009A5497" w:rsidRPr="00C42F12"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20060120</w:t>
            </w:r>
          </w:p>
        </w:tc>
        <w:tc>
          <w:tcPr>
            <w:tcW w:w="2160" w:type="dxa"/>
            <w:tcBorders>
              <w:left w:val="thinThickThinSmallGap" w:sz="24" w:space="0" w:color="auto"/>
            </w:tcBorders>
            <w:shd w:val="clear" w:color="auto" w:fill="FFFFFF" w:themeFill="background1"/>
          </w:tcPr>
          <w:p w:rsidR="009A5497" w:rsidRPr="00276B33"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BI-POLAR DISORDER</w:t>
            </w:r>
          </w:p>
        </w:tc>
        <w:tc>
          <w:tcPr>
            <w:tcW w:w="720" w:type="dxa"/>
            <w:shd w:val="clear" w:color="auto" w:fill="FFFFFF" w:themeFill="background1"/>
          </w:tcPr>
          <w:p w:rsidR="009A5497" w:rsidRPr="00DC256E" w:rsidRDefault="009A5497" w:rsidP="004473DE">
            <w:pPr>
              <w:pStyle w:val="ListParagraph"/>
              <w:spacing w:after="0" w:line="240" w:lineRule="exact"/>
              <w:ind w:left="0"/>
              <w:jc w:val="center"/>
              <w:rPr>
                <w:rFonts w:ascii="Times New Roman" w:hAnsi="Times New Roman" w:cs="Times New Roman"/>
                <w:sz w:val="18"/>
                <w:szCs w:val="18"/>
              </w:rPr>
            </w:pPr>
            <w:r w:rsidRPr="00DC256E">
              <w:rPr>
                <w:rFonts w:ascii="Times New Roman" w:hAnsi="Times New Roman" w:cs="Times New Roman"/>
                <w:sz w:val="18"/>
                <w:szCs w:val="18"/>
              </w:rPr>
              <w:t>9432</w:t>
            </w:r>
          </w:p>
        </w:tc>
        <w:tc>
          <w:tcPr>
            <w:tcW w:w="810" w:type="dxa"/>
            <w:shd w:val="clear" w:color="auto" w:fill="FFFFFF" w:themeFill="background1"/>
          </w:tcPr>
          <w:p w:rsidR="009A5497" w:rsidRPr="00DC256E"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100%</w:t>
            </w:r>
          </w:p>
        </w:tc>
        <w:tc>
          <w:tcPr>
            <w:tcW w:w="1260" w:type="dxa"/>
            <w:shd w:val="clear" w:color="auto" w:fill="FFFFFF" w:themeFill="background1"/>
          </w:tcPr>
          <w:p w:rsidR="009A5497" w:rsidRPr="00DE5C3F" w:rsidRDefault="009A5497" w:rsidP="004473DE">
            <w:pPr>
              <w:pStyle w:val="ListParagraph"/>
              <w:spacing w:after="0" w:line="240" w:lineRule="exact"/>
              <w:ind w:left="0"/>
              <w:jc w:val="center"/>
              <w:rPr>
                <w:rFonts w:ascii="Times New Roman" w:hAnsi="Times New Roman" w:cs="Times New Roman"/>
                <w:sz w:val="18"/>
                <w:szCs w:val="18"/>
              </w:rPr>
            </w:pPr>
            <w:proofErr w:type="spellStart"/>
            <w:r>
              <w:rPr>
                <w:rFonts w:ascii="Times New Roman" w:hAnsi="Times New Roman" w:cs="Times New Roman"/>
                <w:sz w:val="18"/>
                <w:szCs w:val="18"/>
              </w:rPr>
              <w:t>Predischarge</w:t>
            </w:r>
            <w:proofErr w:type="spellEnd"/>
          </w:p>
        </w:tc>
        <w:tc>
          <w:tcPr>
            <w:tcW w:w="1170" w:type="dxa"/>
            <w:shd w:val="clear" w:color="auto" w:fill="FFFFFF" w:themeFill="background1"/>
          </w:tcPr>
          <w:p w:rsidR="009A5497" w:rsidRPr="00DE5C3F"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20020315</w:t>
            </w:r>
          </w:p>
        </w:tc>
      </w:tr>
      <w:tr w:rsidR="009A5497" w:rsidTr="004473DE">
        <w:trPr>
          <w:trHeight w:val="264"/>
        </w:trPr>
        <w:tc>
          <w:tcPr>
            <w:tcW w:w="2250" w:type="dxa"/>
            <w:shd w:val="clear" w:color="auto" w:fill="FFFFFF" w:themeFill="background1"/>
          </w:tcPr>
          <w:p w:rsidR="009A5497" w:rsidRPr="00276B33"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ENDOMETRIOSIS</w:t>
            </w:r>
          </w:p>
        </w:tc>
        <w:tc>
          <w:tcPr>
            <w:tcW w:w="2880" w:type="dxa"/>
            <w:gridSpan w:val="3"/>
            <w:tcBorders>
              <w:right w:val="thinThickThinSmallGap" w:sz="24" w:space="0" w:color="auto"/>
            </w:tcBorders>
            <w:shd w:val="clear" w:color="auto" w:fill="FFFFFF" w:themeFill="background1"/>
          </w:tcPr>
          <w:p w:rsidR="009A5497" w:rsidRPr="00C42F12" w:rsidRDefault="009A5497" w:rsidP="004473DE">
            <w:pPr>
              <w:pStyle w:val="ListParagraph"/>
              <w:spacing w:after="0" w:line="240" w:lineRule="exact"/>
              <w:ind w:left="0"/>
              <w:rPr>
                <w:rFonts w:ascii="Times New Roman" w:hAnsi="Times New Roman" w:cs="Times New Roman"/>
                <w:b/>
                <w:sz w:val="18"/>
                <w:szCs w:val="18"/>
              </w:rPr>
            </w:pPr>
            <w:r>
              <w:rPr>
                <w:rFonts w:ascii="Times New Roman" w:hAnsi="Times New Roman" w:cs="Times New Roman"/>
                <w:sz w:val="18"/>
                <w:szCs w:val="18"/>
              </w:rPr>
              <w:t>NOT UNFITTING – PEB 20020107</w:t>
            </w:r>
          </w:p>
        </w:tc>
        <w:tc>
          <w:tcPr>
            <w:tcW w:w="2160" w:type="dxa"/>
            <w:tcBorders>
              <w:left w:val="thinThickThinSmallGap" w:sz="24" w:space="0" w:color="auto"/>
            </w:tcBorders>
            <w:shd w:val="clear" w:color="auto" w:fill="FFFFFF" w:themeFill="background1"/>
          </w:tcPr>
          <w:p w:rsidR="009A5497" w:rsidRPr="00276B33"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ENDOMETRIOSIS</w:t>
            </w:r>
          </w:p>
        </w:tc>
        <w:tc>
          <w:tcPr>
            <w:tcW w:w="720" w:type="dxa"/>
            <w:shd w:val="clear" w:color="auto" w:fill="FFFFFF" w:themeFill="background1"/>
          </w:tcPr>
          <w:p w:rsidR="009A5497" w:rsidRPr="00DC256E"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7629</w:t>
            </w:r>
          </w:p>
        </w:tc>
        <w:tc>
          <w:tcPr>
            <w:tcW w:w="810" w:type="dxa"/>
            <w:shd w:val="clear" w:color="auto" w:fill="FFFFFF" w:themeFill="background1"/>
          </w:tcPr>
          <w:p w:rsidR="009A5497" w:rsidRPr="00DC256E"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1260" w:type="dxa"/>
            <w:shd w:val="clear" w:color="auto" w:fill="FFFFFF" w:themeFill="background1"/>
          </w:tcPr>
          <w:p w:rsidR="009A5497" w:rsidRPr="00DE5C3F" w:rsidRDefault="009A5497" w:rsidP="004473DE">
            <w:pPr>
              <w:pStyle w:val="ListParagraph"/>
              <w:spacing w:after="0" w:line="240" w:lineRule="exact"/>
              <w:ind w:left="0"/>
              <w:jc w:val="center"/>
              <w:rPr>
                <w:rFonts w:ascii="Times New Roman" w:hAnsi="Times New Roman" w:cs="Times New Roman"/>
                <w:sz w:val="18"/>
                <w:szCs w:val="18"/>
              </w:rPr>
            </w:pPr>
            <w:proofErr w:type="spellStart"/>
            <w:r>
              <w:rPr>
                <w:rFonts w:ascii="Times New Roman" w:hAnsi="Times New Roman" w:cs="Times New Roman"/>
                <w:sz w:val="18"/>
                <w:szCs w:val="18"/>
              </w:rPr>
              <w:t>Predischarge</w:t>
            </w:r>
            <w:proofErr w:type="spellEnd"/>
          </w:p>
        </w:tc>
        <w:tc>
          <w:tcPr>
            <w:tcW w:w="1170" w:type="dxa"/>
            <w:shd w:val="clear" w:color="auto" w:fill="FFFFFF" w:themeFill="background1"/>
          </w:tcPr>
          <w:p w:rsidR="009A5497" w:rsidRPr="00DE5C3F"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20020315</w:t>
            </w:r>
          </w:p>
        </w:tc>
      </w:tr>
      <w:tr w:rsidR="009A5497" w:rsidTr="004473DE">
        <w:trPr>
          <w:trHeight w:val="264"/>
        </w:trPr>
        <w:tc>
          <w:tcPr>
            <w:tcW w:w="2250" w:type="dxa"/>
            <w:shd w:val="clear" w:color="auto" w:fill="FFFFFF" w:themeFill="background1"/>
          </w:tcPr>
          <w:p w:rsidR="009A5497" w:rsidRPr="00276B33"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ANEMIA</w:t>
            </w:r>
          </w:p>
        </w:tc>
        <w:tc>
          <w:tcPr>
            <w:tcW w:w="2880" w:type="dxa"/>
            <w:gridSpan w:val="3"/>
            <w:tcBorders>
              <w:right w:val="thinThickThinSmallGap" w:sz="24" w:space="0" w:color="auto"/>
            </w:tcBorders>
            <w:shd w:val="clear" w:color="auto" w:fill="FFFFFF" w:themeFill="background1"/>
          </w:tcPr>
          <w:p w:rsidR="009A5497" w:rsidRPr="00C42F12" w:rsidRDefault="009A5497" w:rsidP="004473DE">
            <w:pPr>
              <w:pStyle w:val="ListParagraph"/>
              <w:spacing w:after="0" w:line="240" w:lineRule="exact"/>
              <w:ind w:left="0"/>
              <w:jc w:val="center"/>
              <w:rPr>
                <w:rFonts w:ascii="Times New Roman" w:hAnsi="Times New Roman" w:cs="Times New Roman"/>
                <w:b/>
                <w:sz w:val="18"/>
                <w:szCs w:val="18"/>
              </w:rPr>
            </w:pPr>
            <w:r>
              <w:rPr>
                <w:rFonts w:ascii="Times New Roman" w:hAnsi="Times New Roman" w:cs="Times New Roman"/>
                <w:sz w:val="18"/>
                <w:szCs w:val="18"/>
              </w:rPr>
              <w:t>NOT UNFITTING – PEB 20020107</w:t>
            </w:r>
          </w:p>
        </w:tc>
        <w:tc>
          <w:tcPr>
            <w:tcW w:w="2160" w:type="dxa"/>
            <w:tcBorders>
              <w:left w:val="thinThickThinSmallGap" w:sz="24" w:space="0" w:color="auto"/>
            </w:tcBorders>
            <w:shd w:val="clear" w:color="auto" w:fill="FFFFFF" w:themeFill="background1"/>
          </w:tcPr>
          <w:p w:rsidR="009A5497" w:rsidRPr="00276B33"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ANEMIA</w:t>
            </w:r>
          </w:p>
        </w:tc>
        <w:tc>
          <w:tcPr>
            <w:tcW w:w="720" w:type="dxa"/>
            <w:shd w:val="clear" w:color="auto" w:fill="FFFFFF" w:themeFill="background1"/>
          </w:tcPr>
          <w:p w:rsidR="009A5497" w:rsidRPr="00C42F12"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7700</w:t>
            </w:r>
          </w:p>
        </w:tc>
        <w:tc>
          <w:tcPr>
            <w:tcW w:w="810" w:type="dxa"/>
            <w:shd w:val="clear" w:color="auto" w:fill="FFFFFF" w:themeFill="background1"/>
          </w:tcPr>
          <w:p w:rsidR="009A5497" w:rsidRPr="00DC256E"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0%</w:t>
            </w:r>
          </w:p>
        </w:tc>
        <w:tc>
          <w:tcPr>
            <w:tcW w:w="1260" w:type="dxa"/>
            <w:shd w:val="clear" w:color="auto" w:fill="FFFFFF" w:themeFill="background1"/>
          </w:tcPr>
          <w:p w:rsidR="009A5497" w:rsidRPr="00DE5C3F" w:rsidRDefault="009A5497" w:rsidP="004473DE">
            <w:pPr>
              <w:pStyle w:val="ListParagraph"/>
              <w:spacing w:after="0" w:line="240" w:lineRule="exact"/>
              <w:ind w:left="0"/>
              <w:jc w:val="center"/>
              <w:rPr>
                <w:rFonts w:ascii="Times New Roman" w:hAnsi="Times New Roman" w:cs="Times New Roman"/>
                <w:sz w:val="18"/>
                <w:szCs w:val="18"/>
              </w:rPr>
            </w:pPr>
            <w:proofErr w:type="spellStart"/>
            <w:r>
              <w:rPr>
                <w:rFonts w:ascii="Times New Roman" w:hAnsi="Times New Roman" w:cs="Times New Roman"/>
                <w:sz w:val="18"/>
                <w:szCs w:val="18"/>
              </w:rPr>
              <w:t>Predischarge</w:t>
            </w:r>
            <w:proofErr w:type="spellEnd"/>
          </w:p>
        </w:tc>
        <w:tc>
          <w:tcPr>
            <w:tcW w:w="1170" w:type="dxa"/>
            <w:shd w:val="clear" w:color="auto" w:fill="FFFFFF" w:themeFill="background1"/>
          </w:tcPr>
          <w:p w:rsidR="009A5497" w:rsidRPr="00DE5C3F"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20020315</w:t>
            </w:r>
          </w:p>
        </w:tc>
      </w:tr>
      <w:tr w:rsidR="009A5497" w:rsidTr="004473DE">
        <w:trPr>
          <w:trHeight w:val="280"/>
        </w:trPr>
        <w:tc>
          <w:tcPr>
            <w:tcW w:w="2250" w:type="dxa"/>
            <w:shd w:val="clear" w:color="auto" w:fill="FFFFFF" w:themeFill="background1"/>
          </w:tcPr>
          <w:p w:rsidR="009A5497" w:rsidRPr="00276B33"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S/P BUNION REMOVAL, BOTH FEET</w:t>
            </w:r>
          </w:p>
        </w:tc>
        <w:tc>
          <w:tcPr>
            <w:tcW w:w="2880" w:type="dxa"/>
            <w:gridSpan w:val="3"/>
            <w:tcBorders>
              <w:right w:val="thinThickThinSmallGap" w:sz="24" w:space="0" w:color="auto"/>
            </w:tcBorders>
            <w:shd w:val="clear" w:color="auto" w:fill="FFFFFF" w:themeFill="background1"/>
          </w:tcPr>
          <w:p w:rsidR="009A5497" w:rsidRPr="00C42F12" w:rsidRDefault="009A5497" w:rsidP="004473DE">
            <w:pPr>
              <w:pStyle w:val="ListParagraph"/>
              <w:spacing w:after="0" w:line="240" w:lineRule="exact"/>
              <w:ind w:left="0"/>
              <w:jc w:val="center"/>
              <w:rPr>
                <w:rFonts w:ascii="Times New Roman" w:hAnsi="Times New Roman" w:cs="Times New Roman"/>
                <w:b/>
                <w:sz w:val="18"/>
                <w:szCs w:val="18"/>
              </w:rPr>
            </w:pPr>
            <w:r>
              <w:rPr>
                <w:rFonts w:ascii="Times New Roman" w:hAnsi="Times New Roman" w:cs="Times New Roman"/>
                <w:sz w:val="18"/>
                <w:szCs w:val="18"/>
              </w:rPr>
              <w:t>NOT UNFITTING – PEB 20020107</w:t>
            </w:r>
          </w:p>
        </w:tc>
        <w:tc>
          <w:tcPr>
            <w:tcW w:w="2160" w:type="dxa"/>
            <w:tcBorders>
              <w:left w:val="thinThickThinSmallGap" w:sz="24" w:space="0" w:color="auto"/>
            </w:tcBorders>
            <w:shd w:val="clear" w:color="auto" w:fill="FFFFFF" w:themeFill="background1"/>
          </w:tcPr>
          <w:p w:rsidR="009A5497"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BUNIONECTOMY (L)</w:t>
            </w:r>
          </w:p>
          <w:p w:rsidR="009A5497" w:rsidRPr="00276B33"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BUNIONECTOMY (R)</w:t>
            </w:r>
          </w:p>
        </w:tc>
        <w:tc>
          <w:tcPr>
            <w:tcW w:w="720" w:type="dxa"/>
            <w:shd w:val="clear" w:color="auto" w:fill="FFFFFF" w:themeFill="background1"/>
          </w:tcPr>
          <w:p w:rsidR="009A5497"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5280</w:t>
            </w:r>
          </w:p>
          <w:p w:rsidR="009A5497" w:rsidRPr="00C42F12"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5280</w:t>
            </w:r>
          </w:p>
        </w:tc>
        <w:tc>
          <w:tcPr>
            <w:tcW w:w="810" w:type="dxa"/>
            <w:shd w:val="clear" w:color="auto" w:fill="FFFFFF" w:themeFill="background1"/>
          </w:tcPr>
          <w:p w:rsidR="009A5497"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10%</w:t>
            </w:r>
          </w:p>
          <w:p w:rsidR="009A5497" w:rsidRPr="00C42F12"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1260" w:type="dxa"/>
            <w:shd w:val="clear" w:color="auto" w:fill="FFFFFF" w:themeFill="background1"/>
          </w:tcPr>
          <w:p w:rsidR="009A5497" w:rsidRPr="00C42F12" w:rsidRDefault="009A5497" w:rsidP="004473DE">
            <w:pPr>
              <w:pStyle w:val="ListParagraph"/>
              <w:spacing w:after="0" w:line="240" w:lineRule="exact"/>
              <w:ind w:left="0"/>
              <w:jc w:val="center"/>
              <w:rPr>
                <w:rFonts w:ascii="Times New Roman" w:hAnsi="Times New Roman" w:cs="Times New Roman"/>
                <w:sz w:val="18"/>
                <w:szCs w:val="18"/>
              </w:rPr>
            </w:pPr>
            <w:proofErr w:type="spellStart"/>
            <w:r>
              <w:rPr>
                <w:rFonts w:ascii="Times New Roman" w:hAnsi="Times New Roman" w:cs="Times New Roman"/>
                <w:sz w:val="18"/>
                <w:szCs w:val="18"/>
              </w:rPr>
              <w:t>Predischarge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Predischarge</w:t>
            </w:r>
            <w:proofErr w:type="spellEnd"/>
          </w:p>
        </w:tc>
        <w:tc>
          <w:tcPr>
            <w:tcW w:w="1170" w:type="dxa"/>
            <w:shd w:val="clear" w:color="auto" w:fill="FFFFFF" w:themeFill="background1"/>
          </w:tcPr>
          <w:p w:rsidR="009A5497"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20020315</w:t>
            </w:r>
          </w:p>
          <w:p w:rsidR="009A5497" w:rsidRPr="00C42F12"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20020315</w:t>
            </w:r>
          </w:p>
        </w:tc>
      </w:tr>
      <w:tr w:rsidR="009A5497" w:rsidTr="004473DE">
        <w:trPr>
          <w:trHeight w:val="280"/>
        </w:trPr>
        <w:tc>
          <w:tcPr>
            <w:tcW w:w="2250" w:type="dxa"/>
            <w:shd w:val="clear" w:color="auto" w:fill="FFFFFF" w:themeFill="background1"/>
          </w:tcPr>
          <w:p w:rsidR="009A5497"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ACNE VULGARIS</w:t>
            </w:r>
          </w:p>
        </w:tc>
        <w:tc>
          <w:tcPr>
            <w:tcW w:w="2880" w:type="dxa"/>
            <w:gridSpan w:val="3"/>
            <w:tcBorders>
              <w:right w:val="thinThickThinSmallGap" w:sz="24" w:space="0" w:color="auto"/>
            </w:tcBorders>
            <w:shd w:val="clear" w:color="auto" w:fill="FFFFFF" w:themeFill="background1"/>
          </w:tcPr>
          <w:p w:rsidR="009A5497" w:rsidRPr="00C42F12" w:rsidRDefault="009A5497" w:rsidP="004473DE">
            <w:pPr>
              <w:pStyle w:val="ListParagraph"/>
              <w:spacing w:after="0" w:line="240" w:lineRule="exact"/>
              <w:ind w:left="0"/>
              <w:jc w:val="center"/>
              <w:rPr>
                <w:rFonts w:ascii="Times New Roman" w:hAnsi="Times New Roman" w:cs="Times New Roman"/>
                <w:b/>
                <w:sz w:val="18"/>
                <w:szCs w:val="18"/>
              </w:rPr>
            </w:pPr>
            <w:r>
              <w:rPr>
                <w:rFonts w:ascii="Times New Roman" w:hAnsi="Times New Roman" w:cs="Times New Roman"/>
                <w:sz w:val="18"/>
                <w:szCs w:val="18"/>
              </w:rPr>
              <w:t>NOT UNFITTING – PEB 20020107</w:t>
            </w:r>
          </w:p>
        </w:tc>
        <w:tc>
          <w:tcPr>
            <w:tcW w:w="2160" w:type="dxa"/>
            <w:tcBorders>
              <w:left w:val="thinThickThinSmallGap" w:sz="24" w:space="0" w:color="auto"/>
            </w:tcBorders>
            <w:shd w:val="clear" w:color="auto" w:fill="FFFFFF" w:themeFill="background1"/>
          </w:tcPr>
          <w:p w:rsidR="009A5497" w:rsidRPr="00276B33"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ACNE VULGARIS</w:t>
            </w:r>
          </w:p>
        </w:tc>
        <w:tc>
          <w:tcPr>
            <w:tcW w:w="720" w:type="dxa"/>
            <w:shd w:val="clear" w:color="auto" w:fill="FFFFFF" w:themeFill="background1"/>
          </w:tcPr>
          <w:p w:rsidR="009A5497" w:rsidRPr="00C42F12"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7806</w:t>
            </w:r>
          </w:p>
        </w:tc>
        <w:tc>
          <w:tcPr>
            <w:tcW w:w="810" w:type="dxa"/>
            <w:shd w:val="clear" w:color="auto" w:fill="FFFFFF" w:themeFill="background1"/>
          </w:tcPr>
          <w:p w:rsidR="009A5497" w:rsidRPr="00C42F12"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1260" w:type="dxa"/>
            <w:shd w:val="clear" w:color="auto" w:fill="FFFFFF" w:themeFill="background1"/>
          </w:tcPr>
          <w:p w:rsidR="009A5497" w:rsidRPr="00DE5C3F" w:rsidRDefault="009A5497" w:rsidP="004473DE">
            <w:pPr>
              <w:pStyle w:val="ListParagraph"/>
              <w:spacing w:after="0" w:line="240" w:lineRule="exact"/>
              <w:ind w:left="0"/>
              <w:jc w:val="center"/>
              <w:rPr>
                <w:rFonts w:ascii="Times New Roman" w:hAnsi="Times New Roman" w:cs="Times New Roman"/>
                <w:sz w:val="18"/>
                <w:szCs w:val="18"/>
              </w:rPr>
            </w:pPr>
            <w:proofErr w:type="spellStart"/>
            <w:r>
              <w:rPr>
                <w:rFonts w:ascii="Times New Roman" w:hAnsi="Times New Roman" w:cs="Times New Roman"/>
                <w:sz w:val="18"/>
                <w:szCs w:val="18"/>
              </w:rPr>
              <w:t>Predischarge</w:t>
            </w:r>
            <w:proofErr w:type="spellEnd"/>
          </w:p>
        </w:tc>
        <w:tc>
          <w:tcPr>
            <w:tcW w:w="1170" w:type="dxa"/>
            <w:shd w:val="clear" w:color="auto" w:fill="FFFFFF" w:themeFill="background1"/>
          </w:tcPr>
          <w:p w:rsidR="009A5497" w:rsidRPr="00DE5C3F"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20020315</w:t>
            </w:r>
          </w:p>
        </w:tc>
      </w:tr>
      <w:tr w:rsidR="009A5497" w:rsidTr="004473DE">
        <w:trPr>
          <w:trHeight w:val="280"/>
        </w:trPr>
        <w:tc>
          <w:tcPr>
            <w:tcW w:w="2250" w:type="dxa"/>
            <w:shd w:val="clear" w:color="auto" w:fill="FFFFFF" w:themeFill="background1"/>
          </w:tcPr>
          <w:p w:rsidR="009A5497"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UPPER BACK PAIN</w:t>
            </w:r>
          </w:p>
        </w:tc>
        <w:tc>
          <w:tcPr>
            <w:tcW w:w="2880" w:type="dxa"/>
            <w:gridSpan w:val="3"/>
            <w:tcBorders>
              <w:right w:val="thinThickThinSmallGap" w:sz="24" w:space="0" w:color="auto"/>
            </w:tcBorders>
            <w:shd w:val="clear" w:color="auto" w:fill="FFFFFF" w:themeFill="background1"/>
          </w:tcPr>
          <w:p w:rsidR="009A5497" w:rsidRPr="00C42F12" w:rsidRDefault="009A5497" w:rsidP="004473DE">
            <w:pPr>
              <w:pStyle w:val="ListParagraph"/>
              <w:spacing w:after="0" w:line="240" w:lineRule="exact"/>
              <w:ind w:left="0"/>
              <w:jc w:val="center"/>
              <w:rPr>
                <w:rFonts w:ascii="Times New Roman" w:hAnsi="Times New Roman" w:cs="Times New Roman"/>
                <w:b/>
                <w:sz w:val="18"/>
                <w:szCs w:val="18"/>
              </w:rPr>
            </w:pPr>
            <w:r>
              <w:rPr>
                <w:rFonts w:ascii="Times New Roman" w:hAnsi="Times New Roman" w:cs="Times New Roman"/>
                <w:sz w:val="18"/>
                <w:szCs w:val="18"/>
              </w:rPr>
              <w:t>NOT UNFITTING – PEB 20020107</w:t>
            </w:r>
          </w:p>
        </w:tc>
        <w:tc>
          <w:tcPr>
            <w:tcW w:w="2160" w:type="dxa"/>
            <w:tcBorders>
              <w:left w:val="thinThickThinSmallGap" w:sz="24" w:space="0" w:color="auto"/>
            </w:tcBorders>
            <w:shd w:val="clear" w:color="auto" w:fill="FFFFFF" w:themeFill="background1"/>
          </w:tcPr>
          <w:p w:rsidR="009A5497" w:rsidRPr="00276B33"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UPPER BACK PAIN</w:t>
            </w:r>
          </w:p>
        </w:tc>
        <w:tc>
          <w:tcPr>
            <w:tcW w:w="720" w:type="dxa"/>
            <w:shd w:val="clear" w:color="auto" w:fill="FFFFFF" w:themeFill="background1"/>
          </w:tcPr>
          <w:p w:rsidR="009A5497" w:rsidRPr="00C42F12"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NSC</w:t>
            </w:r>
          </w:p>
        </w:tc>
        <w:tc>
          <w:tcPr>
            <w:tcW w:w="810" w:type="dxa"/>
            <w:shd w:val="clear" w:color="auto" w:fill="FFFFFF" w:themeFill="background1"/>
          </w:tcPr>
          <w:p w:rsidR="009A5497" w:rsidRPr="00C42F12"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w:t>
            </w:r>
          </w:p>
        </w:tc>
        <w:tc>
          <w:tcPr>
            <w:tcW w:w="1260" w:type="dxa"/>
            <w:shd w:val="clear" w:color="auto" w:fill="FFFFFF" w:themeFill="background1"/>
          </w:tcPr>
          <w:p w:rsidR="009A5497" w:rsidRPr="00DE5C3F" w:rsidRDefault="009A5497" w:rsidP="004473DE">
            <w:pPr>
              <w:pStyle w:val="ListParagraph"/>
              <w:spacing w:after="0" w:line="240" w:lineRule="exact"/>
              <w:ind w:left="0"/>
              <w:jc w:val="center"/>
              <w:rPr>
                <w:rFonts w:ascii="Times New Roman" w:hAnsi="Times New Roman" w:cs="Times New Roman"/>
                <w:sz w:val="18"/>
                <w:szCs w:val="18"/>
              </w:rPr>
            </w:pPr>
            <w:proofErr w:type="spellStart"/>
            <w:r>
              <w:rPr>
                <w:rFonts w:ascii="Times New Roman" w:hAnsi="Times New Roman" w:cs="Times New Roman"/>
                <w:sz w:val="18"/>
                <w:szCs w:val="18"/>
              </w:rPr>
              <w:t>Predischarge</w:t>
            </w:r>
            <w:proofErr w:type="spellEnd"/>
          </w:p>
        </w:tc>
        <w:tc>
          <w:tcPr>
            <w:tcW w:w="1170" w:type="dxa"/>
            <w:shd w:val="clear" w:color="auto" w:fill="FFFFFF" w:themeFill="background1"/>
          </w:tcPr>
          <w:p w:rsidR="009A5497" w:rsidRPr="00DE5C3F"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20020315</w:t>
            </w:r>
          </w:p>
        </w:tc>
      </w:tr>
      <w:tr w:rsidR="009A5497" w:rsidTr="004473DE">
        <w:trPr>
          <w:trHeight w:val="242"/>
        </w:trPr>
        <w:tc>
          <w:tcPr>
            <w:tcW w:w="3870" w:type="dxa"/>
            <w:gridSpan w:val="3"/>
            <w:tcBorders>
              <w:right w:val="single" w:sz="4" w:space="0" w:color="auto"/>
            </w:tcBorders>
            <w:shd w:val="clear" w:color="auto" w:fill="FFFFFF" w:themeFill="background1"/>
          </w:tcPr>
          <w:p w:rsidR="009A5497" w:rsidRDefault="009A5497" w:rsidP="004473DE">
            <w:pPr>
              <w:pStyle w:val="ListParagraph"/>
              <w:spacing w:after="0" w:line="240" w:lineRule="exact"/>
              <w:ind w:left="0"/>
              <w:rPr>
                <w:rFonts w:ascii="Times New Roman" w:hAnsi="Times New Roman" w:cs="Times New Roman"/>
                <w:b/>
                <w:sz w:val="18"/>
                <w:szCs w:val="18"/>
              </w:rPr>
            </w:pPr>
            <w:r>
              <w:rPr>
                <w:rFonts w:ascii="Times New Roman" w:eastAsiaTheme="minorEastAsia" w:hAnsi="Times New Roman"/>
                <w:sz w:val="18"/>
                <w:szCs w:val="18"/>
              </w:rPr>
              <w:t>NO ADDITIONAL DA 3947 ENTRIES.</w:t>
            </w:r>
          </w:p>
        </w:tc>
        <w:tc>
          <w:tcPr>
            <w:tcW w:w="1260" w:type="dxa"/>
            <w:tcBorders>
              <w:left w:val="single" w:sz="4" w:space="0" w:color="auto"/>
              <w:right w:val="thinThickThinSmallGap" w:sz="24" w:space="0" w:color="auto"/>
            </w:tcBorders>
            <w:shd w:val="clear" w:color="auto" w:fill="FFFFFF" w:themeFill="background1"/>
          </w:tcPr>
          <w:p w:rsidR="009A5497" w:rsidRDefault="009A5497" w:rsidP="004473DE">
            <w:pPr>
              <w:pStyle w:val="ListParagraph"/>
              <w:spacing w:after="0" w:line="240" w:lineRule="exact"/>
              <w:ind w:left="0"/>
              <w:jc w:val="center"/>
              <w:rPr>
                <w:rFonts w:ascii="Times New Roman" w:hAnsi="Times New Roman" w:cs="Times New Roman"/>
                <w:b/>
                <w:sz w:val="18"/>
                <w:szCs w:val="18"/>
              </w:rPr>
            </w:pPr>
            <w:r>
              <w:rPr>
                <w:rFonts w:ascii="Times New Roman" w:hAnsi="Times New Roman" w:cs="Times New Roman"/>
                <w:sz w:val="18"/>
                <w:szCs w:val="18"/>
              </w:rPr>
              <w:t>20020107</w:t>
            </w:r>
          </w:p>
        </w:tc>
        <w:tc>
          <w:tcPr>
            <w:tcW w:w="3690" w:type="dxa"/>
            <w:gridSpan w:val="3"/>
            <w:tcBorders>
              <w:left w:val="thinThickThinSmallGap" w:sz="24" w:space="0" w:color="auto"/>
            </w:tcBorders>
            <w:shd w:val="clear" w:color="auto" w:fill="FFFFFF" w:themeFill="background1"/>
          </w:tcPr>
          <w:p w:rsidR="009A5497" w:rsidRPr="00C42F12" w:rsidRDefault="009A5497" w:rsidP="004473DE">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NON-PEB X  2</w:t>
            </w:r>
          </w:p>
        </w:tc>
        <w:tc>
          <w:tcPr>
            <w:tcW w:w="1260" w:type="dxa"/>
            <w:shd w:val="clear" w:color="auto" w:fill="FFFFFF" w:themeFill="background1"/>
          </w:tcPr>
          <w:p w:rsidR="009A5497" w:rsidRPr="00DE5C3F" w:rsidRDefault="009A5497" w:rsidP="004473DE">
            <w:pPr>
              <w:pStyle w:val="ListParagraph"/>
              <w:spacing w:after="0" w:line="240" w:lineRule="exact"/>
              <w:ind w:left="0"/>
              <w:jc w:val="center"/>
              <w:rPr>
                <w:rFonts w:ascii="Times New Roman" w:hAnsi="Times New Roman" w:cs="Times New Roman"/>
                <w:sz w:val="18"/>
                <w:szCs w:val="18"/>
              </w:rPr>
            </w:pPr>
            <w:proofErr w:type="spellStart"/>
            <w:r>
              <w:rPr>
                <w:rFonts w:ascii="Times New Roman" w:hAnsi="Times New Roman" w:cs="Times New Roman"/>
                <w:sz w:val="18"/>
                <w:szCs w:val="18"/>
              </w:rPr>
              <w:t>Predischarge</w:t>
            </w:r>
            <w:proofErr w:type="spellEnd"/>
          </w:p>
        </w:tc>
        <w:tc>
          <w:tcPr>
            <w:tcW w:w="1170" w:type="dxa"/>
            <w:shd w:val="clear" w:color="auto" w:fill="FFFFFF" w:themeFill="background1"/>
          </w:tcPr>
          <w:p w:rsidR="009A5497" w:rsidRPr="00DE5C3F" w:rsidRDefault="009A5497" w:rsidP="004473DE">
            <w:pPr>
              <w:pStyle w:val="ListParagraph"/>
              <w:spacing w:after="0" w:line="240" w:lineRule="exact"/>
              <w:ind w:left="0"/>
              <w:jc w:val="center"/>
              <w:rPr>
                <w:rFonts w:ascii="Times New Roman" w:hAnsi="Times New Roman" w:cs="Times New Roman"/>
                <w:sz w:val="18"/>
                <w:szCs w:val="18"/>
              </w:rPr>
            </w:pPr>
            <w:r>
              <w:rPr>
                <w:rFonts w:ascii="Times New Roman" w:hAnsi="Times New Roman" w:cs="Times New Roman"/>
                <w:sz w:val="18"/>
                <w:szCs w:val="18"/>
              </w:rPr>
              <w:t>20020315</w:t>
            </w:r>
          </w:p>
        </w:tc>
      </w:tr>
      <w:tr w:rsidR="009A5497" w:rsidTr="00367719">
        <w:trPr>
          <w:trHeight w:val="350"/>
        </w:trPr>
        <w:tc>
          <w:tcPr>
            <w:tcW w:w="5130" w:type="dxa"/>
            <w:gridSpan w:val="4"/>
            <w:tcBorders>
              <w:right w:val="thinThickThinSmallGap" w:sz="24" w:space="0" w:color="auto"/>
            </w:tcBorders>
            <w:shd w:val="clear" w:color="auto" w:fill="EEECE1" w:themeFill="background2"/>
          </w:tcPr>
          <w:p w:rsidR="009A5497" w:rsidRPr="00177902" w:rsidRDefault="009A5497" w:rsidP="004473DE">
            <w:pPr>
              <w:pStyle w:val="ListParagraph"/>
              <w:spacing w:after="0" w:line="240" w:lineRule="exact"/>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10</w:t>
            </w:r>
            <w:r w:rsidRPr="00177902">
              <w:rPr>
                <w:rFonts w:ascii="Times New Roman" w:hAnsi="Times New Roman" w:cs="Times New Roman"/>
                <w:b/>
              </w:rPr>
              <w:t>%</w:t>
            </w:r>
          </w:p>
        </w:tc>
        <w:tc>
          <w:tcPr>
            <w:tcW w:w="6120" w:type="dxa"/>
            <w:gridSpan w:val="5"/>
            <w:tcBorders>
              <w:left w:val="thinThickThinSmallGap" w:sz="24" w:space="0" w:color="auto"/>
            </w:tcBorders>
            <w:shd w:val="clear" w:color="auto" w:fill="EEECE1" w:themeFill="background2"/>
          </w:tcPr>
          <w:p w:rsidR="009A5497" w:rsidRPr="00177902" w:rsidRDefault="009A5497" w:rsidP="004473DE">
            <w:pPr>
              <w:pStyle w:val="ListParagraph"/>
              <w:spacing w:after="0" w:line="240" w:lineRule="exact"/>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Pr>
                <w:rFonts w:ascii="Times New Roman" w:hAnsi="Times New Roman" w:cs="Times New Roman"/>
                <w:b/>
              </w:rPr>
              <w:t>100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9A5497" w:rsidRDefault="009A5497" w:rsidP="00875F2D">
      <w:pPr>
        <w:tabs>
          <w:tab w:val="left" w:pos="288"/>
          <w:tab w:val="left" w:pos="4752"/>
        </w:tabs>
        <w:spacing w:line="240" w:lineRule="exact"/>
        <w:jc w:val="both"/>
        <w:rPr>
          <w:color w:val="000080"/>
        </w:rPr>
      </w:pPr>
    </w:p>
    <w:p w:rsidR="00A90D55" w:rsidRDefault="00A90D55" w:rsidP="00875F2D">
      <w:pPr>
        <w:tabs>
          <w:tab w:val="left" w:pos="288"/>
          <w:tab w:val="left" w:pos="4752"/>
        </w:tabs>
        <w:spacing w:line="240" w:lineRule="exact"/>
        <w:jc w:val="both"/>
        <w:rPr>
          <w:color w:val="000080"/>
        </w:rPr>
      </w:pPr>
      <w:r>
        <w:rPr>
          <w:color w:val="000080"/>
          <w:u w:val="single"/>
        </w:rPr>
        <w:lastRenderedPageBreak/>
        <w:t>ANALYSIS SUMMARY</w:t>
      </w:r>
      <w:r>
        <w:rPr>
          <w:color w:val="000080"/>
        </w:rPr>
        <w:t>:</w:t>
      </w:r>
    </w:p>
    <w:p w:rsidR="00A90D55" w:rsidRDefault="00A90D55" w:rsidP="00875F2D">
      <w:pPr>
        <w:tabs>
          <w:tab w:val="left" w:pos="288"/>
          <w:tab w:val="left" w:pos="4752"/>
        </w:tabs>
        <w:spacing w:line="240" w:lineRule="exact"/>
        <w:jc w:val="both"/>
        <w:rPr>
          <w:color w:val="000080"/>
        </w:rPr>
      </w:pPr>
    </w:p>
    <w:p w:rsidR="009A5497" w:rsidRPr="009A5497" w:rsidRDefault="009A5497" w:rsidP="009A5497">
      <w:pPr>
        <w:tabs>
          <w:tab w:val="left" w:pos="288"/>
          <w:tab w:val="left" w:pos="4752"/>
        </w:tabs>
        <w:spacing w:line="240" w:lineRule="exact"/>
        <w:jc w:val="both"/>
        <w:rPr>
          <w:color w:val="000080"/>
        </w:rPr>
      </w:pPr>
      <w:proofErr w:type="gramStart"/>
      <w:r w:rsidRPr="009A5497">
        <w:rPr>
          <w:color w:val="000080"/>
          <w:u w:val="single"/>
        </w:rPr>
        <w:t>Psychiatric</w:t>
      </w:r>
      <w:r w:rsidRPr="009A5497">
        <w:rPr>
          <w:color w:val="000080"/>
        </w:rPr>
        <w:t>.</w:t>
      </w:r>
      <w:proofErr w:type="gramEnd"/>
      <w:r w:rsidRPr="009A5497">
        <w:rPr>
          <w:color w:val="000080"/>
        </w:rPr>
        <w:t xml:space="preserve">  The condition was rated at the minimum 30% for TDRL placement by the initial PEB.  </w:t>
      </w:r>
      <w:r w:rsidR="00252124" w:rsidRPr="00252124">
        <w:rPr>
          <w:color w:val="000080"/>
        </w:rPr>
        <w:t xml:space="preserve">The VA rating decision for the initial 100% determination cited psychotic symptoms at the time of crisis </w:t>
      </w:r>
      <w:r w:rsidR="002A4528">
        <w:rPr>
          <w:color w:val="000080"/>
        </w:rPr>
        <w:t>and admission</w:t>
      </w:r>
      <w:r w:rsidR="00252124" w:rsidRPr="00252124">
        <w:rPr>
          <w:color w:val="000080"/>
        </w:rPr>
        <w:t xml:space="preserve">.  </w:t>
      </w:r>
      <w:r w:rsidR="00F560E0">
        <w:rPr>
          <w:color w:val="000080"/>
        </w:rPr>
        <w:t>There was a comprehensive psychiatric reevaluation on</w:t>
      </w:r>
      <w:r w:rsidR="00252124" w:rsidRPr="00252124">
        <w:rPr>
          <w:color w:val="000080"/>
        </w:rPr>
        <w:t xml:space="preserve"> 6 J</w:t>
      </w:r>
      <w:r w:rsidR="00841273">
        <w:rPr>
          <w:color w:val="000080"/>
        </w:rPr>
        <w:t>an</w:t>
      </w:r>
      <w:r w:rsidR="00252124" w:rsidRPr="00252124">
        <w:rPr>
          <w:color w:val="000080"/>
        </w:rPr>
        <w:t xml:space="preserve"> 05.  </w:t>
      </w:r>
      <w:r w:rsidRPr="009A5497">
        <w:rPr>
          <w:color w:val="000080"/>
        </w:rPr>
        <w:t>This was the primary VA source for Board review of the condition at separation, and was compared to the final TDRL psychiatric exam by the Army dated 28 N</w:t>
      </w:r>
      <w:r w:rsidR="00841273">
        <w:rPr>
          <w:color w:val="000080"/>
        </w:rPr>
        <w:t>ov 05</w:t>
      </w:r>
      <w:r w:rsidRPr="009A5497">
        <w:rPr>
          <w:color w:val="000080"/>
        </w:rPr>
        <w:t xml:space="preserve">.  The Army exam noted that the CI had been employed at the same job since 2002, and this was noted as a key factor in assigning a 10% rating for mild impairment by the PEB.  </w:t>
      </w:r>
      <w:r w:rsidR="004E16DE">
        <w:rPr>
          <w:color w:val="000080"/>
        </w:rPr>
        <w:t xml:space="preserve">This was rebutted by the CI, and the PEB response </w:t>
      </w:r>
      <w:r w:rsidRPr="009A5497">
        <w:rPr>
          <w:color w:val="000080"/>
        </w:rPr>
        <w:t xml:space="preserve">stated specifically, ‘Despite ongoing mental health issues, you have been able to work and have been in the same job (currently GS-7) since 2002.  This is consistent with 10% disability rating.’  At separation, the CI was on 5 psychoactive medications, and the Army examiner noted mixed episodes with ‘racing thoughts, increased goal-directed activity, pressured speech, depressed mood, decreased need for sleep, auditory hallucinations, paranoid delusions and irritability’.  Social and industrial impairment was judged ‘considerable’.  The VA examiner noted that the CI was functioning in a clerk capacity at the same employment where she had formerly been a supervisor, and that she had </w:t>
      </w:r>
      <w:r w:rsidR="006C233E">
        <w:rPr>
          <w:color w:val="000080"/>
        </w:rPr>
        <w:t>relatively frequent</w:t>
      </w:r>
      <w:r w:rsidRPr="009A5497">
        <w:rPr>
          <w:color w:val="000080"/>
        </w:rPr>
        <w:t xml:space="preserve"> absences due to her condition.  Specifically the VA psychiatrist opined that her bipolar disorder ‘has had a moderate negative impact on her occupational functioning due to her distractibility, difficulties concentrating, interpersonal wariness, reduced motivation, and reduced tolerance for frustration’.   </w:t>
      </w:r>
    </w:p>
    <w:p w:rsidR="009A5497" w:rsidRPr="009A5497" w:rsidRDefault="009A5497" w:rsidP="009A5497">
      <w:pPr>
        <w:tabs>
          <w:tab w:val="left" w:pos="288"/>
          <w:tab w:val="left" w:pos="4752"/>
        </w:tabs>
        <w:spacing w:line="240" w:lineRule="exact"/>
        <w:jc w:val="both"/>
        <w:rPr>
          <w:color w:val="000080"/>
        </w:rPr>
      </w:pPr>
    </w:p>
    <w:p w:rsidR="009A5497" w:rsidRPr="009A5497" w:rsidRDefault="009A5497" w:rsidP="009A5497">
      <w:pPr>
        <w:tabs>
          <w:tab w:val="left" w:pos="288"/>
          <w:tab w:val="left" w:pos="4752"/>
        </w:tabs>
        <w:spacing w:line="240" w:lineRule="exact"/>
        <w:jc w:val="both"/>
        <w:rPr>
          <w:color w:val="000080"/>
        </w:rPr>
      </w:pPr>
      <w:r w:rsidRPr="009A5497">
        <w:rPr>
          <w:color w:val="000080"/>
        </w:rPr>
        <w:t xml:space="preserve">The VA rating decision </w:t>
      </w:r>
      <w:r w:rsidR="006C233E">
        <w:rPr>
          <w:color w:val="000080"/>
        </w:rPr>
        <w:t xml:space="preserve">in 2005 </w:t>
      </w:r>
      <w:r w:rsidRPr="009A5497">
        <w:rPr>
          <w:color w:val="000080"/>
        </w:rPr>
        <w:t>acknowledged that the CI was ‘now capable of maintaining gainful employment’.  It cited a poor GAF (Global Assessment of Functioning) score of 48 and ‘ongoing hallucinations and delusions’ as a basis for continuing the 100% disability rating.  The PEB cited AR 635-40</w:t>
      </w:r>
      <w:r w:rsidR="004F09BC">
        <w:rPr>
          <w:rFonts w:ascii="Times New Roman" w:hAnsi="Times New Roman"/>
          <w:szCs w:val="24"/>
        </w:rPr>
        <w:t xml:space="preserve"> </w:t>
      </w:r>
      <w:r w:rsidR="004F09BC" w:rsidRPr="004F09BC">
        <w:rPr>
          <w:color w:val="000080"/>
        </w:rPr>
        <w:t>(Appendix B-107, para</w:t>
      </w:r>
      <w:r w:rsidR="004F09BC">
        <w:rPr>
          <w:color w:val="000080"/>
        </w:rPr>
        <w:t>graph</w:t>
      </w:r>
      <w:r w:rsidR="004F09BC" w:rsidRPr="004F09BC">
        <w:rPr>
          <w:color w:val="000080"/>
        </w:rPr>
        <w:t xml:space="preserve"> e</w:t>
      </w:r>
      <w:r w:rsidR="004F09BC">
        <w:rPr>
          <w:color w:val="000080"/>
        </w:rPr>
        <w:t>.</w:t>
      </w:r>
      <w:r w:rsidR="004F09BC" w:rsidRPr="004F09BC">
        <w:rPr>
          <w:color w:val="000080"/>
        </w:rPr>
        <w:t>)</w:t>
      </w:r>
      <w:r w:rsidR="004F09BC">
        <w:rPr>
          <w:rFonts w:ascii="Times New Roman" w:hAnsi="Times New Roman"/>
          <w:szCs w:val="24"/>
        </w:rPr>
        <w:t xml:space="preserve"> </w:t>
      </w:r>
      <w:r w:rsidRPr="009A5497">
        <w:rPr>
          <w:color w:val="000080"/>
        </w:rPr>
        <w:t xml:space="preserve">as the basis for a ‘mild’ 10% rating determination.  The case is not a good fit with the characterization ‘mild or transient symptoms which decrease work efficiency and ability to perform occupational tasks only during periods of significant stress’ for a 10% rating under VASRD §4.130.  On the other hand, the VA’s 100% rating is difficult to reconcile with the VASRD language.  Even the 70% rating provides 9 ‘due to’ descriptors for which the CI manifested only 1 (difficulty in adapting to stressful circumstances).  The CI’s lowered responsibility and position at work does connote the ‘reduced reliability and productivity’ characterization for a 50% rating.  She also manifested 5 of the 9 ‘due to’ descriptors for that rating.  She met every requirement for the 30% rating, but IAW VASRD §4.3 (reasonable doubt), the higher 50% rating is warranted.  </w:t>
      </w:r>
      <w:r w:rsidR="004E16DE">
        <w:rPr>
          <w:color w:val="000080"/>
        </w:rPr>
        <w:t>A</w:t>
      </w:r>
      <w:r w:rsidRPr="009A5497">
        <w:rPr>
          <w:color w:val="000080"/>
        </w:rPr>
        <w:t xml:space="preserve"> 50% </w:t>
      </w:r>
      <w:r w:rsidR="006C233E">
        <w:rPr>
          <w:color w:val="000080"/>
        </w:rPr>
        <w:t xml:space="preserve">permanent </w:t>
      </w:r>
      <w:r w:rsidRPr="009A5497">
        <w:rPr>
          <w:color w:val="000080"/>
        </w:rPr>
        <w:t>rating under 9432 for bipolar disorder</w:t>
      </w:r>
      <w:r w:rsidR="004E16DE">
        <w:rPr>
          <w:color w:val="000080"/>
        </w:rPr>
        <w:t xml:space="preserve"> is a fair Board recommendation</w:t>
      </w:r>
      <w:r w:rsidRPr="009A5497">
        <w:rPr>
          <w:color w:val="000080"/>
        </w:rPr>
        <w:t>.</w:t>
      </w:r>
    </w:p>
    <w:p w:rsidR="009A5497" w:rsidRPr="009A5497" w:rsidRDefault="009A5497" w:rsidP="009A5497">
      <w:pPr>
        <w:tabs>
          <w:tab w:val="left" w:pos="288"/>
          <w:tab w:val="left" w:pos="4752"/>
        </w:tabs>
        <w:spacing w:line="240" w:lineRule="exact"/>
        <w:jc w:val="both"/>
        <w:rPr>
          <w:color w:val="000080"/>
        </w:rPr>
      </w:pPr>
    </w:p>
    <w:p w:rsidR="009A5497" w:rsidRPr="009A5497" w:rsidRDefault="009A5497" w:rsidP="009A5497">
      <w:pPr>
        <w:tabs>
          <w:tab w:val="left" w:pos="288"/>
          <w:tab w:val="left" w:pos="4752"/>
        </w:tabs>
        <w:spacing w:line="240" w:lineRule="exact"/>
        <w:jc w:val="both"/>
        <w:rPr>
          <w:color w:val="000080"/>
        </w:rPr>
      </w:pPr>
      <w:proofErr w:type="gramStart"/>
      <w:r w:rsidRPr="009A5497">
        <w:rPr>
          <w:color w:val="000080"/>
          <w:u w:val="single"/>
        </w:rPr>
        <w:lastRenderedPageBreak/>
        <w:t>Other Conditions</w:t>
      </w:r>
      <w:r w:rsidRPr="009A5497">
        <w:rPr>
          <w:color w:val="000080"/>
        </w:rPr>
        <w:t>.</w:t>
      </w:r>
      <w:proofErr w:type="gramEnd"/>
      <w:r w:rsidRPr="009A5497">
        <w:rPr>
          <w:color w:val="000080"/>
        </w:rPr>
        <w:t xml:space="preserve">  Of the CI’s 5 other medical conditions, only the endometriosis and podiatry conditions reasonably merit consideration as additionally unfitting.  Both of these conditions were re-evaluated by specialty services during the TDRL period, and both were forwarded to the PEB as not meeting retention standards IAW AR 40-501.  This is somewhat confusing, since both conditions had already been adjudicated as fit and there were no interim changes in acuity.  The Ob/</w:t>
      </w:r>
      <w:proofErr w:type="spellStart"/>
      <w:r w:rsidRPr="009A5497">
        <w:rPr>
          <w:color w:val="000080"/>
        </w:rPr>
        <w:t>Gyn</w:t>
      </w:r>
      <w:proofErr w:type="spellEnd"/>
      <w:r w:rsidRPr="009A5497">
        <w:rPr>
          <w:color w:val="000080"/>
        </w:rPr>
        <w:t xml:space="preserve"> TDRL addendum noted a cesarean delivery and tubal ligation in 2003</w:t>
      </w:r>
      <w:r w:rsidR="00FB59E0">
        <w:rPr>
          <w:color w:val="000080"/>
        </w:rPr>
        <w:t xml:space="preserve"> (during TDRL)</w:t>
      </w:r>
      <w:r w:rsidRPr="009A5497">
        <w:rPr>
          <w:color w:val="000080"/>
        </w:rPr>
        <w:t>, but did not indicate any active symptoms beyond those at placement on TDRL.  The CI carri</w:t>
      </w:r>
      <w:r w:rsidR="006C233E">
        <w:rPr>
          <w:color w:val="000080"/>
        </w:rPr>
        <w:t>ed a permanent L3 profile</w:t>
      </w:r>
      <w:r w:rsidR="00FB59E0">
        <w:rPr>
          <w:color w:val="000080"/>
        </w:rPr>
        <w:t xml:space="preserve"> for the foot condition</w:t>
      </w:r>
      <w:r w:rsidR="006C233E">
        <w:rPr>
          <w:color w:val="000080"/>
        </w:rPr>
        <w:t xml:space="preserve">, but the MOS </w:t>
      </w:r>
      <w:r w:rsidRPr="009A5497">
        <w:rPr>
          <w:color w:val="000080"/>
        </w:rPr>
        <w:t>Medical Retention Board had determined that she met the physical requirements for her MOS and she performed an alternate event for the Army Physical Fitness Test.  Her Commander’s statement did not specify orthopedic limitations or pelvic pain as impeding performance.  There is no firm basis for a Board recommendation contrary to the PEB’s fit adjudication</w:t>
      </w:r>
      <w:r w:rsidR="006C233E">
        <w:rPr>
          <w:color w:val="000080"/>
        </w:rPr>
        <w:t>s</w:t>
      </w:r>
      <w:r w:rsidRPr="009A5497">
        <w:rPr>
          <w:color w:val="000080"/>
        </w:rPr>
        <w:t xml:space="preserve"> for </w:t>
      </w:r>
      <w:r w:rsidR="004E16DE">
        <w:rPr>
          <w:color w:val="000080"/>
        </w:rPr>
        <w:t>any</w:t>
      </w:r>
      <w:r w:rsidRPr="009A5497">
        <w:rPr>
          <w:color w:val="000080"/>
        </w:rPr>
        <w:t xml:space="preserve"> of the CI’s </w:t>
      </w:r>
      <w:r w:rsidR="006C233E">
        <w:rPr>
          <w:color w:val="000080"/>
        </w:rPr>
        <w:t>non-psychiatric</w:t>
      </w:r>
      <w:r w:rsidRPr="009A5497">
        <w:rPr>
          <w:color w:val="000080"/>
        </w:rPr>
        <w:t xml:space="preserve"> conditions.</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4F09BC" w:rsidRPr="004F09BC" w:rsidRDefault="00FB593A" w:rsidP="004F09BC">
      <w:pPr>
        <w:spacing w:line="240" w:lineRule="exact"/>
        <w:jc w:val="both"/>
        <w:rPr>
          <w:color w:val="000080"/>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adjudication. </w:t>
      </w:r>
      <w:r w:rsidR="004F09BC">
        <w:rPr>
          <w:color w:val="000080"/>
        </w:rPr>
        <w:t xml:space="preserve"> </w:t>
      </w:r>
      <w:r w:rsidR="00EC0E65" w:rsidRPr="00A16876">
        <w:rPr>
          <w:color w:val="000080"/>
        </w:rPr>
        <w:t xml:space="preserve">As discussed above, PEB reliance on </w:t>
      </w:r>
      <w:r w:rsidR="004F09BC" w:rsidRPr="009A5497">
        <w:rPr>
          <w:color w:val="000080"/>
        </w:rPr>
        <w:t>AR 635-40</w:t>
      </w:r>
      <w:r w:rsidR="004F09BC">
        <w:rPr>
          <w:color w:val="000080"/>
        </w:rPr>
        <w:t xml:space="preserve"> </w:t>
      </w:r>
      <w:r w:rsidR="00A608FB" w:rsidRPr="00A16876">
        <w:rPr>
          <w:color w:val="000080"/>
        </w:rPr>
        <w:t xml:space="preserve">for rating </w:t>
      </w:r>
      <w:r w:rsidR="004F09BC">
        <w:rPr>
          <w:color w:val="000080"/>
        </w:rPr>
        <w:t>the bipolar disorder</w:t>
      </w:r>
      <w:r w:rsidR="00A608FB">
        <w:rPr>
          <w:color w:val="000080"/>
        </w:rPr>
        <w:t xml:space="preserve"> </w:t>
      </w:r>
      <w:r w:rsidR="00EC0E65" w:rsidRPr="00A16876">
        <w:rPr>
          <w:color w:val="000080"/>
        </w:rPr>
        <w:t xml:space="preserve">was apparent in this case and the condition was adjudicated independently of that </w:t>
      </w:r>
      <w:r w:rsidR="004F09BC">
        <w:rPr>
          <w:color w:val="000080"/>
        </w:rPr>
        <w:t>regulation by the</w:t>
      </w:r>
      <w:r w:rsidR="00EC0E65" w:rsidRPr="00A16876">
        <w:rPr>
          <w:color w:val="000080"/>
        </w:rPr>
        <w:t xml:space="preserve"> Board.</w:t>
      </w:r>
      <w:r w:rsidR="00EC0E65">
        <w:rPr>
          <w:color w:val="000080"/>
        </w:rPr>
        <w:t xml:space="preserve"> </w:t>
      </w:r>
      <w:r w:rsidR="004F09BC">
        <w:rPr>
          <w:color w:val="000080"/>
        </w:rPr>
        <w:t xml:space="preserve"> </w:t>
      </w:r>
      <w:r w:rsidR="004F09BC" w:rsidRPr="004F09BC">
        <w:rPr>
          <w:color w:val="000080"/>
        </w:rPr>
        <w:t xml:space="preserve">In the matter of </w:t>
      </w:r>
      <w:r w:rsidR="004E16DE">
        <w:rPr>
          <w:color w:val="000080"/>
        </w:rPr>
        <w:t>bipolar</w:t>
      </w:r>
      <w:r w:rsidR="004F09BC" w:rsidRPr="004F09BC">
        <w:rPr>
          <w:color w:val="000080"/>
        </w:rPr>
        <w:t xml:space="preserve"> disorder, the Board </w:t>
      </w:r>
      <w:r w:rsidR="006E460E">
        <w:rPr>
          <w:color w:val="000080"/>
        </w:rPr>
        <w:t xml:space="preserve">unanimously </w:t>
      </w:r>
      <w:r w:rsidR="004F09BC" w:rsidRPr="004F09BC">
        <w:rPr>
          <w:color w:val="000080"/>
        </w:rPr>
        <w:t xml:space="preserve">recommends a </w:t>
      </w:r>
      <w:r w:rsidR="00121DCE">
        <w:rPr>
          <w:color w:val="000080"/>
        </w:rPr>
        <w:t xml:space="preserve">permanent </w:t>
      </w:r>
      <w:r w:rsidR="004F09BC" w:rsidRPr="004F09BC">
        <w:rPr>
          <w:color w:val="000080"/>
        </w:rPr>
        <w:t>rating of 50% under 9432 IAW VASRD §4.130.  In the matter of the endometrioses, foot condition</w:t>
      </w:r>
      <w:r w:rsidR="006E460E">
        <w:rPr>
          <w:color w:val="000080"/>
        </w:rPr>
        <w:t>s</w:t>
      </w:r>
      <w:r w:rsidR="004F09BC" w:rsidRPr="004F09BC">
        <w:rPr>
          <w:color w:val="000080"/>
        </w:rPr>
        <w:t xml:space="preserve"> </w:t>
      </w:r>
      <w:r w:rsidR="006E460E">
        <w:rPr>
          <w:color w:val="000080"/>
        </w:rPr>
        <w:t>and</w:t>
      </w:r>
      <w:r w:rsidR="00121DCE">
        <w:rPr>
          <w:color w:val="000080"/>
        </w:rPr>
        <w:t xml:space="preserve"> a</w:t>
      </w:r>
      <w:r w:rsidR="006E460E">
        <w:rPr>
          <w:color w:val="000080"/>
        </w:rPr>
        <w:t>ll</w:t>
      </w:r>
      <w:r w:rsidR="00121DCE">
        <w:rPr>
          <w:color w:val="000080"/>
        </w:rPr>
        <w:t xml:space="preserve"> </w:t>
      </w:r>
      <w:r w:rsidR="004F09BC" w:rsidRPr="004F09BC">
        <w:rPr>
          <w:color w:val="000080"/>
        </w:rPr>
        <w:t xml:space="preserve">of the CI’s </w:t>
      </w:r>
      <w:r w:rsidR="00121DCE">
        <w:rPr>
          <w:color w:val="000080"/>
        </w:rPr>
        <w:t>other</w:t>
      </w:r>
      <w:r w:rsidR="004F09BC" w:rsidRPr="004F09BC">
        <w:rPr>
          <w:color w:val="000080"/>
        </w:rPr>
        <w:t xml:space="preserve"> </w:t>
      </w:r>
      <w:r w:rsidR="006E460E">
        <w:rPr>
          <w:color w:val="000080"/>
        </w:rPr>
        <w:t xml:space="preserve">medical </w:t>
      </w:r>
      <w:r w:rsidR="004F09BC" w:rsidRPr="004F09BC">
        <w:rPr>
          <w:color w:val="000080"/>
        </w:rPr>
        <w:t xml:space="preserve">conditions, the Board </w:t>
      </w:r>
      <w:r w:rsidR="006E460E">
        <w:rPr>
          <w:color w:val="000080"/>
        </w:rPr>
        <w:t>unanimously concluded that it cannot</w:t>
      </w:r>
      <w:r w:rsidR="004F09BC" w:rsidRPr="004F09BC">
        <w:rPr>
          <w:color w:val="000080"/>
        </w:rPr>
        <w:t xml:space="preserve"> recommend </w:t>
      </w:r>
      <w:r w:rsidR="006E460E">
        <w:rPr>
          <w:color w:val="000080"/>
        </w:rPr>
        <w:t>any as additionally unfitting for separation rating.</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B593A" w:rsidRDefault="00FB593A" w:rsidP="00875F2D">
      <w:pPr>
        <w:tabs>
          <w:tab w:val="left" w:pos="288"/>
          <w:tab w:val="left" w:pos="4752"/>
        </w:tabs>
        <w:spacing w:line="240" w:lineRule="exact"/>
        <w:jc w:val="both"/>
        <w:rPr>
          <w:color w:val="000080"/>
        </w:rPr>
      </w:pPr>
      <w:r w:rsidRPr="00D91DA6">
        <w:rPr>
          <w:color w:val="000080"/>
          <w:u w:val="single"/>
        </w:rPr>
        <w:t>RECOMMENDATION:</w:t>
      </w:r>
      <w:r>
        <w:rPr>
          <w:color w:val="000080"/>
        </w:rPr>
        <w:t xml:space="preserve"> </w:t>
      </w:r>
      <w:r w:rsidRPr="00A8277D">
        <w:rPr>
          <w:color w:val="000080"/>
        </w:rPr>
        <w:t xml:space="preserve">The </w:t>
      </w:r>
      <w:r w:rsidR="001A7538">
        <w:rPr>
          <w:color w:val="000080"/>
        </w:rPr>
        <w:t xml:space="preserve">Board </w:t>
      </w:r>
      <w:r w:rsidRPr="00A8277D">
        <w:rPr>
          <w:color w:val="000080"/>
        </w:rPr>
        <w:t xml:space="preserve">recommends that the CI’s prior determination be </w:t>
      </w:r>
      <w:r>
        <w:rPr>
          <w:color w:val="000080"/>
        </w:rPr>
        <w:t>modified</w:t>
      </w:r>
      <w:r w:rsidRPr="00A8277D">
        <w:rPr>
          <w:color w:val="000080"/>
        </w:rPr>
        <w:t xml:space="preserve"> as follows</w:t>
      </w:r>
      <w:r>
        <w:rPr>
          <w:color w:val="000080"/>
        </w:rPr>
        <w:t xml:space="preserve"> and </w:t>
      </w:r>
      <w:r w:rsidRPr="001E2F3E">
        <w:rPr>
          <w:color w:val="000080"/>
        </w:rPr>
        <w:t xml:space="preserve">that the discharge with severance pay be </w:t>
      </w:r>
      <w:proofErr w:type="spellStart"/>
      <w:r w:rsidRPr="001E2F3E">
        <w:rPr>
          <w:color w:val="000080"/>
        </w:rPr>
        <w:t>recharacterized</w:t>
      </w:r>
      <w:proofErr w:type="spellEnd"/>
      <w:r w:rsidRPr="001E2F3E">
        <w:rPr>
          <w:color w:val="000080"/>
        </w:rPr>
        <w:t xml:space="preserve"> to reflect </w:t>
      </w:r>
      <w:r>
        <w:rPr>
          <w:color w:val="000080"/>
        </w:rPr>
        <w:t xml:space="preserve">permanent </w:t>
      </w:r>
      <w:r w:rsidRPr="001E2F3E">
        <w:rPr>
          <w:color w:val="000080"/>
        </w:rPr>
        <w:t>disability retirement,</w:t>
      </w:r>
      <w:r w:rsidR="004F09BC">
        <w:rPr>
          <w:color w:val="000080"/>
        </w:rPr>
        <w:t xml:space="preserve"> effective as of the date of </w:t>
      </w:r>
      <w:r w:rsidR="009C7DF5" w:rsidRPr="004F09BC">
        <w:rPr>
          <w:color w:val="000080"/>
        </w:rPr>
        <w:t>her</w:t>
      </w:r>
      <w:r w:rsidRPr="00A8277D">
        <w:rPr>
          <w:color w:val="000080"/>
        </w:rPr>
        <w:t xml:space="preserve"> prior medical separation</w:t>
      </w:r>
      <w:r w:rsidR="00983C8A">
        <w:rPr>
          <w:color w:val="000080"/>
        </w:rPr>
        <w:t xml:space="preserve"> following TDRL</w:t>
      </w:r>
      <w:r w:rsidRPr="00A8277D">
        <w:rPr>
          <w:color w:val="000080"/>
        </w:rPr>
        <w:t>.</w:t>
      </w:r>
    </w:p>
    <w:p w:rsidR="0061111E" w:rsidRDefault="0061111E" w:rsidP="00875F2D">
      <w:pPr>
        <w:tabs>
          <w:tab w:val="left" w:pos="288"/>
          <w:tab w:val="left" w:pos="4752"/>
        </w:tabs>
        <w:spacing w:line="240" w:lineRule="exact"/>
        <w:jc w:val="both"/>
        <w:rPr>
          <w:color w:val="000080"/>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1"/>
        <w:gridCol w:w="1890"/>
        <w:gridCol w:w="1081"/>
      </w:tblGrid>
      <w:tr w:rsidR="0061111E" w:rsidRPr="00533FB5" w:rsidTr="004473DE">
        <w:tc>
          <w:tcPr>
            <w:tcW w:w="4601" w:type="dxa"/>
            <w:shd w:val="clear" w:color="auto" w:fill="D9D9D9"/>
          </w:tcPr>
          <w:p w:rsidR="0061111E" w:rsidRPr="00A867F0" w:rsidRDefault="0061111E" w:rsidP="004473DE">
            <w:pPr>
              <w:tabs>
                <w:tab w:val="left" w:pos="288"/>
                <w:tab w:val="left" w:pos="4752"/>
              </w:tabs>
              <w:spacing w:line="240" w:lineRule="exact"/>
              <w:jc w:val="center"/>
              <w:rPr>
                <w:b/>
                <w:color w:val="000080"/>
                <w:szCs w:val="24"/>
              </w:rPr>
            </w:pPr>
            <w:r>
              <w:rPr>
                <w:b/>
                <w:color w:val="000080"/>
                <w:szCs w:val="24"/>
              </w:rPr>
              <w:t>UNFITTING CONDITION</w:t>
            </w:r>
          </w:p>
        </w:tc>
        <w:tc>
          <w:tcPr>
            <w:tcW w:w="1890" w:type="dxa"/>
            <w:shd w:val="clear" w:color="auto" w:fill="D9D9D9"/>
          </w:tcPr>
          <w:p w:rsidR="0061111E" w:rsidRPr="00A867F0" w:rsidRDefault="0061111E" w:rsidP="004473DE">
            <w:pPr>
              <w:tabs>
                <w:tab w:val="left" w:pos="288"/>
                <w:tab w:val="left" w:pos="4752"/>
              </w:tabs>
              <w:spacing w:line="240" w:lineRule="exact"/>
              <w:jc w:val="center"/>
              <w:rPr>
                <w:b/>
                <w:color w:val="000080"/>
                <w:szCs w:val="24"/>
              </w:rPr>
            </w:pPr>
            <w:r w:rsidRPr="00A867F0">
              <w:rPr>
                <w:b/>
                <w:color w:val="000080"/>
                <w:szCs w:val="24"/>
              </w:rPr>
              <w:t>VASRD C</w:t>
            </w:r>
            <w:r>
              <w:rPr>
                <w:b/>
                <w:color w:val="000080"/>
                <w:szCs w:val="24"/>
              </w:rPr>
              <w:t>ODE</w:t>
            </w:r>
          </w:p>
        </w:tc>
        <w:tc>
          <w:tcPr>
            <w:tcW w:w="1069" w:type="dxa"/>
            <w:shd w:val="clear" w:color="auto" w:fill="D9D9D9"/>
          </w:tcPr>
          <w:p w:rsidR="0061111E" w:rsidRPr="00A867F0" w:rsidRDefault="0061111E" w:rsidP="004473DE">
            <w:pPr>
              <w:tabs>
                <w:tab w:val="left" w:pos="288"/>
                <w:tab w:val="left" w:pos="4752"/>
              </w:tabs>
              <w:spacing w:line="240" w:lineRule="exact"/>
              <w:jc w:val="center"/>
              <w:rPr>
                <w:b/>
                <w:color w:val="000080"/>
                <w:szCs w:val="24"/>
              </w:rPr>
            </w:pPr>
            <w:r w:rsidRPr="00A867F0">
              <w:rPr>
                <w:b/>
                <w:color w:val="000080"/>
                <w:szCs w:val="24"/>
              </w:rPr>
              <w:t>R</w:t>
            </w:r>
            <w:r>
              <w:rPr>
                <w:b/>
                <w:color w:val="000080"/>
                <w:szCs w:val="24"/>
              </w:rPr>
              <w:t>ATING</w:t>
            </w:r>
          </w:p>
        </w:tc>
      </w:tr>
      <w:tr w:rsidR="0061111E" w:rsidRPr="00533FB5" w:rsidTr="004473DE">
        <w:tc>
          <w:tcPr>
            <w:tcW w:w="4601" w:type="dxa"/>
          </w:tcPr>
          <w:p w:rsidR="0061111E" w:rsidRPr="00A867F0" w:rsidRDefault="0061111E" w:rsidP="004473DE">
            <w:pPr>
              <w:tabs>
                <w:tab w:val="left" w:pos="288"/>
                <w:tab w:val="left" w:pos="4752"/>
              </w:tabs>
              <w:spacing w:line="240" w:lineRule="exact"/>
              <w:jc w:val="both"/>
              <w:rPr>
                <w:color w:val="000080"/>
                <w:szCs w:val="24"/>
              </w:rPr>
            </w:pPr>
            <w:r>
              <w:rPr>
                <w:color w:val="000080"/>
                <w:szCs w:val="24"/>
              </w:rPr>
              <w:t>BIPOLAR DISORDER</w:t>
            </w:r>
          </w:p>
        </w:tc>
        <w:tc>
          <w:tcPr>
            <w:tcW w:w="1890" w:type="dxa"/>
          </w:tcPr>
          <w:p w:rsidR="0061111E" w:rsidRPr="00A867F0" w:rsidRDefault="0061111E" w:rsidP="004473DE">
            <w:pPr>
              <w:tabs>
                <w:tab w:val="left" w:pos="288"/>
                <w:tab w:val="left" w:pos="4752"/>
              </w:tabs>
              <w:spacing w:line="240" w:lineRule="exact"/>
              <w:jc w:val="center"/>
              <w:rPr>
                <w:color w:val="000080"/>
                <w:szCs w:val="24"/>
              </w:rPr>
            </w:pPr>
            <w:r>
              <w:rPr>
                <w:color w:val="000080"/>
                <w:szCs w:val="24"/>
              </w:rPr>
              <w:t>9432</w:t>
            </w:r>
          </w:p>
        </w:tc>
        <w:tc>
          <w:tcPr>
            <w:tcW w:w="1069" w:type="dxa"/>
          </w:tcPr>
          <w:p w:rsidR="0061111E" w:rsidRPr="00A867F0" w:rsidRDefault="0061111E" w:rsidP="004473DE">
            <w:pPr>
              <w:tabs>
                <w:tab w:val="left" w:pos="288"/>
                <w:tab w:val="left" w:pos="4752"/>
              </w:tabs>
              <w:spacing w:line="240" w:lineRule="exact"/>
              <w:jc w:val="center"/>
              <w:rPr>
                <w:color w:val="000080"/>
                <w:szCs w:val="24"/>
              </w:rPr>
            </w:pPr>
            <w:r>
              <w:rPr>
                <w:color w:val="000080"/>
                <w:szCs w:val="24"/>
              </w:rPr>
              <w:t>50%</w:t>
            </w:r>
          </w:p>
        </w:tc>
      </w:tr>
      <w:tr w:rsidR="0061111E" w:rsidRPr="00533FB5" w:rsidTr="004473DE">
        <w:tblPrEx>
          <w:tblLook w:val="0000"/>
        </w:tblPrEx>
        <w:trPr>
          <w:gridBefore w:val="1"/>
          <w:trHeight w:val="197"/>
        </w:trPr>
        <w:tc>
          <w:tcPr>
            <w:tcW w:w="1890" w:type="dxa"/>
            <w:tcBorders>
              <w:left w:val="single" w:sz="4" w:space="0" w:color="auto"/>
              <w:bottom w:val="single" w:sz="4" w:space="0" w:color="000000"/>
            </w:tcBorders>
            <w:shd w:val="clear" w:color="auto" w:fill="D9D9D9" w:themeFill="background1" w:themeFillShade="D9"/>
          </w:tcPr>
          <w:p w:rsidR="0061111E" w:rsidRPr="00A867F0" w:rsidRDefault="0061111E" w:rsidP="004473DE">
            <w:pPr>
              <w:tabs>
                <w:tab w:val="left" w:pos="288"/>
                <w:tab w:val="left" w:pos="4752"/>
              </w:tabs>
              <w:spacing w:line="240" w:lineRule="exact"/>
              <w:jc w:val="center"/>
              <w:rPr>
                <w:b/>
                <w:color w:val="000080"/>
                <w:szCs w:val="24"/>
              </w:rPr>
            </w:pPr>
            <w:r w:rsidRPr="00A867F0">
              <w:rPr>
                <w:b/>
                <w:color w:val="000080"/>
                <w:szCs w:val="24"/>
              </w:rPr>
              <w:t>C</w:t>
            </w:r>
            <w:r>
              <w:rPr>
                <w:b/>
                <w:color w:val="000080"/>
                <w:szCs w:val="24"/>
              </w:rPr>
              <w:t>OMBINED</w:t>
            </w:r>
          </w:p>
        </w:tc>
        <w:tc>
          <w:tcPr>
            <w:tcW w:w="1069" w:type="dxa"/>
            <w:tcBorders>
              <w:bottom w:val="single" w:sz="4" w:space="0" w:color="000000"/>
            </w:tcBorders>
            <w:shd w:val="clear" w:color="auto" w:fill="D9D9D9" w:themeFill="background1" w:themeFillShade="D9"/>
          </w:tcPr>
          <w:p w:rsidR="0061111E" w:rsidRPr="005A258C" w:rsidRDefault="0061111E" w:rsidP="004473DE">
            <w:pPr>
              <w:tabs>
                <w:tab w:val="left" w:pos="288"/>
                <w:tab w:val="left" w:pos="4752"/>
              </w:tabs>
              <w:spacing w:line="240" w:lineRule="exact"/>
              <w:jc w:val="center"/>
              <w:rPr>
                <w:b/>
                <w:color w:val="000080"/>
                <w:szCs w:val="24"/>
              </w:rPr>
            </w:pPr>
            <w:r>
              <w:rPr>
                <w:b/>
                <w:color w:val="000080"/>
                <w:szCs w:val="24"/>
              </w:rPr>
              <w:t>50</w:t>
            </w:r>
            <w:r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121DCE" w:rsidRDefault="00121DCE">
      <w:pPr>
        <w:rPr>
          <w:color w:val="000080"/>
        </w:rPr>
      </w:pPr>
      <w:r>
        <w:rPr>
          <w:color w:val="000080"/>
        </w:rPr>
        <w:br w:type="page"/>
      </w:r>
    </w:p>
    <w:p w:rsidR="00D91DA6" w:rsidRDefault="00114F20" w:rsidP="00875F2D">
      <w:pPr>
        <w:tabs>
          <w:tab w:val="left" w:pos="288"/>
          <w:tab w:val="left" w:pos="4752"/>
        </w:tabs>
        <w:spacing w:line="240" w:lineRule="exact"/>
        <w:jc w:val="both"/>
        <w:rPr>
          <w:color w:val="000080"/>
        </w:rPr>
      </w:pPr>
      <w:r>
        <w:rPr>
          <w:color w:val="000080"/>
        </w:rPr>
        <w:lastRenderedPageBreak/>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9A5497">
        <w:rPr>
          <w:color w:val="000080"/>
        </w:rPr>
        <w:t>20090122</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184618" w:rsidRDefault="00184618">
      <w:pPr>
        <w:rPr>
          <w:color w:val="000080"/>
        </w:rPr>
      </w:pPr>
      <w:r>
        <w:rPr>
          <w:color w:val="000080"/>
        </w:rPr>
        <w:br w:type="page"/>
      </w:r>
    </w:p>
    <w:p w:rsidR="00184618" w:rsidRDefault="00184618" w:rsidP="00184618">
      <w:pPr>
        <w:pStyle w:val="Default"/>
        <w:framePr w:w="16381" w:wrap="auto" w:vAnchor="page" w:hAnchor="page" w:x="8" w:y="1"/>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sectPr w:rsidR="00114F20" w:rsidRPr="00D91DA6"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26" w:rsidRDefault="00434526">
      <w:r>
        <w:separator/>
      </w:r>
    </w:p>
  </w:endnote>
  <w:endnote w:type="continuationSeparator" w:id="0">
    <w:p w:rsidR="00434526" w:rsidRDefault="00434526">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B2193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B2193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184618">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9A5497">
      <w:rPr>
        <w:caps/>
        <w:color w:val="000080"/>
      </w:rPr>
      <w:t>052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26" w:rsidRDefault="00434526">
      <w:r>
        <w:separator/>
      </w:r>
    </w:p>
  </w:footnote>
  <w:footnote w:type="continuationSeparator" w:id="0">
    <w:p w:rsidR="00434526" w:rsidRDefault="004345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1622"/>
    <w:rsid w:val="00072433"/>
    <w:rsid w:val="000A2BCE"/>
    <w:rsid w:val="000A4BBA"/>
    <w:rsid w:val="000D15E7"/>
    <w:rsid w:val="000D23F5"/>
    <w:rsid w:val="000D43F9"/>
    <w:rsid w:val="000D4717"/>
    <w:rsid w:val="000F427B"/>
    <w:rsid w:val="0010417F"/>
    <w:rsid w:val="0010530E"/>
    <w:rsid w:val="00114F20"/>
    <w:rsid w:val="00121DCE"/>
    <w:rsid w:val="001231DC"/>
    <w:rsid w:val="001315DD"/>
    <w:rsid w:val="00177659"/>
    <w:rsid w:val="00184618"/>
    <w:rsid w:val="00185ECB"/>
    <w:rsid w:val="001A7538"/>
    <w:rsid w:val="001C181A"/>
    <w:rsid w:val="001C2053"/>
    <w:rsid w:val="001C28D1"/>
    <w:rsid w:val="001C7418"/>
    <w:rsid w:val="001D1F4B"/>
    <w:rsid w:val="001D6A8C"/>
    <w:rsid w:val="002338CA"/>
    <w:rsid w:val="00246860"/>
    <w:rsid w:val="00252124"/>
    <w:rsid w:val="00274549"/>
    <w:rsid w:val="00274E46"/>
    <w:rsid w:val="002A4528"/>
    <w:rsid w:val="002B03B2"/>
    <w:rsid w:val="002B0749"/>
    <w:rsid w:val="002E764B"/>
    <w:rsid w:val="00323E70"/>
    <w:rsid w:val="00367719"/>
    <w:rsid w:val="00385D6F"/>
    <w:rsid w:val="00386930"/>
    <w:rsid w:val="00393651"/>
    <w:rsid w:val="003D2BA3"/>
    <w:rsid w:val="003D7DDB"/>
    <w:rsid w:val="003E0543"/>
    <w:rsid w:val="003F58B0"/>
    <w:rsid w:val="004007E9"/>
    <w:rsid w:val="00401BBC"/>
    <w:rsid w:val="0042250C"/>
    <w:rsid w:val="00434526"/>
    <w:rsid w:val="0044384F"/>
    <w:rsid w:val="004574C6"/>
    <w:rsid w:val="004A24D2"/>
    <w:rsid w:val="004A4136"/>
    <w:rsid w:val="004B03F3"/>
    <w:rsid w:val="004E16DE"/>
    <w:rsid w:val="004F09BC"/>
    <w:rsid w:val="0051146C"/>
    <w:rsid w:val="00525237"/>
    <w:rsid w:val="0052590B"/>
    <w:rsid w:val="00526591"/>
    <w:rsid w:val="005350A5"/>
    <w:rsid w:val="005436C2"/>
    <w:rsid w:val="00573291"/>
    <w:rsid w:val="005A258C"/>
    <w:rsid w:val="005A3560"/>
    <w:rsid w:val="005B011A"/>
    <w:rsid w:val="0061111E"/>
    <w:rsid w:val="00615641"/>
    <w:rsid w:val="00634C4A"/>
    <w:rsid w:val="006418C9"/>
    <w:rsid w:val="00662F08"/>
    <w:rsid w:val="00696476"/>
    <w:rsid w:val="006A40E6"/>
    <w:rsid w:val="006A75FA"/>
    <w:rsid w:val="006B5923"/>
    <w:rsid w:val="006C233E"/>
    <w:rsid w:val="006C6877"/>
    <w:rsid w:val="006E460E"/>
    <w:rsid w:val="006E7356"/>
    <w:rsid w:val="006F1A46"/>
    <w:rsid w:val="00721D12"/>
    <w:rsid w:val="00744EBB"/>
    <w:rsid w:val="00746AE2"/>
    <w:rsid w:val="00752E6B"/>
    <w:rsid w:val="00781BD4"/>
    <w:rsid w:val="00791F1E"/>
    <w:rsid w:val="007A0B39"/>
    <w:rsid w:val="007A168F"/>
    <w:rsid w:val="007A5AD1"/>
    <w:rsid w:val="007B0A06"/>
    <w:rsid w:val="007C433E"/>
    <w:rsid w:val="007D0292"/>
    <w:rsid w:val="007E4FBB"/>
    <w:rsid w:val="00804E2D"/>
    <w:rsid w:val="00811D5B"/>
    <w:rsid w:val="00817713"/>
    <w:rsid w:val="00830999"/>
    <w:rsid w:val="00830D5E"/>
    <w:rsid w:val="00834458"/>
    <w:rsid w:val="00837465"/>
    <w:rsid w:val="00841273"/>
    <w:rsid w:val="0084374E"/>
    <w:rsid w:val="0086162B"/>
    <w:rsid w:val="00875B51"/>
    <w:rsid w:val="00875F2D"/>
    <w:rsid w:val="008B5D31"/>
    <w:rsid w:val="008E4A60"/>
    <w:rsid w:val="00914ADB"/>
    <w:rsid w:val="00923B25"/>
    <w:rsid w:val="00931A5C"/>
    <w:rsid w:val="00942645"/>
    <w:rsid w:val="0095466C"/>
    <w:rsid w:val="0096168C"/>
    <w:rsid w:val="00983C8A"/>
    <w:rsid w:val="00985099"/>
    <w:rsid w:val="009A5497"/>
    <w:rsid w:val="009B1534"/>
    <w:rsid w:val="009B69D3"/>
    <w:rsid w:val="009B7BA7"/>
    <w:rsid w:val="009C0938"/>
    <w:rsid w:val="009C7DF5"/>
    <w:rsid w:val="00A16876"/>
    <w:rsid w:val="00A200AA"/>
    <w:rsid w:val="00A2270B"/>
    <w:rsid w:val="00A2496E"/>
    <w:rsid w:val="00A608FB"/>
    <w:rsid w:val="00A70E7B"/>
    <w:rsid w:val="00A76094"/>
    <w:rsid w:val="00A86CB6"/>
    <w:rsid w:val="00A90D55"/>
    <w:rsid w:val="00AC439D"/>
    <w:rsid w:val="00B21936"/>
    <w:rsid w:val="00B32179"/>
    <w:rsid w:val="00B522CD"/>
    <w:rsid w:val="00B82277"/>
    <w:rsid w:val="00BA30D1"/>
    <w:rsid w:val="00BB0A0A"/>
    <w:rsid w:val="00BD6806"/>
    <w:rsid w:val="00BD7C10"/>
    <w:rsid w:val="00BE0DEB"/>
    <w:rsid w:val="00C13B34"/>
    <w:rsid w:val="00C30A97"/>
    <w:rsid w:val="00C31DDC"/>
    <w:rsid w:val="00C34326"/>
    <w:rsid w:val="00C71BEC"/>
    <w:rsid w:val="00C85579"/>
    <w:rsid w:val="00CA068D"/>
    <w:rsid w:val="00CB23DC"/>
    <w:rsid w:val="00CB28E2"/>
    <w:rsid w:val="00CB7FF7"/>
    <w:rsid w:val="00CC2044"/>
    <w:rsid w:val="00CC69EC"/>
    <w:rsid w:val="00CD34C7"/>
    <w:rsid w:val="00CF4394"/>
    <w:rsid w:val="00D16320"/>
    <w:rsid w:val="00D52393"/>
    <w:rsid w:val="00D76AB2"/>
    <w:rsid w:val="00D8470B"/>
    <w:rsid w:val="00D87788"/>
    <w:rsid w:val="00D910C2"/>
    <w:rsid w:val="00D91DA6"/>
    <w:rsid w:val="00DA195B"/>
    <w:rsid w:val="00DE7E74"/>
    <w:rsid w:val="00E15539"/>
    <w:rsid w:val="00E2632B"/>
    <w:rsid w:val="00E52BB9"/>
    <w:rsid w:val="00E93087"/>
    <w:rsid w:val="00EA2DD8"/>
    <w:rsid w:val="00EC0E65"/>
    <w:rsid w:val="00EF608E"/>
    <w:rsid w:val="00F1516A"/>
    <w:rsid w:val="00F22A26"/>
    <w:rsid w:val="00F560E0"/>
    <w:rsid w:val="00F72183"/>
    <w:rsid w:val="00F8311F"/>
    <w:rsid w:val="00F853AE"/>
    <w:rsid w:val="00F9435D"/>
    <w:rsid w:val="00FB593A"/>
    <w:rsid w:val="00FB59E0"/>
    <w:rsid w:val="00FC7DB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184618"/>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2009-09-15T12:40:00Z</cp:lastPrinted>
  <dcterms:created xsi:type="dcterms:W3CDTF">2012-01-11T15:26:00Z</dcterms:created>
  <dcterms:modified xsi:type="dcterms:W3CDTF">2012-01-11T20:31:00Z</dcterms:modified>
</cp:coreProperties>
</file>