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662F08">
      <w:pPr>
        <w:tabs>
          <w:tab w:val="left" w:pos="288"/>
          <w:tab w:val="left" w:pos="4752"/>
        </w:tabs>
        <w:spacing w:line="240" w:lineRule="exact"/>
        <w:jc w:val="center"/>
        <w:rPr>
          <w:color w:val="000080"/>
        </w:rPr>
      </w:pPr>
    </w:p>
    <w:p w:rsidR="00662F08" w:rsidRPr="00D5118C" w:rsidRDefault="00662F08" w:rsidP="00662F08">
      <w:pPr>
        <w:tabs>
          <w:tab w:val="left" w:pos="288"/>
          <w:tab w:val="left" w:pos="4752"/>
        </w:tabs>
        <w:spacing w:line="240" w:lineRule="exact"/>
        <w:rPr>
          <w:caps/>
          <w:color w:val="000080"/>
        </w:rPr>
      </w:pPr>
      <w:r w:rsidRPr="00D5118C">
        <w:rPr>
          <w:caps/>
          <w:color w:val="000080"/>
        </w:rPr>
        <w:t>NAME:</w:t>
      </w:r>
      <w:r w:rsidR="00051622" w:rsidRPr="00D5118C">
        <w:rPr>
          <w:caps/>
          <w:color w:val="000080"/>
        </w:rPr>
        <w:tab/>
      </w:r>
      <w:r w:rsidR="00051622" w:rsidRPr="00D5118C">
        <w:rPr>
          <w:caps/>
          <w:color w:val="000080"/>
        </w:rPr>
        <w:tab/>
      </w:r>
      <w:r w:rsidR="00D91DA6" w:rsidRPr="00D5118C">
        <w:rPr>
          <w:caps/>
          <w:color w:val="000080"/>
        </w:rPr>
        <w:t>BRANCH OF SERVICE</w:t>
      </w:r>
      <w:r w:rsidR="00051622" w:rsidRPr="00D5118C">
        <w:rPr>
          <w:caps/>
          <w:color w:val="000080"/>
        </w:rPr>
        <w:t xml:space="preserve">: </w:t>
      </w:r>
      <w:r w:rsidR="00872A65">
        <w:rPr>
          <w:caps/>
          <w:color w:val="000080"/>
        </w:rPr>
        <w:t>army</w:t>
      </w:r>
    </w:p>
    <w:p w:rsidR="00B522CD" w:rsidRPr="00D5118C" w:rsidRDefault="00D91DA6" w:rsidP="00662F08">
      <w:pPr>
        <w:tabs>
          <w:tab w:val="left" w:pos="288"/>
          <w:tab w:val="left" w:pos="4752"/>
        </w:tabs>
        <w:spacing w:line="240" w:lineRule="exact"/>
        <w:rPr>
          <w:caps/>
          <w:color w:val="000080"/>
        </w:rPr>
      </w:pPr>
      <w:r w:rsidRPr="00D5118C">
        <w:rPr>
          <w:caps/>
          <w:color w:val="000080"/>
        </w:rPr>
        <w:t>CASE</w:t>
      </w:r>
      <w:r w:rsidR="001C28D1" w:rsidRPr="00D5118C">
        <w:rPr>
          <w:caps/>
          <w:color w:val="000080"/>
        </w:rPr>
        <w:t xml:space="preserve"> NUMBER:  </w:t>
      </w:r>
      <w:r w:rsidR="00D5118C">
        <w:rPr>
          <w:caps/>
          <w:color w:val="000080"/>
        </w:rPr>
        <w:t>PD</w:t>
      </w:r>
      <w:r w:rsidR="00D5118C" w:rsidRPr="00D5118C">
        <w:rPr>
          <w:caps/>
          <w:color w:val="000080"/>
        </w:rPr>
        <w:t>09</w:t>
      </w:r>
      <w:r w:rsidR="00872A65">
        <w:rPr>
          <w:caps/>
          <w:color w:val="000080"/>
        </w:rPr>
        <w:t>00051</w:t>
      </w:r>
      <w:r w:rsidR="00D5118C" w:rsidRPr="00D5118C">
        <w:rPr>
          <w:caps/>
          <w:color w:val="000080"/>
        </w:rPr>
        <w:t xml:space="preserve"> </w:t>
      </w:r>
      <w:r w:rsidR="00051622" w:rsidRPr="00D5118C">
        <w:rPr>
          <w:caps/>
          <w:color w:val="000080"/>
        </w:rPr>
        <w:tab/>
      </w:r>
      <w:r w:rsidR="00051622" w:rsidRPr="00D5118C">
        <w:rPr>
          <w:caps/>
          <w:color w:val="000080"/>
        </w:rPr>
        <w:tab/>
      </w:r>
      <w:r w:rsidRPr="00D5118C">
        <w:rPr>
          <w:caps/>
          <w:color w:val="000080"/>
        </w:rPr>
        <w:t xml:space="preserve">COMPONENT: </w:t>
      </w:r>
      <w:r w:rsidR="00872A65">
        <w:rPr>
          <w:caps/>
          <w:color w:val="000080"/>
        </w:rPr>
        <w:t>guard</w:t>
      </w:r>
    </w:p>
    <w:p w:rsidR="00662F08" w:rsidRDefault="00662F08" w:rsidP="00662F08">
      <w:pPr>
        <w:tabs>
          <w:tab w:val="left" w:pos="288"/>
          <w:tab w:val="left" w:pos="4752"/>
        </w:tabs>
        <w:spacing w:line="240" w:lineRule="exact"/>
        <w:rPr>
          <w:caps/>
          <w:color w:val="000080"/>
        </w:rPr>
      </w:pPr>
      <w:r w:rsidRPr="00D5118C">
        <w:rPr>
          <w:caps/>
          <w:color w:val="000080"/>
        </w:rPr>
        <w:t xml:space="preserve">BOARD DATE: </w:t>
      </w:r>
      <w:r w:rsidR="00872A65">
        <w:rPr>
          <w:caps/>
          <w:color w:val="000080"/>
        </w:rPr>
        <w:t>20090617</w:t>
      </w:r>
      <w:r w:rsidR="00D91DA6" w:rsidRPr="00D5118C">
        <w:rPr>
          <w:caps/>
          <w:color w:val="000080"/>
        </w:rPr>
        <w:tab/>
      </w:r>
      <w:r w:rsidR="00D91DA6" w:rsidRPr="00D5118C">
        <w:rPr>
          <w:caps/>
          <w:color w:val="000080"/>
        </w:rPr>
        <w:tab/>
        <w:t xml:space="preserve">SEPARATION DATE: </w:t>
      </w:r>
      <w:r w:rsidR="00872A65">
        <w:rPr>
          <w:caps/>
          <w:color w:val="000080"/>
        </w:rPr>
        <w:t>20080424</w:t>
      </w:r>
    </w:p>
    <w:p w:rsidR="00CE144F" w:rsidRPr="00D5118C" w:rsidRDefault="00CE144F" w:rsidP="00662F08">
      <w:pPr>
        <w:tabs>
          <w:tab w:val="left" w:pos="288"/>
          <w:tab w:val="left" w:pos="4752"/>
        </w:tabs>
        <w:spacing w:line="240" w:lineRule="exact"/>
        <w:rPr>
          <w:caps/>
          <w:color w:val="000080"/>
        </w:rPr>
      </w:pPr>
    </w:p>
    <w:p w:rsidR="00CE144F" w:rsidRPr="00D91DA6" w:rsidRDefault="00CE144F" w:rsidP="00CE144F">
      <w:pPr>
        <w:tabs>
          <w:tab w:val="left" w:pos="288"/>
          <w:tab w:val="left" w:pos="4752"/>
        </w:tabs>
        <w:spacing w:line="240" w:lineRule="exact"/>
        <w:jc w:val="both"/>
        <w:rPr>
          <w:color w:val="000080"/>
        </w:rPr>
      </w:pPr>
      <w:r w:rsidRPr="00D91DA6">
        <w:rPr>
          <w:color w:val="000080"/>
        </w:rPr>
        <w:t>________________________________________________________________</w:t>
      </w:r>
    </w:p>
    <w:p w:rsidR="002269A2" w:rsidRPr="00D91DA6" w:rsidRDefault="002269A2">
      <w:pPr>
        <w:tabs>
          <w:tab w:val="left" w:pos="288"/>
          <w:tab w:val="left" w:pos="4752"/>
        </w:tabs>
        <w:spacing w:line="240" w:lineRule="exact"/>
        <w:jc w:val="both"/>
        <w:rPr>
          <w:color w:val="000080"/>
        </w:rPr>
      </w:pPr>
    </w:p>
    <w:p w:rsidR="00662F08" w:rsidRDefault="00811D5B" w:rsidP="003940DB">
      <w:pPr>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D5118C">
        <w:rPr>
          <w:color w:val="000080"/>
        </w:rPr>
        <w:t xml:space="preserve">  </w:t>
      </w:r>
      <w:r w:rsidR="00F35E12" w:rsidRPr="003B6D62">
        <w:rPr>
          <w:color w:val="000080"/>
        </w:rPr>
        <w:t>This covered individual (CI)</w:t>
      </w:r>
      <w:r w:rsidR="00F35E12" w:rsidRPr="00A8277D">
        <w:rPr>
          <w:color w:val="000080"/>
        </w:rPr>
        <w:t xml:space="preserve"> was </w:t>
      </w:r>
      <w:r w:rsidR="003940DB">
        <w:rPr>
          <w:color w:val="000080"/>
        </w:rPr>
        <w:t xml:space="preserve">an activated Army Guard E4 Tanker </w:t>
      </w:r>
      <w:r w:rsidR="00F35E12" w:rsidRPr="00A8277D">
        <w:rPr>
          <w:color w:val="000080"/>
        </w:rPr>
        <w:t>medically separated from the</w:t>
      </w:r>
      <w:r w:rsidR="00F64511">
        <w:rPr>
          <w:color w:val="000080"/>
        </w:rPr>
        <w:t xml:space="preserve"> Army </w:t>
      </w:r>
      <w:r w:rsidR="00F35E12" w:rsidRPr="00A8277D">
        <w:rPr>
          <w:color w:val="000080"/>
        </w:rPr>
        <w:t>in 200</w:t>
      </w:r>
      <w:r w:rsidR="00F64511">
        <w:rPr>
          <w:color w:val="000080"/>
        </w:rPr>
        <w:t>8</w:t>
      </w:r>
      <w:r w:rsidR="00F35E12" w:rsidRPr="00A8277D">
        <w:rPr>
          <w:color w:val="000080"/>
        </w:rPr>
        <w:t xml:space="preserve"> after.  The medical basis for the separation was</w:t>
      </w:r>
      <w:r w:rsidR="00F64511">
        <w:rPr>
          <w:color w:val="000080"/>
        </w:rPr>
        <w:t xml:space="preserve"> back pain</w:t>
      </w:r>
      <w:r w:rsidR="00F35E12" w:rsidRPr="00A8277D">
        <w:rPr>
          <w:color w:val="000080"/>
        </w:rPr>
        <w:t xml:space="preserve"> </w:t>
      </w:r>
      <w:r w:rsidR="00F64511">
        <w:rPr>
          <w:color w:val="000080"/>
        </w:rPr>
        <w:t>(herniated dis</w:t>
      </w:r>
      <w:r w:rsidR="003940DB">
        <w:rPr>
          <w:color w:val="000080"/>
        </w:rPr>
        <w:t xml:space="preserve">c - </w:t>
      </w:r>
      <w:r w:rsidR="00F64511">
        <w:rPr>
          <w:color w:val="000080"/>
        </w:rPr>
        <w:t>HNP</w:t>
      </w:r>
      <w:r w:rsidR="003940DB">
        <w:rPr>
          <w:color w:val="000080"/>
        </w:rPr>
        <w:t xml:space="preserve"> at L5-S1</w:t>
      </w:r>
      <w:r w:rsidR="00F64511">
        <w:rPr>
          <w:color w:val="000080"/>
        </w:rPr>
        <w:t xml:space="preserve">).  </w:t>
      </w:r>
      <w:r w:rsidR="003940DB" w:rsidRPr="003940DB">
        <w:rPr>
          <w:color w:val="000080"/>
        </w:rPr>
        <w:t xml:space="preserve">CI </w:t>
      </w:r>
      <w:r w:rsidR="003940DB">
        <w:rPr>
          <w:color w:val="000080"/>
        </w:rPr>
        <w:t xml:space="preserve">originally injured his back </w:t>
      </w:r>
      <w:r w:rsidR="003940DB" w:rsidRPr="003940DB">
        <w:rPr>
          <w:color w:val="000080"/>
        </w:rPr>
        <w:t>in Iraq during action in 2004</w:t>
      </w:r>
      <w:r w:rsidR="003940DB">
        <w:rPr>
          <w:color w:val="000080"/>
        </w:rPr>
        <w:t>.  Significant symptoms led to surg</w:t>
      </w:r>
      <w:r w:rsidR="00A61443">
        <w:rPr>
          <w:color w:val="000080"/>
        </w:rPr>
        <w:t xml:space="preserve">ical correction </w:t>
      </w:r>
      <w:r w:rsidR="003940DB" w:rsidRPr="003940DB">
        <w:rPr>
          <w:color w:val="000080"/>
        </w:rPr>
        <w:t xml:space="preserve">in </w:t>
      </w:r>
      <w:r w:rsidR="003940DB">
        <w:rPr>
          <w:color w:val="000080"/>
        </w:rPr>
        <w:t>20</w:t>
      </w:r>
      <w:r w:rsidR="003940DB" w:rsidRPr="003940DB">
        <w:rPr>
          <w:color w:val="000080"/>
        </w:rPr>
        <w:t xml:space="preserve">05.  CI reinjured </w:t>
      </w:r>
      <w:r w:rsidR="003940DB">
        <w:rPr>
          <w:color w:val="000080"/>
        </w:rPr>
        <w:t xml:space="preserve">his </w:t>
      </w:r>
      <w:r w:rsidR="003940DB" w:rsidRPr="003940DB">
        <w:rPr>
          <w:color w:val="000080"/>
        </w:rPr>
        <w:t xml:space="preserve">back during pre-deployment training in May </w:t>
      </w:r>
      <w:r w:rsidR="003940DB">
        <w:rPr>
          <w:color w:val="000080"/>
        </w:rPr>
        <w:t>20</w:t>
      </w:r>
      <w:r w:rsidR="003940DB" w:rsidRPr="003940DB">
        <w:rPr>
          <w:color w:val="000080"/>
        </w:rPr>
        <w:t>07</w:t>
      </w:r>
      <w:r w:rsidR="003940DB">
        <w:rPr>
          <w:color w:val="000080"/>
        </w:rPr>
        <w:t xml:space="preserve">.  Imaging showed </w:t>
      </w:r>
      <w:r w:rsidR="00A61443">
        <w:rPr>
          <w:color w:val="000080"/>
        </w:rPr>
        <w:t>recurrent</w:t>
      </w:r>
      <w:r w:rsidR="003940DB">
        <w:rPr>
          <w:color w:val="000080"/>
        </w:rPr>
        <w:t xml:space="preserve"> HNP at the same level </w:t>
      </w:r>
      <w:r w:rsidR="00A61443">
        <w:rPr>
          <w:color w:val="000080"/>
        </w:rPr>
        <w:t xml:space="preserve">with scaring and nerve root involvement.  Despite multiple treatments, back pain and leg </w:t>
      </w:r>
      <w:r w:rsidR="003940DB" w:rsidRPr="003940DB">
        <w:rPr>
          <w:color w:val="000080"/>
        </w:rPr>
        <w:t>symptoms</w:t>
      </w:r>
      <w:r w:rsidR="00A61443">
        <w:rPr>
          <w:color w:val="000080"/>
        </w:rPr>
        <w:t xml:space="preserve"> persisted.  </w:t>
      </w:r>
      <w:r w:rsidR="00F35E12" w:rsidRPr="00A8277D">
        <w:rPr>
          <w:color w:val="000080"/>
        </w:rPr>
        <w:t>CI was referred to the PEB</w:t>
      </w:r>
      <w:r w:rsidR="00A61443">
        <w:rPr>
          <w:color w:val="000080"/>
        </w:rPr>
        <w:t xml:space="preserve"> for HNP, Anxiety disorder NOS</w:t>
      </w:r>
      <w:r w:rsidR="00F35E12" w:rsidRPr="00A8277D">
        <w:rPr>
          <w:color w:val="000080"/>
        </w:rPr>
        <w:t xml:space="preserve">, </w:t>
      </w:r>
      <w:r w:rsidR="00A61443">
        <w:rPr>
          <w:color w:val="000080"/>
        </w:rPr>
        <w:t xml:space="preserve">hypertension (HTN), lipids and a kidney stone.  CI was </w:t>
      </w:r>
      <w:r w:rsidR="00F35E12" w:rsidRPr="00A8277D">
        <w:rPr>
          <w:color w:val="000080"/>
        </w:rPr>
        <w:t xml:space="preserve">found unfit </w:t>
      </w:r>
      <w:r w:rsidR="00A61443">
        <w:rPr>
          <w:color w:val="000080"/>
        </w:rPr>
        <w:t xml:space="preserve">only for HNP </w:t>
      </w:r>
      <w:r w:rsidR="00F35E12" w:rsidRPr="00A8277D">
        <w:rPr>
          <w:color w:val="000080"/>
        </w:rPr>
        <w:t xml:space="preserve">and separated at </w:t>
      </w:r>
      <w:r w:rsidR="00F64511">
        <w:rPr>
          <w:color w:val="000080"/>
        </w:rPr>
        <w:t>20</w:t>
      </w:r>
      <w:r w:rsidR="00F35E12" w:rsidRPr="00A8277D">
        <w:rPr>
          <w:color w:val="000080"/>
        </w:rPr>
        <w:t xml:space="preserve">% disability. </w:t>
      </w:r>
      <w:r w:rsidR="00A61443">
        <w:rPr>
          <w:color w:val="000080"/>
        </w:rPr>
        <w:t xml:space="preserve"> </w:t>
      </w:r>
      <w:r w:rsidR="00F64511">
        <w:rPr>
          <w:color w:val="000080"/>
        </w:rPr>
        <w:t>The PEB originally rated the HNP at 10%; however</w:t>
      </w:r>
      <w:r w:rsidR="00A61443">
        <w:rPr>
          <w:color w:val="000080"/>
        </w:rPr>
        <w:t>,</w:t>
      </w:r>
      <w:r w:rsidR="00F64511">
        <w:rPr>
          <w:color w:val="000080"/>
        </w:rPr>
        <w:t xml:space="preserve"> the PDA made an administrative change to 20% IAW the changes required by the NDAA which took effect </w:t>
      </w:r>
      <w:r w:rsidR="00A61443">
        <w:rPr>
          <w:color w:val="000080"/>
        </w:rPr>
        <w:t xml:space="preserve">following the PEB and </w:t>
      </w:r>
      <w:r w:rsidR="00F64511">
        <w:rPr>
          <w:color w:val="000080"/>
        </w:rPr>
        <w:t xml:space="preserve">before CI’s service separation.  The VA rated the HNP at 40%, diagnosed and rated Post Traumatic Stress Disorder (PTSD) </w:t>
      </w:r>
      <w:r w:rsidR="00355EA6">
        <w:rPr>
          <w:color w:val="000080"/>
        </w:rPr>
        <w:t>at 50% (</w:t>
      </w:r>
      <w:r w:rsidR="00F64511">
        <w:rPr>
          <w:color w:val="000080"/>
        </w:rPr>
        <w:t>in place of Anxiety disorder</w:t>
      </w:r>
      <w:r w:rsidR="00355EA6">
        <w:rPr>
          <w:color w:val="000080"/>
        </w:rPr>
        <w:t>)</w:t>
      </w:r>
      <w:r w:rsidR="00F64511">
        <w:rPr>
          <w:color w:val="000080"/>
        </w:rPr>
        <w:t xml:space="preserve">, and also rated CI’s left shoulder at 20% and Migraine headaches at 30% for a combined VA rating of 80%.  </w:t>
      </w:r>
      <w:r w:rsidR="00F35E12" w:rsidRPr="00A8277D">
        <w:rPr>
          <w:color w:val="000080"/>
        </w:rPr>
        <w:t>The CI contends that</w:t>
      </w:r>
      <w:r w:rsidR="003940DB">
        <w:rPr>
          <w:color w:val="000080"/>
        </w:rPr>
        <w:t xml:space="preserve"> the new NDAA rules were not applied, and that the </w:t>
      </w:r>
      <w:r w:rsidR="003940DB" w:rsidRPr="003940DB">
        <w:rPr>
          <w:color w:val="000080"/>
        </w:rPr>
        <w:t>VA rated the same condition (HNP) higher at 40%</w:t>
      </w:r>
      <w:r w:rsidR="00355EA6">
        <w:rPr>
          <w:color w:val="000080"/>
        </w:rPr>
        <w:t xml:space="preserve"> and </w:t>
      </w:r>
      <w:r w:rsidR="003940DB" w:rsidRPr="003940DB">
        <w:rPr>
          <w:color w:val="000080"/>
        </w:rPr>
        <w:t xml:space="preserve">determined surgery (spinal fusion) was needed.  CI also contended that ‘PEB said another surgery would increase rating by 10% and if done w/in 3 years, he should present evidence to the BCMR for review.’  </w:t>
      </w:r>
    </w:p>
    <w:p w:rsidR="00EF30E5" w:rsidRPr="00D91DA6" w:rsidRDefault="00EF30E5" w:rsidP="003940DB">
      <w:pPr>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________________________________________________________________</w:t>
      </w:r>
    </w:p>
    <w:p w:rsidR="00B522CD" w:rsidRPr="00D91DA6" w:rsidRDefault="00B522CD">
      <w:pPr>
        <w:tabs>
          <w:tab w:val="left" w:pos="288"/>
          <w:tab w:val="left" w:pos="4752"/>
        </w:tabs>
        <w:spacing w:line="240" w:lineRule="exact"/>
        <w:jc w:val="both"/>
        <w:rPr>
          <w:color w:val="000080"/>
        </w:rPr>
      </w:pPr>
    </w:p>
    <w:p w:rsidR="007761A0" w:rsidRPr="00B33D98" w:rsidRDefault="00662F08" w:rsidP="007761A0">
      <w:pPr>
        <w:tabs>
          <w:tab w:val="left" w:pos="288"/>
          <w:tab w:val="left" w:pos="4752"/>
        </w:tabs>
        <w:spacing w:line="240" w:lineRule="exact"/>
        <w:jc w:val="both"/>
        <w:rPr>
          <w:color w:val="000080"/>
        </w:rPr>
      </w:pPr>
      <w:r w:rsidRPr="00D91DA6">
        <w:rPr>
          <w:color w:val="000080"/>
          <w:u w:val="single"/>
        </w:rPr>
        <w:t>BOARD FINDINGS</w:t>
      </w:r>
      <w:r w:rsidR="00B522CD" w:rsidRPr="00872A65">
        <w:rPr>
          <w:color w:val="000080"/>
        </w:rPr>
        <w:t>:</w:t>
      </w:r>
      <w:r w:rsidR="00F35E12" w:rsidRPr="00872A65">
        <w:rPr>
          <w:color w:val="000080"/>
        </w:rPr>
        <w:t xml:space="preserve">  </w:t>
      </w:r>
      <w:r w:rsidR="00A8277D" w:rsidRPr="00872A65">
        <w:rPr>
          <w:color w:val="000080"/>
        </w:rPr>
        <w:t xml:space="preserve">IAW </w:t>
      </w:r>
      <w:proofErr w:type="spellStart"/>
      <w:r w:rsidR="00A8277D" w:rsidRPr="00872A65">
        <w:rPr>
          <w:color w:val="000080"/>
        </w:rPr>
        <w:t>DoDI</w:t>
      </w:r>
      <w:proofErr w:type="spellEnd"/>
      <w:r w:rsidR="00A8277D" w:rsidRPr="00872A65">
        <w:rPr>
          <w:color w:val="000080"/>
        </w:rPr>
        <w:t xml:space="preserve"> 6040.44, provisions of </w:t>
      </w:r>
      <w:proofErr w:type="spellStart"/>
      <w:r w:rsidR="00A8277D" w:rsidRPr="00872A65">
        <w:rPr>
          <w:color w:val="000080"/>
        </w:rPr>
        <w:t>DoD</w:t>
      </w:r>
      <w:proofErr w:type="spellEnd"/>
      <w:r w:rsidR="00A8277D" w:rsidRPr="00872A65">
        <w:rPr>
          <w:color w:val="000080"/>
        </w:rPr>
        <w:t xml:space="preserve"> or Military Department regulations or guidelines relied upon by the PEB will not be considered by the </w:t>
      </w:r>
      <w:r w:rsidR="00573E18" w:rsidRPr="00872A65">
        <w:rPr>
          <w:color w:val="000080"/>
        </w:rPr>
        <w:t>Board</w:t>
      </w:r>
      <w:r w:rsidR="00A8277D" w:rsidRPr="00872A65">
        <w:rPr>
          <w:color w:val="000080"/>
        </w:rPr>
        <w:t xml:space="preserve"> to the extent they were inconsistent with the VASRD in effect at the time of the adjudication.</w:t>
      </w:r>
      <w:r w:rsidR="00A8277D" w:rsidRPr="00355EA6">
        <w:rPr>
          <w:color w:val="000080"/>
        </w:rPr>
        <w:t xml:space="preserve"> </w:t>
      </w:r>
      <w:r w:rsidR="00A8277D" w:rsidRPr="00A8277D">
        <w:rPr>
          <w:color w:val="000080"/>
        </w:rPr>
        <w:t xml:space="preserve"> </w:t>
      </w:r>
      <w:r w:rsidR="003940DB">
        <w:rPr>
          <w:color w:val="000080"/>
        </w:rPr>
        <w:t xml:space="preserve">The Board clearly noted </w:t>
      </w:r>
      <w:r w:rsidR="00355EA6">
        <w:rPr>
          <w:color w:val="000080"/>
        </w:rPr>
        <w:t xml:space="preserve">that </w:t>
      </w:r>
      <w:r w:rsidR="003940DB">
        <w:rPr>
          <w:color w:val="000080"/>
        </w:rPr>
        <w:t xml:space="preserve">the </w:t>
      </w:r>
      <w:r w:rsidR="00355EA6">
        <w:rPr>
          <w:color w:val="000080"/>
        </w:rPr>
        <w:t xml:space="preserve">Army </w:t>
      </w:r>
      <w:r w:rsidR="003940DB">
        <w:rPr>
          <w:color w:val="000080"/>
        </w:rPr>
        <w:t xml:space="preserve">PDA </w:t>
      </w:r>
      <w:r w:rsidR="00355EA6">
        <w:rPr>
          <w:color w:val="000080"/>
        </w:rPr>
        <w:t xml:space="preserve">administratively changed </w:t>
      </w:r>
      <w:r w:rsidR="003940DB">
        <w:rPr>
          <w:color w:val="000080"/>
        </w:rPr>
        <w:t>the PEB</w:t>
      </w:r>
      <w:r w:rsidR="00355EA6">
        <w:rPr>
          <w:color w:val="000080"/>
        </w:rPr>
        <w:t>’s</w:t>
      </w:r>
      <w:r w:rsidR="003940DB">
        <w:rPr>
          <w:color w:val="000080"/>
        </w:rPr>
        <w:t xml:space="preserve"> original 10% determination to </w:t>
      </w:r>
      <w:r w:rsidR="00355EA6">
        <w:rPr>
          <w:color w:val="000080"/>
        </w:rPr>
        <w:t xml:space="preserve">20% IAW </w:t>
      </w:r>
      <w:r w:rsidR="003940DB">
        <w:rPr>
          <w:color w:val="000080"/>
        </w:rPr>
        <w:t xml:space="preserve">NDAA. </w:t>
      </w:r>
      <w:r w:rsidR="00355EA6">
        <w:rPr>
          <w:color w:val="000080"/>
        </w:rPr>
        <w:t xml:space="preserve"> </w:t>
      </w:r>
      <w:r w:rsidR="00355EA6" w:rsidRPr="00355EA6">
        <w:rPr>
          <w:color w:val="000080"/>
        </w:rPr>
        <w:t xml:space="preserve">The </w:t>
      </w:r>
      <w:r w:rsidR="00B613CE" w:rsidRPr="00B613CE">
        <w:rPr>
          <w:color w:val="000080"/>
        </w:rPr>
        <w:t>Army-</w:t>
      </w:r>
      <w:r w:rsidR="00355EA6" w:rsidRPr="00B613CE">
        <w:rPr>
          <w:color w:val="000080"/>
        </w:rPr>
        <w:t xml:space="preserve">diagnosed and adjudicated </w:t>
      </w:r>
      <w:r w:rsidR="00B613CE">
        <w:rPr>
          <w:color w:val="000080"/>
        </w:rPr>
        <w:t>‘</w:t>
      </w:r>
      <w:r w:rsidR="00355EA6" w:rsidRPr="00B613CE">
        <w:rPr>
          <w:color w:val="000080"/>
        </w:rPr>
        <w:t>Anxiety Disorder, NOS</w:t>
      </w:r>
      <w:r w:rsidR="00B613CE">
        <w:rPr>
          <w:color w:val="000080"/>
        </w:rPr>
        <w:t>’</w:t>
      </w:r>
      <w:r w:rsidR="00355EA6" w:rsidRPr="00B613CE">
        <w:rPr>
          <w:color w:val="000080"/>
        </w:rPr>
        <w:t xml:space="preserve"> was </w:t>
      </w:r>
      <w:r w:rsidR="00B613CE" w:rsidRPr="00B613CE">
        <w:rPr>
          <w:color w:val="000080"/>
        </w:rPr>
        <w:t xml:space="preserve">listed as </w:t>
      </w:r>
      <w:r w:rsidR="00355EA6" w:rsidRPr="00B613CE">
        <w:rPr>
          <w:color w:val="000080"/>
        </w:rPr>
        <w:t>‘rule out PTSD’ in many notes;</w:t>
      </w:r>
      <w:r w:rsidR="00355EA6">
        <w:rPr>
          <w:color w:val="000080"/>
        </w:rPr>
        <w:t xml:space="preserve"> However, t</w:t>
      </w:r>
      <w:r w:rsidR="00355EA6" w:rsidRPr="00355EA6">
        <w:rPr>
          <w:color w:val="000080"/>
        </w:rPr>
        <w:t>he PEB, STR notes, CC memo and CI do not indicate that PTSD should be added as an unfitting condition.</w:t>
      </w:r>
      <w:r w:rsidR="00B613CE">
        <w:rPr>
          <w:color w:val="000080"/>
        </w:rPr>
        <w:t xml:space="preserve">  </w:t>
      </w:r>
      <w:r w:rsidR="00355EA6" w:rsidRPr="00B613CE">
        <w:rPr>
          <w:color w:val="000080"/>
        </w:rPr>
        <w:t xml:space="preserve">HTN, </w:t>
      </w:r>
      <w:proofErr w:type="spellStart"/>
      <w:r w:rsidR="00355EA6" w:rsidRPr="00B613CE">
        <w:rPr>
          <w:color w:val="000080"/>
        </w:rPr>
        <w:t>Hyperlipidemia</w:t>
      </w:r>
      <w:proofErr w:type="spellEnd"/>
      <w:r w:rsidR="00355EA6" w:rsidRPr="00B613CE">
        <w:rPr>
          <w:color w:val="000080"/>
        </w:rPr>
        <w:t xml:space="preserve"> and kidney stones were all found not unfitting.</w:t>
      </w:r>
      <w:r w:rsidR="00B613CE">
        <w:rPr>
          <w:color w:val="000080"/>
        </w:rPr>
        <w:t xml:space="preserve">  The </w:t>
      </w:r>
      <w:r w:rsidR="00355EA6" w:rsidRPr="00B613CE">
        <w:rPr>
          <w:color w:val="000080"/>
        </w:rPr>
        <w:t>focus</w:t>
      </w:r>
      <w:r w:rsidR="00B613CE" w:rsidRPr="00B613CE">
        <w:rPr>
          <w:color w:val="000080"/>
        </w:rPr>
        <w:t xml:space="preserve"> of this case is </w:t>
      </w:r>
      <w:r w:rsidR="00355EA6" w:rsidRPr="00B613CE">
        <w:rPr>
          <w:color w:val="000080"/>
        </w:rPr>
        <w:t>CI</w:t>
      </w:r>
      <w:r w:rsidR="00B613CE" w:rsidRPr="00B613CE">
        <w:rPr>
          <w:color w:val="000080"/>
        </w:rPr>
        <w:t>’</w:t>
      </w:r>
      <w:r w:rsidR="00355EA6" w:rsidRPr="00B613CE">
        <w:rPr>
          <w:color w:val="000080"/>
        </w:rPr>
        <w:t>s lower back problem and residuals.</w:t>
      </w:r>
      <w:r w:rsidR="00266F36">
        <w:rPr>
          <w:color w:val="000080"/>
        </w:rPr>
        <w:t xml:space="preserve">  The Army PA</w:t>
      </w:r>
      <w:r w:rsidR="00355EA6" w:rsidRPr="007761A0">
        <w:rPr>
          <w:color w:val="000080"/>
        </w:rPr>
        <w:t xml:space="preserve"> re-rating </w:t>
      </w:r>
      <w:r w:rsidR="00266F36" w:rsidRPr="007761A0">
        <w:rPr>
          <w:color w:val="000080"/>
        </w:rPr>
        <w:t xml:space="preserve">appeared to be due to removal of the ‘pain rule’ for limited </w:t>
      </w:r>
      <w:proofErr w:type="spellStart"/>
      <w:r w:rsidR="00266F36" w:rsidRPr="007761A0">
        <w:rPr>
          <w:color w:val="000080"/>
        </w:rPr>
        <w:t>lumbosacral</w:t>
      </w:r>
      <w:proofErr w:type="spellEnd"/>
      <w:r w:rsidR="00266F36" w:rsidRPr="007761A0">
        <w:rPr>
          <w:color w:val="000080"/>
        </w:rPr>
        <w:t xml:space="preserve"> </w:t>
      </w:r>
      <w:r w:rsidR="00355EA6" w:rsidRPr="007761A0">
        <w:rPr>
          <w:color w:val="000080"/>
        </w:rPr>
        <w:t>flexion</w:t>
      </w:r>
      <w:r w:rsidR="00266F36" w:rsidRPr="007761A0">
        <w:rPr>
          <w:color w:val="000080"/>
        </w:rPr>
        <w:t xml:space="preserve">.  </w:t>
      </w:r>
      <w:r w:rsidR="00266F36" w:rsidRPr="00B33D98">
        <w:rPr>
          <w:color w:val="000080"/>
        </w:rPr>
        <w:t>T</w:t>
      </w:r>
      <w:r w:rsidR="00355EA6" w:rsidRPr="00B33D98">
        <w:rPr>
          <w:color w:val="000080"/>
        </w:rPr>
        <w:t>he PEB Disability Description (8b of DA Form 199) list</w:t>
      </w:r>
      <w:r w:rsidR="00266F36" w:rsidRPr="00B33D98">
        <w:rPr>
          <w:color w:val="000080"/>
        </w:rPr>
        <w:t>ed</w:t>
      </w:r>
      <w:r w:rsidR="00355EA6" w:rsidRPr="00B33D98">
        <w:rPr>
          <w:color w:val="000080"/>
        </w:rPr>
        <w:t xml:space="preserve"> </w:t>
      </w:r>
      <w:r w:rsidR="00266F36" w:rsidRPr="00B33D98">
        <w:rPr>
          <w:color w:val="000080"/>
        </w:rPr>
        <w:t>‘</w:t>
      </w:r>
      <w:proofErr w:type="spellStart"/>
      <w:r w:rsidR="00355EA6" w:rsidRPr="00B33D98">
        <w:rPr>
          <w:color w:val="000080"/>
        </w:rPr>
        <w:t>parasthesias</w:t>
      </w:r>
      <w:proofErr w:type="spellEnd"/>
      <w:r w:rsidR="00355EA6" w:rsidRPr="00B33D98">
        <w:rPr>
          <w:color w:val="000080"/>
        </w:rPr>
        <w:t xml:space="preserve"> in the lower extremities</w:t>
      </w:r>
      <w:r w:rsidR="00266F36" w:rsidRPr="00B33D98">
        <w:rPr>
          <w:color w:val="000080"/>
        </w:rPr>
        <w:t>’</w:t>
      </w:r>
      <w:r w:rsidR="00355EA6" w:rsidRPr="00B33D98">
        <w:rPr>
          <w:color w:val="000080"/>
        </w:rPr>
        <w:t>, but neither code</w:t>
      </w:r>
      <w:r w:rsidR="00266F36" w:rsidRPr="00B33D98">
        <w:rPr>
          <w:color w:val="000080"/>
        </w:rPr>
        <w:t>d</w:t>
      </w:r>
      <w:r w:rsidR="00355EA6" w:rsidRPr="00B33D98">
        <w:rPr>
          <w:color w:val="000080"/>
        </w:rPr>
        <w:t xml:space="preserve"> or rate</w:t>
      </w:r>
      <w:r w:rsidR="00266F36" w:rsidRPr="00B33D98">
        <w:rPr>
          <w:color w:val="000080"/>
        </w:rPr>
        <w:t>d</w:t>
      </w:r>
      <w:r w:rsidR="00355EA6" w:rsidRPr="00B33D98">
        <w:rPr>
          <w:color w:val="000080"/>
        </w:rPr>
        <w:t xml:space="preserve"> them</w:t>
      </w:r>
      <w:r w:rsidR="00266F36" w:rsidRPr="00B33D98">
        <w:rPr>
          <w:color w:val="000080"/>
        </w:rPr>
        <w:t xml:space="preserve"> separately</w:t>
      </w:r>
      <w:r w:rsidR="00355EA6" w:rsidRPr="00B33D98">
        <w:rPr>
          <w:color w:val="000080"/>
        </w:rPr>
        <w:t xml:space="preserve">. </w:t>
      </w:r>
      <w:r w:rsidR="00266F36" w:rsidRPr="00B33D98">
        <w:rPr>
          <w:color w:val="000080"/>
        </w:rPr>
        <w:t xml:space="preserve"> There was discussion regarding the probative values of the </w:t>
      </w:r>
      <w:r w:rsidR="00266F36" w:rsidRPr="00B33D98">
        <w:rPr>
          <w:color w:val="000080"/>
        </w:rPr>
        <w:lastRenderedPageBreak/>
        <w:t>various ROM determinations.  The NARSUM appeared to use the evaluation of 200708</w:t>
      </w:r>
      <w:r w:rsidR="00355EA6" w:rsidRPr="00B33D98">
        <w:rPr>
          <w:color w:val="000080"/>
        </w:rPr>
        <w:t>24</w:t>
      </w:r>
      <w:r w:rsidR="007761A0" w:rsidRPr="00B33D98">
        <w:rPr>
          <w:color w:val="000080"/>
        </w:rPr>
        <w:t xml:space="preserve"> which was pre-NDAA.  The pre-discharge VA exam (Feb 2008) demonstrated a much more pain-limited </w:t>
      </w:r>
      <w:proofErr w:type="spellStart"/>
      <w:r w:rsidR="007761A0" w:rsidRPr="00B33D98">
        <w:rPr>
          <w:color w:val="000080"/>
        </w:rPr>
        <w:t>thoracolumbar</w:t>
      </w:r>
      <w:proofErr w:type="spellEnd"/>
      <w:r w:rsidR="007761A0" w:rsidRPr="00B33D98">
        <w:rPr>
          <w:color w:val="000080"/>
        </w:rPr>
        <w:t xml:space="preserve"> flexion.  It was opined that the exam was closer to the time of discharge, was detailed, and aside from flexion nearly mirrored the Army measured ROMs which added credence to the VA examination.  There was not a detailed peripheral neuromuscular VA exam and the VA did not consider or rate lower extremity </w:t>
      </w:r>
      <w:proofErr w:type="spellStart"/>
      <w:r w:rsidR="007761A0" w:rsidRPr="00B33D98">
        <w:rPr>
          <w:color w:val="000080"/>
        </w:rPr>
        <w:t>parasthesias</w:t>
      </w:r>
      <w:proofErr w:type="spellEnd"/>
      <w:r w:rsidR="007761A0" w:rsidRPr="00B33D98">
        <w:rPr>
          <w:color w:val="000080"/>
        </w:rPr>
        <w:t xml:space="preserve">.  The </w:t>
      </w:r>
      <w:r w:rsidR="00B33D98">
        <w:rPr>
          <w:color w:val="000080"/>
        </w:rPr>
        <w:t xml:space="preserve">mild </w:t>
      </w:r>
      <w:r w:rsidR="007761A0" w:rsidRPr="00B33D98">
        <w:rPr>
          <w:color w:val="000080"/>
        </w:rPr>
        <w:t xml:space="preserve">lower extremity </w:t>
      </w:r>
      <w:proofErr w:type="spellStart"/>
      <w:r w:rsidR="007761A0" w:rsidRPr="00B33D98">
        <w:rPr>
          <w:color w:val="000080"/>
        </w:rPr>
        <w:t>parasthesias</w:t>
      </w:r>
      <w:proofErr w:type="spellEnd"/>
      <w:r w:rsidR="007761A0" w:rsidRPr="00B33D98">
        <w:rPr>
          <w:color w:val="000080"/>
        </w:rPr>
        <w:t xml:space="preserve"> and </w:t>
      </w:r>
      <w:proofErr w:type="spellStart"/>
      <w:r w:rsidR="007761A0" w:rsidRPr="00B33D98">
        <w:rPr>
          <w:color w:val="000080"/>
        </w:rPr>
        <w:t>radicular</w:t>
      </w:r>
      <w:proofErr w:type="spellEnd"/>
      <w:r w:rsidR="007761A0" w:rsidRPr="00B33D98">
        <w:rPr>
          <w:color w:val="000080"/>
        </w:rPr>
        <w:t xml:space="preserve"> pain were noted as markers of increased seve</w:t>
      </w:r>
      <w:r w:rsidR="00B33D98">
        <w:rPr>
          <w:color w:val="000080"/>
        </w:rPr>
        <w:t>rity of the spine disease, but the Board determined that they</w:t>
      </w:r>
      <w:r w:rsidR="007761A0" w:rsidRPr="00B33D98">
        <w:rPr>
          <w:color w:val="000080"/>
        </w:rPr>
        <w:t xml:space="preserve"> </w:t>
      </w:r>
      <w:r w:rsidR="00B33D98">
        <w:rPr>
          <w:color w:val="000080"/>
        </w:rPr>
        <w:t xml:space="preserve">should not </w:t>
      </w:r>
      <w:r w:rsidR="007761A0" w:rsidRPr="00B33D98">
        <w:rPr>
          <w:color w:val="000080"/>
        </w:rPr>
        <w:t xml:space="preserve">be rated at a compensable level separately.  The Board determined that </w:t>
      </w:r>
      <w:r w:rsidR="00B33D98">
        <w:rPr>
          <w:color w:val="000080"/>
        </w:rPr>
        <w:t>the CI’s</w:t>
      </w:r>
      <w:r w:rsidR="007761A0" w:rsidRPr="00B33D98">
        <w:rPr>
          <w:color w:val="000080"/>
        </w:rPr>
        <w:t xml:space="preserve"> HNP rating should be increased to 40% using the more current and complete ROMs from the VA exam.  </w:t>
      </w:r>
    </w:p>
    <w:p w:rsidR="007761A0" w:rsidRPr="00B33D98" w:rsidRDefault="007761A0" w:rsidP="007761A0">
      <w:pPr>
        <w:tabs>
          <w:tab w:val="left" w:pos="288"/>
          <w:tab w:val="left" w:pos="4752"/>
        </w:tabs>
        <w:spacing w:line="240" w:lineRule="exact"/>
        <w:jc w:val="both"/>
        <w:rPr>
          <w:color w:val="000080"/>
        </w:rPr>
      </w:pPr>
    </w:p>
    <w:p w:rsidR="00B70500" w:rsidRDefault="00B70500" w:rsidP="00B70500">
      <w:pPr>
        <w:tabs>
          <w:tab w:val="left" w:pos="288"/>
          <w:tab w:val="left" w:pos="4752"/>
        </w:tabs>
        <w:spacing w:line="240" w:lineRule="exact"/>
        <w:jc w:val="both"/>
        <w:rPr>
          <w:color w:val="000080"/>
        </w:rPr>
      </w:pPr>
      <w:r>
        <w:rPr>
          <w:color w:val="000080"/>
        </w:rPr>
        <w:t xml:space="preserve">The single voter for dissent (recommended no </w:t>
      </w:r>
      <w:proofErr w:type="spellStart"/>
      <w:r>
        <w:rPr>
          <w:color w:val="000080"/>
        </w:rPr>
        <w:t>recharacterization</w:t>
      </w:r>
      <w:proofErr w:type="spellEnd"/>
      <w:r>
        <w:rPr>
          <w:color w:val="000080"/>
        </w:rPr>
        <w:t xml:space="preserve">) </w:t>
      </w:r>
      <w:r w:rsidR="00EF30E5">
        <w:rPr>
          <w:color w:val="000080"/>
        </w:rPr>
        <w:t xml:space="preserve">and </w:t>
      </w:r>
      <w:r>
        <w:rPr>
          <w:color w:val="000080"/>
        </w:rPr>
        <w:t xml:space="preserve">elected not to submit a minority opinion.  </w:t>
      </w:r>
    </w:p>
    <w:p w:rsidR="00CE144F" w:rsidRDefault="00CE144F" w:rsidP="00B70500">
      <w:pPr>
        <w:tabs>
          <w:tab w:val="left" w:pos="288"/>
          <w:tab w:val="left" w:pos="4752"/>
        </w:tabs>
        <w:spacing w:line="240" w:lineRule="exact"/>
        <w:jc w:val="both"/>
        <w:rPr>
          <w:color w:val="000080"/>
        </w:rPr>
      </w:pPr>
    </w:p>
    <w:p w:rsidR="00CE144F" w:rsidRPr="00D91DA6" w:rsidRDefault="00CE144F" w:rsidP="00CE144F">
      <w:pPr>
        <w:tabs>
          <w:tab w:val="left" w:pos="288"/>
          <w:tab w:val="left" w:pos="4752"/>
        </w:tabs>
        <w:spacing w:line="240" w:lineRule="exact"/>
        <w:jc w:val="both"/>
        <w:rPr>
          <w:color w:val="000080"/>
        </w:rPr>
      </w:pPr>
      <w:r w:rsidRPr="00D91DA6">
        <w:rPr>
          <w:color w:val="000080"/>
        </w:rPr>
        <w:t>________________________________________________________________</w:t>
      </w:r>
    </w:p>
    <w:p w:rsidR="002269A2" w:rsidRPr="00D91DA6" w:rsidRDefault="002269A2">
      <w:pPr>
        <w:tabs>
          <w:tab w:val="left" w:pos="288"/>
          <w:tab w:val="left" w:pos="4752"/>
        </w:tabs>
        <w:spacing w:line="240" w:lineRule="exact"/>
        <w:jc w:val="both"/>
        <w:rPr>
          <w:color w:val="000080"/>
        </w:rPr>
      </w:pPr>
    </w:p>
    <w:p w:rsidR="00E01634" w:rsidRDefault="00662F08" w:rsidP="00560074">
      <w:pPr>
        <w:tabs>
          <w:tab w:val="left" w:pos="288"/>
          <w:tab w:val="left" w:pos="4752"/>
        </w:tabs>
        <w:spacing w:line="240" w:lineRule="exact"/>
        <w:jc w:val="both"/>
        <w:rPr>
          <w:color w:val="000080"/>
        </w:rPr>
      </w:pPr>
      <w:r w:rsidRPr="00D91DA6">
        <w:rPr>
          <w:color w:val="000080"/>
          <w:u w:val="single"/>
        </w:rPr>
        <w:t>RECOMMENDATION</w:t>
      </w:r>
      <w:r w:rsidRPr="00F35E12">
        <w:rPr>
          <w:color w:val="000080"/>
        </w:rPr>
        <w:t>:</w:t>
      </w:r>
      <w:r w:rsidR="00F35E12">
        <w:rPr>
          <w:color w:val="000080"/>
        </w:rPr>
        <w:t xml:space="preserve"> </w:t>
      </w:r>
      <w:r w:rsidR="00E01634" w:rsidRPr="00A8277D">
        <w:rPr>
          <w:color w:val="000080"/>
        </w:rPr>
        <w:t xml:space="preserve">The </w:t>
      </w:r>
      <w:r w:rsidR="00573E18">
        <w:rPr>
          <w:color w:val="000080"/>
        </w:rPr>
        <w:t>Board</w:t>
      </w:r>
      <w:r w:rsidR="00E01634" w:rsidRPr="00A8277D">
        <w:rPr>
          <w:color w:val="000080"/>
        </w:rPr>
        <w:t xml:space="preserve"> recommends that the CI’s prior determination be </w:t>
      </w:r>
      <w:r w:rsidR="009B7DFB">
        <w:rPr>
          <w:color w:val="000080"/>
        </w:rPr>
        <w:t>modified</w:t>
      </w:r>
      <w:r w:rsidR="00E01634" w:rsidRPr="00A8277D">
        <w:rPr>
          <w:color w:val="000080"/>
        </w:rPr>
        <w:t xml:space="preserve"> as follows, effective as of the date of his prior medical separation.</w:t>
      </w:r>
    </w:p>
    <w:p w:rsidR="00A8277D" w:rsidRPr="00A8277D" w:rsidRDefault="00A8277D" w:rsidP="00A8277D">
      <w:pPr>
        <w:tabs>
          <w:tab w:val="left" w:pos="288"/>
          <w:tab w:val="left" w:pos="4752"/>
        </w:tabs>
        <w:spacing w:line="240" w:lineRule="exact"/>
        <w:jc w:val="both"/>
        <w:rPr>
          <w:color w:val="00008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1890"/>
        <w:gridCol w:w="1084"/>
      </w:tblGrid>
      <w:tr w:rsidR="00E01634" w:rsidRPr="00A8277D" w:rsidTr="00872A65">
        <w:tc>
          <w:tcPr>
            <w:tcW w:w="5310" w:type="dxa"/>
            <w:shd w:val="clear" w:color="auto" w:fill="D9D9D9"/>
          </w:tcPr>
          <w:p w:rsidR="00E01634" w:rsidRPr="00A8277D" w:rsidRDefault="00E01634" w:rsidP="00A8277D">
            <w:pPr>
              <w:tabs>
                <w:tab w:val="left" w:pos="288"/>
                <w:tab w:val="left" w:pos="4752"/>
              </w:tabs>
              <w:spacing w:line="240" w:lineRule="exact"/>
              <w:jc w:val="both"/>
              <w:rPr>
                <w:color w:val="000080"/>
              </w:rPr>
            </w:pPr>
            <w:r w:rsidRPr="00A8277D">
              <w:rPr>
                <w:color w:val="000080"/>
              </w:rPr>
              <w:t>Unfitting Condition</w:t>
            </w:r>
          </w:p>
        </w:tc>
        <w:tc>
          <w:tcPr>
            <w:tcW w:w="1890" w:type="dxa"/>
            <w:shd w:val="clear" w:color="auto" w:fill="D9D9D9"/>
          </w:tcPr>
          <w:p w:rsidR="00E01634" w:rsidRPr="00A8277D" w:rsidRDefault="00E01634" w:rsidP="00A8277D">
            <w:pPr>
              <w:tabs>
                <w:tab w:val="left" w:pos="288"/>
                <w:tab w:val="left" w:pos="4752"/>
              </w:tabs>
              <w:spacing w:line="240" w:lineRule="exact"/>
              <w:jc w:val="both"/>
              <w:rPr>
                <w:color w:val="000080"/>
              </w:rPr>
            </w:pPr>
            <w:r w:rsidRPr="00A8277D">
              <w:rPr>
                <w:color w:val="000080"/>
              </w:rPr>
              <w:t>VASRD Code</w:t>
            </w:r>
          </w:p>
        </w:tc>
        <w:tc>
          <w:tcPr>
            <w:tcW w:w="1084" w:type="dxa"/>
            <w:shd w:val="clear" w:color="auto" w:fill="D9D9D9"/>
          </w:tcPr>
          <w:p w:rsidR="00E01634" w:rsidRPr="00A8277D" w:rsidRDefault="00E01634" w:rsidP="00A8277D">
            <w:pPr>
              <w:tabs>
                <w:tab w:val="left" w:pos="288"/>
                <w:tab w:val="left" w:pos="4752"/>
              </w:tabs>
              <w:spacing w:line="240" w:lineRule="exact"/>
              <w:jc w:val="both"/>
              <w:rPr>
                <w:color w:val="000080"/>
              </w:rPr>
            </w:pPr>
            <w:r w:rsidRPr="00A8277D">
              <w:rPr>
                <w:color w:val="000080"/>
              </w:rPr>
              <w:t>Rating</w:t>
            </w:r>
          </w:p>
        </w:tc>
      </w:tr>
      <w:tr w:rsidR="00E01634" w:rsidRPr="00A8277D" w:rsidTr="00872A65">
        <w:tc>
          <w:tcPr>
            <w:tcW w:w="5310" w:type="dxa"/>
          </w:tcPr>
          <w:p w:rsidR="00E01634" w:rsidRPr="00A8277D" w:rsidRDefault="00872A65" w:rsidP="00A8277D">
            <w:pPr>
              <w:tabs>
                <w:tab w:val="left" w:pos="288"/>
                <w:tab w:val="left" w:pos="4752"/>
              </w:tabs>
              <w:spacing w:line="240" w:lineRule="exact"/>
              <w:jc w:val="both"/>
              <w:rPr>
                <w:color w:val="000080"/>
              </w:rPr>
            </w:pPr>
            <w:r>
              <w:rPr>
                <w:color w:val="000080"/>
              </w:rPr>
              <w:t xml:space="preserve">HNP, s/p </w:t>
            </w:r>
            <w:proofErr w:type="spellStart"/>
            <w:r>
              <w:rPr>
                <w:color w:val="000080"/>
              </w:rPr>
              <w:t>diskectomy</w:t>
            </w:r>
            <w:proofErr w:type="spellEnd"/>
            <w:r>
              <w:rPr>
                <w:color w:val="000080"/>
              </w:rPr>
              <w:t xml:space="preserve"> lumbar spine</w:t>
            </w:r>
          </w:p>
        </w:tc>
        <w:tc>
          <w:tcPr>
            <w:tcW w:w="1890" w:type="dxa"/>
          </w:tcPr>
          <w:p w:rsidR="00E01634" w:rsidRPr="00A8277D" w:rsidRDefault="00872A65" w:rsidP="00A8277D">
            <w:pPr>
              <w:tabs>
                <w:tab w:val="left" w:pos="288"/>
                <w:tab w:val="left" w:pos="4752"/>
              </w:tabs>
              <w:spacing w:line="240" w:lineRule="exact"/>
              <w:jc w:val="both"/>
              <w:rPr>
                <w:color w:val="000080"/>
              </w:rPr>
            </w:pPr>
            <w:r>
              <w:rPr>
                <w:color w:val="000080"/>
              </w:rPr>
              <w:t>5243-5242</w:t>
            </w:r>
          </w:p>
        </w:tc>
        <w:tc>
          <w:tcPr>
            <w:tcW w:w="1084" w:type="dxa"/>
          </w:tcPr>
          <w:p w:rsidR="00E01634" w:rsidRPr="00A8277D" w:rsidRDefault="00872A65" w:rsidP="00872A65">
            <w:pPr>
              <w:tabs>
                <w:tab w:val="left" w:pos="288"/>
                <w:tab w:val="left" w:pos="4752"/>
              </w:tabs>
              <w:spacing w:line="240" w:lineRule="exact"/>
              <w:jc w:val="center"/>
              <w:rPr>
                <w:color w:val="000080"/>
              </w:rPr>
            </w:pPr>
            <w:r>
              <w:rPr>
                <w:color w:val="000080"/>
              </w:rPr>
              <w:t>40%</w:t>
            </w:r>
          </w:p>
        </w:tc>
      </w:tr>
      <w:tr w:rsidR="00E01634" w:rsidRPr="00A8277D" w:rsidTr="00872A65">
        <w:tblPrEx>
          <w:tblLook w:val="0000"/>
        </w:tblPrEx>
        <w:trPr>
          <w:gridBefore w:val="1"/>
          <w:wBefore w:w="5310" w:type="dxa"/>
          <w:trHeight w:val="197"/>
        </w:trPr>
        <w:tc>
          <w:tcPr>
            <w:tcW w:w="1890" w:type="dxa"/>
            <w:tcBorders>
              <w:left w:val="single" w:sz="4" w:space="0" w:color="auto"/>
              <w:bottom w:val="single" w:sz="4" w:space="0" w:color="000000"/>
            </w:tcBorders>
          </w:tcPr>
          <w:p w:rsidR="00E01634" w:rsidRPr="00A8277D" w:rsidRDefault="00E01634" w:rsidP="00A8277D">
            <w:pPr>
              <w:tabs>
                <w:tab w:val="left" w:pos="288"/>
                <w:tab w:val="left" w:pos="4752"/>
              </w:tabs>
              <w:spacing w:line="240" w:lineRule="exact"/>
              <w:jc w:val="both"/>
              <w:rPr>
                <w:color w:val="000080"/>
              </w:rPr>
            </w:pPr>
            <w:r w:rsidRPr="00A8277D">
              <w:rPr>
                <w:color w:val="000080"/>
              </w:rPr>
              <w:t>Combined</w:t>
            </w:r>
          </w:p>
        </w:tc>
        <w:tc>
          <w:tcPr>
            <w:tcW w:w="1084" w:type="dxa"/>
            <w:tcBorders>
              <w:bottom w:val="single" w:sz="4" w:space="0" w:color="000000"/>
            </w:tcBorders>
          </w:tcPr>
          <w:p w:rsidR="00E01634" w:rsidRPr="00A8277D" w:rsidRDefault="00872A65" w:rsidP="00872A65">
            <w:pPr>
              <w:tabs>
                <w:tab w:val="left" w:pos="288"/>
                <w:tab w:val="left" w:pos="4752"/>
              </w:tabs>
              <w:spacing w:line="240" w:lineRule="exact"/>
              <w:jc w:val="center"/>
              <w:rPr>
                <w:color w:val="000080"/>
              </w:rPr>
            </w:pPr>
            <w:r>
              <w:rPr>
                <w:color w:val="000080"/>
              </w:rPr>
              <w:t>40</w:t>
            </w:r>
            <w:r w:rsidR="00E01634" w:rsidRPr="00A8277D">
              <w:rPr>
                <w:color w:val="000080"/>
              </w:rPr>
              <w:t>%</w:t>
            </w:r>
          </w:p>
        </w:tc>
      </w:tr>
    </w:tbl>
    <w:p w:rsidR="00662F08" w:rsidRPr="00D91DA6" w:rsidRDefault="00662F08">
      <w:pPr>
        <w:tabs>
          <w:tab w:val="left" w:pos="288"/>
          <w:tab w:val="left" w:pos="4752"/>
        </w:tabs>
        <w:spacing w:line="240" w:lineRule="exact"/>
        <w:jc w:val="both"/>
        <w:rPr>
          <w:color w:val="000080"/>
        </w:rPr>
      </w:pPr>
    </w:p>
    <w:p w:rsidR="00B522CD" w:rsidRDefault="00B522CD">
      <w:pPr>
        <w:tabs>
          <w:tab w:val="left" w:pos="288"/>
          <w:tab w:val="left" w:pos="4752"/>
        </w:tabs>
        <w:spacing w:line="240" w:lineRule="exact"/>
        <w:jc w:val="both"/>
        <w:rPr>
          <w:color w:val="000080"/>
        </w:rPr>
      </w:pPr>
      <w:r w:rsidRPr="00D91DA6">
        <w:rPr>
          <w:color w:val="000080"/>
        </w:rPr>
        <w:t>________________________________________________________________</w:t>
      </w:r>
    </w:p>
    <w:p w:rsidR="00D91DA6" w:rsidRDefault="00D91DA6">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w:t>
      </w:r>
      <w:r w:rsidR="00E01634">
        <w:rPr>
          <w:color w:val="000080"/>
        </w:rPr>
        <w:t xml:space="preserve"> </w:t>
      </w:r>
      <w:r w:rsidR="00872A65">
        <w:rPr>
          <w:color w:val="000080"/>
        </w:rPr>
        <w:t>20090121</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A5226B"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A5226B" w:rsidRDefault="00A5226B">
      <w:pPr>
        <w:rPr>
          <w:color w:val="000080"/>
        </w:rPr>
      </w:pPr>
      <w:r>
        <w:rPr>
          <w:color w:val="000080"/>
        </w:rPr>
        <w:br w:type="page"/>
      </w:r>
    </w:p>
    <w:p w:rsidR="00A5226B" w:rsidRDefault="00A5226B" w:rsidP="00A5226B">
      <w:pPr>
        <w:pStyle w:val="Default"/>
        <w:framePr w:w="16554" w:wrap="auto" w:vAnchor="page" w:hAnchor="page" w:x="101" w:y="13938"/>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Default="00114F20" w:rsidP="00114F20">
      <w:pPr>
        <w:tabs>
          <w:tab w:val="left" w:pos="288"/>
          <w:tab w:val="left" w:pos="4752"/>
        </w:tabs>
        <w:spacing w:line="240" w:lineRule="exact"/>
        <w:rPr>
          <w:color w:val="000080"/>
        </w:rPr>
      </w:pPr>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Pr="00D91DA6" w:rsidRDefault="00114F20">
      <w:pPr>
        <w:tabs>
          <w:tab w:val="left" w:pos="288"/>
          <w:tab w:val="left" w:pos="4752"/>
        </w:tabs>
        <w:spacing w:line="240" w:lineRule="exact"/>
        <w:jc w:val="both"/>
        <w:rPr>
          <w:color w:val="000080"/>
        </w:rPr>
      </w:pPr>
    </w:p>
    <w:p w:rsidR="00B522CD" w:rsidRPr="00D91DA6" w:rsidRDefault="002269A2" w:rsidP="00CC041A">
      <w:pPr>
        <w:tabs>
          <w:tab w:val="left" w:pos="0"/>
          <w:tab w:val="left" w:pos="4140"/>
        </w:tabs>
        <w:spacing w:line="240" w:lineRule="exact"/>
        <w:rPr>
          <w:color w:val="000080"/>
          <w:sz w:val="32"/>
        </w:rPr>
      </w:pPr>
      <w:r>
        <w:rPr>
          <w:color w:val="000080"/>
        </w:rPr>
        <w:tab/>
      </w:r>
    </w:p>
    <w:sectPr w:rsidR="00B522CD" w:rsidRPr="00D91DA6" w:rsidSect="002269A2">
      <w:footerReference w:type="even" r:id="rId8"/>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43" w:rsidRDefault="00821A43">
      <w:r>
        <w:separator/>
      </w:r>
    </w:p>
  </w:endnote>
  <w:endnote w:type="continuationSeparator" w:id="0">
    <w:p w:rsidR="00821A43" w:rsidRDefault="00821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A0" w:rsidRDefault="0032098D">
    <w:pPr>
      <w:pStyle w:val="Footer"/>
      <w:framePr w:wrap="around" w:vAnchor="text" w:hAnchor="margin" w:xAlign="center" w:y="1"/>
      <w:rPr>
        <w:rStyle w:val="PageNumber"/>
      </w:rPr>
    </w:pPr>
    <w:r>
      <w:rPr>
        <w:rStyle w:val="PageNumber"/>
      </w:rPr>
      <w:fldChar w:fldCharType="begin"/>
    </w:r>
    <w:r w:rsidR="007761A0">
      <w:rPr>
        <w:rStyle w:val="PageNumber"/>
      </w:rPr>
      <w:instrText xml:space="preserve">PAGE  </w:instrText>
    </w:r>
    <w:r>
      <w:rPr>
        <w:rStyle w:val="PageNumber"/>
      </w:rPr>
      <w:fldChar w:fldCharType="separate"/>
    </w:r>
    <w:r w:rsidR="00A5226B">
      <w:rPr>
        <w:rStyle w:val="PageNumber"/>
        <w:noProof/>
      </w:rPr>
      <w:t>4</w:t>
    </w:r>
    <w:r>
      <w:rPr>
        <w:rStyle w:val="PageNumber"/>
      </w:rPr>
      <w:fldChar w:fldCharType="end"/>
    </w:r>
  </w:p>
  <w:p w:rsidR="007761A0" w:rsidRDefault="00AE4789">
    <w:pPr>
      <w:pStyle w:val="Footer"/>
    </w:pPr>
    <w:r>
      <w:t>PD-2009-00051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A0" w:rsidRDefault="0032098D">
    <w:pPr>
      <w:pStyle w:val="Footer"/>
      <w:framePr w:wrap="around" w:vAnchor="text" w:hAnchor="margin" w:xAlign="center" w:y="1"/>
      <w:rPr>
        <w:rStyle w:val="PageNumber"/>
      </w:rPr>
    </w:pPr>
    <w:r>
      <w:rPr>
        <w:rStyle w:val="PageNumber"/>
      </w:rPr>
      <w:fldChar w:fldCharType="begin"/>
    </w:r>
    <w:r w:rsidR="007761A0">
      <w:rPr>
        <w:rStyle w:val="PageNumber"/>
      </w:rPr>
      <w:instrText xml:space="preserve">PAGE  </w:instrText>
    </w:r>
    <w:r>
      <w:rPr>
        <w:rStyle w:val="PageNumber"/>
      </w:rPr>
      <w:fldChar w:fldCharType="separate"/>
    </w:r>
    <w:r w:rsidR="00A5226B">
      <w:rPr>
        <w:rStyle w:val="PageNumber"/>
        <w:noProof/>
      </w:rPr>
      <w:t>3</w:t>
    </w:r>
    <w:r>
      <w:rPr>
        <w:rStyle w:val="PageNumber"/>
      </w:rPr>
      <w:fldChar w:fldCharType="end"/>
    </w:r>
  </w:p>
  <w:p w:rsidR="007761A0" w:rsidRDefault="00776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89" w:rsidRDefault="00AE4789">
    <w:pPr>
      <w:pStyle w:val="Footer"/>
    </w:pPr>
  </w:p>
  <w:p w:rsidR="00AE4789" w:rsidRDefault="00AE4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43" w:rsidRDefault="00821A43">
      <w:r>
        <w:separator/>
      </w:r>
    </w:p>
  </w:footnote>
  <w:footnote w:type="continuationSeparator" w:id="0">
    <w:p w:rsidR="00821A43" w:rsidRDefault="00821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A11E4"/>
    <w:rsid w:val="000A1993"/>
    <w:rsid w:val="000A2BCE"/>
    <w:rsid w:val="000A7438"/>
    <w:rsid w:val="000D43F9"/>
    <w:rsid w:val="000F427B"/>
    <w:rsid w:val="00114F20"/>
    <w:rsid w:val="00177659"/>
    <w:rsid w:val="00185ECB"/>
    <w:rsid w:val="001B1FDC"/>
    <w:rsid w:val="001C2053"/>
    <w:rsid w:val="001C28D1"/>
    <w:rsid w:val="001D6A8C"/>
    <w:rsid w:val="001E4EB1"/>
    <w:rsid w:val="002269A2"/>
    <w:rsid w:val="00246860"/>
    <w:rsid w:val="00266F36"/>
    <w:rsid w:val="00274E46"/>
    <w:rsid w:val="002877EA"/>
    <w:rsid w:val="0032098D"/>
    <w:rsid w:val="00355EA6"/>
    <w:rsid w:val="00393651"/>
    <w:rsid w:val="003940DB"/>
    <w:rsid w:val="003B6D62"/>
    <w:rsid w:val="003D7DDB"/>
    <w:rsid w:val="003E0543"/>
    <w:rsid w:val="004007E9"/>
    <w:rsid w:val="004322DE"/>
    <w:rsid w:val="004574C6"/>
    <w:rsid w:val="004A4136"/>
    <w:rsid w:val="004A4825"/>
    <w:rsid w:val="00560074"/>
    <w:rsid w:val="00573E18"/>
    <w:rsid w:val="00662F08"/>
    <w:rsid w:val="006A40E6"/>
    <w:rsid w:val="006E7356"/>
    <w:rsid w:val="006F2597"/>
    <w:rsid w:val="00744EBB"/>
    <w:rsid w:val="00775354"/>
    <w:rsid w:val="007761A0"/>
    <w:rsid w:val="007A168F"/>
    <w:rsid w:val="007B0A06"/>
    <w:rsid w:val="007C6436"/>
    <w:rsid w:val="007E4FBB"/>
    <w:rsid w:val="00811D5B"/>
    <w:rsid w:val="00821A43"/>
    <w:rsid w:val="00830999"/>
    <w:rsid w:val="00830D5E"/>
    <w:rsid w:val="00872A65"/>
    <w:rsid w:val="008F7167"/>
    <w:rsid w:val="00914ADB"/>
    <w:rsid w:val="00942645"/>
    <w:rsid w:val="009972CC"/>
    <w:rsid w:val="009B69D3"/>
    <w:rsid w:val="009B7DFB"/>
    <w:rsid w:val="00A5226B"/>
    <w:rsid w:val="00A61443"/>
    <w:rsid w:val="00A8277D"/>
    <w:rsid w:val="00A86CB6"/>
    <w:rsid w:val="00AE4789"/>
    <w:rsid w:val="00AE5ACE"/>
    <w:rsid w:val="00B33D98"/>
    <w:rsid w:val="00B34F8E"/>
    <w:rsid w:val="00B45806"/>
    <w:rsid w:val="00B522CD"/>
    <w:rsid w:val="00B613CE"/>
    <w:rsid w:val="00B70500"/>
    <w:rsid w:val="00B82277"/>
    <w:rsid w:val="00BC4372"/>
    <w:rsid w:val="00C85579"/>
    <w:rsid w:val="00CB28E2"/>
    <w:rsid w:val="00CC041A"/>
    <w:rsid w:val="00CD1278"/>
    <w:rsid w:val="00CD34C7"/>
    <w:rsid w:val="00CE144F"/>
    <w:rsid w:val="00CE455E"/>
    <w:rsid w:val="00D40ECE"/>
    <w:rsid w:val="00D5118C"/>
    <w:rsid w:val="00D52393"/>
    <w:rsid w:val="00D76AB2"/>
    <w:rsid w:val="00D910C2"/>
    <w:rsid w:val="00D91DA6"/>
    <w:rsid w:val="00DE209B"/>
    <w:rsid w:val="00DE7E74"/>
    <w:rsid w:val="00E01634"/>
    <w:rsid w:val="00E15539"/>
    <w:rsid w:val="00EC5E64"/>
    <w:rsid w:val="00EF30E5"/>
    <w:rsid w:val="00EF608E"/>
    <w:rsid w:val="00F0355C"/>
    <w:rsid w:val="00F1516A"/>
    <w:rsid w:val="00F22A26"/>
    <w:rsid w:val="00F35E12"/>
    <w:rsid w:val="00F64511"/>
    <w:rsid w:val="00F72183"/>
    <w:rsid w:val="00FB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940DB"/>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rsid w:val="00EF30E5"/>
    <w:rPr>
      <w:rFonts w:ascii="Tahoma" w:hAnsi="Tahoma" w:cs="Tahoma"/>
      <w:sz w:val="16"/>
      <w:szCs w:val="16"/>
    </w:rPr>
  </w:style>
  <w:style w:type="character" w:customStyle="1" w:styleId="BalloonTextChar">
    <w:name w:val="Balloon Text Char"/>
    <w:basedOn w:val="DefaultParagraphFont"/>
    <w:link w:val="BalloonText"/>
    <w:rsid w:val="00EF30E5"/>
    <w:rPr>
      <w:rFonts w:ascii="Tahoma" w:hAnsi="Tahoma" w:cs="Tahoma"/>
      <w:color w:val="008080"/>
      <w:sz w:val="16"/>
      <w:szCs w:val="16"/>
    </w:rPr>
  </w:style>
  <w:style w:type="character" w:customStyle="1" w:styleId="FooterChar">
    <w:name w:val="Footer Char"/>
    <w:basedOn w:val="DefaultParagraphFont"/>
    <w:link w:val="Footer"/>
    <w:uiPriority w:val="99"/>
    <w:rsid w:val="00AE4789"/>
    <w:rPr>
      <w:color w:val="008080"/>
      <w:sz w:val="24"/>
    </w:rPr>
  </w:style>
  <w:style w:type="paragraph" w:customStyle="1" w:styleId="Default">
    <w:name w:val="Default"/>
    <w:rsid w:val="00A5226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2009-06-23T15:09:00Z</cp:lastPrinted>
  <dcterms:created xsi:type="dcterms:W3CDTF">2012-01-11T15:25:00Z</dcterms:created>
  <dcterms:modified xsi:type="dcterms:W3CDTF">2012-01-11T20:30:00Z</dcterms:modified>
</cp:coreProperties>
</file>