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CD" w:rsidRPr="00D91DA6" w:rsidRDefault="00B522CD" w:rsidP="008963BD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  <w:r w:rsidRPr="00D91DA6">
        <w:rPr>
          <w:color w:val="000080"/>
        </w:rPr>
        <w:t>RECORD OF PROCEEDINGS</w:t>
      </w:r>
    </w:p>
    <w:p w:rsidR="00662F08" w:rsidRPr="00D91DA6" w:rsidRDefault="00662F08" w:rsidP="008963BD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  <w:r w:rsidRPr="00D91DA6">
        <w:rPr>
          <w:color w:val="000080"/>
        </w:rPr>
        <w:t xml:space="preserve">PHYSICAL DISABILITY </w:t>
      </w:r>
      <w:r w:rsidR="00E15539">
        <w:rPr>
          <w:color w:val="000080"/>
        </w:rPr>
        <w:t>BOARD OF REVIEW</w:t>
      </w:r>
    </w:p>
    <w:p w:rsidR="00662F08" w:rsidRPr="00D91DA6" w:rsidRDefault="00662F08" w:rsidP="008963BD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</w:p>
    <w:p w:rsidR="00662F08" w:rsidRPr="001D442E" w:rsidRDefault="00662F08" w:rsidP="008963BD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  <w:r w:rsidRPr="00D91DA6">
        <w:rPr>
          <w:color w:val="000080"/>
        </w:rPr>
        <w:t>NAME:</w:t>
      </w:r>
      <w:r w:rsidR="00051622" w:rsidRPr="00D91DA6">
        <w:rPr>
          <w:color w:val="000080"/>
        </w:rPr>
        <w:tab/>
      </w:r>
      <w:r w:rsidR="00D91DA6">
        <w:rPr>
          <w:color w:val="000080"/>
        </w:rPr>
        <w:t>BRANCH OF SERVICE</w:t>
      </w:r>
      <w:r w:rsidR="00051622" w:rsidRPr="00D91DA6">
        <w:rPr>
          <w:color w:val="000080"/>
        </w:rPr>
        <w:t xml:space="preserve">: </w:t>
      </w:r>
      <w:r w:rsidR="008413DC" w:rsidRPr="001D442E">
        <w:rPr>
          <w:caps/>
          <w:color w:val="000080"/>
        </w:rPr>
        <w:t>ARMY</w:t>
      </w:r>
    </w:p>
    <w:p w:rsidR="00B522CD" w:rsidRPr="00D91DA6" w:rsidRDefault="00D91DA6" w:rsidP="008963BD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>CASE</w:t>
      </w:r>
      <w:r w:rsidR="001C28D1" w:rsidRPr="00D91DA6">
        <w:rPr>
          <w:color w:val="000080"/>
        </w:rPr>
        <w:t xml:space="preserve"> NUMBER:  </w:t>
      </w:r>
      <w:r w:rsidR="008413DC">
        <w:rPr>
          <w:color w:val="000080"/>
        </w:rPr>
        <w:t>PD0900</w:t>
      </w:r>
      <w:r w:rsidR="00E0106A">
        <w:rPr>
          <w:color w:val="000080"/>
        </w:rPr>
        <w:t>041</w:t>
      </w:r>
      <w:r w:rsidR="00E0106A">
        <w:rPr>
          <w:color w:val="000080"/>
        </w:rPr>
        <w:tab/>
      </w:r>
      <w:r>
        <w:rPr>
          <w:color w:val="000080"/>
        </w:rPr>
        <w:t xml:space="preserve">COMPONENT: </w:t>
      </w:r>
      <w:r w:rsidR="00695B8D">
        <w:rPr>
          <w:caps/>
          <w:color w:val="000080"/>
        </w:rPr>
        <w:t>REGULAR</w:t>
      </w:r>
    </w:p>
    <w:p w:rsidR="00662F08" w:rsidRDefault="00662F08" w:rsidP="008963BD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 w:rsidRPr="00D91DA6">
        <w:rPr>
          <w:color w:val="000080"/>
        </w:rPr>
        <w:t xml:space="preserve">BOARD DATE: </w:t>
      </w:r>
      <w:r w:rsidR="008413DC">
        <w:rPr>
          <w:color w:val="000080"/>
        </w:rPr>
        <w:t>200906</w:t>
      </w:r>
      <w:r w:rsidR="00E0106A">
        <w:rPr>
          <w:color w:val="000080"/>
        </w:rPr>
        <w:t>30</w:t>
      </w:r>
      <w:r w:rsidR="00D91DA6">
        <w:rPr>
          <w:color w:val="000080"/>
        </w:rPr>
        <w:tab/>
      </w:r>
      <w:r w:rsidR="00D91DA6" w:rsidRPr="00D91DA6">
        <w:rPr>
          <w:color w:val="000080"/>
        </w:rPr>
        <w:t xml:space="preserve">SEPARATION DATE: </w:t>
      </w:r>
      <w:r w:rsidR="008413DC">
        <w:rPr>
          <w:color w:val="000080"/>
        </w:rPr>
        <w:t>20040</w:t>
      </w:r>
      <w:r w:rsidR="00E0106A">
        <w:rPr>
          <w:color w:val="000080"/>
        </w:rPr>
        <w:t>315</w:t>
      </w:r>
    </w:p>
    <w:p w:rsidR="00EA7F6F" w:rsidRPr="00D91DA6" w:rsidRDefault="00EA7F6F" w:rsidP="008963BD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</w:p>
    <w:p w:rsidR="00B522CD" w:rsidRPr="00D91DA6" w:rsidRDefault="00B522CD" w:rsidP="008963B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</w:rPr>
        <w:t>_________________________________</w:t>
      </w:r>
      <w:r w:rsidR="006F1A46">
        <w:rPr>
          <w:color w:val="000080"/>
        </w:rPr>
        <w:t>_______________________________</w:t>
      </w:r>
    </w:p>
    <w:p w:rsidR="006F1A46" w:rsidRDefault="006F1A46" w:rsidP="008963B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5D0DA2" w:rsidRDefault="00811D5B" w:rsidP="008963B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  <w:shd w:val="clear" w:color="auto" w:fill="FFFFFF" w:themeFill="background1"/>
        </w:rPr>
      </w:pPr>
      <w:r w:rsidRPr="00D91DA6">
        <w:rPr>
          <w:color w:val="000080"/>
          <w:u w:val="single"/>
        </w:rPr>
        <w:t>SUMMARY</w:t>
      </w:r>
      <w:r w:rsidR="003D7DDB" w:rsidRPr="00D91DA6">
        <w:rPr>
          <w:color w:val="000080"/>
          <w:u w:val="single"/>
        </w:rPr>
        <w:t xml:space="preserve"> OF CASE</w:t>
      </w:r>
      <w:r w:rsidR="00B522CD" w:rsidRPr="00D91DA6">
        <w:rPr>
          <w:color w:val="000080"/>
        </w:rPr>
        <w:t>:</w:t>
      </w:r>
      <w:r w:rsidR="001618B7">
        <w:rPr>
          <w:color w:val="000080"/>
        </w:rPr>
        <w:t xml:space="preserve">  </w:t>
      </w:r>
      <w:r w:rsidR="006F1A46" w:rsidRPr="00646FBC">
        <w:rPr>
          <w:color w:val="000080"/>
        </w:rPr>
        <w:t xml:space="preserve">This </w:t>
      </w:r>
      <w:r w:rsidR="006F1A46" w:rsidRPr="001D442E">
        <w:rPr>
          <w:color w:val="000080"/>
        </w:rPr>
        <w:t xml:space="preserve">covered individual (CI) was </w:t>
      </w:r>
      <w:r w:rsidR="008413DC" w:rsidRPr="001D442E">
        <w:rPr>
          <w:color w:val="000080"/>
        </w:rPr>
        <w:t>an</w:t>
      </w:r>
      <w:r w:rsidR="001D442E" w:rsidRPr="001D442E">
        <w:rPr>
          <w:color w:val="000080"/>
        </w:rPr>
        <w:t xml:space="preserve"> SFC  </w:t>
      </w:r>
      <w:r w:rsidR="006F1A46" w:rsidRPr="001D442E">
        <w:rPr>
          <w:color w:val="000080"/>
        </w:rPr>
        <w:t>medically</w:t>
      </w:r>
      <w:r w:rsidR="008413DC" w:rsidRPr="001D442E">
        <w:rPr>
          <w:color w:val="000080"/>
        </w:rPr>
        <w:t xml:space="preserve"> separated from the Army in 2004</w:t>
      </w:r>
      <w:r w:rsidR="006F1A46" w:rsidRPr="001D442E">
        <w:rPr>
          <w:color w:val="000080"/>
        </w:rPr>
        <w:t xml:space="preserve"> after </w:t>
      </w:r>
      <w:r w:rsidR="008413DC" w:rsidRPr="001D442E">
        <w:rPr>
          <w:color w:val="000080"/>
        </w:rPr>
        <w:t>1</w:t>
      </w:r>
      <w:r w:rsidR="001D442E" w:rsidRPr="001D442E">
        <w:rPr>
          <w:color w:val="000080"/>
        </w:rPr>
        <w:t>4</w:t>
      </w:r>
      <w:r w:rsidR="006F1A46" w:rsidRPr="001D442E">
        <w:rPr>
          <w:color w:val="000080"/>
        </w:rPr>
        <w:t xml:space="preserve"> years of </w:t>
      </w:r>
      <w:r w:rsidR="001D442E" w:rsidRPr="001D442E">
        <w:rPr>
          <w:color w:val="000080"/>
        </w:rPr>
        <w:t xml:space="preserve">active duty and 24 years </w:t>
      </w:r>
      <w:r w:rsidR="008413DC" w:rsidRPr="001D442E">
        <w:rPr>
          <w:color w:val="000080"/>
        </w:rPr>
        <w:t xml:space="preserve">combined </w:t>
      </w:r>
      <w:r w:rsidR="006F1A46" w:rsidRPr="001D442E">
        <w:rPr>
          <w:color w:val="000080"/>
        </w:rPr>
        <w:t xml:space="preserve">service.  The medical basis for the separation was </w:t>
      </w:r>
      <w:r w:rsidR="008413DC" w:rsidRPr="001D442E">
        <w:rPr>
          <w:color w:val="000080"/>
        </w:rPr>
        <w:t xml:space="preserve">a back condition.  </w:t>
      </w:r>
      <w:r w:rsidR="008413DC" w:rsidRPr="00523AC4">
        <w:rPr>
          <w:color w:val="000080"/>
        </w:rPr>
        <w:t xml:space="preserve">He was a </w:t>
      </w:r>
      <w:r w:rsidR="001D442E" w:rsidRPr="00523AC4">
        <w:rPr>
          <w:color w:val="000080"/>
        </w:rPr>
        <w:t xml:space="preserve">battalion supply SGT </w:t>
      </w:r>
      <w:r w:rsidR="008413DC" w:rsidRPr="00523AC4">
        <w:rPr>
          <w:color w:val="000080"/>
        </w:rPr>
        <w:t xml:space="preserve">who injured his back </w:t>
      </w:r>
      <w:r w:rsidR="001D442E" w:rsidRPr="00523AC4">
        <w:rPr>
          <w:color w:val="000080"/>
        </w:rPr>
        <w:t xml:space="preserve">in 2000 </w:t>
      </w:r>
      <w:r w:rsidR="008413DC" w:rsidRPr="00523AC4">
        <w:rPr>
          <w:color w:val="000080"/>
        </w:rPr>
        <w:t>wh</w:t>
      </w:r>
      <w:r w:rsidR="001D442E" w:rsidRPr="00523AC4">
        <w:rPr>
          <w:color w:val="000080"/>
        </w:rPr>
        <w:t>ile lifting.</w:t>
      </w:r>
      <w:r w:rsidR="00523AC4">
        <w:rPr>
          <w:color w:val="000080"/>
        </w:rPr>
        <w:t xml:space="preserve">  CI underwent medical evaluation and was diagnosed with degenerative disc disease (DDD) in the </w:t>
      </w:r>
      <w:proofErr w:type="spellStart"/>
      <w:r w:rsidR="00523AC4">
        <w:rPr>
          <w:color w:val="000080"/>
        </w:rPr>
        <w:t>lumbosacral</w:t>
      </w:r>
      <w:proofErr w:type="spellEnd"/>
      <w:r w:rsidR="00523AC4">
        <w:rPr>
          <w:color w:val="000080"/>
        </w:rPr>
        <w:t xml:space="preserve"> spine with radiation of pain down his </w:t>
      </w:r>
      <w:r w:rsidR="00523AC4" w:rsidRPr="00CE5B1C">
        <w:rPr>
          <w:color w:val="000080"/>
        </w:rPr>
        <w:t>legs</w:t>
      </w:r>
      <w:r w:rsidR="00523AC4">
        <w:rPr>
          <w:color w:val="000080"/>
        </w:rPr>
        <w:t xml:space="preserve"> (</w:t>
      </w:r>
      <w:r w:rsidR="00523AC4" w:rsidRPr="007920A9">
        <w:rPr>
          <w:color w:val="000080"/>
        </w:rPr>
        <w:t xml:space="preserve">bilateral LE).  CI underwent numerous non-surgical treatments </w:t>
      </w:r>
      <w:r w:rsidR="007920A9" w:rsidRPr="007920A9">
        <w:rPr>
          <w:color w:val="000080"/>
        </w:rPr>
        <w:t xml:space="preserve">that did not provide lasting relief sufficient for continued service.  </w:t>
      </w:r>
      <w:r w:rsidR="006F1A46" w:rsidRPr="007920A9">
        <w:rPr>
          <w:color w:val="000080"/>
        </w:rPr>
        <w:t xml:space="preserve">He was referred to the PEB, found unfit and separated at </w:t>
      </w:r>
      <w:r w:rsidR="00C749FA" w:rsidRPr="007920A9">
        <w:rPr>
          <w:color w:val="000080"/>
        </w:rPr>
        <w:t>10</w:t>
      </w:r>
      <w:r w:rsidR="006F1A46" w:rsidRPr="007920A9">
        <w:rPr>
          <w:color w:val="000080"/>
        </w:rPr>
        <w:t>% disability</w:t>
      </w:r>
      <w:r w:rsidR="006F1A46" w:rsidRPr="007920A9">
        <w:rPr>
          <w:color w:val="000080"/>
          <w:shd w:val="clear" w:color="auto" w:fill="FFFFFF" w:themeFill="background1"/>
        </w:rPr>
        <w:t xml:space="preserve">.  </w:t>
      </w:r>
      <w:r w:rsidR="001D442E" w:rsidRPr="007920A9">
        <w:rPr>
          <w:color w:val="000080"/>
          <w:shd w:val="clear" w:color="auto" w:fill="FFFFFF" w:themeFill="background1"/>
        </w:rPr>
        <w:t>T</w:t>
      </w:r>
      <w:r w:rsidR="00C749FA" w:rsidRPr="007920A9">
        <w:rPr>
          <w:color w:val="000080"/>
          <w:shd w:val="clear" w:color="auto" w:fill="FFFFFF" w:themeFill="background1"/>
        </w:rPr>
        <w:t xml:space="preserve">he VA </w:t>
      </w:r>
      <w:r w:rsidR="001D442E" w:rsidRPr="007920A9">
        <w:rPr>
          <w:color w:val="000080"/>
          <w:shd w:val="clear" w:color="auto" w:fill="FFFFFF" w:themeFill="background1"/>
        </w:rPr>
        <w:t xml:space="preserve">did not do an independent </w:t>
      </w:r>
      <w:r w:rsidR="00CE5B1C">
        <w:rPr>
          <w:color w:val="000080"/>
          <w:shd w:val="clear" w:color="auto" w:fill="FFFFFF" w:themeFill="background1"/>
        </w:rPr>
        <w:t>examination</w:t>
      </w:r>
      <w:r w:rsidR="001D442E" w:rsidRPr="007920A9">
        <w:rPr>
          <w:color w:val="000080"/>
          <w:shd w:val="clear" w:color="auto" w:fill="FFFFFF" w:themeFill="background1"/>
        </w:rPr>
        <w:t>, but rated CI</w:t>
      </w:r>
      <w:r w:rsidR="00D72C5D">
        <w:rPr>
          <w:color w:val="000080"/>
          <w:shd w:val="clear" w:color="auto" w:fill="FFFFFF" w:themeFill="background1"/>
        </w:rPr>
        <w:t>’s lower back</w:t>
      </w:r>
      <w:r w:rsidR="001D442E" w:rsidRPr="007920A9">
        <w:rPr>
          <w:color w:val="000080"/>
          <w:shd w:val="clear" w:color="auto" w:fill="FFFFFF" w:themeFill="background1"/>
        </w:rPr>
        <w:t xml:space="preserve"> </w:t>
      </w:r>
      <w:r w:rsidR="00B80B7B" w:rsidRPr="007920A9">
        <w:rPr>
          <w:color w:val="000080"/>
          <w:shd w:val="clear" w:color="auto" w:fill="FFFFFF" w:themeFill="background1"/>
        </w:rPr>
        <w:t xml:space="preserve">at 40% </w:t>
      </w:r>
      <w:r w:rsidR="00CE5B1C" w:rsidRPr="007920A9">
        <w:rPr>
          <w:color w:val="000080"/>
          <w:shd w:val="clear" w:color="auto" w:fill="FFFFFF" w:themeFill="background1"/>
        </w:rPr>
        <w:t xml:space="preserve">prior to separation </w:t>
      </w:r>
      <w:r w:rsidR="001D442E" w:rsidRPr="007920A9">
        <w:rPr>
          <w:color w:val="000080"/>
          <w:shd w:val="clear" w:color="auto" w:fill="FFFFFF" w:themeFill="background1"/>
        </w:rPr>
        <w:t xml:space="preserve">based on his </w:t>
      </w:r>
      <w:r w:rsidR="00CE5B1C">
        <w:rPr>
          <w:color w:val="000080"/>
          <w:shd w:val="clear" w:color="auto" w:fill="FFFFFF" w:themeFill="background1"/>
        </w:rPr>
        <w:t xml:space="preserve">service </w:t>
      </w:r>
      <w:r w:rsidR="001D442E" w:rsidRPr="007920A9">
        <w:rPr>
          <w:color w:val="000080"/>
          <w:shd w:val="clear" w:color="auto" w:fill="FFFFFF" w:themeFill="background1"/>
        </w:rPr>
        <w:t>treatment records</w:t>
      </w:r>
      <w:r w:rsidR="00B80B7B" w:rsidRPr="007920A9">
        <w:rPr>
          <w:color w:val="000080"/>
          <w:shd w:val="clear" w:color="auto" w:fill="FFFFFF" w:themeFill="background1"/>
        </w:rPr>
        <w:t>.</w:t>
      </w:r>
      <w:r w:rsidR="001D442E" w:rsidRPr="007920A9">
        <w:rPr>
          <w:color w:val="000080"/>
          <w:shd w:val="clear" w:color="auto" w:fill="FFFFFF" w:themeFill="background1"/>
        </w:rPr>
        <w:t xml:space="preserve"> </w:t>
      </w:r>
      <w:r w:rsidR="00B80B7B" w:rsidRPr="007920A9">
        <w:rPr>
          <w:color w:val="000080"/>
          <w:shd w:val="clear" w:color="auto" w:fill="FFFFFF" w:themeFill="background1"/>
        </w:rPr>
        <w:t xml:space="preserve"> </w:t>
      </w:r>
    </w:p>
    <w:p w:rsidR="008963BD" w:rsidRDefault="008963BD" w:rsidP="008963BD">
      <w:r>
        <w:rPr>
          <w:color w:val="000080"/>
        </w:rPr>
        <w:t>________________________________________________________________</w:t>
      </w:r>
    </w:p>
    <w:p w:rsidR="008963BD" w:rsidRPr="008963BD" w:rsidRDefault="008963BD" w:rsidP="008963B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662F08" w:rsidRDefault="005D0DA2" w:rsidP="008963B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5D0DA2">
        <w:rPr>
          <w:color w:val="000080"/>
          <w:u w:val="single"/>
        </w:rPr>
        <w:t>CI CONTENTION</w:t>
      </w:r>
      <w:r>
        <w:rPr>
          <w:color w:val="000080"/>
        </w:rPr>
        <w:t xml:space="preserve">:  </w:t>
      </w:r>
      <w:r w:rsidR="006F1A46" w:rsidRPr="007920A9">
        <w:rPr>
          <w:color w:val="000080"/>
        </w:rPr>
        <w:t xml:space="preserve">The CI contends </w:t>
      </w:r>
      <w:r w:rsidR="00C749FA" w:rsidRPr="007920A9">
        <w:rPr>
          <w:color w:val="000080"/>
        </w:rPr>
        <w:t xml:space="preserve">for </w:t>
      </w:r>
      <w:r w:rsidR="00B80B7B" w:rsidRPr="007920A9">
        <w:rPr>
          <w:color w:val="000080"/>
        </w:rPr>
        <w:t xml:space="preserve">40% for </w:t>
      </w:r>
      <w:proofErr w:type="spellStart"/>
      <w:r w:rsidR="00B80B7B" w:rsidRPr="007920A9">
        <w:rPr>
          <w:color w:val="000080"/>
        </w:rPr>
        <w:t>lumbosacral</w:t>
      </w:r>
      <w:proofErr w:type="spellEnd"/>
      <w:r w:rsidR="00B80B7B" w:rsidRPr="007920A9">
        <w:rPr>
          <w:color w:val="000080"/>
        </w:rPr>
        <w:t xml:space="preserve"> disease as rated by the VA before separation.  </w:t>
      </w:r>
      <w:r w:rsidR="007920A9" w:rsidRPr="007920A9">
        <w:rPr>
          <w:color w:val="000080"/>
        </w:rPr>
        <w:t xml:space="preserve">There were no other injuries or medical conditions contended.  </w:t>
      </w:r>
      <w:r w:rsidR="007920A9">
        <w:rPr>
          <w:color w:val="000080"/>
        </w:rPr>
        <w:t xml:space="preserve"> </w:t>
      </w:r>
      <w:r w:rsidR="00CE5B1C">
        <w:rPr>
          <w:color w:val="000080"/>
        </w:rPr>
        <w:t xml:space="preserve"> </w:t>
      </w:r>
    </w:p>
    <w:p w:rsidR="008963BD" w:rsidRDefault="008963BD" w:rsidP="008963BD">
      <w:r>
        <w:rPr>
          <w:color w:val="000080"/>
        </w:rPr>
        <w:t>________________________________________________________________</w:t>
      </w:r>
    </w:p>
    <w:p w:rsidR="008963BD" w:rsidRDefault="008963BD" w:rsidP="008963B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  <w:u w:val="single"/>
        </w:rPr>
      </w:pPr>
    </w:p>
    <w:p w:rsidR="005D0DA2" w:rsidRDefault="005D0DA2" w:rsidP="008963B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>
        <w:rPr>
          <w:color w:val="000080"/>
          <w:u w:val="single"/>
        </w:rPr>
        <w:t>RATING COMPARISON</w:t>
      </w:r>
      <w:r>
        <w:rPr>
          <w:color w:val="000080"/>
        </w:rPr>
        <w:t xml:space="preserve">:  </w:t>
      </w:r>
    </w:p>
    <w:p w:rsidR="00EA7F6F" w:rsidRDefault="00EA7F6F" w:rsidP="008963B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tbl>
      <w:tblPr>
        <w:tblStyle w:val="TableGrid"/>
        <w:tblW w:w="11250" w:type="dxa"/>
        <w:tblInd w:w="-612" w:type="dxa"/>
        <w:tblLayout w:type="fixed"/>
        <w:tblLook w:val="04A0"/>
      </w:tblPr>
      <w:tblGrid>
        <w:gridCol w:w="2250"/>
        <w:gridCol w:w="720"/>
        <w:gridCol w:w="900"/>
        <w:gridCol w:w="1170"/>
        <w:gridCol w:w="2430"/>
        <w:gridCol w:w="720"/>
        <w:gridCol w:w="810"/>
        <w:gridCol w:w="1170"/>
        <w:gridCol w:w="1080"/>
      </w:tblGrid>
      <w:tr w:rsidR="00D72C5D" w:rsidTr="00D72C5D">
        <w:trPr>
          <w:trHeight w:val="264"/>
        </w:trPr>
        <w:tc>
          <w:tcPr>
            <w:tcW w:w="1125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Previous Determinations </w:t>
            </w:r>
          </w:p>
        </w:tc>
      </w:tr>
      <w:tr w:rsidR="00D72C5D" w:rsidTr="00D72C5D">
        <w:trPr>
          <w:trHeight w:val="264"/>
        </w:trPr>
        <w:tc>
          <w:tcPr>
            <w:tcW w:w="5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Service (</w:t>
            </w:r>
            <w:r>
              <w:rPr>
                <w:u w:val="single"/>
              </w:rPr>
              <w:t>PEB</w:t>
            </w:r>
            <w:r>
              <w:rPr>
                <w:b/>
                <w:u w:val="single"/>
              </w:rPr>
              <w:t>)</w:t>
            </w:r>
          </w:p>
        </w:tc>
        <w:tc>
          <w:tcPr>
            <w:tcW w:w="6210" w:type="dxa"/>
            <w:gridSpan w:val="5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VA   ~time of separation </w:t>
            </w:r>
          </w:p>
        </w:tc>
      </w:tr>
      <w:tr w:rsidR="00D72C5D" w:rsidTr="00D72C5D">
        <w:trPr>
          <w:trHeight w:val="28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PEB Condition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Code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Rating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Condition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Code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Rating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Exam Date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Effective date</w:t>
            </w:r>
          </w:p>
        </w:tc>
      </w:tr>
      <w:tr w:rsidR="00D72C5D" w:rsidTr="00D72C5D">
        <w:trPr>
          <w:trHeight w:val="28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</w:pPr>
            <w:r w:rsidRPr="00D72C5D">
              <w:t>Chronic LBP w/ DDD L4/L5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</w:pPr>
            <w:r>
              <w:t>5243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EEECE1" w:themeFill="background2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20031208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</w:pPr>
            <w:proofErr w:type="spellStart"/>
            <w:r>
              <w:t>Lumbosacral</w:t>
            </w:r>
            <w:proofErr w:type="spellEnd"/>
            <w:r>
              <w:t xml:space="preserve"> disc disease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</w:pPr>
            <w:r w:rsidRPr="00D72C5D">
              <w:rPr>
                <w:sz w:val="20"/>
              </w:rPr>
              <w:t>5293-5243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</w:pPr>
            <w:r>
              <w:t>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 –rating 20040129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20040201</w:t>
            </w:r>
          </w:p>
        </w:tc>
      </w:tr>
      <w:tr w:rsidR="00D72C5D" w:rsidTr="00D72C5D">
        <w:trPr>
          <w:trHeight w:val="264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</w:pPr>
            <w:r>
              <w:t>HTN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</w:pPr>
            <w:r>
              <w:t>7101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 –rating 20040129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20040201</w:t>
            </w:r>
          </w:p>
        </w:tc>
      </w:tr>
      <w:tr w:rsidR="00D72C5D" w:rsidTr="00D72C5D">
        <w:trPr>
          <w:trHeight w:val="264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</w:pPr>
            <w:r>
              <w:t xml:space="preserve"> Bilateral hearing loss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</w:pPr>
            <w:r>
              <w:t>6100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 –rating 20040129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20040201</w:t>
            </w:r>
          </w:p>
        </w:tc>
      </w:tr>
      <w:tr w:rsidR="00D72C5D" w:rsidTr="00D72C5D">
        <w:trPr>
          <w:trHeight w:val="264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D72C5D" w:rsidTr="00D72C5D">
        <w:trPr>
          <w:trHeight w:val="264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Pr="00D72C5D" w:rsidRDefault="00D72C5D" w:rsidP="008963BD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D72C5D">
              <w:rPr>
                <w:sz w:val="20"/>
              </w:rPr>
              <w:t>Tinnitus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P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r w:rsidRPr="00D72C5D">
              <w:rPr>
                <w:sz w:val="20"/>
              </w:rPr>
              <w:t>6260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P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r w:rsidRPr="00D72C5D">
              <w:rPr>
                <w:sz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D72C5D" w:rsidRPr="00D72C5D" w:rsidRDefault="00D72C5D" w:rsidP="008963B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18"/>
              </w:rPr>
            </w:pPr>
            <w:r w:rsidRPr="00D72C5D">
              <w:rPr>
                <w:b/>
                <w:sz w:val="20"/>
                <w:szCs w:val="18"/>
              </w:rPr>
              <w:t>STR –rating 20040317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Pr="00D72C5D" w:rsidRDefault="00D72C5D" w:rsidP="008963B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18"/>
              </w:rPr>
            </w:pPr>
            <w:r w:rsidRPr="00D72C5D">
              <w:rPr>
                <w:b/>
                <w:sz w:val="20"/>
                <w:szCs w:val="18"/>
              </w:rPr>
              <w:t>20040316</w:t>
            </w:r>
          </w:p>
        </w:tc>
      </w:tr>
      <w:tr w:rsidR="00D72C5D" w:rsidTr="00D72C5D">
        <w:trPr>
          <w:trHeight w:val="264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Pr="00D72C5D" w:rsidRDefault="00D72C5D" w:rsidP="008963BD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D72C5D">
              <w:rPr>
                <w:sz w:val="20"/>
              </w:rPr>
              <w:t>Sinusitis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P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r w:rsidRPr="00D72C5D">
              <w:rPr>
                <w:sz w:val="20"/>
              </w:rPr>
              <w:t>6510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P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r w:rsidRPr="00D72C5D">
              <w:rPr>
                <w:sz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D72C5D" w:rsidRPr="00D72C5D" w:rsidRDefault="00D72C5D" w:rsidP="008963B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18"/>
              </w:rPr>
            </w:pPr>
            <w:r w:rsidRPr="00D72C5D">
              <w:rPr>
                <w:b/>
                <w:sz w:val="20"/>
                <w:szCs w:val="18"/>
              </w:rPr>
              <w:t>STR –rating 20040317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Pr="00D72C5D" w:rsidRDefault="00D72C5D" w:rsidP="008963B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18"/>
              </w:rPr>
            </w:pPr>
            <w:r w:rsidRPr="00D72C5D">
              <w:rPr>
                <w:b/>
                <w:sz w:val="20"/>
                <w:szCs w:val="18"/>
              </w:rPr>
              <w:t>20040316</w:t>
            </w:r>
          </w:p>
        </w:tc>
      </w:tr>
      <w:tr w:rsidR="00D72C5D" w:rsidTr="00D72C5D">
        <w:trPr>
          <w:trHeight w:val="264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Pr="00D72C5D" w:rsidRDefault="00D72C5D" w:rsidP="008963BD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proofErr w:type="spellStart"/>
            <w:r w:rsidRPr="00D72C5D">
              <w:rPr>
                <w:sz w:val="20"/>
              </w:rPr>
              <w:t>Rhus</w:t>
            </w:r>
            <w:proofErr w:type="spellEnd"/>
            <w:r w:rsidRPr="00D72C5D">
              <w:rPr>
                <w:sz w:val="20"/>
              </w:rPr>
              <w:t xml:space="preserve"> Dermatitis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P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r w:rsidRPr="00D72C5D">
              <w:rPr>
                <w:sz w:val="20"/>
              </w:rPr>
              <w:t>7806-7825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P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r w:rsidRPr="00D72C5D">
              <w:rPr>
                <w:sz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D72C5D" w:rsidRPr="00D72C5D" w:rsidRDefault="00D72C5D" w:rsidP="008963B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18"/>
              </w:rPr>
            </w:pPr>
            <w:r w:rsidRPr="00D72C5D">
              <w:rPr>
                <w:b/>
                <w:sz w:val="20"/>
                <w:szCs w:val="18"/>
              </w:rPr>
              <w:t>STR –rating 20040317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Pr="00D72C5D" w:rsidRDefault="00D72C5D" w:rsidP="008963B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18"/>
              </w:rPr>
            </w:pPr>
            <w:r w:rsidRPr="00D72C5D">
              <w:rPr>
                <w:b/>
                <w:sz w:val="20"/>
                <w:szCs w:val="18"/>
              </w:rPr>
              <w:t>20040316</w:t>
            </w:r>
          </w:p>
        </w:tc>
      </w:tr>
      <w:tr w:rsidR="00D72C5D" w:rsidTr="00D72C5D">
        <w:trPr>
          <w:trHeight w:val="264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EEECE1" w:themeFill="background2"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Pr="00D72C5D" w:rsidRDefault="00D72C5D" w:rsidP="008963BD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D72C5D">
              <w:rPr>
                <w:sz w:val="20"/>
              </w:rPr>
              <w:t>R shoulder, numb hands, HA: Not Service Connected (NSC)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D72C5D" w:rsidRP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P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r w:rsidRPr="00D72C5D">
              <w:rPr>
                <w:sz w:val="20"/>
              </w:rPr>
              <w:t>NSC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D72C5D" w:rsidRPr="00D72C5D" w:rsidRDefault="00D72C5D" w:rsidP="008963B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18"/>
              </w:rPr>
            </w:pPr>
            <w:r w:rsidRPr="00D72C5D">
              <w:rPr>
                <w:b/>
                <w:sz w:val="20"/>
                <w:szCs w:val="18"/>
              </w:rPr>
              <w:t>20041104, 17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Pr="00D72C5D" w:rsidRDefault="00D72C5D" w:rsidP="008963B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18"/>
              </w:rPr>
            </w:pPr>
            <w:r w:rsidRPr="00D72C5D">
              <w:rPr>
                <w:b/>
                <w:sz w:val="20"/>
                <w:szCs w:val="18"/>
              </w:rPr>
              <w:t>-</w:t>
            </w:r>
          </w:p>
        </w:tc>
      </w:tr>
      <w:tr w:rsidR="00D72C5D" w:rsidTr="00D72C5D">
        <w:trPr>
          <w:trHeight w:val="280"/>
        </w:trPr>
        <w:tc>
          <w:tcPr>
            <w:tcW w:w="5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EEECE1" w:themeFill="background2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TOTAL Combined:   10 %</w:t>
            </w:r>
          </w:p>
        </w:tc>
        <w:tc>
          <w:tcPr>
            <w:tcW w:w="6210" w:type="dxa"/>
            <w:gridSpan w:val="5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72C5D" w:rsidRDefault="00D72C5D" w:rsidP="008963BD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TOTAL Combined (</w:t>
            </w:r>
            <w:proofErr w:type="spellStart"/>
            <w:r>
              <w:rPr>
                <w:b/>
                <w:i/>
              </w:rPr>
              <w:t>incl</w:t>
            </w:r>
            <w:proofErr w:type="spellEnd"/>
            <w:r>
              <w:rPr>
                <w:b/>
                <w:i/>
              </w:rPr>
              <w:t xml:space="preserve"> non-PEB </w:t>
            </w:r>
            <w:proofErr w:type="spellStart"/>
            <w:r>
              <w:rPr>
                <w:b/>
                <w:i/>
              </w:rPr>
              <w:t>Dxs</w:t>
            </w:r>
            <w:proofErr w:type="spellEnd"/>
            <w:r>
              <w:rPr>
                <w:b/>
              </w:rPr>
              <w:t>):    50% (20040129)</w:t>
            </w:r>
          </w:p>
        </w:tc>
      </w:tr>
    </w:tbl>
    <w:p w:rsidR="008963BD" w:rsidRDefault="008963BD" w:rsidP="008963BD">
      <w:r>
        <w:rPr>
          <w:color w:val="000080"/>
        </w:rPr>
        <w:t>________________________________________________________________</w:t>
      </w:r>
    </w:p>
    <w:p w:rsidR="00EA7F6F" w:rsidRDefault="008963BD" w:rsidP="00EA7F6F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>
        <w:rPr>
          <w:color w:val="000080"/>
          <w:u w:val="single"/>
        </w:rPr>
        <w:lastRenderedPageBreak/>
        <w:t>C</w:t>
      </w:r>
      <w:r w:rsidR="00CA04A5" w:rsidRPr="00CA04A5">
        <w:rPr>
          <w:color w:val="000080"/>
          <w:u w:val="single"/>
        </w:rPr>
        <w:t>HRONIC LOW BACK PAIN</w:t>
      </w:r>
      <w:r w:rsidR="00CA04A5">
        <w:rPr>
          <w:color w:val="000080"/>
        </w:rPr>
        <w:t xml:space="preserve">:  The treatment records clearly demonstrated that CI had back tenderness and only a mild degree of pain-limited ROMs except during rare exacerbations.  CI’s periods of prescribed bed rest were considered periods of incapacitation, but were historical (not within a year of the PEB).  Rating under </w:t>
      </w:r>
      <w:r w:rsidR="00CA04A5" w:rsidRPr="00CA04A5">
        <w:rPr>
          <w:color w:val="000080"/>
        </w:rPr>
        <w:t xml:space="preserve">the Formula for Rating </w:t>
      </w:r>
      <w:proofErr w:type="spellStart"/>
      <w:r w:rsidR="00CA04A5" w:rsidRPr="00CA04A5">
        <w:rPr>
          <w:color w:val="000080"/>
        </w:rPr>
        <w:t>Intervertebral</w:t>
      </w:r>
      <w:proofErr w:type="spellEnd"/>
      <w:r w:rsidR="00CA04A5" w:rsidRPr="00CA04A5">
        <w:rPr>
          <w:color w:val="000080"/>
        </w:rPr>
        <w:t xml:space="preserve"> Disc Syndrome Based on Incapacitating Episodes</w:t>
      </w:r>
      <w:r w:rsidR="00CA04A5">
        <w:rPr>
          <w:color w:val="000080"/>
        </w:rPr>
        <w:t xml:space="preserve"> would therefore have resulted in 0%, so using the </w:t>
      </w:r>
      <w:r w:rsidR="00CA04A5" w:rsidRPr="00CA04A5">
        <w:rPr>
          <w:color w:val="000080"/>
        </w:rPr>
        <w:t>General Rating Formula for Diseases and Injuries of the Spine</w:t>
      </w:r>
      <w:r w:rsidR="00CA04A5">
        <w:rPr>
          <w:color w:val="000080"/>
        </w:rPr>
        <w:t xml:space="preserve"> was predominate (higher).</w:t>
      </w:r>
      <w:r w:rsidR="007A7AD0">
        <w:rPr>
          <w:color w:val="000080"/>
        </w:rPr>
        <w:t xml:space="preserve">  </w:t>
      </w:r>
      <w:r w:rsidR="00CA04A5">
        <w:rPr>
          <w:color w:val="000080"/>
        </w:rPr>
        <w:t>Independently rating the back under the VASRD criteria using all available records was accomplished and t</w:t>
      </w:r>
      <w:r w:rsidR="00CA04A5">
        <w:rPr>
          <w:color w:val="000080"/>
          <w:szCs w:val="24"/>
        </w:rPr>
        <w:t xml:space="preserve">he commander’s letter had significant probative value. CI’s limitation of </w:t>
      </w:r>
      <w:proofErr w:type="spellStart"/>
      <w:r w:rsidR="007A7AD0">
        <w:rPr>
          <w:color w:val="000080"/>
          <w:szCs w:val="24"/>
        </w:rPr>
        <w:t>lumbosacral</w:t>
      </w:r>
      <w:proofErr w:type="spellEnd"/>
      <w:r w:rsidR="007A7AD0">
        <w:rPr>
          <w:color w:val="000080"/>
          <w:szCs w:val="24"/>
        </w:rPr>
        <w:t xml:space="preserve"> range of motion (ROM) </w:t>
      </w:r>
      <w:r w:rsidR="00CA04A5">
        <w:rPr>
          <w:color w:val="000080"/>
          <w:szCs w:val="24"/>
        </w:rPr>
        <w:t xml:space="preserve">was not documented as </w:t>
      </w:r>
      <w:r w:rsidR="007A7AD0">
        <w:rPr>
          <w:color w:val="000080"/>
          <w:szCs w:val="24"/>
        </w:rPr>
        <w:t xml:space="preserve">more limited than </w:t>
      </w:r>
      <w:r w:rsidR="00CA04A5">
        <w:rPr>
          <w:color w:val="000080"/>
          <w:szCs w:val="24"/>
        </w:rPr>
        <w:t>the 10% criteria during the year prior to the PEB (</w:t>
      </w:r>
      <w:r w:rsidR="007A7AD0">
        <w:rPr>
          <w:color w:val="000080"/>
          <w:szCs w:val="24"/>
        </w:rPr>
        <w:t xml:space="preserve">flexion </w:t>
      </w:r>
      <w:r w:rsidR="00CA04A5">
        <w:rPr>
          <w:color w:val="000080"/>
          <w:szCs w:val="24"/>
        </w:rPr>
        <w:t xml:space="preserve">60 degrees, </w:t>
      </w:r>
      <w:r w:rsidR="007A7AD0">
        <w:rPr>
          <w:color w:val="000080"/>
          <w:szCs w:val="24"/>
        </w:rPr>
        <w:t xml:space="preserve">combined 120 degrees) and he did not have </w:t>
      </w:r>
      <w:r w:rsidR="007A7AD0" w:rsidRPr="007A7AD0">
        <w:rPr>
          <w:color w:val="000080"/>
          <w:szCs w:val="24"/>
        </w:rPr>
        <w:t>abnormal gait or abnormal spinal contour</w:t>
      </w:r>
      <w:r w:rsidR="007A7AD0">
        <w:rPr>
          <w:color w:val="000080"/>
          <w:szCs w:val="24"/>
        </w:rPr>
        <w:t xml:space="preserve">.  </w:t>
      </w:r>
      <w:r w:rsidR="007A7AD0">
        <w:rPr>
          <w:color w:val="000080"/>
        </w:rPr>
        <w:t xml:space="preserve">Although the </w:t>
      </w:r>
      <w:r w:rsidR="00CA04A5">
        <w:rPr>
          <w:color w:val="000080"/>
        </w:rPr>
        <w:t>Army</w:t>
      </w:r>
      <w:r w:rsidR="007A7AD0">
        <w:rPr>
          <w:color w:val="000080"/>
        </w:rPr>
        <w:t xml:space="preserve">’s former </w:t>
      </w:r>
      <w:r w:rsidR="00CA04A5" w:rsidRPr="007920A9">
        <w:rPr>
          <w:color w:val="000080"/>
        </w:rPr>
        <w:t xml:space="preserve">pain </w:t>
      </w:r>
      <w:r w:rsidR="00CA04A5">
        <w:rPr>
          <w:color w:val="000080"/>
        </w:rPr>
        <w:t>policy</w:t>
      </w:r>
      <w:r w:rsidR="00CA04A5" w:rsidRPr="007920A9">
        <w:rPr>
          <w:color w:val="000080"/>
        </w:rPr>
        <w:t xml:space="preserve"> may have </w:t>
      </w:r>
      <w:r w:rsidR="007A7AD0">
        <w:rPr>
          <w:color w:val="000080"/>
        </w:rPr>
        <w:t xml:space="preserve">theoretically </w:t>
      </w:r>
      <w:r w:rsidR="00CA04A5" w:rsidRPr="007920A9">
        <w:rPr>
          <w:color w:val="000080"/>
        </w:rPr>
        <w:t xml:space="preserve">tempered the </w:t>
      </w:r>
      <w:r w:rsidR="007A7AD0">
        <w:rPr>
          <w:color w:val="000080"/>
        </w:rPr>
        <w:t>MEB</w:t>
      </w:r>
      <w:r w:rsidR="00CA04A5" w:rsidRPr="007920A9">
        <w:rPr>
          <w:color w:val="000080"/>
        </w:rPr>
        <w:t xml:space="preserve"> exam </w:t>
      </w:r>
      <w:r w:rsidR="007A7AD0">
        <w:rPr>
          <w:color w:val="000080"/>
        </w:rPr>
        <w:t xml:space="preserve">pain-limited ROM </w:t>
      </w:r>
      <w:r w:rsidR="00CA04A5" w:rsidRPr="007920A9">
        <w:rPr>
          <w:color w:val="000080"/>
        </w:rPr>
        <w:t>of the back</w:t>
      </w:r>
      <w:r w:rsidR="007A7AD0">
        <w:rPr>
          <w:color w:val="000080"/>
        </w:rPr>
        <w:t>, the remainder of the medical records agrees with ROMs for the year prior to the PEB</w:t>
      </w:r>
      <w:r w:rsidR="007F03AD">
        <w:rPr>
          <w:color w:val="000080"/>
        </w:rPr>
        <w:t xml:space="preserve"> of at least 60 degrees and most symptoms were related to limitation of extension, with local and </w:t>
      </w:r>
      <w:proofErr w:type="spellStart"/>
      <w:r w:rsidR="007F03AD">
        <w:rPr>
          <w:color w:val="000080"/>
        </w:rPr>
        <w:t>radicular</w:t>
      </w:r>
      <w:proofErr w:type="spellEnd"/>
      <w:r w:rsidR="007F03AD">
        <w:rPr>
          <w:color w:val="000080"/>
        </w:rPr>
        <w:t xml:space="preserve"> leg pain</w:t>
      </w:r>
      <w:r w:rsidR="00CA04A5" w:rsidRPr="007920A9">
        <w:rPr>
          <w:color w:val="000080"/>
        </w:rPr>
        <w:t>.</w:t>
      </w:r>
      <w:r w:rsidR="007A7AD0">
        <w:rPr>
          <w:color w:val="000080"/>
        </w:rPr>
        <w:t xml:space="preserve">  CI’s radiating leg pain was considered within </w:t>
      </w:r>
      <w:r w:rsidR="007A7AD0" w:rsidRPr="007920A9">
        <w:rPr>
          <w:color w:val="000080"/>
        </w:rPr>
        <w:t xml:space="preserve">the </w:t>
      </w:r>
      <w:r w:rsidR="007A7AD0" w:rsidRPr="00CA04A5">
        <w:rPr>
          <w:color w:val="000080"/>
        </w:rPr>
        <w:t>General Rating Formula for Diseases and Injuries of the Spine</w:t>
      </w:r>
      <w:r w:rsidR="007A7AD0">
        <w:rPr>
          <w:color w:val="000080"/>
        </w:rPr>
        <w:t xml:space="preserve"> which specifically states the rating is ‘</w:t>
      </w:r>
      <w:r w:rsidR="007A7AD0" w:rsidRPr="00CA04A5">
        <w:rPr>
          <w:color w:val="000080"/>
        </w:rPr>
        <w:t>With or without symptoms such as pain (whether or not it radiates), stiffness, or aching in the area of the spine affected by residuals of injury or disease</w:t>
      </w:r>
      <w:r w:rsidR="007A7AD0">
        <w:rPr>
          <w:color w:val="000080"/>
        </w:rPr>
        <w:t xml:space="preserve">.’ </w:t>
      </w:r>
    </w:p>
    <w:p w:rsidR="00EA7F6F" w:rsidRDefault="00EA7F6F" w:rsidP="00EA7F6F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8963BD" w:rsidRPr="008963BD" w:rsidRDefault="008963BD" w:rsidP="00EA7F6F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>
        <w:rPr>
          <w:color w:val="000080"/>
        </w:rPr>
        <w:t>________________________________________________________________</w:t>
      </w:r>
    </w:p>
    <w:p w:rsidR="008963BD" w:rsidRDefault="008963BD" w:rsidP="008963BD">
      <w:pPr>
        <w:tabs>
          <w:tab w:val="left" w:pos="288"/>
          <w:tab w:val="left" w:pos="4752"/>
        </w:tabs>
        <w:spacing w:line="240" w:lineRule="exact"/>
        <w:rPr>
          <w:color w:val="000080"/>
          <w:u w:val="single"/>
        </w:rPr>
      </w:pPr>
    </w:p>
    <w:p w:rsidR="008963BD" w:rsidRDefault="00662F08" w:rsidP="00EA7F6F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  <w:u w:val="single"/>
        </w:rPr>
        <w:t>BOARD FINDINGS</w:t>
      </w:r>
      <w:r w:rsidR="00B522CD" w:rsidRPr="00D91DA6">
        <w:rPr>
          <w:color w:val="000080"/>
        </w:rPr>
        <w:t>:</w:t>
      </w:r>
      <w:r w:rsidR="001618B7">
        <w:rPr>
          <w:color w:val="000080"/>
        </w:rPr>
        <w:t xml:space="preserve">  </w:t>
      </w:r>
      <w:r w:rsidR="006F1A46" w:rsidRPr="00646FBC">
        <w:rPr>
          <w:color w:val="000080"/>
        </w:rPr>
        <w:t xml:space="preserve">IAW </w:t>
      </w:r>
      <w:proofErr w:type="spellStart"/>
      <w:r w:rsidR="006F1A46" w:rsidRPr="00646FBC">
        <w:rPr>
          <w:color w:val="000080"/>
        </w:rPr>
        <w:t>DoDI</w:t>
      </w:r>
      <w:proofErr w:type="spellEnd"/>
      <w:r w:rsidR="006F1A46" w:rsidRPr="00646FBC">
        <w:rPr>
          <w:color w:val="000080"/>
        </w:rPr>
        <w:t xml:space="preserve"> 6040.44, provisions of </w:t>
      </w:r>
      <w:proofErr w:type="spellStart"/>
      <w:r w:rsidR="006F1A46" w:rsidRPr="00646FBC">
        <w:rPr>
          <w:color w:val="000080"/>
        </w:rPr>
        <w:t>DoD</w:t>
      </w:r>
      <w:proofErr w:type="spellEnd"/>
      <w:r w:rsidR="006F1A46" w:rsidRPr="00646FBC">
        <w:rPr>
          <w:color w:val="000080"/>
        </w:rPr>
        <w:t xml:space="preserve"> or Military Department regulations or guidelines relied upon by the PEB will not be considered by the PDBR to the extent they were inconsistent </w:t>
      </w:r>
      <w:r w:rsidR="006F1A46" w:rsidRPr="007920A9">
        <w:rPr>
          <w:color w:val="000080"/>
        </w:rPr>
        <w:t xml:space="preserve">with the VASRD in effect at the time of the adjudication. </w:t>
      </w:r>
      <w:r w:rsidR="008A6AD4">
        <w:rPr>
          <w:color w:val="000080"/>
        </w:rPr>
        <w:t xml:space="preserve"> </w:t>
      </w:r>
      <w:r w:rsidR="0020586E">
        <w:rPr>
          <w:color w:val="000080"/>
        </w:rPr>
        <w:t xml:space="preserve">No other VA compensable condition was adjudged as unfitting.  </w:t>
      </w:r>
      <w:r w:rsidR="007A7AD0">
        <w:rPr>
          <w:color w:val="000080"/>
          <w:szCs w:val="24"/>
        </w:rPr>
        <w:t xml:space="preserve">The Board could not follow the VA rating rationale for 40% except to hypothesize that they used a historical limitation of ROM that was not present at the time of the MEB and PEB.  </w:t>
      </w:r>
      <w:r w:rsidR="008963BD">
        <w:rPr>
          <w:color w:val="000080"/>
          <w:szCs w:val="24"/>
        </w:rPr>
        <w:t>The historical period of CI’s incapacitation may have been deemed by the VA to meet the criteria of ‘</w:t>
      </w:r>
      <w:r w:rsidR="008963BD" w:rsidRPr="008963BD">
        <w:rPr>
          <w:color w:val="000080"/>
          <w:szCs w:val="24"/>
        </w:rPr>
        <w:t>forward flexion</w:t>
      </w:r>
      <w:r w:rsidR="008963BD">
        <w:rPr>
          <w:color w:val="000080"/>
          <w:szCs w:val="24"/>
        </w:rPr>
        <w:t xml:space="preserve"> </w:t>
      </w:r>
      <w:r w:rsidR="008963BD" w:rsidRPr="008963BD">
        <w:rPr>
          <w:color w:val="000080"/>
          <w:szCs w:val="24"/>
        </w:rPr>
        <w:t xml:space="preserve">of the </w:t>
      </w:r>
      <w:proofErr w:type="spellStart"/>
      <w:r w:rsidR="008963BD" w:rsidRPr="008963BD">
        <w:rPr>
          <w:color w:val="000080"/>
          <w:szCs w:val="24"/>
        </w:rPr>
        <w:t>thoracolumbar</w:t>
      </w:r>
      <w:proofErr w:type="spellEnd"/>
      <w:r w:rsidR="008963BD" w:rsidRPr="008963BD">
        <w:rPr>
          <w:color w:val="000080"/>
          <w:szCs w:val="24"/>
        </w:rPr>
        <w:t xml:space="preserve"> spine 30 degrees or less; or, favorable </w:t>
      </w:r>
      <w:proofErr w:type="spellStart"/>
      <w:r w:rsidR="008963BD" w:rsidRPr="008963BD">
        <w:rPr>
          <w:color w:val="000080"/>
          <w:szCs w:val="24"/>
        </w:rPr>
        <w:t>ankylosis</w:t>
      </w:r>
      <w:proofErr w:type="spellEnd"/>
      <w:r w:rsidR="008963BD" w:rsidRPr="008963BD">
        <w:rPr>
          <w:color w:val="000080"/>
          <w:szCs w:val="24"/>
        </w:rPr>
        <w:t xml:space="preserve"> of the entire </w:t>
      </w:r>
      <w:proofErr w:type="spellStart"/>
      <w:r w:rsidR="008963BD" w:rsidRPr="008963BD">
        <w:rPr>
          <w:color w:val="000080"/>
          <w:szCs w:val="24"/>
        </w:rPr>
        <w:t>thoracolumbar</w:t>
      </w:r>
      <w:proofErr w:type="spellEnd"/>
      <w:r w:rsidR="008963BD" w:rsidRPr="008963BD">
        <w:rPr>
          <w:color w:val="000080"/>
          <w:szCs w:val="24"/>
        </w:rPr>
        <w:t xml:space="preserve"> spine</w:t>
      </w:r>
      <w:r w:rsidR="008963BD">
        <w:rPr>
          <w:color w:val="000080"/>
          <w:szCs w:val="24"/>
        </w:rPr>
        <w:t xml:space="preserve">’ which was not indicative of CI’s condition leading up to and at the time of PEB.  </w:t>
      </w:r>
      <w:r w:rsidR="00690DB7">
        <w:rPr>
          <w:color w:val="000080"/>
        </w:rPr>
        <w:t xml:space="preserve">The Board unanimously determined that a 10% rating under code 5243 was correct.  </w:t>
      </w:r>
      <w:r w:rsidR="007A7AD0">
        <w:rPr>
          <w:color w:val="000080"/>
        </w:rPr>
        <w:t xml:space="preserve"> </w:t>
      </w:r>
    </w:p>
    <w:p w:rsidR="00EA7F6F" w:rsidRDefault="00EA7F6F" w:rsidP="008963BD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</w:p>
    <w:p w:rsidR="008963BD" w:rsidRPr="008963BD" w:rsidRDefault="008963BD" w:rsidP="008963BD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>________________________________________________________________</w:t>
      </w:r>
    </w:p>
    <w:p w:rsidR="008963BD" w:rsidRDefault="008963BD" w:rsidP="008963BD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</w:p>
    <w:p w:rsidR="00B522CD" w:rsidRDefault="00662F08" w:rsidP="008963BD">
      <w:pPr>
        <w:tabs>
          <w:tab w:val="left" w:pos="288"/>
          <w:tab w:val="left" w:pos="4752"/>
        </w:tabs>
        <w:spacing w:line="240" w:lineRule="exact"/>
        <w:rPr>
          <w:color w:val="000080"/>
          <w:szCs w:val="24"/>
        </w:rPr>
      </w:pPr>
      <w:r w:rsidRPr="00D91DA6">
        <w:rPr>
          <w:color w:val="000080"/>
          <w:u w:val="single"/>
        </w:rPr>
        <w:t>RECOMMENDATION</w:t>
      </w:r>
      <w:r w:rsidRPr="008963BD">
        <w:rPr>
          <w:color w:val="000080"/>
        </w:rPr>
        <w:t>:</w:t>
      </w:r>
      <w:r w:rsidR="008963BD">
        <w:rPr>
          <w:color w:val="000080"/>
        </w:rPr>
        <w:t xml:space="preserve">  </w:t>
      </w:r>
      <w:r w:rsidR="006F1A46" w:rsidRPr="000B17E4">
        <w:rPr>
          <w:color w:val="000080"/>
          <w:szCs w:val="24"/>
        </w:rPr>
        <w:t xml:space="preserve">The </w:t>
      </w:r>
      <w:r w:rsidR="001618B7">
        <w:rPr>
          <w:color w:val="000080"/>
          <w:szCs w:val="24"/>
        </w:rPr>
        <w:t>Board</w:t>
      </w:r>
      <w:r w:rsidR="006F1A46" w:rsidRPr="000B17E4">
        <w:rPr>
          <w:color w:val="000080"/>
          <w:szCs w:val="24"/>
        </w:rPr>
        <w:t xml:space="preserve"> therefore recommends that there be no </w:t>
      </w:r>
      <w:proofErr w:type="spellStart"/>
      <w:r w:rsidR="006F1A46" w:rsidRPr="000B17E4">
        <w:rPr>
          <w:color w:val="000080"/>
          <w:szCs w:val="24"/>
        </w:rPr>
        <w:t>recharacterization</w:t>
      </w:r>
      <w:proofErr w:type="spellEnd"/>
      <w:r w:rsidR="006F1A46" w:rsidRPr="000B17E4">
        <w:rPr>
          <w:color w:val="000080"/>
          <w:szCs w:val="24"/>
        </w:rPr>
        <w:t xml:space="preserve"> of the CI’s </w:t>
      </w:r>
      <w:r w:rsidR="00E368E5">
        <w:rPr>
          <w:color w:val="000080"/>
          <w:szCs w:val="24"/>
        </w:rPr>
        <w:t>separation</w:t>
      </w:r>
      <w:r w:rsidR="006F1A46" w:rsidRPr="000B17E4">
        <w:rPr>
          <w:color w:val="000080"/>
          <w:szCs w:val="24"/>
        </w:rPr>
        <w:t>.</w:t>
      </w:r>
    </w:p>
    <w:p w:rsidR="00EA7F6F" w:rsidRDefault="00EA7F6F" w:rsidP="008963BD">
      <w:pPr>
        <w:tabs>
          <w:tab w:val="left" w:pos="288"/>
          <w:tab w:val="left" w:pos="4752"/>
        </w:tabs>
        <w:spacing w:line="240" w:lineRule="exact"/>
        <w:rPr>
          <w:color w:val="000080"/>
          <w:szCs w:val="24"/>
        </w:rPr>
      </w:pPr>
    </w:p>
    <w:p w:rsidR="008963BD" w:rsidRPr="008963BD" w:rsidRDefault="008963BD" w:rsidP="008963BD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>________________________________________________________________</w:t>
      </w:r>
    </w:p>
    <w:p w:rsidR="008963BD" w:rsidRDefault="008963BD" w:rsidP="008963BD">
      <w:pPr>
        <w:tabs>
          <w:tab w:val="left" w:pos="288"/>
          <w:tab w:val="left" w:pos="4752"/>
        </w:tabs>
        <w:spacing w:line="240" w:lineRule="exact"/>
        <w:rPr>
          <w:color w:val="000080"/>
          <w:u w:val="single"/>
        </w:rPr>
      </w:pPr>
    </w:p>
    <w:p w:rsidR="00EA7F6F" w:rsidRDefault="00EA7F6F" w:rsidP="008963B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EA7F6F" w:rsidRDefault="00EA7F6F" w:rsidP="008963B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EA7F6F" w:rsidRDefault="00EA7F6F" w:rsidP="008963B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D91DA6" w:rsidRDefault="00114F20" w:rsidP="008963B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>
        <w:rPr>
          <w:color w:val="000080"/>
        </w:rPr>
        <w:lastRenderedPageBreak/>
        <w:t>The following documentary evidence was considered:</w:t>
      </w:r>
    </w:p>
    <w:p w:rsidR="00114F20" w:rsidRDefault="00114F20" w:rsidP="008963B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Default="008413DC" w:rsidP="008963BD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 xml:space="preserve">Exhibit A.  DD Form </w:t>
      </w:r>
      <w:proofErr w:type="gramStart"/>
      <w:r>
        <w:rPr>
          <w:color w:val="000080"/>
        </w:rPr>
        <w:t>294,</w:t>
      </w:r>
      <w:proofErr w:type="gramEnd"/>
      <w:r>
        <w:rPr>
          <w:color w:val="000080"/>
        </w:rPr>
        <w:t xml:space="preserve"> d</w:t>
      </w:r>
      <w:r w:rsidR="00E0106A">
        <w:rPr>
          <w:color w:val="000080"/>
        </w:rPr>
        <w:t>ated 20090126</w:t>
      </w:r>
      <w:r w:rsidR="00114F20">
        <w:rPr>
          <w:color w:val="000080"/>
        </w:rPr>
        <w:t>, w/</w:t>
      </w:r>
      <w:proofErr w:type="spellStart"/>
      <w:r w:rsidR="00114F20">
        <w:rPr>
          <w:color w:val="000080"/>
        </w:rPr>
        <w:t>atchs</w:t>
      </w:r>
      <w:proofErr w:type="spellEnd"/>
      <w:r w:rsidR="00114F20">
        <w:rPr>
          <w:color w:val="000080"/>
        </w:rPr>
        <w:t>.</w:t>
      </w:r>
    </w:p>
    <w:p w:rsidR="00114F20" w:rsidRDefault="00114F20" w:rsidP="008963BD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 xml:space="preserve">Exhibit B.  </w:t>
      </w:r>
      <w:proofErr w:type="gramStart"/>
      <w:r>
        <w:rPr>
          <w:color w:val="000080"/>
        </w:rPr>
        <w:t>Service Treatment Record.</w:t>
      </w:r>
      <w:proofErr w:type="gramEnd"/>
    </w:p>
    <w:p w:rsidR="00114F20" w:rsidRDefault="00114F20" w:rsidP="008963BD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 xml:space="preserve">Exhibit C.  </w:t>
      </w:r>
      <w:proofErr w:type="gramStart"/>
      <w:r>
        <w:rPr>
          <w:color w:val="000080"/>
        </w:rPr>
        <w:t>Department of Veterans</w:t>
      </w:r>
      <w:r w:rsidR="00385D6F">
        <w:rPr>
          <w:color w:val="000080"/>
        </w:rPr>
        <w:t>'</w:t>
      </w:r>
      <w:r>
        <w:rPr>
          <w:color w:val="000080"/>
        </w:rPr>
        <w:t xml:space="preserve"> Affairs Treatment Record.</w:t>
      </w:r>
      <w:proofErr w:type="gramEnd"/>
    </w:p>
    <w:p w:rsidR="00D91DA6" w:rsidRDefault="00D91DA6" w:rsidP="008963B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Default="00114F20" w:rsidP="008963B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Default="00114F20" w:rsidP="008963B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Pr="00D91DA6" w:rsidRDefault="00114F20" w:rsidP="008963B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5A2B45" w:rsidRDefault="005A2B45">
      <w:pPr>
        <w:rPr>
          <w:color w:val="000080"/>
        </w:rPr>
      </w:pPr>
      <w:r>
        <w:rPr>
          <w:color w:val="000080"/>
        </w:rPr>
        <w:br w:type="page"/>
      </w:r>
    </w:p>
    <w:p w:rsidR="005A2B45" w:rsidRDefault="005A2B45" w:rsidP="005A2B45">
      <w:pPr>
        <w:pStyle w:val="Default"/>
        <w:framePr w:w="16541" w:wrap="auto" w:vAnchor="page" w:hAnchor="page" w:x="101" w:y="13959"/>
      </w:pPr>
      <w:r>
        <w:rPr>
          <w:noProof/>
        </w:rPr>
        <w:lastRenderedPageBreak/>
        <w:drawing>
          <wp:inline distT="0" distB="0" distL="0" distR="0">
            <wp:extent cx="7772400" cy="10058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D0" w:rsidRPr="00D91DA6" w:rsidRDefault="00D91DA6" w:rsidP="005A2B45">
      <w:pPr>
        <w:tabs>
          <w:tab w:val="left" w:pos="0"/>
          <w:tab w:val="left" w:pos="4320"/>
        </w:tabs>
        <w:spacing w:line="240" w:lineRule="exact"/>
        <w:rPr>
          <w:color w:val="000080"/>
          <w:sz w:val="32"/>
        </w:rPr>
      </w:pPr>
      <w:r>
        <w:rPr>
          <w:color w:val="000080"/>
        </w:rPr>
        <w:lastRenderedPageBreak/>
        <w:tab/>
      </w:r>
    </w:p>
    <w:sectPr w:rsidR="000379D0" w:rsidRPr="00D91DA6" w:rsidSect="00EA7F6F">
      <w:footerReference w:type="even" r:id="rId7"/>
      <w:footerReference w:type="default" r:id="rId8"/>
      <w:footnotePr>
        <w:numRestart w:val="eachSect"/>
      </w:footnotePr>
      <w:pgSz w:w="12240" w:h="15840" w:code="1"/>
      <w:pgMar w:top="1152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7C" w:rsidRDefault="00C4287C">
      <w:r>
        <w:separator/>
      </w:r>
    </w:p>
  </w:endnote>
  <w:endnote w:type="continuationSeparator" w:id="0">
    <w:p w:rsidR="00C4287C" w:rsidRDefault="00C42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F9" w:rsidRDefault="008320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43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B45">
      <w:rPr>
        <w:rStyle w:val="PageNumber"/>
        <w:noProof/>
      </w:rPr>
      <w:t>2</w:t>
    </w:r>
    <w:r>
      <w:rPr>
        <w:rStyle w:val="PageNumber"/>
      </w:rPr>
      <w:fldChar w:fldCharType="end"/>
    </w:r>
  </w:p>
  <w:p w:rsidR="000D43F9" w:rsidRDefault="002973BD" w:rsidP="00690DB7">
    <w:pPr>
      <w:pStyle w:val="Footer"/>
      <w:jc w:val="right"/>
    </w:pPr>
    <w:r>
      <w:t>PD09</w:t>
    </w:r>
    <w:r w:rsidR="00690DB7">
      <w:t>00041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F9" w:rsidRDefault="008320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43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B45">
      <w:rPr>
        <w:rStyle w:val="PageNumber"/>
        <w:noProof/>
      </w:rPr>
      <w:t>3</w:t>
    </w:r>
    <w:r>
      <w:rPr>
        <w:rStyle w:val="PageNumber"/>
      </w:rPr>
      <w:fldChar w:fldCharType="end"/>
    </w:r>
  </w:p>
  <w:p w:rsidR="008963BD" w:rsidRDefault="008963BD" w:rsidP="008963BD">
    <w:pPr>
      <w:pStyle w:val="Footer"/>
      <w:jc w:val="right"/>
    </w:pPr>
    <w:r>
      <w:t>PD0900041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7C" w:rsidRDefault="00C4287C">
      <w:r>
        <w:separator/>
      </w:r>
    </w:p>
  </w:footnote>
  <w:footnote w:type="continuationSeparator" w:id="0">
    <w:p w:rsidR="00C4287C" w:rsidRDefault="00C42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/>
  <w:defaultTabStop w:val="72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C28D1"/>
    <w:rsid w:val="000379D0"/>
    <w:rsid w:val="00051622"/>
    <w:rsid w:val="000A2BCE"/>
    <w:rsid w:val="000B17E4"/>
    <w:rsid w:val="000D43F9"/>
    <w:rsid w:val="000F427B"/>
    <w:rsid w:val="0010530E"/>
    <w:rsid w:val="00114F20"/>
    <w:rsid w:val="00127589"/>
    <w:rsid w:val="001618B7"/>
    <w:rsid w:val="00177659"/>
    <w:rsid w:val="00185ECB"/>
    <w:rsid w:val="001C2053"/>
    <w:rsid w:val="001C28D1"/>
    <w:rsid w:val="001D442E"/>
    <w:rsid w:val="001D6A8C"/>
    <w:rsid w:val="0020586E"/>
    <w:rsid w:val="00222398"/>
    <w:rsid w:val="00225050"/>
    <w:rsid w:val="00246860"/>
    <w:rsid w:val="00274E46"/>
    <w:rsid w:val="002973BD"/>
    <w:rsid w:val="002A3E27"/>
    <w:rsid w:val="00313AED"/>
    <w:rsid w:val="003667B8"/>
    <w:rsid w:val="00385D6F"/>
    <w:rsid w:val="00393651"/>
    <w:rsid w:val="003D7B03"/>
    <w:rsid w:val="003D7DDB"/>
    <w:rsid w:val="003E0543"/>
    <w:rsid w:val="004007E9"/>
    <w:rsid w:val="004574C6"/>
    <w:rsid w:val="004A4136"/>
    <w:rsid w:val="00523AC4"/>
    <w:rsid w:val="0052590B"/>
    <w:rsid w:val="0054111E"/>
    <w:rsid w:val="005436C2"/>
    <w:rsid w:val="005A2B45"/>
    <w:rsid w:val="005D0DA2"/>
    <w:rsid w:val="00624E7D"/>
    <w:rsid w:val="006454D8"/>
    <w:rsid w:val="00647BC1"/>
    <w:rsid w:val="00662F08"/>
    <w:rsid w:val="00690DB7"/>
    <w:rsid w:val="00695B8D"/>
    <w:rsid w:val="006A40E6"/>
    <w:rsid w:val="006E7356"/>
    <w:rsid w:val="006F1A46"/>
    <w:rsid w:val="00744EBB"/>
    <w:rsid w:val="00751807"/>
    <w:rsid w:val="007920A9"/>
    <w:rsid w:val="007A0658"/>
    <w:rsid w:val="007A0B39"/>
    <w:rsid w:val="007A168F"/>
    <w:rsid w:val="007A7AD0"/>
    <w:rsid w:val="007B0A06"/>
    <w:rsid w:val="007C33AC"/>
    <w:rsid w:val="007E4FBB"/>
    <w:rsid w:val="007F03AD"/>
    <w:rsid w:val="00811D5B"/>
    <w:rsid w:val="008259FE"/>
    <w:rsid w:val="00830999"/>
    <w:rsid w:val="00830D5E"/>
    <w:rsid w:val="008320BB"/>
    <w:rsid w:val="00837465"/>
    <w:rsid w:val="008413DC"/>
    <w:rsid w:val="008963BD"/>
    <w:rsid w:val="008A6AD4"/>
    <w:rsid w:val="008E383B"/>
    <w:rsid w:val="00912589"/>
    <w:rsid w:val="00914ADB"/>
    <w:rsid w:val="00942645"/>
    <w:rsid w:val="009B69D3"/>
    <w:rsid w:val="00A041BC"/>
    <w:rsid w:val="00A86CB6"/>
    <w:rsid w:val="00B108FC"/>
    <w:rsid w:val="00B522CD"/>
    <w:rsid w:val="00B80B7B"/>
    <w:rsid w:val="00B82277"/>
    <w:rsid w:val="00BC3841"/>
    <w:rsid w:val="00C4287C"/>
    <w:rsid w:val="00C465DF"/>
    <w:rsid w:val="00C749FA"/>
    <w:rsid w:val="00C85579"/>
    <w:rsid w:val="00CA04A5"/>
    <w:rsid w:val="00CA068D"/>
    <w:rsid w:val="00CA073A"/>
    <w:rsid w:val="00CB28E2"/>
    <w:rsid w:val="00CC4A55"/>
    <w:rsid w:val="00CD34C7"/>
    <w:rsid w:val="00CE5B1C"/>
    <w:rsid w:val="00D21C8C"/>
    <w:rsid w:val="00D52393"/>
    <w:rsid w:val="00D72C5D"/>
    <w:rsid w:val="00D76AB2"/>
    <w:rsid w:val="00D910C2"/>
    <w:rsid w:val="00D91DA6"/>
    <w:rsid w:val="00DB4DA3"/>
    <w:rsid w:val="00DE7E74"/>
    <w:rsid w:val="00E0106A"/>
    <w:rsid w:val="00E15539"/>
    <w:rsid w:val="00E368E5"/>
    <w:rsid w:val="00EA2DD8"/>
    <w:rsid w:val="00EA7F6F"/>
    <w:rsid w:val="00EF608E"/>
    <w:rsid w:val="00F1516A"/>
    <w:rsid w:val="00F22A26"/>
    <w:rsid w:val="00F72183"/>
    <w:rsid w:val="00FA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6C2"/>
    <w:rPr>
      <w:color w:val="0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36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36C2"/>
  </w:style>
  <w:style w:type="paragraph" w:styleId="Header">
    <w:name w:val="header"/>
    <w:basedOn w:val="Normal"/>
    <w:rsid w:val="005436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436C2"/>
    <w:pPr>
      <w:tabs>
        <w:tab w:val="left" w:pos="720"/>
      </w:tabs>
      <w:spacing w:line="240" w:lineRule="exact"/>
      <w:ind w:right="-360"/>
    </w:pPr>
    <w:rPr>
      <w:rFonts w:ascii="Times New Roman" w:hAnsi="Times New Roman"/>
      <w:color w:val="000080"/>
    </w:rPr>
  </w:style>
  <w:style w:type="paragraph" w:styleId="BodyText3">
    <w:name w:val="Body Text 3"/>
    <w:basedOn w:val="Normal"/>
    <w:rsid w:val="005436C2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paragraph" w:styleId="PlainText">
    <w:name w:val="Plain Text"/>
    <w:basedOn w:val="Normal"/>
    <w:link w:val="PlainTextChar"/>
    <w:uiPriority w:val="99"/>
    <w:unhideWhenUsed/>
    <w:rsid w:val="00D91DA6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DA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379D0"/>
    <w:rPr>
      <w:color w:val="008080"/>
      <w:sz w:val="24"/>
    </w:rPr>
  </w:style>
  <w:style w:type="paragraph" w:styleId="BalloonText">
    <w:name w:val="Balloon Text"/>
    <w:basedOn w:val="Normal"/>
    <w:link w:val="BalloonTextChar"/>
    <w:rsid w:val="00037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9D0"/>
    <w:rPr>
      <w:rFonts w:ascii="Tahoma" w:hAnsi="Tahoma" w:cs="Tahoma"/>
      <w:color w:val="008080"/>
      <w:sz w:val="16"/>
      <w:szCs w:val="16"/>
    </w:rPr>
  </w:style>
  <w:style w:type="table" w:styleId="TableGrid">
    <w:name w:val="Table Grid"/>
    <w:basedOn w:val="TableNormal"/>
    <w:uiPriority w:val="59"/>
    <w:rsid w:val="006F1A4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C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5A2B4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JOHN J. D'ORAZIO</dc:creator>
  <cp:lastModifiedBy>JAMEILL.BARKSDALE</cp:lastModifiedBy>
  <cp:revision>3</cp:revision>
  <cp:lastPrinted>2009-07-27T17:09:00Z</cp:lastPrinted>
  <dcterms:created xsi:type="dcterms:W3CDTF">2012-01-11T15:17:00Z</dcterms:created>
  <dcterms:modified xsi:type="dcterms:W3CDTF">2012-01-11T19:21:00Z</dcterms:modified>
</cp:coreProperties>
</file>