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Default="00540BEF" w:rsidP="00540BEF">
      <w:pPr>
        <w:tabs>
          <w:tab w:val="left" w:pos="288"/>
          <w:tab w:val="left" w:pos="4752"/>
        </w:tabs>
        <w:spacing w:line="240" w:lineRule="exact"/>
        <w:jc w:val="center"/>
        <w:rPr>
          <w:color w:val="000080"/>
        </w:rPr>
      </w:pPr>
      <w:r w:rsidRPr="00D91DA6">
        <w:rPr>
          <w:color w:val="000080"/>
        </w:rPr>
        <w:t>RECORD OF PROCEEDINGS</w:t>
      </w:r>
      <w:r>
        <w:rPr>
          <w:color w:val="000080"/>
        </w:rPr>
        <w:t xml:space="preserve"> </w:t>
      </w:r>
    </w:p>
    <w:p w:rsidR="00540BEF" w:rsidRPr="00D91DA6" w:rsidRDefault="00540BEF" w:rsidP="00540BEF">
      <w:pPr>
        <w:tabs>
          <w:tab w:val="left" w:pos="288"/>
          <w:tab w:val="left" w:pos="4752"/>
        </w:tabs>
        <w:spacing w:line="240" w:lineRule="exact"/>
        <w:jc w:val="center"/>
        <w:rPr>
          <w:color w:val="000080"/>
        </w:rPr>
      </w:pPr>
      <w:r w:rsidRPr="00D91DA6">
        <w:rPr>
          <w:color w:val="000080"/>
        </w:rPr>
        <w:t xml:space="preserve">PHYSICAL DISABILITY </w:t>
      </w:r>
      <w:r>
        <w:rPr>
          <w:color w:val="000080"/>
        </w:rPr>
        <w:t>BOARD OF REVIEW</w:t>
      </w:r>
    </w:p>
    <w:p w:rsidR="00540BEF" w:rsidRPr="00D91DA6" w:rsidRDefault="00540BEF" w:rsidP="00540BEF">
      <w:pPr>
        <w:tabs>
          <w:tab w:val="left" w:pos="288"/>
          <w:tab w:val="left" w:pos="4752"/>
        </w:tabs>
        <w:spacing w:line="240" w:lineRule="exact"/>
        <w:jc w:val="both"/>
        <w:rPr>
          <w:color w:val="000080"/>
        </w:rPr>
      </w:pPr>
    </w:p>
    <w:p w:rsidR="006B7A64" w:rsidRPr="008C1017" w:rsidRDefault="006B7A64" w:rsidP="006B7A64">
      <w:pPr>
        <w:tabs>
          <w:tab w:val="left" w:pos="288"/>
          <w:tab w:val="left" w:pos="4752"/>
        </w:tabs>
        <w:spacing w:line="240" w:lineRule="exact"/>
        <w:jc w:val="both"/>
        <w:rPr>
          <w:color w:val="000080"/>
        </w:rPr>
      </w:pPr>
      <w:r w:rsidRPr="008C1017">
        <w:rPr>
          <w:color w:val="000080"/>
        </w:rPr>
        <w:t>NAME:</w:t>
      </w:r>
      <w:r>
        <w:rPr>
          <w:color w:val="000080"/>
        </w:rPr>
        <w:tab/>
      </w:r>
      <w:r>
        <w:rPr>
          <w:color w:val="000080"/>
        </w:rPr>
        <w:tab/>
        <w:t>BRANCH OF SERVICE: ARMY</w:t>
      </w:r>
    </w:p>
    <w:p w:rsidR="00F051D6" w:rsidRDefault="006B7A64" w:rsidP="00DB1457">
      <w:pPr>
        <w:tabs>
          <w:tab w:val="left" w:pos="288"/>
          <w:tab w:val="left" w:pos="4752"/>
        </w:tabs>
        <w:spacing w:line="240" w:lineRule="exact"/>
        <w:jc w:val="both"/>
        <w:rPr>
          <w:color w:val="000080"/>
        </w:rPr>
      </w:pPr>
      <w:r w:rsidRPr="008C1017">
        <w:rPr>
          <w:color w:val="000080"/>
        </w:rPr>
        <w:t>CASE NUMBER:  PD0900</w:t>
      </w:r>
      <w:r>
        <w:rPr>
          <w:color w:val="000080"/>
        </w:rPr>
        <w:t>037</w:t>
      </w:r>
      <w:r>
        <w:rPr>
          <w:color w:val="000080"/>
        </w:rPr>
        <w:tab/>
      </w:r>
      <w:r>
        <w:rPr>
          <w:color w:val="000080"/>
        </w:rPr>
        <w:tab/>
      </w:r>
      <w:r w:rsidRPr="008C1017">
        <w:rPr>
          <w:color w:val="000080"/>
        </w:rPr>
        <w:t>BOARD DATE: 2010</w:t>
      </w:r>
      <w:r>
        <w:rPr>
          <w:color w:val="000080"/>
        </w:rPr>
        <w:t>0506</w:t>
      </w:r>
    </w:p>
    <w:p w:rsidR="000E0993" w:rsidRPr="00DB1457" w:rsidRDefault="006B7A64" w:rsidP="00DB1457">
      <w:pPr>
        <w:tabs>
          <w:tab w:val="left" w:pos="288"/>
          <w:tab w:val="left" w:pos="4752"/>
        </w:tabs>
        <w:spacing w:line="240" w:lineRule="exact"/>
        <w:jc w:val="both"/>
        <w:rPr>
          <w:color w:val="000080"/>
        </w:rPr>
      </w:pPr>
      <w:r>
        <w:rPr>
          <w:color w:val="000080"/>
        </w:rPr>
        <w:t>SEPARATION DATE: 20070219</w:t>
      </w:r>
      <w:r w:rsidRPr="006B7A64">
        <w:rPr>
          <w:b/>
          <w:color w:val="000080"/>
        </w:rPr>
        <w:tab/>
      </w:r>
    </w:p>
    <w:p w:rsidR="00540BEF" w:rsidRPr="00D91DA6" w:rsidRDefault="00540BEF" w:rsidP="00540BEF">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B522CD" w:rsidRPr="00D91DA6" w:rsidRDefault="00B522CD" w:rsidP="00875F2D">
      <w:pPr>
        <w:tabs>
          <w:tab w:val="left" w:pos="288"/>
          <w:tab w:val="left" w:pos="4752"/>
        </w:tabs>
        <w:spacing w:line="240" w:lineRule="exact"/>
        <w:jc w:val="both"/>
        <w:rPr>
          <w:color w:val="000080"/>
        </w:rPr>
      </w:pPr>
    </w:p>
    <w:p w:rsidR="00EB321F" w:rsidRPr="00DB1457" w:rsidRDefault="002C6E5B" w:rsidP="00DB1457">
      <w:pPr>
        <w:tabs>
          <w:tab w:val="left" w:pos="288"/>
          <w:tab w:val="left" w:pos="4752"/>
        </w:tabs>
        <w:spacing w:line="240" w:lineRule="exact"/>
        <w:jc w:val="both"/>
        <w:rPr>
          <w:color w:val="000080"/>
        </w:rPr>
      </w:pPr>
      <w:r w:rsidRPr="00DB1457">
        <w:rPr>
          <w:color w:val="000080"/>
          <w:u w:val="single"/>
        </w:rPr>
        <w:t>SUMMARY OF CASE</w:t>
      </w:r>
      <w:r w:rsidRPr="00DB1457">
        <w:rPr>
          <w:color w:val="000080"/>
        </w:rPr>
        <w:t xml:space="preserve">:  This covered individual (CI) was </w:t>
      </w:r>
      <w:r w:rsidR="006B7A64" w:rsidRPr="00DB1457">
        <w:rPr>
          <w:color w:val="000080"/>
        </w:rPr>
        <w:t>a reserve SFC</w:t>
      </w:r>
      <w:r w:rsidR="00E322F7" w:rsidRPr="00DB1457">
        <w:rPr>
          <w:color w:val="000080"/>
        </w:rPr>
        <w:t xml:space="preserve">, </w:t>
      </w:r>
      <w:r w:rsidR="006B7A64" w:rsidRPr="00DB1457">
        <w:rPr>
          <w:color w:val="000080"/>
        </w:rPr>
        <w:t>Health Care Specialist</w:t>
      </w:r>
      <w:r w:rsidR="00F051D6">
        <w:rPr>
          <w:color w:val="000080"/>
        </w:rPr>
        <w:t xml:space="preserve">, </w:t>
      </w:r>
      <w:r w:rsidRPr="00DB1457">
        <w:rPr>
          <w:color w:val="000080"/>
        </w:rPr>
        <w:t>medically separated from the Army in 200</w:t>
      </w:r>
      <w:r w:rsidR="006B7A64" w:rsidRPr="00DB1457">
        <w:rPr>
          <w:color w:val="000080"/>
        </w:rPr>
        <w:t>7 after 20</w:t>
      </w:r>
      <w:r w:rsidRPr="00DB1457">
        <w:rPr>
          <w:color w:val="000080"/>
        </w:rPr>
        <w:t xml:space="preserve"> years of </w:t>
      </w:r>
      <w:r w:rsidR="006B7A64" w:rsidRPr="00DB1457">
        <w:rPr>
          <w:color w:val="000080"/>
        </w:rPr>
        <w:t>combined service.  The medical base</w:t>
      </w:r>
      <w:r w:rsidRPr="00DB1457">
        <w:rPr>
          <w:color w:val="000080"/>
        </w:rPr>
        <w:t xml:space="preserve">s for the separation </w:t>
      </w:r>
      <w:r w:rsidR="006B7A64" w:rsidRPr="00DB1457">
        <w:rPr>
          <w:color w:val="000080"/>
        </w:rPr>
        <w:t xml:space="preserve">were a left lower extremity (LLE) </w:t>
      </w:r>
      <w:proofErr w:type="spellStart"/>
      <w:r w:rsidR="006B7A64" w:rsidRPr="00DB1457">
        <w:rPr>
          <w:color w:val="000080"/>
        </w:rPr>
        <w:t>radiculopathy</w:t>
      </w:r>
      <w:proofErr w:type="spellEnd"/>
      <w:r w:rsidR="006B7A64" w:rsidRPr="00DB1457">
        <w:rPr>
          <w:color w:val="000080"/>
        </w:rPr>
        <w:t xml:space="preserve"> and associated lumbar spine (disc) condition.</w:t>
      </w:r>
      <w:r w:rsidR="00564F5B" w:rsidRPr="00DB1457">
        <w:rPr>
          <w:color w:val="000080"/>
        </w:rPr>
        <w:t xml:space="preserve">  In 2004 he was mobilized in support of medical evacuation </w:t>
      </w:r>
      <w:r w:rsidR="00D77FB9" w:rsidRPr="00DB1457">
        <w:rPr>
          <w:color w:val="000080"/>
        </w:rPr>
        <w:t xml:space="preserve">operations </w:t>
      </w:r>
      <w:r w:rsidR="00A523E2" w:rsidRPr="00DB1457">
        <w:rPr>
          <w:color w:val="000080"/>
        </w:rPr>
        <w:t>at</w:t>
      </w:r>
      <w:r w:rsidR="00D77FB9" w:rsidRPr="00DB1457">
        <w:rPr>
          <w:color w:val="000080"/>
        </w:rPr>
        <w:t xml:space="preserve"> </w:t>
      </w:r>
      <w:proofErr w:type="spellStart"/>
      <w:r w:rsidR="00D77FB9" w:rsidRPr="00DB1457">
        <w:rPr>
          <w:color w:val="000080"/>
        </w:rPr>
        <w:t>Landstuhl</w:t>
      </w:r>
      <w:proofErr w:type="spellEnd"/>
      <w:r w:rsidR="00A523E2" w:rsidRPr="00DB1457">
        <w:rPr>
          <w:color w:val="000080"/>
        </w:rPr>
        <w:t>, and</w:t>
      </w:r>
      <w:r w:rsidR="00D77FB9" w:rsidRPr="00DB1457">
        <w:rPr>
          <w:color w:val="000080"/>
        </w:rPr>
        <w:t xml:space="preserve"> experienced the onset of low back pain</w:t>
      </w:r>
      <w:r w:rsidR="00564F5B" w:rsidRPr="00DB1457">
        <w:rPr>
          <w:color w:val="000080"/>
        </w:rPr>
        <w:t xml:space="preserve"> associated with a stretcher</w:t>
      </w:r>
      <w:r w:rsidR="00A523E2" w:rsidRPr="00DB1457">
        <w:rPr>
          <w:color w:val="000080"/>
        </w:rPr>
        <w:t xml:space="preserve"> </w:t>
      </w:r>
      <w:r w:rsidR="00564F5B" w:rsidRPr="00DB1457">
        <w:rPr>
          <w:color w:val="000080"/>
        </w:rPr>
        <w:t>lifting mishap</w:t>
      </w:r>
      <w:r w:rsidR="00D77FB9" w:rsidRPr="00DB1457">
        <w:rPr>
          <w:color w:val="000080"/>
        </w:rPr>
        <w:t xml:space="preserve">.  </w:t>
      </w:r>
      <w:r w:rsidR="00A523E2" w:rsidRPr="00DB1457">
        <w:rPr>
          <w:color w:val="000080"/>
        </w:rPr>
        <w:t xml:space="preserve">A </w:t>
      </w:r>
      <w:r w:rsidR="00F051D6" w:rsidRPr="00F051D6">
        <w:rPr>
          <w:color w:val="000080"/>
        </w:rPr>
        <w:t xml:space="preserve">Magnetic Resonance Imaging </w:t>
      </w:r>
      <w:r w:rsidR="00F051D6">
        <w:rPr>
          <w:color w:val="000080"/>
        </w:rPr>
        <w:t>(</w:t>
      </w:r>
      <w:r w:rsidR="00A523E2" w:rsidRPr="00DB1457">
        <w:rPr>
          <w:color w:val="000080"/>
        </w:rPr>
        <w:t>MRI</w:t>
      </w:r>
      <w:r w:rsidR="00F051D6">
        <w:rPr>
          <w:color w:val="000080"/>
        </w:rPr>
        <w:t>)</w:t>
      </w:r>
      <w:r w:rsidR="00A523E2" w:rsidRPr="00DB1457">
        <w:rPr>
          <w:color w:val="000080"/>
        </w:rPr>
        <w:t xml:space="preserve"> demonstrated </w:t>
      </w:r>
      <w:r w:rsidR="00DB1457">
        <w:rPr>
          <w:color w:val="000080"/>
        </w:rPr>
        <w:t>three-level disc disease at L3 -</w:t>
      </w:r>
      <w:r w:rsidR="00A523E2" w:rsidRPr="00DB1457">
        <w:rPr>
          <w:color w:val="000080"/>
        </w:rPr>
        <w:t xml:space="preserve"> S1 with left S1 nerve encroachment.  He was returned to CONUS and </w:t>
      </w:r>
      <w:r w:rsidR="009153E3" w:rsidRPr="00DB1457">
        <w:rPr>
          <w:color w:val="000080"/>
        </w:rPr>
        <w:t xml:space="preserve">was </w:t>
      </w:r>
      <w:r w:rsidR="00A523E2" w:rsidRPr="00DB1457">
        <w:rPr>
          <w:color w:val="000080"/>
        </w:rPr>
        <w:t>treated conservatively.  The condition was complicated by a</w:t>
      </w:r>
      <w:r w:rsidR="006869D8">
        <w:rPr>
          <w:color w:val="000080"/>
        </w:rPr>
        <w:t xml:space="preserve">n </w:t>
      </w:r>
      <w:r w:rsidR="009153E3" w:rsidRPr="00DB1457">
        <w:rPr>
          <w:color w:val="000080"/>
        </w:rPr>
        <w:t xml:space="preserve">LLE L5/S1 </w:t>
      </w:r>
      <w:proofErr w:type="spellStart"/>
      <w:r w:rsidR="009153E3" w:rsidRPr="00DB1457">
        <w:rPr>
          <w:color w:val="000080"/>
        </w:rPr>
        <w:t>radiculopathy</w:t>
      </w:r>
      <w:proofErr w:type="spellEnd"/>
      <w:r w:rsidR="009153E3" w:rsidRPr="00DB1457">
        <w:rPr>
          <w:color w:val="000080"/>
        </w:rPr>
        <w:t xml:space="preserve">.  This was confirmed by EMG (nerve conduction study) and associated with motor deficit.  </w:t>
      </w:r>
      <w:r w:rsidR="005F66EB" w:rsidRPr="00DB1457">
        <w:rPr>
          <w:color w:val="000080"/>
        </w:rPr>
        <w:t xml:space="preserve">Surgical intervention was not advised </w:t>
      </w:r>
      <w:r w:rsidR="009153E3" w:rsidRPr="00DB1457">
        <w:rPr>
          <w:color w:val="000080"/>
        </w:rPr>
        <w:t>at the time</w:t>
      </w:r>
      <w:r w:rsidR="005F66EB" w:rsidRPr="00DB1457">
        <w:rPr>
          <w:color w:val="000080"/>
        </w:rPr>
        <w:t xml:space="preserve">, although he underwent </w:t>
      </w:r>
      <w:proofErr w:type="spellStart"/>
      <w:r w:rsidR="005F66EB" w:rsidRPr="00DB1457">
        <w:rPr>
          <w:color w:val="000080"/>
        </w:rPr>
        <w:t>diskectomy</w:t>
      </w:r>
      <w:proofErr w:type="spellEnd"/>
      <w:r w:rsidR="005F66EB" w:rsidRPr="00DB1457">
        <w:rPr>
          <w:color w:val="000080"/>
        </w:rPr>
        <w:t xml:space="preserve"> soon after separation</w:t>
      </w:r>
      <w:r w:rsidR="009153E3" w:rsidRPr="00DB1457">
        <w:rPr>
          <w:color w:val="000080"/>
        </w:rPr>
        <w:t xml:space="preserve">.  A continued trial of medications, physical therapy (PT) and epidural injections was not met with significant improvement.  He was unable to perform within his </w:t>
      </w:r>
      <w:r w:rsidR="00F051D6">
        <w:rPr>
          <w:color w:val="000080"/>
        </w:rPr>
        <w:t>military occupational specialty (</w:t>
      </w:r>
      <w:r w:rsidR="009153E3" w:rsidRPr="00DB1457">
        <w:rPr>
          <w:color w:val="000080"/>
        </w:rPr>
        <w:t>MOS</w:t>
      </w:r>
      <w:r w:rsidR="00F051D6">
        <w:rPr>
          <w:color w:val="000080"/>
        </w:rPr>
        <w:t>)</w:t>
      </w:r>
      <w:r w:rsidR="009153E3" w:rsidRPr="00DB1457">
        <w:rPr>
          <w:color w:val="000080"/>
        </w:rPr>
        <w:t xml:space="preserve"> or participate in the </w:t>
      </w:r>
      <w:r w:rsidR="00F051D6">
        <w:rPr>
          <w:color w:val="000080"/>
        </w:rPr>
        <w:t>Army Physical Fitness Test (</w:t>
      </w:r>
      <w:r w:rsidR="009153E3" w:rsidRPr="00DB1457">
        <w:rPr>
          <w:color w:val="000080"/>
        </w:rPr>
        <w:t>APFT</w:t>
      </w:r>
      <w:r w:rsidR="00F051D6">
        <w:rPr>
          <w:color w:val="000080"/>
        </w:rPr>
        <w:t>)</w:t>
      </w:r>
      <w:r w:rsidR="009153E3" w:rsidRPr="00DB1457">
        <w:rPr>
          <w:color w:val="000080"/>
        </w:rPr>
        <w:t xml:space="preserve">, was issued a permanent L-3 profile and underwent a </w:t>
      </w:r>
      <w:r w:rsidR="00F051D6">
        <w:rPr>
          <w:color w:val="000080"/>
        </w:rPr>
        <w:t>Medical Evaluation Board (</w:t>
      </w:r>
      <w:r w:rsidR="009153E3" w:rsidRPr="00DB1457">
        <w:rPr>
          <w:color w:val="000080"/>
        </w:rPr>
        <w:t>MEB</w:t>
      </w:r>
      <w:r w:rsidR="00F051D6">
        <w:rPr>
          <w:color w:val="000080"/>
        </w:rPr>
        <w:t>)</w:t>
      </w:r>
      <w:r w:rsidR="009153E3" w:rsidRPr="00DB1457">
        <w:rPr>
          <w:color w:val="000080"/>
        </w:rPr>
        <w:t xml:space="preserve">.  The LLE </w:t>
      </w:r>
      <w:proofErr w:type="spellStart"/>
      <w:r w:rsidR="009153E3" w:rsidRPr="00DB1457">
        <w:rPr>
          <w:color w:val="000080"/>
        </w:rPr>
        <w:t>radiculopathy</w:t>
      </w:r>
      <w:proofErr w:type="spellEnd"/>
      <w:r w:rsidR="009153E3" w:rsidRPr="00DB1457">
        <w:rPr>
          <w:color w:val="000080"/>
        </w:rPr>
        <w:t xml:space="preserve"> and lumbar spine conditions were forwarded to the </w:t>
      </w:r>
      <w:r w:rsidR="00F051D6">
        <w:rPr>
          <w:color w:val="000080"/>
        </w:rPr>
        <w:t>Physical Evaluation Board (</w:t>
      </w:r>
      <w:r w:rsidR="009153E3" w:rsidRPr="00DB1457">
        <w:rPr>
          <w:color w:val="000080"/>
        </w:rPr>
        <w:t>PEB</w:t>
      </w:r>
      <w:r w:rsidR="00F051D6">
        <w:rPr>
          <w:color w:val="000080"/>
        </w:rPr>
        <w:t>)</w:t>
      </w:r>
      <w:r w:rsidR="009153E3" w:rsidRPr="00DB1457">
        <w:rPr>
          <w:color w:val="000080"/>
        </w:rPr>
        <w:t xml:space="preserve"> as separate conditions noted to be below AR 40-501 retention standards.  </w:t>
      </w:r>
      <w:r w:rsidR="00E957D8" w:rsidRPr="00DB1457">
        <w:rPr>
          <w:color w:val="000080"/>
        </w:rPr>
        <w:t xml:space="preserve">Additional conditions established by the MEB were a bladder condition felt to be related to benign prostatic hypertrophy (BPH) and the four others listed on the rating chart below.  </w:t>
      </w:r>
      <w:r w:rsidR="00C80639" w:rsidRPr="00DB1457">
        <w:rPr>
          <w:color w:val="000080"/>
        </w:rPr>
        <w:t xml:space="preserve">These were all forwarded to the PEB as medically acceptable IAW AR 40-501.  </w:t>
      </w:r>
      <w:r w:rsidR="00E957D8" w:rsidRPr="00DB1457">
        <w:rPr>
          <w:color w:val="000080"/>
        </w:rPr>
        <w:t>The CI developed a depressive disord</w:t>
      </w:r>
      <w:r w:rsidR="00C80639" w:rsidRPr="00DB1457">
        <w:rPr>
          <w:color w:val="000080"/>
        </w:rPr>
        <w:t xml:space="preserve">er late in the MEB process.  This was opined to be a consequence, to a significant extent, of his back condition.  The psychiatric condition was not included on the MEB’s DA </w:t>
      </w:r>
      <w:r w:rsidR="00F051D6">
        <w:rPr>
          <w:color w:val="000080"/>
        </w:rPr>
        <w:t xml:space="preserve">Form </w:t>
      </w:r>
      <w:r w:rsidR="00C80639" w:rsidRPr="00DB1457">
        <w:rPr>
          <w:color w:val="000080"/>
        </w:rPr>
        <w:t xml:space="preserve">3947, </w:t>
      </w:r>
      <w:r w:rsidR="002009CF" w:rsidRPr="00DB1457">
        <w:rPr>
          <w:color w:val="000080"/>
        </w:rPr>
        <w:t xml:space="preserve">although a subsequent psychiatric addendum was added to the </w:t>
      </w:r>
      <w:r w:rsidR="00F051D6">
        <w:rPr>
          <w:color w:val="000080"/>
        </w:rPr>
        <w:t>narrative summary (</w:t>
      </w:r>
      <w:r w:rsidR="002009CF" w:rsidRPr="00DB1457">
        <w:rPr>
          <w:color w:val="000080"/>
        </w:rPr>
        <w:t>NARSUM</w:t>
      </w:r>
      <w:r w:rsidR="00F051D6">
        <w:rPr>
          <w:color w:val="000080"/>
        </w:rPr>
        <w:t>)</w:t>
      </w:r>
      <w:r w:rsidR="002009CF" w:rsidRPr="00DB1457">
        <w:rPr>
          <w:color w:val="000080"/>
        </w:rPr>
        <w:t>.  I</w:t>
      </w:r>
      <w:r w:rsidR="005F66EB" w:rsidRPr="00DB1457">
        <w:rPr>
          <w:color w:val="000080"/>
        </w:rPr>
        <w:t xml:space="preserve">t </w:t>
      </w:r>
      <w:r w:rsidR="00C80639" w:rsidRPr="00DB1457">
        <w:rPr>
          <w:color w:val="000080"/>
        </w:rPr>
        <w:t xml:space="preserve">was addressed in PEB and </w:t>
      </w:r>
      <w:r w:rsidR="00F051D6">
        <w:rPr>
          <w:color w:val="000080"/>
        </w:rPr>
        <w:t>US Army Physical Disability Agency (</w:t>
      </w:r>
      <w:r w:rsidR="00C80639" w:rsidRPr="00DB1457">
        <w:rPr>
          <w:color w:val="000080"/>
        </w:rPr>
        <w:t>USAPDA</w:t>
      </w:r>
      <w:r w:rsidR="00F051D6">
        <w:rPr>
          <w:color w:val="000080"/>
        </w:rPr>
        <w:t>)</w:t>
      </w:r>
      <w:r w:rsidR="00C80639" w:rsidRPr="00DB1457">
        <w:rPr>
          <w:color w:val="000080"/>
        </w:rPr>
        <w:t xml:space="preserve"> appeals</w:t>
      </w:r>
      <w:r w:rsidR="002009CF" w:rsidRPr="00DB1457">
        <w:rPr>
          <w:color w:val="000080"/>
        </w:rPr>
        <w:t xml:space="preserve"> and</w:t>
      </w:r>
      <w:r w:rsidR="00C80639" w:rsidRPr="00DB1457">
        <w:rPr>
          <w:color w:val="000080"/>
        </w:rPr>
        <w:t xml:space="preserve"> was not added </w:t>
      </w:r>
      <w:r w:rsidR="005F66EB" w:rsidRPr="00DB1457">
        <w:rPr>
          <w:color w:val="000080"/>
        </w:rPr>
        <w:t xml:space="preserve">to the separation rating as an additionally unfitting condition.  </w:t>
      </w:r>
      <w:r w:rsidR="002009CF" w:rsidRPr="00DB1457">
        <w:rPr>
          <w:color w:val="000080"/>
        </w:rPr>
        <w:t xml:space="preserve">Additional conditions supported in the </w:t>
      </w:r>
      <w:r w:rsidR="00F051D6">
        <w:rPr>
          <w:color w:val="000080"/>
        </w:rPr>
        <w:t>Disability Evaluation System (</w:t>
      </w:r>
      <w:r w:rsidR="002009CF" w:rsidRPr="00DB1457">
        <w:rPr>
          <w:color w:val="000080"/>
        </w:rPr>
        <w:t>DES</w:t>
      </w:r>
      <w:r w:rsidR="00F051D6">
        <w:rPr>
          <w:color w:val="000080"/>
        </w:rPr>
        <w:t>)</w:t>
      </w:r>
      <w:r w:rsidR="002009CF" w:rsidRPr="00DB1457">
        <w:rPr>
          <w:color w:val="000080"/>
        </w:rPr>
        <w:t xml:space="preserve"> packet are discussed below, but were not forwarded for PEB adjudication on the DA </w:t>
      </w:r>
      <w:r w:rsidR="00F051D6">
        <w:rPr>
          <w:color w:val="000080"/>
        </w:rPr>
        <w:t xml:space="preserve">Form </w:t>
      </w:r>
      <w:r w:rsidR="002009CF" w:rsidRPr="00DB1457">
        <w:rPr>
          <w:color w:val="000080"/>
        </w:rPr>
        <w:t xml:space="preserve">3947.  </w:t>
      </w:r>
      <w:r w:rsidR="005F66EB" w:rsidRPr="00DB1457">
        <w:rPr>
          <w:color w:val="000080"/>
        </w:rPr>
        <w:t xml:space="preserve">An informal PEB adjudicated the LLE </w:t>
      </w:r>
      <w:proofErr w:type="spellStart"/>
      <w:r w:rsidR="005F66EB" w:rsidRPr="00DB1457">
        <w:rPr>
          <w:color w:val="000080"/>
        </w:rPr>
        <w:t>radiculopathy</w:t>
      </w:r>
      <w:proofErr w:type="spellEnd"/>
      <w:r w:rsidR="005F66EB" w:rsidRPr="00DB1457">
        <w:rPr>
          <w:color w:val="000080"/>
        </w:rPr>
        <w:t xml:space="preserve"> and back conditions as unfitting, rated 10% and 0% respectively.  The remaining conditions were adjudicated as not unfitting.  A formal PEB </w:t>
      </w:r>
      <w:r w:rsidR="002009CF" w:rsidRPr="00DB1457">
        <w:rPr>
          <w:color w:val="000080"/>
        </w:rPr>
        <w:t xml:space="preserve">rendered the same decision, except for raising the </w:t>
      </w:r>
      <w:proofErr w:type="spellStart"/>
      <w:r w:rsidR="002009CF" w:rsidRPr="00DB1457">
        <w:rPr>
          <w:color w:val="000080"/>
        </w:rPr>
        <w:t>radiculopathy</w:t>
      </w:r>
      <w:proofErr w:type="spellEnd"/>
      <w:r w:rsidR="002009CF" w:rsidRPr="00DB1457">
        <w:rPr>
          <w:color w:val="000080"/>
        </w:rPr>
        <w:t xml:space="preserve"> rating from 10% (mild) to 20% (moderate).  This was upheld by formal appeals to the PEB and the USAPDA.  </w:t>
      </w:r>
      <w:r w:rsidR="00EB321F" w:rsidRPr="00DB1457">
        <w:rPr>
          <w:color w:val="000080"/>
        </w:rPr>
        <w:t>The CI was thus medically separated with a combined disability rating of 20%.</w:t>
      </w:r>
    </w:p>
    <w:p w:rsidR="00923B2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923B25" w:rsidRPr="00D91DA6" w:rsidRDefault="00923B25" w:rsidP="00875F2D">
      <w:pPr>
        <w:tabs>
          <w:tab w:val="left" w:pos="288"/>
          <w:tab w:val="left" w:pos="4752"/>
        </w:tabs>
        <w:spacing w:line="240" w:lineRule="exact"/>
        <w:jc w:val="both"/>
        <w:rPr>
          <w:color w:val="000080"/>
        </w:rPr>
      </w:pPr>
    </w:p>
    <w:p w:rsidR="003E0B5A" w:rsidRPr="00DB1457" w:rsidRDefault="002C6E5B" w:rsidP="00DB1457">
      <w:pPr>
        <w:tabs>
          <w:tab w:val="left" w:pos="288"/>
          <w:tab w:val="left" w:pos="4752"/>
        </w:tabs>
        <w:spacing w:line="240" w:lineRule="exact"/>
        <w:jc w:val="both"/>
        <w:rPr>
          <w:color w:val="000080"/>
        </w:rPr>
      </w:pPr>
      <w:r w:rsidRPr="00DB1457">
        <w:rPr>
          <w:color w:val="000080"/>
          <w:u w:val="single"/>
        </w:rPr>
        <w:t>CI CONTENTION</w:t>
      </w:r>
      <w:r w:rsidRPr="00DB1457">
        <w:rPr>
          <w:color w:val="000080"/>
        </w:rPr>
        <w:t>:  The CI states:</w:t>
      </w:r>
      <w:r w:rsidR="00C932C5" w:rsidRPr="00DB1457">
        <w:rPr>
          <w:color w:val="000080"/>
        </w:rPr>
        <w:t xml:space="preserve"> ‘</w:t>
      </w:r>
      <w:r w:rsidR="00E44E70" w:rsidRPr="00DB1457">
        <w:rPr>
          <w:color w:val="000080"/>
        </w:rPr>
        <w:t xml:space="preserve">Documentation supplied for rating for </w:t>
      </w:r>
      <w:proofErr w:type="spellStart"/>
      <w:r w:rsidR="00E44E70" w:rsidRPr="00DB1457">
        <w:rPr>
          <w:color w:val="000080"/>
        </w:rPr>
        <w:t>Intervertebral</w:t>
      </w:r>
      <w:proofErr w:type="spellEnd"/>
      <w:r w:rsidR="00E44E70" w:rsidRPr="00DB1457">
        <w:rPr>
          <w:color w:val="000080"/>
        </w:rPr>
        <w:t xml:space="preserve"> Disc Syndrome based on incapacitating Episodes Code 5243 should be added (see petition). </w:t>
      </w:r>
      <w:r w:rsidR="00564F5B" w:rsidRPr="00DB1457">
        <w:rPr>
          <w:color w:val="000080"/>
        </w:rPr>
        <w:t xml:space="preserve"> </w:t>
      </w:r>
      <w:r w:rsidR="00F051D6">
        <w:rPr>
          <w:color w:val="000080"/>
        </w:rPr>
        <w:t>VA rated for Major Depressive D</w:t>
      </w:r>
      <w:r w:rsidR="00E44E70" w:rsidRPr="00DB1457">
        <w:rPr>
          <w:color w:val="000080"/>
        </w:rPr>
        <w:t>isorder with pain disorder with both psychological factors and a general medical condition should be added.  VA rated for bladder dysfunction secondary to sacral nerve damage and prostatic hyperplasia should be added.</w:t>
      </w:r>
      <w:r w:rsidR="00C932C5" w:rsidRPr="00DB1457">
        <w:rPr>
          <w:color w:val="000080"/>
        </w:rPr>
        <w:t>’</w:t>
      </w:r>
      <w:r w:rsidR="00896535" w:rsidRPr="00DB1457">
        <w:rPr>
          <w:color w:val="000080"/>
        </w:rPr>
        <w:t xml:space="preserve">  </w:t>
      </w:r>
      <w:r w:rsidR="00E44E70" w:rsidRPr="00DB1457">
        <w:rPr>
          <w:color w:val="000080"/>
        </w:rPr>
        <w:t xml:space="preserve">He attaches documentation for contended rating under incapacitating episodes.  </w:t>
      </w:r>
      <w:r w:rsidR="00776310" w:rsidRPr="00DB1457">
        <w:rPr>
          <w:color w:val="000080"/>
        </w:rPr>
        <w:t xml:space="preserve">He </w:t>
      </w:r>
      <w:r w:rsidR="003E0B5A" w:rsidRPr="00DB1457">
        <w:rPr>
          <w:color w:val="000080"/>
        </w:rPr>
        <w:t xml:space="preserve">does not specifically contend for service ratings for </w:t>
      </w:r>
      <w:r w:rsidR="00776310" w:rsidRPr="00DB1457">
        <w:rPr>
          <w:color w:val="000080"/>
        </w:rPr>
        <w:t>any conditions other than those noted</w:t>
      </w:r>
      <w:r w:rsidR="003E0B5A" w:rsidRPr="00DB1457">
        <w:rPr>
          <w:color w:val="000080"/>
        </w:rPr>
        <w:t>.</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1C181A" w:rsidRDefault="001C181A" w:rsidP="00875F2D">
      <w:pPr>
        <w:tabs>
          <w:tab w:val="left" w:pos="288"/>
          <w:tab w:val="left" w:pos="4752"/>
        </w:tabs>
        <w:spacing w:line="240" w:lineRule="exact"/>
        <w:jc w:val="both"/>
        <w:rPr>
          <w:color w:val="000080"/>
        </w:rPr>
      </w:pPr>
    </w:p>
    <w:p w:rsidR="002338CA" w:rsidRPr="00DB1457" w:rsidRDefault="002C6E5B" w:rsidP="00DB1457">
      <w:pPr>
        <w:tabs>
          <w:tab w:val="left" w:pos="288"/>
          <w:tab w:val="left" w:pos="4752"/>
        </w:tabs>
        <w:spacing w:line="240" w:lineRule="exact"/>
        <w:jc w:val="both"/>
        <w:rPr>
          <w:color w:val="000080"/>
        </w:rPr>
      </w:pPr>
      <w:r w:rsidRPr="00DB1457">
        <w:rPr>
          <w:color w:val="000080"/>
          <w:u w:val="single"/>
        </w:rPr>
        <w:t>RATING COMPARISON</w:t>
      </w:r>
      <w:r w:rsidRPr="00DB1457">
        <w:rPr>
          <w:color w:val="000080"/>
        </w:rPr>
        <w:t>:</w:t>
      </w:r>
    </w:p>
    <w:p w:rsidR="00F82981" w:rsidRDefault="00F82981" w:rsidP="00875F2D">
      <w:pPr>
        <w:tabs>
          <w:tab w:val="left" w:pos="288"/>
          <w:tab w:val="left" w:pos="4752"/>
        </w:tabs>
        <w:spacing w:line="240" w:lineRule="exact"/>
        <w:jc w:val="both"/>
        <w:rPr>
          <w:color w:val="000080"/>
        </w:rPr>
      </w:pPr>
    </w:p>
    <w:tbl>
      <w:tblPr>
        <w:tblStyle w:val="TableGrid"/>
        <w:tblW w:w="9270" w:type="dxa"/>
        <w:tblInd w:w="108" w:type="dxa"/>
        <w:tblLayout w:type="fixed"/>
        <w:tblLook w:val="04A0"/>
      </w:tblPr>
      <w:tblGrid>
        <w:gridCol w:w="2160"/>
        <w:gridCol w:w="360"/>
        <w:gridCol w:w="720"/>
        <w:gridCol w:w="810"/>
        <w:gridCol w:w="2700"/>
        <w:gridCol w:w="720"/>
        <w:gridCol w:w="810"/>
        <w:gridCol w:w="990"/>
      </w:tblGrid>
      <w:tr w:rsidR="00684E2B" w:rsidRPr="002A685E" w:rsidTr="001008C1">
        <w:trPr>
          <w:trHeight w:val="233"/>
        </w:trPr>
        <w:tc>
          <w:tcPr>
            <w:tcW w:w="4050" w:type="dxa"/>
            <w:gridSpan w:val="4"/>
            <w:tcBorders>
              <w:right w:val="thinThickThinSmallGap" w:sz="24" w:space="0" w:color="auto"/>
            </w:tcBorders>
            <w:shd w:val="clear" w:color="auto" w:fill="C6D9F1" w:themeFill="text2" w:themeFillTint="33"/>
          </w:tcPr>
          <w:p w:rsidR="00684E2B" w:rsidRPr="002A685E" w:rsidRDefault="00684E2B" w:rsidP="00EA7395">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Service PEB</w:t>
            </w:r>
            <w:r w:rsidR="002B2645" w:rsidRPr="002A685E">
              <w:rPr>
                <w:rFonts w:cs="Times New Roman"/>
                <w:b/>
                <w:color w:val="002060"/>
                <w:sz w:val="20"/>
                <w:szCs w:val="20"/>
              </w:rPr>
              <w:t xml:space="preserve"> – Dated </w:t>
            </w:r>
            <w:r w:rsidR="00EA7395">
              <w:rPr>
                <w:rFonts w:cs="Times New Roman"/>
                <w:b/>
                <w:color w:val="002060"/>
                <w:sz w:val="20"/>
                <w:szCs w:val="20"/>
              </w:rPr>
              <w:t>20061227</w:t>
            </w:r>
          </w:p>
        </w:tc>
        <w:tc>
          <w:tcPr>
            <w:tcW w:w="5220" w:type="dxa"/>
            <w:gridSpan w:val="4"/>
            <w:tcBorders>
              <w:left w:val="thinThickThinSmallGap" w:sz="24" w:space="0" w:color="auto"/>
            </w:tcBorders>
            <w:shd w:val="clear" w:color="auto" w:fill="C6D9F1" w:themeFill="text2" w:themeFillTint="33"/>
          </w:tcPr>
          <w:p w:rsidR="00684E2B" w:rsidRPr="002A685E" w:rsidRDefault="00684E2B" w:rsidP="00B946F7">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VA (</w:t>
            </w:r>
            <w:r w:rsidR="00B946F7">
              <w:rPr>
                <w:rFonts w:cs="Times New Roman"/>
                <w:b/>
                <w:color w:val="002060"/>
                <w:sz w:val="20"/>
                <w:szCs w:val="20"/>
              </w:rPr>
              <w:t>6 Mo. Pre-</w:t>
            </w:r>
            <w:r w:rsidRPr="002A685E">
              <w:rPr>
                <w:rFonts w:cs="Times New Roman"/>
                <w:b/>
                <w:color w:val="002060"/>
                <w:sz w:val="20"/>
                <w:szCs w:val="20"/>
              </w:rPr>
              <w:t>Separation)</w:t>
            </w:r>
            <w:r w:rsidR="000C3C13" w:rsidRPr="002A685E">
              <w:rPr>
                <w:rFonts w:cs="Times New Roman"/>
                <w:b/>
                <w:color w:val="002060"/>
                <w:sz w:val="20"/>
                <w:szCs w:val="20"/>
              </w:rPr>
              <w:t xml:space="preserve"> – All Effective </w:t>
            </w:r>
            <w:r w:rsidR="00B946F7">
              <w:rPr>
                <w:rFonts w:cs="Times New Roman"/>
                <w:b/>
                <w:color w:val="002060"/>
                <w:sz w:val="20"/>
                <w:szCs w:val="20"/>
              </w:rPr>
              <w:t>20070220</w:t>
            </w:r>
          </w:p>
        </w:tc>
      </w:tr>
      <w:tr w:rsidR="002B2645" w:rsidRPr="002A685E" w:rsidTr="001008C1">
        <w:trPr>
          <w:trHeight w:val="233"/>
        </w:trPr>
        <w:tc>
          <w:tcPr>
            <w:tcW w:w="2520" w:type="dxa"/>
            <w:gridSpan w:val="2"/>
            <w:tcBorders>
              <w:bottom w:val="single" w:sz="4" w:space="0" w:color="000000" w:themeColor="text1"/>
            </w:tcBorders>
            <w:shd w:val="clear" w:color="auto" w:fill="C6D9F1" w:themeFill="text2" w:themeFillTint="33"/>
          </w:tcPr>
          <w:p w:rsidR="002B2645" w:rsidRPr="002A685E" w:rsidRDefault="002B2645" w:rsidP="00052F31">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Condition</w:t>
            </w:r>
          </w:p>
        </w:tc>
        <w:tc>
          <w:tcPr>
            <w:tcW w:w="720" w:type="dxa"/>
            <w:tcBorders>
              <w:bottom w:val="single" w:sz="4" w:space="0" w:color="000000" w:themeColor="text1"/>
            </w:tcBorders>
            <w:shd w:val="clear" w:color="auto" w:fill="C6D9F1" w:themeFill="text2" w:themeFillTint="33"/>
          </w:tcPr>
          <w:p w:rsidR="002B2645" w:rsidRPr="002A685E" w:rsidRDefault="002B2645" w:rsidP="00052F31">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Code</w:t>
            </w:r>
          </w:p>
        </w:tc>
        <w:tc>
          <w:tcPr>
            <w:tcW w:w="810" w:type="dxa"/>
            <w:tcBorders>
              <w:bottom w:val="single" w:sz="4" w:space="0" w:color="000000" w:themeColor="text1"/>
              <w:right w:val="thinThickThinSmallGap" w:sz="24" w:space="0" w:color="auto"/>
            </w:tcBorders>
            <w:shd w:val="clear" w:color="auto" w:fill="C6D9F1" w:themeFill="text2" w:themeFillTint="33"/>
          </w:tcPr>
          <w:p w:rsidR="002B2645" w:rsidRPr="002A685E" w:rsidRDefault="002B2645" w:rsidP="00052F31">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Rating</w:t>
            </w:r>
          </w:p>
        </w:tc>
        <w:tc>
          <w:tcPr>
            <w:tcW w:w="2700" w:type="dxa"/>
            <w:tcBorders>
              <w:left w:val="thinThickThinSmallGap" w:sz="24" w:space="0" w:color="auto"/>
              <w:bottom w:val="single" w:sz="4" w:space="0" w:color="000000" w:themeColor="text1"/>
            </w:tcBorders>
            <w:shd w:val="clear" w:color="auto" w:fill="C6D9F1" w:themeFill="text2" w:themeFillTint="33"/>
          </w:tcPr>
          <w:p w:rsidR="002B2645" w:rsidRPr="002A685E" w:rsidRDefault="002B2645" w:rsidP="00052F31">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Condition</w:t>
            </w:r>
          </w:p>
        </w:tc>
        <w:tc>
          <w:tcPr>
            <w:tcW w:w="720" w:type="dxa"/>
            <w:tcBorders>
              <w:bottom w:val="single" w:sz="4" w:space="0" w:color="000000" w:themeColor="text1"/>
            </w:tcBorders>
            <w:shd w:val="clear" w:color="auto" w:fill="C6D9F1" w:themeFill="text2" w:themeFillTint="33"/>
          </w:tcPr>
          <w:p w:rsidR="002B2645" w:rsidRPr="002A685E" w:rsidRDefault="002B2645" w:rsidP="00052F31">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Code</w:t>
            </w:r>
          </w:p>
        </w:tc>
        <w:tc>
          <w:tcPr>
            <w:tcW w:w="810" w:type="dxa"/>
            <w:tcBorders>
              <w:bottom w:val="single" w:sz="4" w:space="0" w:color="000000" w:themeColor="text1"/>
            </w:tcBorders>
            <w:shd w:val="clear" w:color="auto" w:fill="C6D9F1" w:themeFill="text2" w:themeFillTint="33"/>
          </w:tcPr>
          <w:p w:rsidR="002B2645" w:rsidRPr="002A685E" w:rsidRDefault="002B2645" w:rsidP="00052F31">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Rating</w:t>
            </w:r>
          </w:p>
        </w:tc>
        <w:tc>
          <w:tcPr>
            <w:tcW w:w="990" w:type="dxa"/>
            <w:tcBorders>
              <w:bottom w:val="single" w:sz="4" w:space="0" w:color="000000" w:themeColor="text1"/>
            </w:tcBorders>
            <w:shd w:val="clear" w:color="auto" w:fill="C6D9F1" w:themeFill="text2" w:themeFillTint="33"/>
          </w:tcPr>
          <w:p w:rsidR="002B2645" w:rsidRPr="002A685E" w:rsidRDefault="002B2645" w:rsidP="00052F31">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Exam</w:t>
            </w:r>
          </w:p>
        </w:tc>
      </w:tr>
      <w:tr w:rsidR="00EF00FA" w:rsidRPr="002A685E" w:rsidTr="00EF00FA">
        <w:trPr>
          <w:trHeight w:val="152"/>
        </w:trPr>
        <w:tc>
          <w:tcPr>
            <w:tcW w:w="2160" w:type="dxa"/>
            <w:tcBorders>
              <w:right w:val="single" w:sz="4" w:space="0" w:color="auto"/>
            </w:tcBorders>
            <w:shd w:val="clear" w:color="auto" w:fill="FFFFFF" w:themeFill="background1"/>
          </w:tcPr>
          <w:p w:rsidR="00EF00FA" w:rsidRPr="00FD0AA0" w:rsidRDefault="00EF00FA" w:rsidP="00052F31">
            <w:pPr>
              <w:pStyle w:val="ListParagraph"/>
              <w:spacing w:after="0" w:line="240" w:lineRule="auto"/>
              <w:ind w:left="0"/>
              <w:rPr>
                <w:rFonts w:cs="Times New Roman"/>
                <w:color w:val="002060"/>
                <w:sz w:val="18"/>
                <w:szCs w:val="18"/>
              </w:rPr>
            </w:pPr>
            <w:r>
              <w:rPr>
                <w:rFonts w:cs="Times New Roman"/>
                <w:color w:val="002060"/>
                <w:sz w:val="18"/>
                <w:szCs w:val="18"/>
              </w:rPr>
              <w:t>Moderate LLE Weakness</w:t>
            </w:r>
          </w:p>
        </w:tc>
        <w:tc>
          <w:tcPr>
            <w:tcW w:w="1080" w:type="dxa"/>
            <w:gridSpan w:val="2"/>
            <w:tcBorders>
              <w:left w:val="single" w:sz="4" w:space="0" w:color="auto"/>
            </w:tcBorders>
            <w:shd w:val="clear" w:color="auto" w:fill="FFFFFF" w:themeFill="background1"/>
          </w:tcPr>
          <w:p w:rsidR="00EF00FA" w:rsidRPr="00FD0AA0" w:rsidRDefault="00EF00FA" w:rsidP="00052F31">
            <w:pPr>
              <w:pStyle w:val="ListParagraph"/>
              <w:spacing w:after="0" w:line="240" w:lineRule="auto"/>
              <w:ind w:left="0"/>
              <w:jc w:val="center"/>
              <w:rPr>
                <w:rFonts w:cs="Times New Roman"/>
                <w:color w:val="002060"/>
                <w:sz w:val="18"/>
                <w:szCs w:val="18"/>
              </w:rPr>
            </w:pPr>
            <w:r>
              <w:rPr>
                <w:rFonts w:cs="Times New Roman"/>
                <w:color w:val="002060"/>
                <w:sz w:val="18"/>
                <w:szCs w:val="18"/>
              </w:rPr>
              <w:t>5243-8520</w:t>
            </w:r>
          </w:p>
        </w:tc>
        <w:tc>
          <w:tcPr>
            <w:tcW w:w="810" w:type="dxa"/>
            <w:tcBorders>
              <w:right w:val="thinThickThinSmallGap" w:sz="24" w:space="0" w:color="auto"/>
            </w:tcBorders>
            <w:shd w:val="clear" w:color="auto" w:fill="FFFFFF" w:themeFill="background1"/>
          </w:tcPr>
          <w:p w:rsidR="00EF00FA" w:rsidRPr="00FD0AA0" w:rsidRDefault="00EF00FA" w:rsidP="00052F31">
            <w:pPr>
              <w:pStyle w:val="ListParagraph"/>
              <w:spacing w:after="0" w:line="240" w:lineRule="auto"/>
              <w:ind w:left="0"/>
              <w:jc w:val="center"/>
              <w:rPr>
                <w:rFonts w:cs="Times New Roman"/>
                <w:color w:val="002060"/>
                <w:sz w:val="18"/>
                <w:szCs w:val="18"/>
              </w:rPr>
            </w:pPr>
            <w:r>
              <w:rPr>
                <w:rFonts w:cs="Times New Roman"/>
                <w:color w:val="002060"/>
                <w:sz w:val="18"/>
                <w:szCs w:val="18"/>
              </w:rPr>
              <w:t>20%</w:t>
            </w:r>
          </w:p>
        </w:tc>
        <w:tc>
          <w:tcPr>
            <w:tcW w:w="2700" w:type="dxa"/>
            <w:tcBorders>
              <w:left w:val="thinThickThinSmallGap" w:sz="24" w:space="0" w:color="auto"/>
            </w:tcBorders>
            <w:shd w:val="clear" w:color="auto" w:fill="FFFFFF" w:themeFill="background1"/>
          </w:tcPr>
          <w:p w:rsidR="00EF00FA" w:rsidRPr="00FD0AA0" w:rsidRDefault="00EF00FA" w:rsidP="00052F31">
            <w:pPr>
              <w:pStyle w:val="ListParagraph"/>
              <w:spacing w:after="0" w:line="240" w:lineRule="auto"/>
              <w:ind w:left="0"/>
              <w:rPr>
                <w:rFonts w:cs="Times New Roman"/>
                <w:color w:val="002060"/>
                <w:sz w:val="18"/>
                <w:szCs w:val="18"/>
              </w:rPr>
            </w:pPr>
            <w:r>
              <w:rPr>
                <w:rFonts w:cs="Times New Roman"/>
                <w:color w:val="002060"/>
                <w:sz w:val="18"/>
                <w:szCs w:val="18"/>
              </w:rPr>
              <w:t xml:space="preserve">LLE </w:t>
            </w:r>
            <w:proofErr w:type="spellStart"/>
            <w:r>
              <w:rPr>
                <w:rFonts w:cs="Times New Roman"/>
                <w:color w:val="002060"/>
                <w:sz w:val="18"/>
                <w:szCs w:val="18"/>
              </w:rPr>
              <w:t>Radiculopathy</w:t>
            </w:r>
            <w:proofErr w:type="spellEnd"/>
            <w:r>
              <w:rPr>
                <w:rFonts w:cs="Times New Roman"/>
                <w:color w:val="002060"/>
                <w:sz w:val="18"/>
                <w:szCs w:val="18"/>
              </w:rPr>
              <w:t>…</w:t>
            </w:r>
          </w:p>
        </w:tc>
        <w:tc>
          <w:tcPr>
            <w:tcW w:w="720" w:type="dxa"/>
            <w:shd w:val="clear" w:color="auto" w:fill="FFFFFF" w:themeFill="background1"/>
          </w:tcPr>
          <w:p w:rsidR="00EF00FA" w:rsidRPr="00FD0AA0" w:rsidRDefault="00EF00FA" w:rsidP="00052F31">
            <w:pPr>
              <w:pStyle w:val="ListParagraph"/>
              <w:spacing w:after="0" w:line="240" w:lineRule="auto"/>
              <w:ind w:left="0"/>
              <w:jc w:val="center"/>
              <w:rPr>
                <w:rFonts w:cs="Times New Roman"/>
                <w:color w:val="002060"/>
                <w:sz w:val="18"/>
                <w:szCs w:val="18"/>
              </w:rPr>
            </w:pPr>
            <w:r>
              <w:rPr>
                <w:rFonts w:cs="Times New Roman"/>
                <w:color w:val="002060"/>
                <w:sz w:val="18"/>
                <w:szCs w:val="18"/>
              </w:rPr>
              <w:t>8520</w:t>
            </w:r>
          </w:p>
        </w:tc>
        <w:tc>
          <w:tcPr>
            <w:tcW w:w="810" w:type="dxa"/>
            <w:shd w:val="clear" w:color="auto" w:fill="FFFFFF" w:themeFill="background1"/>
          </w:tcPr>
          <w:p w:rsidR="00EF00FA" w:rsidRPr="00FD0AA0" w:rsidRDefault="00EF00FA" w:rsidP="00052F31">
            <w:pPr>
              <w:pStyle w:val="ListParagraph"/>
              <w:spacing w:after="0" w:line="240" w:lineRule="auto"/>
              <w:ind w:left="0"/>
              <w:jc w:val="center"/>
              <w:rPr>
                <w:rFonts w:cs="Times New Roman"/>
                <w:color w:val="002060"/>
                <w:sz w:val="18"/>
                <w:szCs w:val="18"/>
              </w:rPr>
            </w:pPr>
            <w:r>
              <w:rPr>
                <w:rFonts w:cs="Times New Roman"/>
                <w:color w:val="002060"/>
                <w:sz w:val="18"/>
                <w:szCs w:val="18"/>
              </w:rPr>
              <w:t>20%</w:t>
            </w:r>
          </w:p>
        </w:tc>
        <w:tc>
          <w:tcPr>
            <w:tcW w:w="990" w:type="dxa"/>
            <w:shd w:val="clear" w:color="auto" w:fill="FFFFFF" w:themeFill="background1"/>
          </w:tcPr>
          <w:p w:rsidR="00EF00FA" w:rsidRPr="00FD0AA0" w:rsidRDefault="00EF00FA" w:rsidP="00052F31">
            <w:pPr>
              <w:pStyle w:val="ListParagraph"/>
              <w:spacing w:after="0" w:line="240" w:lineRule="auto"/>
              <w:ind w:left="0"/>
              <w:jc w:val="center"/>
              <w:rPr>
                <w:rFonts w:cs="Times New Roman"/>
                <w:color w:val="002060"/>
                <w:sz w:val="18"/>
                <w:szCs w:val="18"/>
              </w:rPr>
            </w:pPr>
            <w:r>
              <w:rPr>
                <w:rFonts w:cs="Times New Roman"/>
                <w:color w:val="002060"/>
                <w:sz w:val="18"/>
                <w:szCs w:val="18"/>
              </w:rPr>
              <w:t>20060802</w:t>
            </w:r>
          </w:p>
        </w:tc>
      </w:tr>
      <w:tr w:rsidR="002B2645" w:rsidRPr="002A685E" w:rsidTr="001008C1">
        <w:trPr>
          <w:trHeight w:val="125"/>
        </w:trPr>
        <w:tc>
          <w:tcPr>
            <w:tcW w:w="2520" w:type="dxa"/>
            <w:gridSpan w:val="2"/>
            <w:shd w:val="clear" w:color="auto" w:fill="FFFFFF" w:themeFill="background1"/>
          </w:tcPr>
          <w:p w:rsidR="002B2645" w:rsidRPr="00FD0AA0" w:rsidRDefault="00EF00FA" w:rsidP="00052F31">
            <w:pPr>
              <w:pStyle w:val="ListParagraph"/>
              <w:spacing w:after="0" w:line="240" w:lineRule="auto"/>
              <w:ind w:left="0"/>
              <w:rPr>
                <w:rFonts w:cs="Times New Roman"/>
                <w:color w:val="002060"/>
                <w:sz w:val="18"/>
                <w:szCs w:val="18"/>
              </w:rPr>
            </w:pPr>
            <w:r>
              <w:rPr>
                <w:rFonts w:cs="Times New Roman"/>
                <w:color w:val="002060"/>
                <w:sz w:val="18"/>
                <w:szCs w:val="18"/>
              </w:rPr>
              <w:t>Chronic Low Back Pain</w:t>
            </w:r>
          </w:p>
        </w:tc>
        <w:tc>
          <w:tcPr>
            <w:tcW w:w="720" w:type="dxa"/>
            <w:shd w:val="clear" w:color="auto" w:fill="FFFFFF" w:themeFill="background1"/>
          </w:tcPr>
          <w:p w:rsidR="002B2645" w:rsidRPr="00FD0AA0" w:rsidRDefault="00EF00FA" w:rsidP="00052F31">
            <w:pPr>
              <w:pStyle w:val="ListParagraph"/>
              <w:spacing w:after="0" w:line="240" w:lineRule="auto"/>
              <w:ind w:left="0"/>
              <w:jc w:val="center"/>
              <w:rPr>
                <w:rFonts w:cs="Times New Roman"/>
                <w:color w:val="002060"/>
                <w:sz w:val="18"/>
                <w:szCs w:val="18"/>
              </w:rPr>
            </w:pPr>
            <w:r>
              <w:rPr>
                <w:rFonts w:cs="Times New Roman"/>
                <w:color w:val="002060"/>
                <w:sz w:val="18"/>
                <w:szCs w:val="18"/>
              </w:rPr>
              <w:t>5243</w:t>
            </w:r>
          </w:p>
        </w:tc>
        <w:tc>
          <w:tcPr>
            <w:tcW w:w="810" w:type="dxa"/>
            <w:tcBorders>
              <w:right w:val="thinThickThinSmallGap" w:sz="24" w:space="0" w:color="auto"/>
            </w:tcBorders>
            <w:shd w:val="clear" w:color="auto" w:fill="FFFFFF" w:themeFill="background1"/>
          </w:tcPr>
          <w:p w:rsidR="002B2645" w:rsidRPr="00FD0AA0" w:rsidRDefault="00EF00FA" w:rsidP="00052F31">
            <w:pPr>
              <w:pStyle w:val="ListParagraph"/>
              <w:spacing w:after="0" w:line="240" w:lineRule="auto"/>
              <w:ind w:left="0"/>
              <w:jc w:val="center"/>
              <w:rPr>
                <w:rFonts w:cs="Times New Roman"/>
                <w:color w:val="002060"/>
                <w:sz w:val="18"/>
                <w:szCs w:val="18"/>
              </w:rPr>
            </w:pPr>
            <w:r>
              <w:rPr>
                <w:rFonts w:cs="Times New Roman"/>
                <w:color w:val="002060"/>
                <w:sz w:val="18"/>
                <w:szCs w:val="18"/>
              </w:rPr>
              <w:t>0%</w:t>
            </w:r>
          </w:p>
        </w:tc>
        <w:tc>
          <w:tcPr>
            <w:tcW w:w="2700" w:type="dxa"/>
            <w:tcBorders>
              <w:left w:val="thinThickThinSmallGap" w:sz="24" w:space="0" w:color="auto"/>
            </w:tcBorders>
            <w:shd w:val="clear" w:color="auto" w:fill="FFFFFF" w:themeFill="background1"/>
          </w:tcPr>
          <w:p w:rsidR="002B2645" w:rsidRPr="00FD0AA0" w:rsidRDefault="00EF00FA" w:rsidP="00052F31">
            <w:pPr>
              <w:pStyle w:val="ListParagraph"/>
              <w:spacing w:after="0" w:line="240" w:lineRule="auto"/>
              <w:ind w:left="0"/>
              <w:rPr>
                <w:rFonts w:cs="Times New Roman"/>
                <w:color w:val="002060"/>
                <w:sz w:val="18"/>
                <w:szCs w:val="18"/>
              </w:rPr>
            </w:pPr>
            <w:r>
              <w:rPr>
                <w:rFonts w:cs="Times New Roman"/>
                <w:color w:val="002060"/>
                <w:sz w:val="18"/>
                <w:szCs w:val="18"/>
              </w:rPr>
              <w:t xml:space="preserve">S/P L5-S1 </w:t>
            </w:r>
            <w:proofErr w:type="spellStart"/>
            <w:r>
              <w:rPr>
                <w:rFonts w:cs="Times New Roman"/>
                <w:color w:val="002060"/>
                <w:sz w:val="18"/>
                <w:szCs w:val="18"/>
              </w:rPr>
              <w:t>Microdiskectomy</w:t>
            </w:r>
            <w:proofErr w:type="spellEnd"/>
          </w:p>
        </w:tc>
        <w:tc>
          <w:tcPr>
            <w:tcW w:w="720" w:type="dxa"/>
            <w:shd w:val="clear" w:color="auto" w:fill="FFFFFF" w:themeFill="background1"/>
          </w:tcPr>
          <w:p w:rsidR="002B2645" w:rsidRPr="00FD0AA0" w:rsidRDefault="00EF00FA" w:rsidP="00052F31">
            <w:pPr>
              <w:pStyle w:val="ListParagraph"/>
              <w:spacing w:after="0" w:line="240" w:lineRule="auto"/>
              <w:ind w:left="0"/>
              <w:jc w:val="center"/>
              <w:rPr>
                <w:rFonts w:cs="Times New Roman"/>
                <w:color w:val="002060"/>
                <w:sz w:val="18"/>
                <w:szCs w:val="18"/>
              </w:rPr>
            </w:pPr>
            <w:r>
              <w:rPr>
                <w:rFonts w:cs="Times New Roman"/>
                <w:color w:val="002060"/>
                <w:sz w:val="18"/>
                <w:szCs w:val="18"/>
              </w:rPr>
              <w:t>5243</w:t>
            </w:r>
          </w:p>
        </w:tc>
        <w:tc>
          <w:tcPr>
            <w:tcW w:w="810" w:type="dxa"/>
            <w:shd w:val="clear" w:color="auto" w:fill="FFFFFF" w:themeFill="background1"/>
          </w:tcPr>
          <w:p w:rsidR="002B2645" w:rsidRPr="00FD0AA0" w:rsidRDefault="00EF00FA" w:rsidP="00052F31">
            <w:pPr>
              <w:pStyle w:val="ListParagraph"/>
              <w:spacing w:after="0" w:line="240" w:lineRule="auto"/>
              <w:ind w:left="0"/>
              <w:jc w:val="center"/>
              <w:rPr>
                <w:rFonts w:cs="Times New Roman"/>
                <w:color w:val="002060"/>
                <w:sz w:val="18"/>
                <w:szCs w:val="18"/>
              </w:rPr>
            </w:pPr>
            <w:r>
              <w:rPr>
                <w:rFonts w:cs="Times New Roman"/>
                <w:color w:val="002060"/>
                <w:sz w:val="18"/>
                <w:szCs w:val="18"/>
              </w:rPr>
              <w:t>20%</w:t>
            </w:r>
          </w:p>
        </w:tc>
        <w:tc>
          <w:tcPr>
            <w:tcW w:w="990" w:type="dxa"/>
            <w:shd w:val="clear" w:color="auto" w:fill="FFFFFF" w:themeFill="background1"/>
          </w:tcPr>
          <w:p w:rsidR="002B2645" w:rsidRPr="00FD0AA0" w:rsidRDefault="0073616B" w:rsidP="00052F31">
            <w:pPr>
              <w:pStyle w:val="ListParagraph"/>
              <w:spacing w:after="0" w:line="240" w:lineRule="auto"/>
              <w:ind w:left="0"/>
              <w:jc w:val="center"/>
              <w:rPr>
                <w:rFonts w:cs="Times New Roman"/>
                <w:color w:val="002060"/>
                <w:sz w:val="18"/>
                <w:szCs w:val="18"/>
              </w:rPr>
            </w:pPr>
            <w:r>
              <w:rPr>
                <w:rFonts w:cs="Times New Roman"/>
                <w:color w:val="002060"/>
                <w:sz w:val="18"/>
                <w:szCs w:val="18"/>
              </w:rPr>
              <w:t>20060802</w:t>
            </w:r>
          </w:p>
        </w:tc>
      </w:tr>
      <w:tr w:rsidR="00B946F7" w:rsidRPr="002A685E" w:rsidTr="0073616B">
        <w:trPr>
          <w:trHeight w:val="188"/>
        </w:trPr>
        <w:tc>
          <w:tcPr>
            <w:tcW w:w="2520" w:type="dxa"/>
            <w:gridSpan w:val="2"/>
            <w:shd w:val="clear" w:color="auto" w:fill="FFFFFF" w:themeFill="background1"/>
          </w:tcPr>
          <w:p w:rsidR="00B946F7" w:rsidRPr="00FD0AA0" w:rsidRDefault="00B946F7" w:rsidP="00052F31">
            <w:pPr>
              <w:pStyle w:val="ListParagraph"/>
              <w:spacing w:after="0" w:line="240" w:lineRule="auto"/>
              <w:ind w:left="0"/>
              <w:rPr>
                <w:rFonts w:cs="Times New Roman"/>
                <w:color w:val="002060"/>
                <w:sz w:val="18"/>
                <w:szCs w:val="18"/>
              </w:rPr>
            </w:pPr>
            <w:r>
              <w:rPr>
                <w:rFonts w:cs="Times New Roman"/>
                <w:color w:val="002060"/>
                <w:sz w:val="18"/>
                <w:szCs w:val="18"/>
              </w:rPr>
              <w:t>Benign Prostatic Hypertrophy</w:t>
            </w:r>
          </w:p>
        </w:tc>
        <w:tc>
          <w:tcPr>
            <w:tcW w:w="1530" w:type="dxa"/>
            <w:gridSpan w:val="2"/>
            <w:tcBorders>
              <w:right w:val="thinThickThinSmallGap" w:sz="24" w:space="0" w:color="auto"/>
            </w:tcBorders>
            <w:shd w:val="clear" w:color="auto" w:fill="FFFFFF" w:themeFill="background1"/>
          </w:tcPr>
          <w:p w:rsidR="00B946F7" w:rsidRPr="00FD0AA0" w:rsidRDefault="00B946F7" w:rsidP="00052F31">
            <w:pPr>
              <w:pStyle w:val="ListParagraph"/>
              <w:spacing w:after="0" w:line="240" w:lineRule="auto"/>
              <w:ind w:left="0"/>
              <w:jc w:val="center"/>
              <w:rPr>
                <w:rFonts w:cs="Times New Roman"/>
                <w:color w:val="002060"/>
                <w:sz w:val="18"/>
                <w:szCs w:val="18"/>
              </w:rPr>
            </w:pPr>
            <w:r w:rsidRPr="00FD0AA0">
              <w:rPr>
                <w:rFonts w:cs="Times New Roman"/>
                <w:color w:val="002060"/>
                <w:sz w:val="18"/>
                <w:szCs w:val="18"/>
              </w:rPr>
              <w:t>Not Unfitting</w:t>
            </w:r>
          </w:p>
        </w:tc>
        <w:tc>
          <w:tcPr>
            <w:tcW w:w="2700" w:type="dxa"/>
            <w:tcBorders>
              <w:left w:val="thinThickThinSmallGap" w:sz="24" w:space="0" w:color="auto"/>
              <w:right w:val="single" w:sz="4" w:space="0" w:color="auto"/>
            </w:tcBorders>
            <w:shd w:val="clear" w:color="auto" w:fill="FFFFFF" w:themeFill="background1"/>
          </w:tcPr>
          <w:p w:rsidR="00B946F7" w:rsidRPr="00FD0AA0" w:rsidRDefault="00B946F7" w:rsidP="00052F31">
            <w:pPr>
              <w:pStyle w:val="ListParagraph"/>
              <w:spacing w:after="0" w:line="240" w:lineRule="auto"/>
              <w:ind w:left="0"/>
              <w:rPr>
                <w:rFonts w:cs="Times New Roman"/>
                <w:color w:val="002060"/>
                <w:sz w:val="18"/>
                <w:szCs w:val="18"/>
              </w:rPr>
            </w:pPr>
            <w:r>
              <w:rPr>
                <w:rFonts w:cs="Times New Roman"/>
                <w:color w:val="002060"/>
                <w:sz w:val="18"/>
                <w:szCs w:val="18"/>
              </w:rPr>
              <w:t>Bladder Dysfunction</w:t>
            </w:r>
            <w:r w:rsidR="0073616B">
              <w:rPr>
                <w:rFonts w:cs="Times New Roman"/>
                <w:color w:val="002060"/>
                <w:sz w:val="18"/>
                <w:szCs w:val="18"/>
              </w:rPr>
              <w:t xml:space="preserve"> 2° to </w:t>
            </w:r>
            <w:r w:rsidR="00EA7395">
              <w:rPr>
                <w:rFonts w:cs="Times New Roman"/>
                <w:color w:val="002060"/>
                <w:sz w:val="18"/>
                <w:szCs w:val="18"/>
              </w:rPr>
              <w:t xml:space="preserve">Sacral </w:t>
            </w:r>
            <w:r w:rsidR="0073616B">
              <w:rPr>
                <w:rFonts w:cs="Times New Roman"/>
                <w:color w:val="002060"/>
                <w:sz w:val="18"/>
                <w:szCs w:val="18"/>
              </w:rPr>
              <w:t>Nerve Damage and BPH</w:t>
            </w:r>
          </w:p>
        </w:tc>
        <w:tc>
          <w:tcPr>
            <w:tcW w:w="720" w:type="dxa"/>
            <w:tcBorders>
              <w:left w:val="single" w:sz="4" w:space="0" w:color="auto"/>
            </w:tcBorders>
            <w:shd w:val="clear" w:color="auto" w:fill="FFFFFF" w:themeFill="background1"/>
          </w:tcPr>
          <w:p w:rsidR="00B946F7" w:rsidRPr="00FD0AA0" w:rsidRDefault="00B946F7" w:rsidP="00052F31">
            <w:pPr>
              <w:pStyle w:val="ListParagraph"/>
              <w:spacing w:after="0" w:line="240" w:lineRule="auto"/>
              <w:ind w:left="0"/>
              <w:jc w:val="center"/>
              <w:rPr>
                <w:rFonts w:cs="Times New Roman"/>
                <w:color w:val="002060"/>
                <w:sz w:val="18"/>
                <w:szCs w:val="18"/>
              </w:rPr>
            </w:pPr>
            <w:r>
              <w:rPr>
                <w:rFonts w:cs="Times New Roman"/>
                <w:color w:val="002060"/>
                <w:sz w:val="18"/>
                <w:szCs w:val="18"/>
              </w:rPr>
              <w:t>7599-7527</w:t>
            </w:r>
          </w:p>
        </w:tc>
        <w:tc>
          <w:tcPr>
            <w:tcW w:w="810" w:type="dxa"/>
            <w:shd w:val="clear" w:color="auto" w:fill="FFFFFF" w:themeFill="background1"/>
          </w:tcPr>
          <w:p w:rsidR="00B946F7" w:rsidRPr="00FD0AA0" w:rsidRDefault="00B946F7" w:rsidP="00052F31">
            <w:pPr>
              <w:pStyle w:val="ListParagraph"/>
              <w:spacing w:after="0" w:line="240" w:lineRule="auto"/>
              <w:ind w:left="0"/>
              <w:jc w:val="center"/>
              <w:rPr>
                <w:rFonts w:cs="Times New Roman"/>
                <w:color w:val="002060"/>
                <w:sz w:val="18"/>
                <w:szCs w:val="18"/>
              </w:rPr>
            </w:pPr>
            <w:r>
              <w:rPr>
                <w:rFonts w:cs="Times New Roman"/>
                <w:color w:val="002060"/>
                <w:sz w:val="18"/>
                <w:szCs w:val="18"/>
              </w:rPr>
              <w:t>20%</w:t>
            </w:r>
          </w:p>
        </w:tc>
        <w:tc>
          <w:tcPr>
            <w:tcW w:w="990" w:type="dxa"/>
            <w:shd w:val="clear" w:color="auto" w:fill="FFFFFF" w:themeFill="background1"/>
          </w:tcPr>
          <w:p w:rsidR="00B946F7" w:rsidRPr="00FD0AA0" w:rsidRDefault="0073616B" w:rsidP="0073616B">
            <w:pPr>
              <w:pStyle w:val="ListParagraph"/>
              <w:spacing w:after="0" w:line="240" w:lineRule="auto"/>
              <w:ind w:left="0"/>
              <w:jc w:val="center"/>
              <w:rPr>
                <w:rFonts w:cs="Times New Roman"/>
                <w:color w:val="002060"/>
                <w:sz w:val="18"/>
                <w:szCs w:val="18"/>
              </w:rPr>
            </w:pPr>
            <w:r>
              <w:rPr>
                <w:rFonts w:cs="Times New Roman"/>
                <w:color w:val="002060"/>
                <w:sz w:val="18"/>
                <w:szCs w:val="18"/>
              </w:rPr>
              <w:t>20070123</w:t>
            </w:r>
          </w:p>
        </w:tc>
      </w:tr>
      <w:tr w:rsidR="00EA7395" w:rsidRPr="002A685E" w:rsidTr="00052F31">
        <w:trPr>
          <w:trHeight w:val="188"/>
        </w:trPr>
        <w:tc>
          <w:tcPr>
            <w:tcW w:w="2520" w:type="dxa"/>
            <w:gridSpan w:val="2"/>
            <w:shd w:val="clear" w:color="auto" w:fill="FFFFFF" w:themeFill="background1"/>
          </w:tcPr>
          <w:p w:rsidR="00EA7395" w:rsidRPr="00FD0AA0" w:rsidRDefault="00EA7395" w:rsidP="00052F31">
            <w:pPr>
              <w:pStyle w:val="ListParagraph"/>
              <w:spacing w:after="0" w:line="240" w:lineRule="auto"/>
              <w:ind w:left="0"/>
              <w:rPr>
                <w:rFonts w:cs="Times New Roman"/>
                <w:color w:val="002060"/>
                <w:sz w:val="18"/>
                <w:szCs w:val="18"/>
              </w:rPr>
            </w:pPr>
            <w:r>
              <w:rPr>
                <w:rFonts w:cs="Times New Roman"/>
                <w:color w:val="002060"/>
                <w:sz w:val="18"/>
                <w:szCs w:val="18"/>
              </w:rPr>
              <w:t xml:space="preserve">History </w:t>
            </w:r>
            <w:proofErr w:type="spellStart"/>
            <w:r>
              <w:rPr>
                <w:rFonts w:cs="Times New Roman"/>
                <w:color w:val="002060"/>
                <w:sz w:val="18"/>
                <w:szCs w:val="18"/>
              </w:rPr>
              <w:t>Nephrolithiasis</w:t>
            </w:r>
            <w:proofErr w:type="spellEnd"/>
          </w:p>
        </w:tc>
        <w:tc>
          <w:tcPr>
            <w:tcW w:w="1530" w:type="dxa"/>
            <w:gridSpan w:val="2"/>
            <w:tcBorders>
              <w:right w:val="thinThickThinSmallGap" w:sz="24" w:space="0" w:color="auto"/>
            </w:tcBorders>
            <w:shd w:val="clear" w:color="auto" w:fill="FFFFFF" w:themeFill="background1"/>
          </w:tcPr>
          <w:p w:rsidR="00EA7395" w:rsidRDefault="00EA7395" w:rsidP="00EA7395">
            <w:pPr>
              <w:jc w:val="center"/>
            </w:pPr>
            <w:r w:rsidRPr="002E2F1D">
              <w:rPr>
                <w:rFonts w:cs="Times New Roman"/>
                <w:color w:val="002060"/>
                <w:sz w:val="18"/>
                <w:szCs w:val="18"/>
              </w:rPr>
              <w:t>Not Unfitting</w:t>
            </w:r>
          </w:p>
        </w:tc>
        <w:tc>
          <w:tcPr>
            <w:tcW w:w="4230" w:type="dxa"/>
            <w:gridSpan w:val="3"/>
            <w:vMerge w:val="restart"/>
            <w:tcBorders>
              <w:left w:val="thinThickThinSmallGap" w:sz="24" w:space="0" w:color="auto"/>
            </w:tcBorders>
            <w:shd w:val="clear" w:color="auto" w:fill="FFFFFF" w:themeFill="background1"/>
          </w:tcPr>
          <w:p w:rsidR="00EA7395" w:rsidRPr="00FD0AA0" w:rsidRDefault="00EA7395" w:rsidP="0073616B">
            <w:pPr>
              <w:pStyle w:val="ListParagraph"/>
              <w:spacing w:after="0" w:line="240" w:lineRule="auto"/>
              <w:ind w:left="0"/>
              <w:jc w:val="center"/>
              <w:rPr>
                <w:rFonts w:cs="Times New Roman"/>
                <w:color w:val="002060"/>
                <w:sz w:val="18"/>
                <w:szCs w:val="18"/>
              </w:rPr>
            </w:pPr>
            <w:r w:rsidRPr="00FD0AA0">
              <w:rPr>
                <w:rFonts w:eastAsiaTheme="minorEastAsia"/>
                <w:color w:val="002060"/>
                <w:sz w:val="18"/>
                <w:szCs w:val="18"/>
              </w:rPr>
              <w:t>↓No</w:t>
            </w:r>
            <w:r>
              <w:rPr>
                <w:rFonts w:eastAsiaTheme="minorEastAsia"/>
                <w:color w:val="002060"/>
                <w:sz w:val="18"/>
                <w:szCs w:val="18"/>
              </w:rPr>
              <w:t>t Rated by VA</w:t>
            </w:r>
            <w:r w:rsidRPr="00FD0AA0">
              <w:rPr>
                <w:rFonts w:eastAsiaTheme="minorEastAsia"/>
                <w:color w:val="002060"/>
                <w:sz w:val="18"/>
                <w:szCs w:val="18"/>
              </w:rPr>
              <w:t>.↓</w:t>
            </w:r>
          </w:p>
        </w:tc>
        <w:tc>
          <w:tcPr>
            <w:tcW w:w="990" w:type="dxa"/>
            <w:vMerge w:val="restart"/>
            <w:shd w:val="clear" w:color="auto" w:fill="FFFFFF" w:themeFill="background1"/>
          </w:tcPr>
          <w:p w:rsidR="00EA7395" w:rsidRPr="00FD0AA0" w:rsidRDefault="00EA7395" w:rsidP="00052F31">
            <w:pPr>
              <w:pStyle w:val="ListParagraph"/>
              <w:spacing w:after="0" w:line="240" w:lineRule="auto"/>
              <w:ind w:left="0"/>
              <w:jc w:val="center"/>
              <w:rPr>
                <w:rFonts w:cs="Times New Roman"/>
                <w:color w:val="002060"/>
                <w:sz w:val="18"/>
                <w:szCs w:val="18"/>
              </w:rPr>
            </w:pPr>
            <w:r>
              <w:rPr>
                <w:rFonts w:cs="Times New Roman"/>
                <w:color w:val="002060"/>
                <w:sz w:val="18"/>
                <w:szCs w:val="18"/>
              </w:rPr>
              <w:t>20060802</w:t>
            </w:r>
          </w:p>
        </w:tc>
      </w:tr>
      <w:tr w:rsidR="00EA7395" w:rsidRPr="002A685E" w:rsidTr="00052F31">
        <w:trPr>
          <w:trHeight w:val="188"/>
        </w:trPr>
        <w:tc>
          <w:tcPr>
            <w:tcW w:w="2520" w:type="dxa"/>
            <w:gridSpan w:val="2"/>
            <w:shd w:val="clear" w:color="auto" w:fill="FFFFFF" w:themeFill="background1"/>
          </w:tcPr>
          <w:p w:rsidR="00EA7395" w:rsidRPr="00FD0AA0" w:rsidRDefault="00EA7395" w:rsidP="00EF00FA">
            <w:pPr>
              <w:pStyle w:val="ListParagraph"/>
              <w:spacing w:after="0" w:line="240" w:lineRule="auto"/>
              <w:ind w:left="0"/>
              <w:rPr>
                <w:rFonts w:cs="Times New Roman"/>
                <w:color w:val="002060"/>
                <w:sz w:val="18"/>
                <w:szCs w:val="18"/>
              </w:rPr>
            </w:pPr>
            <w:r>
              <w:rPr>
                <w:rFonts w:cs="Times New Roman"/>
                <w:color w:val="002060"/>
                <w:sz w:val="18"/>
                <w:szCs w:val="18"/>
              </w:rPr>
              <w:t>History Airway Disease</w:t>
            </w:r>
          </w:p>
        </w:tc>
        <w:tc>
          <w:tcPr>
            <w:tcW w:w="1530" w:type="dxa"/>
            <w:gridSpan w:val="2"/>
            <w:tcBorders>
              <w:right w:val="thinThickThinSmallGap" w:sz="24" w:space="0" w:color="auto"/>
            </w:tcBorders>
            <w:shd w:val="clear" w:color="auto" w:fill="FFFFFF" w:themeFill="background1"/>
          </w:tcPr>
          <w:p w:rsidR="00EA7395" w:rsidRDefault="00EA7395" w:rsidP="00EA7395">
            <w:pPr>
              <w:jc w:val="center"/>
            </w:pPr>
            <w:r w:rsidRPr="002E2F1D">
              <w:rPr>
                <w:rFonts w:cs="Times New Roman"/>
                <w:color w:val="002060"/>
                <w:sz w:val="18"/>
                <w:szCs w:val="18"/>
              </w:rPr>
              <w:t>Not Unfitting</w:t>
            </w:r>
          </w:p>
        </w:tc>
        <w:tc>
          <w:tcPr>
            <w:tcW w:w="4230" w:type="dxa"/>
            <w:gridSpan w:val="3"/>
            <w:vMerge/>
            <w:tcBorders>
              <w:left w:val="thinThickThinSmallGap" w:sz="24" w:space="0" w:color="auto"/>
            </w:tcBorders>
            <w:shd w:val="clear" w:color="auto" w:fill="FFFFFF" w:themeFill="background1"/>
          </w:tcPr>
          <w:p w:rsidR="00EA7395" w:rsidRPr="00FD0AA0" w:rsidRDefault="00EA7395" w:rsidP="00052F31">
            <w:pPr>
              <w:pStyle w:val="ListParagraph"/>
              <w:spacing w:after="0" w:line="240" w:lineRule="auto"/>
              <w:ind w:left="0"/>
              <w:jc w:val="center"/>
              <w:rPr>
                <w:rFonts w:cs="Times New Roman"/>
                <w:color w:val="002060"/>
                <w:sz w:val="18"/>
                <w:szCs w:val="18"/>
              </w:rPr>
            </w:pPr>
          </w:p>
        </w:tc>
        <w:tc>
          <w:tcPr>
            <w:tcW w:w="990" w:type="dxa"/>
            <w:vMerge/>
            <w:shd w:val="clear" w:color="auto" w:fill="FFFFFF" w:themeFill="background1"/>
          </w:tcPr>
          <w:p w:rsidR="00EA7395" w:rsidRPr="00FD0AA0" w:rsidRDefault="00EA7395" w:rsidP="00052F31">
            <w:pPr>
              <w:pStyle w:val="ListParagraph"/>
              <w:spacing w:after="0" w:line="240" w:lineRule="auto"/>
              <w:ind w:left="0"/>
              <w:jc w:val="center"/>
              <w:rPr>
                <w:rFonts w:cs="Times New Roman"/>
                <w:color w:val="002060"/>
                <w:sz w:val="18"/>
                <w:szCs w:val="18"/>
              </w:rPr>
            </w:pPr>
          </w:p>
        </w:tc>
      </w:tr>
      <w:tr w:rsidR="00EA7395" w:rsidRPr="002A685E" w:rsidTr="00052F31">
        <w:trPr>
          <w:trHeight w:val="188"/>
        </w:trPr>
        <w:tc>
          <w:tcPr>
            <w:tcW w:w="2520" w:type="dxa"/>
            <w:gridSpan w:val="2"/>
            <w:shd w:val="clear" w:color="auto" w:fill="FFFFFF" w:themeFill="background1"/>
          </w:tcPr>
          <w:p w:rsidR="00EA7395" w:rsidRPr="00FD0AA0" w:rsidRDefault="00EA7395" w:rsidP="00052F31">
            <w:pPr>
              <w:pStyle w:val="ListParagraph"/>
              <w:spacing w:after="0" w:line="240" w:lineRule="auto"/>
              <w:ind w:left="0"/>
              <w:rPr>
                <w:rFonts w:cs="Times New Roman"/>
                <w:color w:val="002060"/>
                <w:sz w:val="18"/>
                <w:szCs w:val="18"/>
              </w:rPr>
            </w:pPr>
            <w:r>
              <w:rPr>
                <w:rFonts w:cs="Times New Roman"/>
                <w:color w:val="002060"/>
                <w:sz w:val="18"/>
                <w:szCs w:val="18"/>
              </w:rPr>
              <w:t>Allergic Rhinitis</w:t>
            </w:r>
          </w:p>
        </w:tc>
        <w:tc>
          <w:tcPr>
            <w:tcW w:w="1530" w:type="dxa"/>
            <w:gridSpan w:val="2"/>
            <w:tcBorders>
              <w:right w:val="thinThickThinSmallGap" w:sz="24" w:space="0" w:color="auto"/>
            </w:tcBorders>
            <w:shd w:val="clear" w:color="auto" w:fill="FFFFFF" w:themeFill="background1"/>
          </w:tcPr>
          <w:p w:rsidR="00EA7395" w:rsidRDefault="00EA7395" w:rsidP="00EA7395">
            <w:pPr>
              <w:jc w:val="center"/>
            </w:pPr>
            <w:r w:rsidRPr="002E2F1D">
              <w:rPr>
                <w:rFonts w:cs="Times New Roman"/>
                <w:color w:val="002060"/>
                <w:sz w:val="18"/>
                <w:szCs w:val="18"/>
              </w:rPr>
              <w:t>Not Unfitting</w:t>
            </w:r>
          </w:p>
        </w:tc>
        <w:tc>
          <w:tcPr>
            <w:tcW w:w="4230" w:type="dxa"/>
            <w:gridSpan w:val="3"/>
            <w:vMerge/>
            <w:tcBorders>
              <w:left w:val="thinThickThinSmallGap" w:sz="24" w:space="0" w:color="auto"/>
            </w:tcBorders>
            <w:shd w:val="clear" w:color="auto" w:fill="FFFFFF" w:themeFill="background1"/>
          </w:tcPr>
          <w:p w:rsidR="00EA7395" w:rsidRPr="00FD0AA0" w:rsidRDefault="00EA7395" w:rsidP="00052F31">
            <w:pPr>
              <w:pStyle w:val="ListParagraph"/>
              <w:spacing w:after="0" w:line="240" w:lineRule="auto"/>
              <w:ind w:left="0"/>
              <w:jc w:val="center"/>
              <w:rPr>
                <w:rFonts w:cs="Times New Roman"/>
                <w:color w:val="002060"/>
                <w:sz w:val="18"/>
                <w:szCs w:val="18"/>
              </w:rPr>
            </w:pPr>
          </w:p>
        </w:tc>
        <w:tc>
          <w:tcPr>
            <w:tcW w:w="990" w:type="dxa"/>
            <w:vMerge/>
            <w:shd w:val="clear" w:color="auto" w:fill="FFFFFF" w:themeFill="background1"/>
          </w:tcPr>
          <w:p w:rsidR="00EA7395" w:rsidRPr="00FD0AA0" w:rsidRDefault="00EA7395" w:rsidP="00052F31">
            <w:pPr>
              <w:pStyle w:val="ListParagraph"/>
              <w:spacing w:after="0" w:line="240" w:lineRule="auto"/>
              <w:ind w:left="0"/>
              <w:jc w:val="center"/>
              <w:rPr>
                <w:rFonts w:cs="Times New Roman"/>
                <w:color w:val="002060"/>
                <w:sz w:val="18"/>
                <w:szCs w:val="18"/>
              </w:rPr>
            </w:pPr>
          </w:p>
        </w:tc>
      </w:tr>
      <w:tr w:rsidR="00EA7395" w:rsidRPr="002A685E" w:rsidTr="00052F31">
        <w:trPr>
          <w:trHeight w:val="188"/>
        </w:trPr>
        <w:tc>
          <w:tcPr>
            <w:tcW w:w="2520" w:type="dxa"/>
            <w:gridSpan w:val="2"/>
            <w:shd w:val="clear" w:color="auto" w:fill="FFFFFF" w:themeFill="background1"/>
          </w:tcPr>
          <w:p w:rsidR="00EA7395" w:rsidRPr="00FD0AA0" w:rsidRDefault="00EA7395" w:rsidP="00052F31">
            <w:pPr>
              <w:pStyle w:val="ListParagraph"/>
              <w:spacing w:after="0" w:line="240" w:lineRule="auto"/>
              <w:ind w:left="0"/>
              <w:rPr>
                <w:rFonts w:cs="Times New Roman"/>
                <w:color w:val="002060"/>
                <w:sz w:val="18"/>
                <w:szCs w:val="18"/>
              </w:rPr>
            </w:pPr>
            <w:r>
              <w:rPr>
                <w:rFonts w:cs="Times New Roman"/>
                <w:color w:val="002060"/>
                <w:sz w:val="18"/>
                <w:szCs w:val="18"/>
              </w:rPr>
              <w:t>Hypercholesterolemia</w:t>
            </w:r>
          </w:p>
        </w:tc>
        <w:tc>
          <w:tcPr>
            <w:tcW w:w="1530" w:type="dxa"/>
            <w:gridSpan w:val="2"/>
            <w:tcBorders>
              <w:right w:val="thinThickThinSmallGap" w:sz="24" w:space="0" w:color="auto"/>
            </w:tcBorders>
            <w:shd w:val="clear" w:color="auto" w:fill="FFFFFF" w:themeFill="background1"/>
          </w:tcPr>
          <w:p w:rsidR="00EA7395" w:rsidRDefault="00EA7395" w:rsidP="00EA7395">
            <w:pPr>
              <w:jc w:val="center"/>
            </w:pPr>
            <w:r w:rsidRPr="002E2F1D">
              <w:rPr>
                <w:rFonts w:cs="Times New Roman"/>
                <w:color w:val="002060"/>
                <w:sz w:val="18"/>
                <w:szCs w:val="18"/>
              </w:rPr>
              <w:t>Not Unfitting</w:t>
            </w:r>
          </w:p>
        </w:tc>
        <w:tc>
          <w:tcPr>
            <w:tcW w:w="4230" w:type="dxa"/>
            <w:gridSpan w:val="3"/>
            <w:vMerge/>
            <w:tcBorders>
              <w:left w:val="thinThickThinSmallGap" w:sz="24" w:space="0" w:color="auto"/>
            </w:tcBorders>
            <w:shd w:val="clear" w:color="auto" w:fill="FFFFFF" w:themeFill="background1"/>
          </w:tcPr>
          <w:p w:rsidR="00EA7395" w:rsidRPr="00FD0AA0" w:rsidRDefault="00EA7395" w:rsidP="00052F31">
            <w:pPr>
              <w:pStyle w:val="ListParagraph"/>
              <w:spacing w:after="0" w:line="240" w:lineRule="auto"/>
              <w:ind w:left="0"/>
              <w:jc w:val="center"/>
              <w:rPr>
                <w:rFonts w:cs="Times New Roman"/>
                <w:color w:val="002060"/>
                <w:sz w:val="18"/>
                <w:szCs w:val="18"/>
              </w:rPr>
            </w:pPr>
          </w:p>
        </w:tc>
        <w:tc>
          <w:tcPr>
            <w:tcW w:w="990" w:type="dxa"/>
            <w:vMerge/>
            <w:shd w:val="clear" w:color="auto" w:fill="FFFFFF" w:themeFill="background1"/>
          </w:tcPr>
          <w:p w:rsidR="00EA7395" w:rsidRPr="00FD0AA0" w:rsidRDefault="00EA7395" w:rsidP="00052F31">
            <w:pPr>
              <w:pStyle w:val="ListParagraph"/>
              <w:spacing w:after="0" w:line="240" w:lineRule="auto"/>
              <w:ind w:left="0"/>
              <w:jc w:val="center"/>
              <w:rPr>
                <w:rFonts w:cs="Times New Roman"/>
                <w:color w:val="002060"/>
                <w:sz w:val="18"/>
                <w:szCs w:val="18"/>
              </w:rPr>
            </w:pPr>
          </w:p>
        </w:tc>
      </w:tr>
      <w:tr w:rsidR="00EA7395" w:rsidRPr="002A685E" w:rsidTr="001008C1">
        <w:trPr>
          <w:trHeight w:val="143"/>
        </w:trPr>
        <w:tc>
          <w:tcPr>
            <w:tcW w:w="4050" w:type="dxa"/>
            <w:gridSpan w:val="4"/>
            <w:vMerge w:val="restart"/>
            <w:tcBorders>
              <w:right w:val="thinThickThinSmallGap" w:sz="24" w:space="0" w:color="auto"/>
            </w:tcBorders>
            <w:shd w:val="clear" w:color="auto" w:fill="FFFFFF" w:themeFill="background1"/>
          </w:tcPr>
          <w:p w:rsidR="00EA7395" w:rsidRPr="00FD0AA0" w:rsidRDefault="00EA7395" w:rsidP="00052F31">
            <w:pPr>
              <w:pStyle w:val="ListParagraph"/>
              <w:spacing w:after="0" w:line="240" w:lineRule="auto"/>
              <w:ind w:left="0"/>
              <w:jc w:val="center"/>
              <w:rPr>
                <w:rFonts w:cs="Times New Roman"/>
                <w:b/>
                <w:color w:val="002060"/>
                <w:sz w:val="18"/>
                <w:szCs w:val="18"/>
              </w:rPr>
            </w:pPr>
            <w:r w:rsidRPr="00FD0AA0">
              <w:rPr>
                <w:rFonts w:eastAsiaTheme="minorEastAsia"/>
                <w:color w:val="002060"/>
                <w:sz w:val="18"/>
                <w:szCs w:val="18"/>
              </w:rPr>
              <w:t>↓No Additional DA</w:t>
            </w:r>
            <w:r w:rsidR="00F051D6">
              <w:rPr>
                <w:rFonts w:eastAsiaTheme="minorEastAsia"/>
                <w:color w:val="002060"/>
                <w:sz w:val="18"/>
                <w:szCs w:val="18"/>
              </w:rPr>
              <w:t xml:space="preserve"> Form</w:t>
            </w:r>
            <w:r w:rsidRPr="00FD0AA0">
              <w:rPr>
                <w:rFonts w:eastAsiaTheme="minorEastAsia"/>
                <w:color w:val="002060"/>
                <w:sz w:val="18"/>
                <w:szCs w:val="18"/>
              </w:rPr>
              <w:t xml:space="preserve"> 3947 Entries.↓</w:t>
            </w:r>
          </w:p>
        </w:tc>
        <w:tc>
          <w:tcPr>
            <w:tcW w:w="2700" w:type="dxa"/>
            <w:tcBorders>
              <w:left w:val="thinThickThinSmallGap" w:sz="24" w:space="0" w:color="auto"/>
            </w:tcBorders>
            <w:shd w:val="clear" w:color="auto" w:fill="FFFFFF" w:themeFill="background1"/>
          </w:tcPr>
          <w:p w:rsidR="00EA7395" w:rsidRPr="00FD0AA0" w:rsidRDefault="00EA7395" w:rsidP="00EA7395">
            <w:pPr>
              <w:pStyle w:val="ListParagraph"/>
              <w:spacing w:after="0" w:line="240" w:lineRule="auto"/>
              <w:ind w:left="0"/>
              <w:rPr>
                <w:rFonts w:cs="Times New Roman"/>
                <w:color w:val="002060"/>
                <w:sz w:val="18"/>
                <w:szCs w:val="18"/>
              </w:rPr>
            </w:pPr>
            <w:r w:rsidRPr="00EA7395">
              <w:rPr>
                <w:rFonts w:cs="Times New Roman"/>
                <w:color w:val="002060"/>
                <w:sz w:val="18"/>
                <w:szCs w:val="18"/>
              </w:rPr>
              <w:t>Major Depressive Disorder … with Psychological Factors and a General Medical Condition</w:t>
            </w:r>
          </w:p>
        </w:tc>
        <w:tc>
          <w:tcPr>
            <w:tcW w:w="720" w:type="dxa"/>
            <w:shd w:val="clear" w:color="auto" w:fill="FFFFFF" w:themeFill="background1"/>
          </w:tcPr>
          <w:p w:rsidR="00EA7395" w:rsidRPr="00EA7395" w:rsidRDefault="00EA7395" w:rsidP="00EA7395">
            <w:pPr>
              <w:pStyle w:val="ListParagraph"/>
              <w:spacing w:after="0" w:line="240" w:lineRule="auto"/>
              <w:ind w:left="0"/>
              <w:jc w:val="center"/>
              <w:rPr>
                <w:rFonts w:cs="Times New Roman"/>
                <w:color w:val="002060"/>
                <w:sz w:val="18"/>
                <w:szCs w:val="18"/>
              </w:rPr>
            </w:pPr>
            <w:r w:rsidRPr="00EA7395">
              <w:rPr>
                <w:rFonts w:cs="Times New Roman"/>
                <w:color w:val="002060"/>
                <w:sz w:val="18"/>
                <w:szCs w:val="18"/>
              </w:rPr>
              <w:t>9434</w:t>
            </w:r>
          </w:p>
        </w:tc>
        <w:tc>
          <w:tcPr>
            <w:tcW w:w="810" w:type="dxa"/>
            <w:shd w:val="clear" w:color="auto" w:fill="FFFFFF" w:themeFill="background1"/>
          </w:tcPr>
          <w:p w:rsidR="00EA7395" w:rsidRPr="00EA7395" w:rsidRDefault="00EA7395" w:rsidP="00EA7395">
            <w:pPr>
              <w:pStyle w:val="ListParagraph"/>
              <w:spacing w:after="0" w:line="240" w:lineRule="auto"/>
              <w:ind w:left="0"/>
              <w:jc w:val="center"/>
              <w:rPr>
                <w:rFonts w:cs="Times New Roman"/>
                <w:color w:val="002060"/>
                <w:sz w:val="18"/>
                <w:szCs w:val="18"/>
              </w:rPr>
            </w:pPr>
            <w:r w:rsidRPr="00EA7395">
              <w:rPr>
                <w:rFonts w:cs="Times New Roman"/>
                <w:color w:val="002060"/>
                <w:sz w:val="18"/>
                <w:szCs w:val="18"/>
              </w:rPr>
              <w:t>50%</w:t>
            </w:r>
          </w:p>
        </w:tc>
        <w:tc>
          <w:tcPr>
            <w:tcW w:w="990" w:type="dxa"/>
            <w:shd w:val="clear" w:color="auto" w:fill="FFFFFF" w:themeFill="background1"/>
          </w:tcPr>
          <w:p w:rsidR="00EA7395" w:rsidRPr="00EA7395" w:rsidRDefault="00EA7395" w:rsidP="00EA7395">
            <w:pPr>
              <w:pStyle w:val="ListParagraph"/>
              <w:spacing w:after="0" w:line="240" w:lineRule="auto"/>
              <w:ind w:left="0"/>
              <w:jc w:val="center"/>
              <w:rPr>
                <w:rFonts w:cs="Times New Roman"/>
                <w:color w:val="002060"/>
                <w:sz w:val="18"/>
                <w:szCs w:val="18"/>
              </w:rPr>
            </w:pPr>
            <w:r w:rsidRPr="00EA7395">
              <w:rPr>
                <w:rFonts w:cs="Times New Roman"/>
                <w:color w:val="002060"/>
                <w:sz w:val="18"/>
                <w:szCs w:val="18"/>
              </w:rPr>
              <w:t>20060802</w:t>
            </w:r>
          </w:p>
        </w:tc>
      </w:tr>
      <w:tr w:rsidR="00EA7395" w:rsidRPr="002A685E" w:rsidTr="001008C1">
        <w:trPr>
          <w:trHeight w:val="143"/>
        </w:trPr>
        <w:tc>
          <w:tcPr>
            <w:tcW w:w="4050" w:type="dxa"/>
            <w:gridSpan w:val="4"/>
            <w:vMerge/>
            <w:tcBorders>
              <w:right w:val="thinThickThinSmallGap" w:sz="24" w:space="0" w:color="auto"/>
            </w:tcBorders>
            <w:shd w:val="clear" w:color="auto" w:fill="FFFFFF" w:themeFill="background1"/>
          </w:tcPr>
          <w:p w:rsidR="00EA7395" w:rsidRPr="00FD0AA0" w:rsidRDefault="00EA7395" w:rsidP="00052F31">
            <w:pPr>
              <w:pStyle w:val="ListParagraph"/>
              <w:spacing w:after="0" w:line="240" w:lineRule="auto"/>
              <w:ind w:left="0"/>
              <w:jc w:val="center"/>
              <w:rPr>
                <w:rFonts w:eastAsiaTheme="minorEastAsia"/>
                <w:color w:val="002060"/>
                <w:sz w:val="18"/>
                <w:szCs w:val="18"/>
              </w:rPr>
            </w:pPr>
          </w:p>
        </w:tc>
        <w:tc>
          <w:tcPr>
            <w:tcW w:w="2700" w:type="dxa"/>
            <w:tcBorders>
              <w:left w:val="thinThickThinSmallGap" w:sz="24" w:space="0" w:color="auto"/>
            </w:tcBorders>
            <w:shd w:val="clear" w:color="auto" w:fill="FFFFFF" w:themeFill="background1"/>
          </w:tcPr>
          <w:p w:rsidR="00EA7395" w:rsidRPr="00EA7395" w:rsidRDefault="00EA7395" w:rsidP="00EA7395">
            <w:pPr>
              <w:pStyle w:val="ListParagraph"/>
              <w:spacing w:after="0" w:line="240" w:lineRule="auto"/>
              <w:ind w:left="0"/>
              <w:rPr>
                <w:rFonts w:cs="Times New Roman"/>
                <w:color w:val="002060"/>
                <w:sz w:val="18"/>
                <w:szCs w:val="18"/>
              </w:rPr>
            </w:pPr>
            <w:r w:rsidRPr="00EA7395">
              <w:rPr>
                <w:rFonts w:cs="Times New Roman"/>
                <w:color w:val="002060"/>
                <w:sz w:val="18"/>
                <w:szCs w:val="18"/>
              </w:rPr>
              <w:t>Lumbar Surgical Scar</w:t>
            </w:r>
          </w:p>
        </w:tc>
        <w:tc>
          <w:tcPr>
            <w:tcW w:w="720" w:type="dxa"/>
            <w:shd w:val="clear" w:color="auto" w:fill="FFFFFF" w:themeFill="background1"/>
          </w:tcPr>
          <w:p w:rsidR="00EA7395" w:rsidRPr="00EA7395" w:rsidRDefault="00EA7395" w:rsidP="00EA7395">
            <w:pPr>
              <w:pStyle w:val="ListParagraph"/>
              <w:spacing w:after="0" w:line="240" w:lineRule="auto"/>
              <w:ind w:left="0"/>
              <w:jc w:val="center"/>
              <w:rPr>
                <w:rFonts w:cs="Times New Roman"/>
                <w:color w:val="002060"/>
                <w:sz w:val="18"/>
                <w:szCs w:val="18"/>
              </w:rPr>
            </w:pPr>
            <w:r w:rsidRPr="00EA7395">
              <w:rPr>
                <w:rFonts w:cs="Times New Roman"/>
                <w:color w:val="002060"/>
                <w:sz w:val="18"/>
                <w:szCs w:val="18"/>
              </w:rPr>
              <w:t>7804</w:t>
            </w:r>
          </w:p>
        </w:tc>
        <w:tc>
          <w:tcPr>
            <w:tcW w:w="810" w:type="dxa"/>
            <w:shd w:val="clear" w:color="auto" w:fill="FFFFFF" w:themeFill="background1"/>
          </w:tcPr>
          <w:p w:rsidR="00EA7395" w:rsidRPr="00EA7395" w:rsidRDefault="00EA7395" w:rsidP="00EA7395">
            <w:pPr>
              <w:pStyle w:val="ListParagraph"/>
              <w:spacing w:after="0" w:line="240" w:lineRule="auto"/>
              <w:ind w:left="0"/>
              <w:jc w:val="center"/>
              <w:rPr>
                <w:rFonts w:cs="Times New Roman"/>
                <w:color w:val="002060"/>
                <w:sz w:val="18"/>
                <w:szCs w:val="18"/>
              </w:rPr>
            </w:pPr>
            <w:r w:rsidRPr="00EA7395">
              <w:rPr>
                <w:rFonts w:cs="Times New Roman"/>
                <w:color w:val="002060"/>
                <w:sz w:val="18"/>
                <w:szCs w:val="18"/>
              </w:rPr>
              <w:t>10%</w:t>
            </w:r>
          </w:p>
        </w:tc>
        <w:tc>
          <w:tcPr>
            <w:tcW w:w="990" w:type="dxa"/>
            <w:shd w:val="clear" w:color="auto" w:fill="FFFFFF" w:themeFill="background1"/>
          </w:tcPr>
          <w:p w:rsidR="00EA7395" w:rsidRPr="00EA7395" w:rsidRDefault="00EA7395" w:rsidP="00EA7395">
            <w:pPr>
              <w:pStyle w:val="ListParagraph"/>
              <w:spacing w:after="0" w:line="240" w:lineRule="auto"/>
              <w:ind w:left="0"/>
              <w:jc w:val="center"/>
              <w:rPr>
                <w:rFonts w:cs="Times New Roman"/>
                <w:color w:val="002060"/>
                <w:sz w:val="18"/>
                <w:szCs w:val="18"/>
              </w:rPr>
            </w:pPr>
            <w:r>
              <w:rPr>
                <w:rFonts w:cs="Times New Roman"/>
                <w:color w:val="002060"/>
                <w:sz w:val="18"/>
                <w:szCs w:val="18"/>
              </w:rPr>
              <w:t>20060802</w:t>
            </w:r>
          </w:p>
        </w:tc>
      </w:tr>
      <w:tr w:rsidR="00EA7395" w:rsidRPr="002A685E" w:rsidTr="001008C1">
        <w:trPr>
          <w:trHeight w:val="143"/>
        </w:trPr>
        <w:tc>
          <w:tcPr>
            <w:tcW w:w="4050" w:type="dxa"/>
            <w:gridSpan w:val="4"/>
            <w:vMerge/>
            <w:tcBorders>
              <w:right w:val="thinThickThinSmallGap" w:sz="24" w:space="0" w:color="auto"/>
            </w:tcBorders>
            <w:shd w:val="clear" w:color="auto" w:fill="FFFFFF" w:themeFill="background1"/>
          </w:tcPr>
          <w:p w:rsidR="00EA7395" w:rsidRPr="00FD0AA0" w:rsidRDefault="00EA7395" w:rsidP="00052F31">
            <w:pPr>
              <w:pStyle w:val="ListParagraph"/>
              <w:spacing w:after="0" w:line="240" w:lineRule="auto"/>
              <w:ind w:left="0"/>
              <w:jc w:val="center"/>
              <w:rPr>
                <w:rFonts w:eastAsiaTheme="minorEastAsia"/>
                <w:color w:val="002060"/>
                <w:sz w:val="18"/>
                <w:szCs w:val="18"/>
              </w:rPr>
            </w:pPr>
          </w:p>
        </w:tc>
        <w:tc>
          <w:tcPr>
            <w:tcW w:w="2700" w:type="dxa"/>
            <w:tcBorders>
              <w:left w:val="thinThickThinSmallGap" w:sz="24" w:space="0" w:color="auto"/>
            </w:tcBorders>
            <w:shd w:val="clear" w:color="auto" w:fill="FFFFFF" w:themeFill="background1"/>
          </w:tcPr>
          <w:p w:rsidR="00EA7395" w:rsidRPr="00EA7395" w:rsidRDefault="00EA7395" w:rsidP="00EA7395">
            <w:pPr>
              <w:pStyle w:val="ListParagraph"/>
              <w:spacing w:after="0" w:line="240" w:lineRule="auto"/>
              <w:ind w:left="0"/>
              <w:rPr>
                <w:rFonts w:cs="Times New Roman"/>
                <w:color w:val="002060"/>
                <w:sz w:val="18"/>
                <w:szCs w:val="18"/>
              </w:rPr>
            </w:pPr>
            <w:r w:rsidRPr="00EA7395">
              <w:rPr>
                <w:rFonts w:cs="Times New Roman"/>
                <w:color w:val="002060"/>
                <w:sz w:val="18"/>
                <w:szCs w:val="18"/>
              </w:rPr>
              <w:t>S/P R 5th Metatarsal Fracture</w:t>
            </w:r>
          </w:p>
        </w:tc>
        <w:tc>
          <w:tcPr>
            <w:tcW w:w="720" w:type="dxa"/>
            <w:shd w:val="clear" w:color="auto" w:fill="FFFFFF" w:themeFill="background1"/>
          </w:tcPr>
          <w:p w:rsidR="00EA7395" w:rsidRPr="00EA7395" w:rsidRDefault="00EA7395" w:rsidP="00EA7395">
            <w:pPr>
              <w:pStyle w:val="ListParagraph"/>
              <w:spacing w:after="0" w:line="240" w:lineRule="auto"/>
              <w:ind w:left="0"/>
              <w:jc w:val="center"/>
              <w:rPr>
                <w:rFonts w:cs="Times New Roman"/>
                <w:color w:val="002060"/>
                <w:sz w:val="18"/>
                <w:szCs w:val="18"/>
              </w:rPr>
            </w:pPr>
            <w:r w:rsidRPr="00EA7395">
              <w:rPr>
                <w:rFonts w:cs="Times New Roman"/>
                <w:color w:val="002060"/>
                <w:sz w:val="18"/>
                <w:szCs w:val="18"/>
              </w:rPr>
              <w:t>5284</w:t>
            </w:r>
          </w:p>
        </w:tc>
        <w:tc>
          <w:tcPr>
            <w:tcW w:w="810" w:type="dxa"/>
            <w:shd w:val="clear" w:color="auto" w:fill="FFFFFF" w:themeFill="background1"/>
          </w:tcPr>
          <w:p w:rsidR="00EA7395" w:rsidRPr="00EA7395" w:rsidRDefault="00EA7395" w:rsidP="00EA7395">
            <w:pPr>
              <w:pStyle w:val="ListParagraph"/>
              <w:spacing w:after="0" w:line="240" w:lineRule="auto"/>
              <w:ind w:left="0"/>
              <w:jc w:val="center"/>
              <w:rPr>
                <w:rFonts w:cs="Times New Roman"/>
                <w:color w:val="002060"/>
                <w:sz w:val="18"/>
                <w:szCs w:val="18"/>
              </w:rPr>
            </w:pPr>
            <w:r w:rsidRPr="00EA7395">
              <w:rPr>
                <w:rFonts w:cs="Times New Roman"/>
                <w:color w:val="002060"/>
                <w:sz w:val="18"/>
                <w:szCs w:val="18"/>
              </w:rPr>
              <w:t>10%</w:t>
            </w:r>
          </w:p>
        </w:tc>
        <w:tc>
          <w:tcPr>
            <w:tcW w:w="990" w:type="dxa"/>
            <w:shd w:val="clear" w:color="auto" w:fill="FFFFFF" w:themeFill="background1"/>
          </w:tcPr>
          <w:p w:rsidR="00EA7395" w:rsidRPr="00EA7395" w:rsidRDefault="00EA7395" w:rsidP="00EA7395">
            <w:pPr>
              <w:pStyle w:val="ListParagraph"/>
              <w:spacing w:after="0" w:line="240" w:lineRule="auto"/>
              <w:ind w:left="0"/>
              <w:jc w:val="center"/>
              <w:rPr>
                <w:rFonts w:cs="Times New Roman"/>
                <w:color w:val="002060"/>
                <w:sz w:val="18"/>
                <w:szCs w:val="18"/>
              </w:rPr>
            </w:pPr>
            <w:r>
              <w:rPr>
                <w:rFonts w:cs="Times New Roman"/>
                <w:color w:val="002060"/>
                <w:sz w:val="18"/>
                <w:szCs w:val="18"/>
              </w:rPr>
              <w:t>20070123</w:t>
            </w:r>
          </w:p>
        </w:tc>
      </w:tr>
      <w:tr w:rsidR="00EA7395" w:rsidRPr="002A685E" w:rsidTr="001008C1">
        <w:trPr>
          <w:trHeight w:val="197"/>
        </w:trPr>
        <w:tc>
          <w:tcPr>
            <w:tcW w:w="4050" w:type="dxa"/>
            <w:gridSpan w:val="4"/>
            <w:vMerge/>
            <w:tcBorders>
              <w:right w:val="thinThickThinSmallGap" w:sz="24" w:space="0" w:color="auto"/>
            </w:tcBorders>
            <w:shd w:val="clear" w:color="auto" w:fill="FFFFFF" w:themeFill="background1"/>
          </w:tcPr>
          <w:p w:rsidR="00EA7395" w:rsidRPr="00FD0AA0" w:rsidRDefault="00EA7395" w:rsidP="00052F31">
            <w:pPr>
              <w:pStyle w:val="ListParagraph"/>
              <w:spacing w:after="0" w:line="240" w:lineRule="auto"/>
              <w:ind w:left="0"/>
              <w:jc w:val="center"/>
              <w:rPr>
                <w:rFonts w:cs="Times New Roman"/>
                <w:b/>
                <w:color w:val="002060"/>
                <w:sz w:val="18"/>
                <w:szCs w:val="18"/>
              </w:rPr>
            </w:pPr>
          </w:p>
        </w:tc>
        <w:tc>
          <w:tcPr>
            <w:tcW w:w="4230" w:type="dxa"/>
            <w:gridSpan w:val="3"/>
            <w:tcBorders>
              <w:left w:val="thinThickThinSmallGap" w:sz="24" w:space="0" w:color="auto"/>
            </w:tcBorders>
            <w:shd w:val="clear" w:color="auto" w:fill="FFFFFF" w:themeFill="background1"/>
          </w:tcPr>
          <w:p w:rsidR="00EA7395" w:rsidRPr="00FD0AA0" w:rsidRDefault="00EA7395" w:rsidP="00EA7395">
            <w:pPr>
              <w:pStyle w:val="ListParagraph"/>
              <w:spacing w:after="0" w:line="240" w:lineRule="auto"/>
              <w:ind w:left="0"/>
              <w:jc w:val="center"/>
              <w:rPr>
                <w:rFonts w:cs="Times New Roman"/>
                <w:color w:val="002060"/>
                <w:sz w:val="18"/>
                <w:szCs w:val="18"/>
              </w:rPr>
            </w:pPr>
            <w:r w:rsidRPr="00FD0AA0">
              <w:rPr>
                <w:rFonts w:cs="Times New Roman"/>
                <w:color w:val="002060"/>
                <w:sz w:val="18"/>
                <w:szCs w:val="18"/>
              </w:rPr>
              <w:t xml:space="preserve">Non-PEB X  </w:t>
            </w:r>
            <w:r>
              <w:rPr>
                <w:rFonts w:cs="Times New Roman"/>
                <w:color w:val="002060"/>
                <w:sz w:val="18"/>
                <w:szCs w:val="18"/>
              </w:rPr>
              <w:t>2</w:t>
            </w:r>
          </w:p>
        </w:tc>
        <w:tc>
          <w:tcPr>
            <w:tcW w:w="990" w:type="dxa"/>
            <w:shd w:val="clear" w:color="auto" w:fill="FFFFFF" w:themeFill="background1"/>
          </w:tcPr>
          <w:p w:rsidR="00EA7395" w:rsidRPr="00FD0AA0" w:rsidRDefault="00EA7395" w:rsidP="00052F31">
            <w:pPr>
              <w:pStyle w:val="ListParagraph"/>
              <w:spacing w:after="0" w:line="240" w:lineRule="auto"/>
              <w:ind w:left="0"/>
              <w:jc w:val="center"/>
              <w:rPr>
                <w:rFonts w:cs="Times New Roman"/>
                <w:color w:val="002060"/>
                <w:sz w:val="18"/>
                <w:szCs w:val="18"/>
              </w:rPr>
            </w:pPr>
            <w:r>
              <w:rPr>
                <w:rFonts w:cs="Times New Roman"/>
                <w:color w:val="002060"/>
                <w:sz w:val="18"/>
                <w:szCs w:val="18"/>
              </w:rPr>
              <w:t>20060802</w:t>
            </w:r>
          </w:p>
        </w:tc>
      </w:tr>
      <w:tr w:rsidR="0073616B" w:rsidRPr="002A685E" w:rsidTr="001008C1">
        <w:trPr>
          <w:trHeight w:val="242"/>
        </w:trPr>
        <w:tc>
          <w:tcPr>
            <w:tcW w:w="4050" w:type="dxa"/>
            <w:gridSpan w:val="4"/>
            <w:tcBorders>
              <w:right w:val="thinThickThinSmallGap" w:sz="24" w:space="0" w:color="auto"/>
            </w:tcBorders>
            <w:shd w:val="clear" w:color="auto" w:fill="C6D9F1" w:themeFill="text2" w:themeFillTint="33"/>
          </w:tcPr>
          <w:p w:rsidR="0073616B" w:rsidRPr="002A685E" w:rsidRDefault="0073616B" w:rsidP="00052F31">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 xml:space="preserve">TOTAL Combined:  </w:t>
            </w:r>
            <w:r w:rsidR="00EA7395">
              <w:rPr>
                <w:rFonts w:cs="Times New Roman"/>
                <w:b/>
                <w:color w:val="002060"/>
                <w:sz w:val="20"/>
                <w:szCs w:val="20"/>
              </w:rPr>
              <w:t>2</w:t>
            </w:r>
            <w:r w:rsidRPr="002A685E">
              <w:rPr>
                <w:rFonts w:cs="Times New Roman"/>
                <w:b/>
                <w:color w:val="002060"/>
                <w:sz w:val="20"/>
                <w:szCs w:val="20"/>
              </w:rPr>
              <w:t>0%</w:t>
            </w:r>
          </w:p>
        </w:tc>
        <w:tc>
          <w:tcPr>
            <w:tcW w:w="5220" w:type="dxa"/>
            <w:gridSpan w:val="4"/>
            <w:tcBorders>
              <w:left w:val="thinThickThinSmallGap" w:sz="24" w:space="0" w:color="auto"/>
            </w:tcBorders>
            <w:shd w:val="clear" w:color="auto" w:fill="C6D9F1" w:themeFill="text2" w:themeFillTint="33"/>
          </w:tcPr>
          <w:p w:rsidR="0073616B" w:rsidRPr="002A685E" w:rsidRDefault="0073616B" w:rsidP="00052F31">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TOTAL Combined (</w:t>
            </w:r>
            <w:r w:rsidRPr="002A685E">
              <w:rPr>
                <w:rFonts w:cs="Times New Roman"/>
                <w:b/>
                <w:i/>
                <w:color w:val="002060"/>
                <w:sz w:val="20"/>
                <w:szCs w:val="20"/>
              </w:rPr>
              <w:t>Includes Non-PEB Conditions</w:t>
            </w:r>
            <w:r w:rsidRPr="002A685E">
              <w:rPr>
                <w:rFonts w:cs="Times New Roman"/>
                <w:b/>
                <w:color w:val="002060"/>
                <w:sz w:val="20"/>
                <w:szCs w:val="20"/>
              </w:rPr>
              <w:t xml:space="preserve">): </w:t>
            </w:r>
            <w:r w:rsidR="00EA7395">
              <w:rPr>
                <w:rFonts w:cs="Times New Roman"/>
                <w:b/>
                <w:color w:val="002060"/>
                <w:sz w:val="20"/>
                <w:szCs w:val="20"/>
              </w:rPr>
              <w:t>8</w:t>
            </w:r>
            <w:r w:rsidRPr="002A685E">
              <w:rPr>
                <w:rFonts w:cs="Times New Roman"/>
                <w:b/>
                <w:color w:val="002060"/>
                <w:sz w:val="20"/>
                <w:szCs w:val="20"/>
              </w:rPr>
              <w:t xml:space="preserve">0%                                                                         </w:t>
            </w:r>
            <w:r w:rsidRPr="002A685E">
              <w:rPr>
                <w:rFonts w:cs="Times New Roman"/>
                <w:color w:val="002060"/>
                <w:sz w:val="20"/>
                <w:szCs w:val="20"/>
              </w:rPr>
              <w:t xml:space="preserve"> </w:t>
            </w:r>
          </w:p>
        </w:tc>
      </w:tr>
    </w:tbl>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sidR="00A90D55">
        <w:rPr>
          <w:color w:val="000080"/>
        </w:rPr>
        <w:t>_</w:t>
      </w:r>
    </w:p>
    <w:p w:rsidR="00A90D55" w:rsidRDefault="00A90D55" w:rsidP="00875F2D">
      <w:pPr>
        <w:tabs>
          <w:tab w:val="left" w:pos="288"/>
          <w:tab w:val="left" w:pos="4752"/>
        </w:tabs>
        <w:spacing w:line="240" w:lineRule="exact"/>
        <w:jc w:val="both"/>
        <w:rPr>
          <w:color w:val="000080"/>
        </w:rPr>
      </w:pPr>
    </w:p>
    <w:p w:rsidR="002C6E5B" w:rsidRPr="00DB1457" w:rsidRDefault="002C6E5B" w:rsidP="002C6E5B">
      <w:pPr>
        <w:tabs>
          <w:tab w:val="left" w:pos="288"/>
          <w:tab w:val="left" w:pos="4752"/>
        </w:tabs>
        <w:spacing w:line="240" w:lineRule="exact"/>
        <w:jc w:val="both"/>
        <w:rPr>
          <w:color w:val="000080"/>
        </w:rPr>
      </w:pPr>
      <w:r w:rsidRPr="00DB1457">
        <w:rPr>
          <w:color w:val="000080"/>
          <w:u w:val="single"/>
        </w:rPr>
        <w:t>ANALYSIS SUMMARY</w:t>
      </w:r>
      <w:r w:rsidRPr="00DB1457">
        <w:rPr>
          <w:color w:val="000080"/>
        </w:rPr>
        <w:t>:</w:t>
      </w:r>
    </w:p>
    <w:p w:rsidR="002C6E5B" w:rsidRPr="00DB1457" w:rsidRDefault="002C6E5B" w:rsidP="002C6E5B">
      <w:pPr>
        <w:tabs>
          <w:tab w:val="left" w:pos="288"/>
          <w:tab w:val="left" w:pos="4752"/>
        </w:tabs>
        <w:spacing w:line="240" w:lineRule="exact"/>
        <w:jc w:val="both"/>
        <w:rPr>
          <w:color w:val="000080"/>
        </w:rPr>
      </w:pPr>
    </w:p>
    <w:p w:rsidR="00EA7395" w:rsidRPr="00DB1457" w:rsidRDefault="00EA7395" w:rsidP="00DB1457">
      <w:pPr>
        <w:tabs>
          <w:tab w:val="left" w:pos="288"/>
          <w:tab w:val="left" w:pos="4752"/>
        </w:tabs>
        <w:spacing w:line="240" w:lineRule="exact"/>
        <w:jc w:val="both"/>
        <w:rPr>
          <w:color w:val="000080"/>
        </w:rPr>
      </w:pPr>
      <w:proofErr w:type="gramStart"/>
      <w:r w:rsidRPr="00DB1457">
        <w:rPr>
          <w:color w:val="000080"/>
          <w:u w:val="single"/>
        </w:rPr>
        <w:t xml:space="preserve">LLE </w:t>
      </w:r>
      <w:proofErr w:type="spellStart"/>
      <w:r w:rsidRPr="00DB1457">
        <w:rPr>
          <w:color w:val="000080"/>
          <w:u w:val="single"/>
        </w:rPr>
        <w:t>Radiculopathy</w:t>
      </w:r>
      <w:proofErr w:type="spellEnd"/>
      <w:r w:rsidRPr="00DB1457">
        <w:rPr>
          <w:color w:val="000080"/>
        </w:rPr>
        <w:t>.</w:t>
      </w:r>
      <w:proofErr w:type="gramEnd"/>
      <w:r w:rsidRPr="00DB1457">
        <w:rPr>
          <w:color w:val="000080"/>
        </w:rPr>
        <w:t xml:space="preserve">  </w:t>
      </w:r>
      <w:r w:rsidR="00EB321F" w:rsidRPr="00DB1457">
        <w:rPr>
          <w:color w:val="000080"/>
        </w:rPr>
        <w:t xml:space="preserve">There is no doubt that the motor weakness associated with the sciatic compromise contributed to the unfitting impairment.  The NARSUM noted that it interfered with stair climbing and forced the use of a cane for prolonged walking.  Both the NARSUM and the VA rating examination </w:t>
      </w:r>
      <w:r w:rsidR="00337ADD" w:rsidRPr="00DB1457">
        <w:rPr>
          <w:color w:val="000080"/>
        </w:rPr>
        <w:t xml:space="preserve">documented 4/5 motor </w:t>
      </w:r>
      <w:r w:rsidR="00942365" w:rsidRPr="00DB1457">
        <w:rPr>
          <w:color w:val="000080"/>
        </w:rPr>
        <w:t>weakness</w:t>
      </w:r>
      <w:r w:rsidR="00337ADD" w:rsidRPr="00DB1457">
        <w:rPr>
          <w:color w:val="000080"/>
        </w:rPr>
        <w:t xml:space="preserve"> in an L5/S1 distribution.  The VA examiner additionally noted some distal </w:t>
      </w:r>
      <w:proofErr w:type="spellStart"/>
      <w:r w:rsidR="00337ADD" w:rsidRPr="00DB1457">
        <w:rPr>
          <w:color w:val="000080"/>
        </w:rPr>
        <w:t>dermatomal</w:t>
      </w:r>
      <w:proofErr w:type="spellEnd"/>
      <w:r w:rsidR="00337ADD" w:rsidRPr="00DB1457">
        <w:rPr>
          <w:color w:val="000080"/>
        </w:rPr>
        <w:t xml:space="preserve"> sensory deficits and mild atrophy of the left gluteus and calf.  Rating under peripheral nerve codes entails a judgment call regarding the severity of incomplete paralysis</w:t>
      </w:r>
      <w:r w:rsidR="00065756" w:rsidRPr="00DB1457">
        <w:rPr>
          <w:color w:val="000080"/>
        </w:rPr>
        <w:t>, especially the mild vs. moderate distinction</w:t>
      </w:r>
      <w:r w:rsidR="00337ADD" w:rsidRPr="00DB1457">
        <w:rPr>
          <w:color w:val="000080"/>
        </w:rPr>
        <w:t xml:space="preserve">.  </w:t>
      </w:r>
      <w:r w:rsidR="006A5666" w:rsidRPr="00DB1457">
        <w:rPr>
          <w:color w:val="000080"/>
        </w:rPr>
        <w:t>A r</w:t>
      </w:r>
      <w:r w:rsidR="00065756" w:rsidRPr="00DB1457">
        <w:rPr>
          <w:color w:val="000080"/>
        </w:rPr>
        <w:t xml:space="preserve">igid </w:t>
      </w:r>
      <w:r w:rsidR="006A5666" w:rsidRPr="00DB1457">
        <w:rPr>
          <w:color w:val="000080"/>
        </w:rPr>
        <w:t>assessment c</w:t>
      </w:r>
      <w:r w:rsidR="00065756" w:rsidRPr="00DB1457">
        <w:rPr>
          <w:color w:val="000080"/>
        </w:rPr>
        <w:t>ould require 3/5 or worse strength testing to merit the moderate rating.</w:t>
      </w:r>
      <w:r w:rsidR="006A5666" w:rsidRPr="00DB1457">
        <w:rPr>
          <w:color w:val="000080"/>
        </w:rPr>
        <w:t xml:space="preserve">  More liberal rating applies any objective motor impairment or atrophy as a threshold for the moderate designation.  This case is on the cusp between mild and moderate categorization.  </w:t>
      </w:r>
      <w:r w:rsidR="00942365" w:rsidRPr="00DB1457">
        <w:rPr>
          <w:color w:val="000080"/>
        </w:rPr>
        <w:t xml:space="preserve">Either can be justified.  </w:t>
      </w:r>
      <w:r w:rsidR="006A5666" w:rsidRPr="00DB1457">
        <w:rPr>
          <w:color w:val="000080"/>
        </w:rPr>
        <w:t xml:space="preserve">Given that reasonable doubt favors the CI and that both the formal PEB and VA applied the moderate rating, the Board agrees that </w:t>
      </w:r>
      <w:r w:rsidR="00F05660" w:rsidRPr="00DB1457">
        <w:rPr>
          <w:color w:val="000080"/>
        </w:rPr>
        <w:t xml:space="preserve">the PEB adjudication for the LLE </w:t>
      </w:r>
      <w:proofErr w:type="spellStart"/>
      <w:r w:rsidR="00F05660" w:rsidRPr="00DB1457">
        <w:rPr>
          <w:color w:val="000080"/>
        </w:rPr>
        <w:t>radiculopathy</w:t>
      </w:r>
      <w:proofErr w:type="spellEnd"/>
      <w:r w:rsidR="00F05660" w:rsidRPr="00DB1457">
        <w:rPr>
          <w:color w:val="000080"/>
        </w:rPr>
        <w:t xml:space="preserve"> should not be </w:t>
      </w:r>
      <w:proofErr w:type="spellStart"/>
      <w:r w:rsidR="00F05660" w:rsidRPr="00DB1457">
        <w:rPr>
          <w:color w:val="000080"/>
        </w:rPr>
        <w:t>recharacterized</w:t>
      </w:r>
      <w:proofErr w:type="spellEnd"/>
      <w:r w:rsidR="00F05660" w:rsidRPr="00DB1457">
        <w:rPr>
          <w:color w:val="000080"/>
        </w:rPr>
        <w:t>.</w:t>
      </w:r>
    </w:p>
    <w:p w:rsidR="00EA7395" w:rsidRPr="00DB1457" w:rsidRDefault="00EA7395" w:rsidP="00DB1457">
      <w:pPr>
        <w:tabs>
          <w:tab w:val="left" w:pos="288"/>
          <w:tab w:val="left" w:pos="4752"/>
        </w:tabs>
        <w:spacing w:line="240" w:lineRule="exact"/>
        <w:jc w:val="both"/>
        <w:rPr>
          <w:color w:val="000080"/>
        </w:rPr>
      </w:pPr>
    </w:p>
    <w:p w:rsidR="00EF00FA" w:rsidRPr="00DB1457" w:rsidRDefault="00926FCB" w:rsidP="00DB1457">
      <w:pPr>
        <w:tabs>
          <w:tab w:val="left" w:pos="288"/>
          <w:tab w:val="left" w:pos="4752"/>
        </w:tabs>
        <w:spacing w:line="240" w:lineRule="exact"/>
        <w:jc w:val="both"/>
        <w:rPr>
          <w:color w:val="000080"/>
        </w:rPr>
      </w:pPr>
      <w:r w:rsidRPr="00DB1457">
        <w:rPr>
          <w:color w:val="000080"/>
          <w:u w:val="single"/>
        </w:rPr>
        <w:t>Back</w:t>
      </w:r>
      <w:r w:rsidR="002C6E5B" w:rsidRPr="00DB1457">
        <w:rPr>
          <w:color w:val="000080"/>
          <w:u w:val="single"/>
        </w:rPr>
        <w:t xml:space="preserve"> Condition</w:t>
      </w:r>
      <w:r w:rsidR="002C6E5B" w:rsidRPr="00DB1457">
        <w:rPr>
          <w:color w:val="000080"/>
        </w:rPr>
        <w:t xml:space="preserve">.  </w:t>
      </w:r>
      <w:r w:rsidR="00F05660" w:rsidRPr="00DB1457">
        <w:rPr>
          <w:color w:val="000080"/>
        </w:rPr>
        <w:t xml:space="preserve">The Board first addresses the contention that the lumbar spine condition should be rated for incapacitating episodes.  </w:t>
      </w:r>
      <w:r w:rsidR="004A2C60" w:rsidRPr="00DB1457">
        <w:rPr>
          <w:color w:val="000080"/>
        </w:rPr>
        <w:t>Note (1) in the VASRD §4.71a formula for rating</w:t>
      </w:r>
      <w:r w:rsidR="00740F27" w:rsidRPr="00DB1457">
        <w:rPr>
          <w:color w:val="000080"/>
        </w:rPr>
        <w:t xml:space="preserve"> </w:t>
      </w:r>
      <w:r w:rsidR="004A2C60" w:rsidRPr="00DB1457">
        <w:rPr>
          <w:color w:val="000080"/>
        </w:rPr>
        <w:t xml:space="preserve">based on incapacitating episodes states, ‘For purposes of evaluations under diagnostic code 5243, an incapacitating episode is a period of acute signs and symptoms due to </w:t>
      </w:r>
      <w:proofErr w:type="spellStart"/>
      <w:r w:rsidR="004A2C60" w:rsidRPr="00DB1457">
        <w:rPr>
          <w:color w:val="000080"/>
        </w:rPr>
        <w:t>intervertebral</w:t>
      </w:r>
      <w:proofErr w:type="spellEnd"/>
      <w:r w:rsidR="004A2C60" w:rsidRPr="00DB1457">
        <w:rPr>
          <w:color w:val="000080"/>
        </w:rPr>
        <w:t xml:space="preserve"> disc syndrome that requires bed rest prescribed by a physician and treatment by a physician.’  The Board affirms the PEB and USAPDA opinions that </w:t>
      </w:r>
      <w:r w:rsidR="002872FE" w:rsidRPr="00DB1457">
        <w:rPr>
          <w:color w:val="000080"/>
        </w:rPr>
        <w:t xml:space="preserve">this definition was not met for a sufficient number of active duty days to establish a basis for rating under this formula.  The possible exception is a 14 day SIQ (sick in quarters) chit from a Navy </w:t>
      </w:r>
      <w:r w:rsidR="00A73A7E" w:rsidRPr="00DB1457">
        <w:rPr>
          <w:color w:val="000080"/>
        </w:rPr>
        <w:t>physician’s assistant</w:t>
      </w:r>
      <w:r w:rsidR="002872FE" w:rsidRPr="00DB1457">
        <w:rPr>
          <w:color w:val="000080"/>
        </w:rPr>
        <w:t xml:space="preserve"> dated in 2006.  </w:t>
      </w:r>
      <w:r w:rsidR="00A73A7E" w:rsidRPr="00DB1457">
        <w:rPr>
          <w:color w:val="000080"/>
        </w:rPr>
        <w:t xml:space="preserve">This was submitted in the application, but was not in evidence in the service treatment records (STR).  Especially since this would not provide for a higher rating than can be achieved under the general spine formula, the Board cannot assign enough probative value to this piece of evidence as the sole support for rating based on incapacitating episodes.  The other </w:t>
      </w:r>
      <w:r w:rsidR="00740F27" w:rsidRPr="00DB1457">
        <w:rPr>
          <w:color w:val="000080"/>
        </w:rPr>
        <w:t>supporting documents</w:t>
      </w:r>
      <w:r w:rsidR="00A73A7E" w:rsidRPr="00DB1457">
        <w:rPr>
          <w:color w:val="000080"/>
        </w:rPr>
        <w:t xml:space="preserve"> submitted by the CI </w:t>
      </w:r>
      <w:r w:rsidR="00740F27" w:rsidRPr="00DB1457">
        <w:rPr>
          <w:color w:val="000080"/>
        </w:rPr>
        <w:t xml:space="preserve">were all dated after separation and </w:t>
      </w:r>
      <w:r w:rsidR="00CD185A" w:rsidRPr="00DB1457">
        <w:rPr>
          <w:color w:val="000080"/>
        </w:rPr>
        <w:t>consisted primarily of work excuses</w:t>
      </w:r>
      <w:r w:rsidR="00A73A7E" w:rsidRPr="00DB1457">
        <w:rPr>
          <w:color w:val="000080"/>
        </w:rPr>
        <w:t>.</w:t>
      </w:r>
      <w:r w:rsidR="00CD185A" w:rsidRPr="00DB1457">
        <w:rPr>
          <w:color w:val="000080"/>
        </w:rPr>
        <w:t xml:space="preserve">  It is not reasonable to expect </w:t>
      </w:r>
      <w:r w:rsidR="00321462" w:rsidRPr="00DB1457">
        <w:rPr>
          <w:color w:val="000080"/>
        </w:rPr>
        <w:t xml:space="preserve">a </w:t>
      </w:r>
      <w:r w:rsidR="00942365" w:rsidRPr="00DB1457">
        <w:rPr>
          <w:color w:val="000080"/>
        </w:rPr>
        <w:t xml:space="preserve">separation </w:t>
      </w:r>
      <w:r w:rsidR="00321462" w:rsidRPr="00DB1457">
        <w:rPr>
          <w:color w:val="000080"/>
        </w:rPr>
        <w:t xml:space="preserve">rating </w:t>
      </w:r>
      <w:r w:rsidR="00942365" w:rsidRPr="00DB1457">
        <w:rPr>
          <w:color w:val="000080"/>
        </w:rPr>
        <w:t xml:space="preserve">based on </w:t>
      </w:r>
      <w:r w:rsidR="00321462" w:rsidRPr="00DB1457">
        <w:rPr>
          <w:color w:val="000080"/>
        </w:rPr>
        <w:t xml:space="preserve">‘the past 12 months’ specified in the </w:t>
      </w:r>
      <w:r w:rsidR="00942365" w:rsidRPr="00DB1457">
        <w:rPr>
          <w:color w:val="000080"/>
        </w:rPr>
        <w:t>VASRD</w:t>
      </w:r>
      <w:r w:rsidR="00321462" w:rsidRPr="00DB1457">
        <w:rPr>
          <w:color w:val="000080"/>
        </w:rPr>
        <w:t xml:space="preserve"> to be retroactively </w:t>
      </w:r>
      <w:r w:rsidR="00942365" w:rsidRPr="00DB1457">
        <w:rPr>
          <w:color w:val="000080"/>
        </w:rPr>
        <w:t xml:space="preserve">derived </w:t>
      </w:r>
      <w:r w:rsidR="00DB1457" w:rsidRPr="00DB1457">
        <w:rPr>
          <w:color w:val="000080"/>
        </w:rPr>
        <w:t xml:space="preserve">from </w:t>
      </w:r>
      <w:r w:rsidR="00792504" w:rsidRPr="00DB1457">
        <w:rPr>
          <w:color w:val="000080"/>
        </w:rPr>
        <w:t>a subsequent period</w:t>
      </w:r>
      <w:r w:rsidR="00321462" w:rsidRPr="00DB1457">
        <w:rPr>
          <w:color w:val="000080"/>
        </w:rPr>
        <w:t>.  A ‘crystal ball’ requirement is not imposed on the service PEB’</w:t>
      </w:r>
      <w:r w:rsidR="00DB1457" w:rsidRPr="00DB1457">
        <w:rPr>
          <w:color w:val="000080"/>
        </w:rPr>
        <w:t>s by the Board,</w:t>
      </w:r>
      <w:r w:rsidR="00321462" w:rsidRPr="00DB1457">
        <w:rPr>
          <w:color w:val="000080"/>
        </w:rPr>
        <w:t xml:space="preserve"> and the 12 month window specified in </w:t>
      </w:r>
      <w:proofErr w:type="spellStart"/>
      <w:r w:rsidR="00321462" w:rsidRPr="00DB1457">
        <w:rPr>
          <w:color w:val="000080"/>
        </w:rPr>
        <w:t>DoDI</w:t>
      </w:r>
      <w:proofErr w:type="spellEnd"/>
      <w:r w:rsidR="00321462" w:rsidRPr="00DB1457">
        <w:rPr>
          <w:color w:val="000080"/>
        </w:rPr>
        <w:t xml:space="preserve"> 6040.44 is appropriate </w:t>
      </w:r>
      <w:r w:rsidR="006D29A1" w:rsidRPr="00DB1457">
        <w:rPr>
          <w:color w:val="000080"/>
        </w:rPr>
        <w:t xml:space="preserve">for rating comparisons but not for new developments after separation.  </w:t>
      </w:r>
      <w:r w:rsidR="00792504" w:rsidRPr="00DB1457">
        <w:rPr>
          <w:color w:val="000080"/>
        </w:rPr>
        <w:t xml:space="preserve">It is further noted that the VA has not provided a rating on this basis.  </w:t>
      </w:r>
      <w:r w:rsidR="006D29A1" w:rsidRPr="00DB1457">
        <w:rPr>
          <w:color w:val="000080"/>
        </w:rPr>
        <w:t>The Board therefore cannot support a recommendation based on rating under the incapacitating episodes formula.</w:t>
      </w:r>
    </w:p>
    <w:p w:rsidR="00EF00FA" w:rsidRPr="00DB1457" w:rsidRDefault="00EF00FA" w:rsidP="00DB1457">
      <w:pPr>
        <w:tabs>
          <w:tab w:val="left" w:pos="288"/>
          <w:tab w:val="left" w:pos="4752"/>
        </w:tabs>
        <w:spacing w:line="240" w:lineRule="exact"/>
        <w:jc w:val="both"/>
        <w:rPr>
          <w:color w:val="000080"/>
        </w:rPr>
      </w:pPr>
    </w:p>
    <w:p w:rsidR="009C22C8" w:rsidRPr="00DB1457" w:rsidRDefault="006D29A1" w:rsidP="00DB1457">
      <w:pPr>
        <w:tabs>
          <w:tab w:val="left" w:pos="288"/>
          <w:tab w:val="left" w:pos="4752"/>
        </w:tabs>
        <w:spacing w:line="240" w:lineRule="exact"/>
        <w:jc w:val="both"/>
        <w:rPr>
          <w:color w:val="000080"/>
        </w:rPr>
      </w:pPr>
      <w:r w:rsidRPr="00DB1457">
        <w:rPr>
          <w:color w:val="000080"/>
        </w:rPr>
        <w:t xml:space="preserve">The Board turns its attention to a rating recommendation based on the </w:t>
      </w:r>
      <w:r w:rsidR="00740F27" w:rsidRPr="00DB1457">
        <w:rPr>
          <w:color w:val="000080"/>
        </w:rPr>
        <w:t xml:space="preserve">VASRD §4.71a general spine formula.  </w:t>
      </w:r>
      <w:r w:rsidR="001642E3" w:rsidRPr="00DB1457">
        <w:rPr>
          <w:color w:val="000080"/>
        </w:rPr>
        <w:t>First, it is noted that a significant area of contention between the CI and the Army DES was based on distinction between ‘mechanical’ impairment to range-of-motion (ROM) versus impairment due solely to pain.  This was a relevant distinction when rating was governed by the USAPDA pain policy as was the case.   For purposes of the Board’</w:t>
      </w:r>
      <w:r w:rsidR="00052F31" w:rsidRPr="00DB1457">
        <w:rPr>
          <w:color w:val="000080"/>
        </w:rPr>
        <w:t xml:space="preserve">s recommendation, however, this is a moot point.  Rating under the VASRD with disregard to service policies eliminates the negative influence of </w:t>
      </w:r>
      <w:r w:rsidR="00792504" w:rsidRPr="00DB1457">
        <w:rPr>
          <w:color w:val="000080"/>
        </w:rPr>
        <w:t>a</w:t>
      </w:r>
      <w:r w:rsidR="00052F31" w:rsidRPr="00DB1457">
        <w:rPr>
          <w:color w:val="000080"/>
        </w:rPr>
        <w:t xml:space="preserve"> distinction</w:t>
      </w:r>
      <w:r w:rsidR="00792504" w:rsidRPr="00DB1457">
        <w:rPr>
          <w:color w:val="000080"/>
        </w:rPr>
        <w:t xml:space="preserve"> based on mechanical limitations</w:t>
      </w:r>
      <w:r w:rsidR="00052F31" w:rsidRPr="00DB1457">
        <w:rPr>
          <w:color w:val="000080"/>
        </w:rPr>
        <w:t xml:space="preserve">.  </w:t>
      </w:r>
      <w:r w:rsidR="007C6046" w:rsidRPr="00DB1457">
        <w:rPr>
          <w:color w:val="000080"/>
        </w:rPr>
        <w:t xml:space="preserve">There were </w:t>
      </w:r>
      <w:r w:rsidR="00AC50C8" w:rsidRPr="00DB1457">
        <w:rPr>
          <w:color w:val="000080"/>
        </w:rPr>
        <w:t>six</w:t>
      </w:r>
      <w:r w:rsidR="007C6046" w:rsidRPr="00DB1457">
        <w:rPr>
          <w:color w:val="000080"/>
        </w:rPr>
        <w:t xml:space="preserve"> range-of-motion (ROM) evaluations in evidence which the Board </w:t>
      </w:r>
      <w:r w:rsidR="00743E36" w:rsidRPr="00DB1457">
        <w:rPr>
          <w:color w:val="000080"/>
        </w:rPr>
        <w:t>weighed in arriving at its rating recommendation</w:t>
      </w:r>
      <w:r w:rsidR="007C6046" w:rsidRPr="00DB1457">
        <w:rPr>
          <w:color w:val="000080"/>
        </w:rPr>
        <w:t>.</w:t>
      </w:r>
      <w:r w:rsidR="00743E36" w:rsidRPr="00DB1457">
        <w:rPr>
          <w:color w:val="000080"/>
        </w:rPr>
        <w:t xml:space="preserve"> </w:t>
      </w:r>
      <w:r w:rsidR="00AC50C8" w:rsidRPr="00DB1457">
        <w:rPr>
          <w:color w:val="000080"/>
        </w:rPr>
        <w:t xml:space="preserve"> </w:t>
      </w:r>
      <w:r w:rsidR="00F60F12" w:rsidRPr="00DB1457">
        <w:rPr>
          <w:color w:val="000080"/>
        </w:rPr>
        <w:t xml:space="preserve">The exams considered by the PEB and the VA </w:t>
      </w:r>
      <w:r w:rsidR="00792504" w:rsidRPr="00DB1457">
        <w:rPr>
          <w:color w:val="000080"/>
        </w:rPr>
        <w:t>rating examination</w:t>
      </w:r>
      <w:r w:rsidR="00F60F12" w:rsidRPr="00DB1457">
        <w:rPr>
          <w:color w:val="000080"/>
        </w:rPr>
        <w:t xml:space="preserve"> were all </w:t>
      </w:r>
      <w:r w:rsidR="00792504" w:rsidRPr="00DB1457">
        <w:rPr>
          <w:color w:val="000080"/>
        </w:rPr>
        <w:t xml:space="preserve">performed </w:t>
      </w:r>
      <w:r w:rsidR="00F60F12" w:rsidRPr="00DB1457">
        <w:rPr>
          <w:color w:val="000080"/>
        </w:rPr>
        <w:t xml:space="preserve">six months </w:t>
      </w:r>
      <w:r w:rsidR="00792504" w:rsidRPr="00DB1457">
        <w:rPr>
          <w:color w:val="000080"/>
        </w:rPr>
        <w:t>or more before</w:t>
      </w:r>
      <w:r w:rsidR="00F60F12" w:rsidRPr="00DB1457">
        <w:rPr>
          <w:color w:val="000080"/>
        </w:rPr>
        <w:t xml:space="preserve"> separation.  The exam referenced by the NARS</w:t>
      </w:r>
      <w:r w:rsidR="00F051D6">
        <w:rPr>
          <w:color w:val="000080"/>
        </w:rPr>
        <w:t>UM was performed by PT on 11 Jul</w:t>
      </w:r>
      <w:r w:rsidR="00F60F12" w:rsidRPr="00DB1457">
        <w:rPr>
          <w:color w:val="000080"/>
        </w:rPr>
        <w:t xml:space="preserve"> 2006 and the one referenced by the DA </w:t>
      </w:r>
      <w:r w:rsidR="00F051D6">
        <w:rPr>
          <w:color w:val="000080"/>
        </w:rPr>
        <w:t xml:space="preserve">Form </w:t>
      </w:r>
      <w:r w:rsidR="00F60F12" w:rsidRPr="00DB1457">
        <w:rPr>
          <w:color w:val="000080"/>
        </w:rPr>
        <w:t>1</w:t>
      </w:r>
      <w:r w:rsidR="00F051D6">
        <w:rPr>
          <w:color w:val="000080"/>
        </w:rPr>
        <w:t>99 was performed by PT on 19 Jul</w:t>
      </w:r>
      <w:r w:rsidR="00F60F12" w:rsidRPr="00DB1457">
        <w:rPr>
          <w:color w:val="000080"/>
        </w:rPr>
        <w:t xml:space="preserve"> 2006.  A Navy orthopedist consulted by the MEB performed two separate examinations and a civilian orthopedist provided yet another</w:t>
      </w:r>
      <w:r w:rsidR="001C4DE5" w:rsidRPr="00DB1457">
        <w:rPr>
          <w:color w:val="000080"/>
        </w:rPr>
        <w:t>.  The latter did not provide</w:t>
      </w:r>
      <w:r w:rsidR="00F60F12" w:rsidRPr="00DB1457">
        <w:rPr>
          <w:color w:val="000080"/>
        </w:rPr>
        <w:t xml:space="preserve"> </w:t>
      </w:r>
      <w:r w:rsidR="001C4DE5" w:rsidRPr="00DB1457">
        <w:rPr>
          <w:color w:val="000080"/>
        </w:rPr>
        <w:t>measurements for rotation</w:t>
      </w:r>
      <w:r w:rsidR="00F60F12" w:rsidRPr="00DB1457">
        <w:rPr>
          <w:color w:val="000080"/>
        </w:rPr>
        <w:t xml:space="preserve">.  </w:t>
      </w:r>
      <w:r w:rsidR="00AC50C8" w:rsidRPr="00DB1457">
        <w:rPr>
          <w:color w:val="000080"/>
        </w:rPr>
        <w:t xml:space="preserve">All </w:t>
      </w:r>
      <w:r w:rsidR="00F60F12" w:rsidRPr="00DB1457">
        <w:rPr>
          <w:color w:val="000080"/>
        </w:rPr>
        <w:t xml:space="preserve">of the examinations </w:t>
      </w:r>
      <w:r w:rsidR="00AC50C8" w:rsidRPr="00DB1457">
        <w:rPr>
          <w:color w:val="000080"/>
        </w:rPr>
        <w:t xml:space="preserve">did not specifically state that pain was the measured end-point or that a </w:t>
      </w:r>
      <w:proofErr w:type="spellStart"/>
      <w:r w:rsidR="00AC50C8" w:rsidRPr="00DB1457">
        <w:rPr>
          <w:color w:val="000080"/>
        </w:rPr>
        <w:t>goniometer</w:t>
      </w:r>
      <w:proofErr w:type="spellEnd"/>
      <w:r w:rsidR="00AC50C8" w:rsidRPr="00DB1457">
        <w:rPr>
          <w:color w:val="000080"/>
        </w:rPr>
        <w:t xml:space="preserve"> vs. inclinometer was used.  These distinctions would not affect the rating recommendation, however.  Spasm and tenderness were common </w:t>
      </w:r>
      <w:r w:rsidR="00AC50C8" w:rsidRPr="00DB1457">
        <w:rPr>
          <w:color w:val="000080"/>
        </w:rPr>
        <w:lastRenderedPageBreak/>
        <w:t xml:space="preserve">findings.  </w:t>
      </w:r>
      <w:proofErr w:type="spellStart"/>
      <w:r w:rsidR="00AC50C8" w:rsidRPr="00DB1457">
        <w:rPr>
          <w:color w:val="000080"/>
        </w:rPr>
        <w:t>Antalgic</w:t>
      </w:r>
      <w:proofErr w:type="spellEnd"/>
      <w:r w:rsidR="00AC50C8" w:rsidRPr="00DB1457">
        <w:rPr>
          <w:color w:val="000080"/>
        </w:rPr>
        <w:t xml:space="preserve"> gait was documented by the VA examiner and elsewhere.  </w:t>
      </w:r>
      <w:r w:rsidR="009C22C8" w:rsidRPr="00DB1457">
        <w:rPr>
          <w:color w:val="000080"/>
        </w:rPr>
        <w:t xml:space="preserve"> All </w:t>
      </w:r>
      <w:r w:rsidR="00F60F12" w:rsidRPr="00DB1457">
        <w:rPr>
          <w:color w:val="000080"/>
        </w:rPr>
        <w:t>six</w:t>
      </w:r>
      <w:r w:rsidR="009C22C8" w:rsidRPr="00DB1457">
        <w:rPr>
          <w:color w:val="000080"/>
        </w:rPr>
        <w:t xml:space="preserve"> of these exams are summarized in the chart below.</w:t>
      </w:r>
    </w:p>
    <w:p w:rsidR="009C22C8" w:rsidRDefault="009C22C8" w:rsidP="007C6046">
      <w:pPr>
        <w:tabs>
          <w:tab w:val="left" w:pos="288"/>
          <w:tab w:val="left" w:pos="4752"/>
        </w:tabs>
        <w:spacing w:line="240" w:lineRule="exact"/>
        <w:rPr>
          <w:rFonts w:asciiTheme="minorHAnsi" w:hAnsiTheme="minorHAnsi"/>
          <w:color w:val="auto"/>
          <w:szCs w:val="24"/>
        </w:rPr>
      </w:pPr>
    </w:p>
    <w:tbl>
      <w:tblPr>
        <w:tblW w:w="828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02"/>
        <w:gridCol w:w="1368"/>
        <w:gridCol w:w="990"/>
        <w:gridCol w:w="990"/>
        <w:gridCol w:w="900"/>
        <w:gridCol w:w="1170"/>
        <w:gridCol w:w="1260"/>
      </w:tblGrid>
      <w:tr w:rsidR="00373C6E" w:rsidRPr="007862B0" w:rsidTr="00373C6E">
        <w:tc>
          <w:tcPr>
            <w:tcW w:w="1602" w:type="dxa"/>
            <w:shd w:val="clear" w:color="auto" w:fill="C6D9F1" w:themeFill="text2" w:themeFillTint="33"/>
          </w:tcPr>
          <w:p w:rsidR="000B1E0C" w:rsidRPr="00F81C35" w:rsidRDefault="000B1E0C" w:rsidP="00052F31">
            <w:pPr>
              <w:pStyle w:val="ListParagraph"/>
              <w:spacing w:after="0" w:line="240" w:lineRule="exact"/>
              <w:ind w:left="0"/>
              <w:jc w:val="center"/>
              <w:rPr>
                <w:rFonts w:ascii="Calibri" w:eastAsia="Calibri" w:hAnsi="Calibri" w:cs="Times New Roman"/>
                <w:color w:val="002060"/>
              </w:rPr>
            </w:pPr>
            <w:proofErr w:type="spellStart"/>
            <w:r w:rsidRPr="00F81C35">
              <w:rPr>
                <w:rFonts w:ascii="Calibri" w:eastAsia="Calibri" w:hAnsi="Calibri" w:cs="Times New Roman"/>
                <w:color w:val="002060"/>
              </w:rPr>
              <w:t>Thoracolumbar</w:t>
            </w:r>
            <w:proofErr w:type="spellEnd"/>
            <w:r w:rsidRPr="00F81C35">
              <w:rPr>
                <w:rFonts w:ascii="Calibri" w:eastAsia="Calibri" w:hAnsi="Calibri" w:cs="Times New Roman"/>
                <w:color w:val="002060"/>
              </w:rPr>
              <w:t xml:space="preserve"> ROM</w:t>
            </w:r>
          </w:p>
        </w:tc>
        <w:tc>
          <w:tcPr>
            <w:tcW w:w="1368" w:type="dxa"/>
            <w:shd w:val="clear" w:color="auto" w:fill="C6D9F1" w:themeFill="text2" w:themeFillTint="33"/>
          </w:tcPr>
          <w:p w:rsidR="000B1E0C" w:rsidRPr="00F81C35" w:rsidRDefault="00373C6E" w:rsidP="000B1E0C">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 xml:space="preserve">MEB </w:t>
            </w:r>
            <w:r w:rsidR="000B1E0C">
              <w:rPr>
                <w:rFonts w:ascii="Calibri" w:eastAsia="Calibri" w:hAnsi="Calibri" w:cs="Times New Roman"/>
                <w:color w:val="002060"/>
              </w:rPr>
              <w:t>Ortho 6/5/06</w:t>
            </w:r>
          </w:p>
        </w:tc>
        <w:tc>
          <w:tcPr>
            <w:tcW w:w="990" w:type="dxa"/>
            <w:shd w:val="clear" w:color="auto" w:fill="C6D9F1" w:themeFill="text2" w:themeFillTint="33"/>
          </w:tcPr>
          <w:p w:rsidR="000B1E0C" w:rsidRPr="00F81C35" w:rsidRDefault="000B1E0C" w:rsidP="00052F31">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PT 7/11/06</w:t>
            </w:r>
          </w:p>
        </w:tc>
        <w:tc>
          <w:tcPr>
            <w:tcW w:w="990" w:type="dxa"/>
            <w:shd w:val="clear" w:color="auto" w:fill="C6D9F1" w:themeFill="text2" w:themeFillTint="33"/>
          </w:tcPr>
          <w:p w:rsidR="000B1E0C" w:rsidRPr="00F81C35" w:rsidRDefault="000B1E0C" w:rsidP="00052F31">
            <w:pPr>
              <w:pStyle w:val="ListParagraph"/>
              <w:spacing w:after="0" w:line="240" w:lineRule="exact"/>
              <w:ind w:left="0"/>
              <w:jc w:val="center"/>
              <w:rPr>
                <w:rFonts w:ascii="Calibri" w:hAnsi="Calibri"/>
                <w:color w:val="002060"/>
              </w:rPr>
            </w:pPr>
            <w:r>
              <w:rPr>
                <w:rFonts w:ascii="Calibri" w:eastAsia="Calibri" w:hAnsi="Calibri" w:cs="Times New Roman"/>
                <w:color w:val="002060"/>
              </w:rPr>
              <w:t>PT 7/19/06</w:t>
            </w:r>
          </w:p>
        </w:tc>
        <w:tc>
          <w:tcPr>
            <w:tcW w:w="900" w:type="dxa"/>
            <w:shd w:val="clear" w:color="auto" w:fill="C6D9F1" w:themeFill="text2" w:themeFillTint="33"/>
          </w:tcPr>
          <w:p w:rsidR="000B1E0C" w:rsidRPr="00F81C35" w:rsidRDefault="000B1E0C" w:rsidP="00052F31">
            <w:pPr>
              <w:pStyle w:val="ListParagraph"/>
              <w:spacing w:after="0" w:line="240" w:lineRule="exact"/>
              <w:ind w:left="0"/>
              <w:jc w:val="center"/>
              <w:rPr>
                <w:rFonts w:ascii="Calibri" w:hAnsi="Calibri"/>
                <w:color w:val="002060"/>
              </w:rPr>
            </w:pPr>
            <w:r>
              <w:rPr>
                <w:rFonts w:ascii="Calibri" w:hAnsi="Calibri"/>
                <w:color w:val="002060"/>
              </w:rPr>
              <w:t>VA 8/2/06</w:t>
            </w:r>
          </w:p>
        </w:tc>
        <w:tc>
          <w:tcPr>
            <w:tcW w:w="1170" w:type="dxa"/>
            <w:shd w:val="clear" w:color="auto" w:fill="C6D9F1" w:themeFill="text2" w:themeFillTint="33"/>
          </w:tcPr>
          <w:p w:rsidR="000B1E0C" w:rsidRPr="00F81C35" w:rsidRDefault="00373C6E" w:rsidP="00052F31">
            <w:pPr>
              <w:pStyle w:val="ListParagraph"/>
              <w:spacing w:after="0" w:line="240" w:lineRule="exact"/>
              <w:ind w:left="0"/>
              <w:jc w:val="center"/>
              <w:rPr>
                <w:rFonts w:ascii="Calibri" w:hAnsi="Calibri"/>
                <w:color w:val="002060"/>
              </w:rPr>
            </w:pPr>
            <w:r>
              <w:rPr>
                <w:rFonts w:ascii="Calibri" w:hAnsi="Calibri"/>
                <w:color w:val="002060"/>
              </w:rPr>
              <w:t xml:space="preserve">Civ. </w:t>
            </w:r>
            <w:r w:rsidR="000B1E0C">
              <w:rPr>
                <w:rFonts w:ascii="Calibri" w:hAnsi="Calibri"/>
                <w:color w:val="002060"/>
              </w:rPr>
              <w:t>Ortho 11/2/06</w:t>
            </w:r>
          </w:p>
        </w:tc>
        <w:tc>
          <w:tcPr>
            <w:tcW w:w="1260" w:type="dxa"/>
            <w:shd w:val="clear" w:color="auto" w:fill="C6D9F1" w:themeFill="text2" w:themeFillTint="33"/>
          </w:tcPr>
          <w:p w:rsidR="000B1E0C" w:rsidRPr="00F81C35" w:rsidRDefault="00373C6E" w:rsidP="00052F31">
            <w:pPr>
              <w:pStyle w:val="ListParagraph"/>
              <w:spacing w:after="0" w:line="240" w:lineRule="exact"/>
              <w:ind w:left="0"/>
              <w:jc w:val="center"/>
              <w:rPr>
                <w:rFonts w:ascii="Calibri" w:hAnsi="Calibri"/>
                <w:color w:val="002060"/>
              </w:rPr>
            </w:pPr>
            <w:r>
              <w:rPr>
                <w:rFonts w:ascii="Calibri" w:hAnsi="Calibri"/>
                <w:color w:val="002060"/>
              </w:rPr>
              <w:t xml:space="preserve">MEB </w:t>
            </w:r>
            <w:r w:rsidR="000B1E0C">
              <w:rPr>
                <w:rFonts w:ascii="Calibri" w:hAnsi="Calibri"/>
                <w:color w:val="002060"/>
              </w:rPr>
              <w:t>Ortho 11/20/06</w:t>
            </w:r>
          </w:p>
        </w:tc>
      </w:tr>
      <w:tr w:rsidR="00373C6E" w:rsidRPr="00140096" w:rsidTr="00373C6E">
        <w:tc>
          <w:tcPr>
            <w:tcW w:w="1602" w:type="dxa"/>
          </w:tcPr>
          <w:p w:rsidR="00373C6E" w:rsidRPr="00F81C35" w:rsidRDefault="00373C6E" w:rsidP="00052F31">
            <w:pPr>
              <w:pStyle w:val="ListParagraph"/>
              <w:spacing w:after="0" w:line="240" w:lineRule="exact"/>
              <w:ind w:left="0"/>
              <w:rPr>
                <w:rFonts w:ascii="Calibri" w:eastAsia="Calibri" w:hAnsi="Calibri" w:cs="Times New Roman"/>
                <w:color w:val="002060"/>
              </w:rPr>
            </w:pPr>
            <w:r w:rsidRPr="00F81C35">
              <w:rPr>
                <w:rFonts w:ascii="Calibri" w:eastAsia="Calibri" w:hAnsi="Calibri" w:cs="Times New Roman"/>
                <w:color w:val="002060"/>
              </w:rPr>
              <w:t>Flexion</w:t>
            </w:r>
          </w:p>
        </w:tc>
        <w:tc>
          <w:tcPr>
            <w:tcW w:w="1368" w:type="dxa"/>
          </w:tcPr>
          <w:p w:rsidR="00373C6E" w:rsidRPr="00F81C35" w:rsidRDefault="00373C6E" w:rsidP="00052F31">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5</w:t>
            </w:r>
            <w:r w:rsidRPr="00F81C35">
              <w:rPr>
                <w:rFonts w:ascii="Calibri" w:eastAsia="Calibri" w:hAnsi="Calibri" w:cs="Times New Roman"/>
                <w:color w:val="002060"/>
              </w:rPr>
              <w:t>0⁰</w:t>
            </w:r>
          </w:p>
        </w:tc>
        <w:tc>
          <w:tcPr>
            <w:tcW w:w="990" w:type="dxa"/>
          </w:tcPr>
          <w:p w:rsidR="00373C6E" w:rsidRPr="00F81C35" w:rsidRDefault="00373C6E" w:rsidP="00052F31">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3</w:t>
            </w:r>
            <w:r w:rsidRPr="00F81C35">
              <w:rPr>
                <w:rFonts w:ascii="Calibri" w:eastAsia="Calibri" w:hAnsi="Calibri" w:cs="Times New Roman"/>
                <w:color w:val="002060"/>
              </w:rPr>
              <w:t>0⁰</w:t>
            </w:r>
          </w:p>
        </w:tc>
        <w:tc>
          <w:tcPr>
            <w:tcW w:w="990" w:type="dxa"/>
          </w:tcPr>
          <w:p w:rsidR="00373C6E" w:rsidRPr="00F81C35" w:rsidRDefault="00373C6E" w:rsidP="00052F31">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65</w:t>
            </w:r>
            <w:r w:rsidRPr="00F81C35">
              <w:rPr>
                <w:rFonts w:ascii="Calibri" w:eastAsia="Calibri" w:hAnsi="Calibri" w:cs="Times New Roman"/>
                <w:color w:val="002060"/>
              </w:rPr>
              <w:t>⁰</w:t>
            </w:r>
          </w:p>
        </w:tc>
        <w:tc>
          <w:tcPr>
            <w:tcW w:w="900" w:type="dxa"/>
          </w:tcPr>
          <w:p w:rsidR="00373C6E" w:rsidRPr="00F81C35" w:rsidRDefault="00373C6E" w:rsidP="00130432">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45</w:t>
            </w:r>
            <w:r w:rsidRPr="00F81C35">
              <w:rPr>
                <w:rFonts w:ascii="Calibri" w:eastAsia="Calibri" w:hAnsi="Calibri" w:cs="Times New Roman"/>
                <w:color w:val="002060"/>
              </w:rPr>
              <w:t>⁰</w:t>
            </w:r>
          </w:p>
        </w:tc>
        <w:tc>
          <w:tcPr>
            <w:tcW w:w="1170" w:type="dxa"/>
          </w:tcPr>
          <w:p w:rsidR="00373C6E" w:rsidRPr="00F81C35" w:rsidRDefault="00373C6E" w:rsidP="00130432">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5</w:t>
            </w:r>
            <w:r w:rsidRPr="00F81C35">
              <w:rPr>
                <w:rFonts w:ascii="Calibri" w:eastAsia="Calibri" w:hAnsi="Calibri" w:cs="Times New Roman"/>
                <w:color w:val="002060"/>
              </w:rPr>
              <w:t>0⁰</w:t>
            </w:r>
          </w:p>
        </w:tc>
        <w:tc>
          <w:tcPr>
            <w:tcW w:w="1260" w:type="dxa"/>
          </w:tcPr>
          <w:p w:rsidR="00373C6E" w:rsidRPr="00F81C35" w:rsidRDefault="00373C6E" w:rsidP="00130432">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5</w:t>
            </w:r>
            <w:r w:rsidRPr="00F81C35">
              <w:rPr>
                <w:rFonts w:ascii="Calibri" w:eastAsia="Calibri" w:hAnsi="Calibri" w:cs="Times New Roman"/>
                <w:color w:val="002060"/>
              </w:rPr>
              <w:t>0⁰</w:t>
            </w:r>
          </w:p>
        </w:tc>
      </w:tr>
      <w:tr w:rsidR="00373C6E" w:rsidRPr="00D340CE" w:rsidTr="00373C6E">
        <w:tc>
          <w:tcPr>
            <w:tcW w:w="1602" w:type="dxa"/>
          </w:tcPr>
          <w:p w:rsidR="00373C6E" w:rsidRPr="00F81C35" w:rsidRDefault="00373C6E" w:rsidP="00052F31">
            <w:pPr>
              <w:pStyle w:val="ListParagraph"/>
              <w:spacing w:after="0" w:line="240" w:lineRule="exact"/>
              <w:ind w:left="0"/>
              <w:rPr>
                <w:rFonts w:ascii="Calibri" w:eastAsia="Calibri" w:hAnsi="Calibri" w:cs="Times New Roman"/>
                <w:color w:val="002060"/>
              </w:rPr>
            </w:pPr>
            <w:r w:rsidRPr="00F81C35">
              <w:rPr>
                <w:rFonts w:ascii="Calibri" w:eastAsia="Calibri" w:hAnsi="Calibri" w:cs="Times New Roman"/>
                <w:color w:val="002060"/>
              </w:rPr>
              <w:t>Combined</w:t>
            </w:r>
          </w:p>
        </w:tc>
        <w:tc>
          <w:tcPr>
            <w:tcW w:w="1368" w:type="dxa"/>
          </w:tcPr>
          <w:p w:rsidR="00373C6E" w:rsidRPr="00F81C35" w:rsidRDefault="00373C6E" w:rsidP="00052F31">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9</w:t>
            </w:r>
            <w:r w:rsidRPr="00F81C35">
              <w:rPr>
                <w:rFonts w:ascii="Calibri" w:eastAsia="Calibri" w:hAnsi="Calibri" w:cs="Times New Roman"/>
                <w:color w:val="002060"/>
              </w:rPr>
              <w:t>0⁰</w:t>
            </w:r>
          </w:p>
        </w:tc>
        <w:tc>
          <w:tcPr>
            <w:tcW w:w="990" w:type="dxa"/>
          </w:tcPr>
          <w:p w:rsidR="00373C6E" w:rsidRPr="00F81C35" w:rsidRDefault="00373C6E" w:rsidP="00560D57">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155</w:t>
            </w:r>
            <w:r w:rsidRPr="00F81C35">
              <w:rPr>
                <w:rFonts w:ascii="Calibri" w:eastAsia="Calibri" w:hAnsi="Calibri" w:cs="Times New Roman"/>
                <w:color w:val="002060"/>
              </w:rPr>
              <w:t xml:space="preserve">⁰ </w:t>
            </w:r>
          </w:p>
        </w:tc>
        <w:tc>
          <w:tcPr>
            <w:tcW w:w="990" w:type="dxa"/>
          </w:tcPr>
          <w:p w:rsidR="00373C6E" w:rsidRPr="00F81C35" w:rsidRDefault="00373C6E" w:rsidP="00052F31">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205</w:t>
            </w:r>
            <w:r w:rsidRPr="00F81C35">
              <w:rPr>
                <w:rFonts w:ascii="Calibri" w:eastAsia="Calibri" w:hAnsi="Calibri" w:cs="Times New Roman"/>
                <w:color w:val="002060"/>
              </w:rPr>
              <w:t>⁰</w:t>
            </w:r>
          </w:p>
        </w:tc>
        <w:tc>
          <w:tcPr>
            <w:tcW w:w="900" w:type="dxa"/>
          </w:tcPr>
          <w:p w:rsidR="00373C6E" w:rsidRPr="00F81C35" w:rsidRDefault="00373C6E" w:rsidP="00130432">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165</w:t>
            </w:r>
            <w:r w:rsidRPr="00F81C35">
              <w:rPr>
                <w:rFonts w:ascii="Calibri" w:eastAsia="Calibri" w:hAnsi="Calibri" w:cs="Times New Roman"/>
                <w:color w:val="002060"/>
              </w:rPr>
              <w:t>⁰</w:t>
            </w:r>
          </w:p>
        </w:tc>
        <w:tc>
          <w:tcPr>
            <w:tcW w:w="1170" w:type="dxa"/>
          </w:tcPr>
          <w:p w:rsidR="00373C6E" w:rsidRPr="00F81C35" w:rsidRDefault="00373C6E" w:rsidP="00130432">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&lt;12</w:t>
            </w:r>
            <w:r w:rsidRPr="00F81C35">
              <w:rPr>
                <w:rFonts w:ascii="Calibri" w:eastAsia="Calibri" w:hAnsi="Calibri" w:cs="Times New Roman"/>
                <w:color w:val="002060"/>
              </w:rPr>
              <w:t xml:space="preserve">0⁰ </w:t>
            </w:r>
          </w:p>
        </w:tc>
        <w:tc>
          <w:tcPr>
            <w:tcW w:w="1260" w:type="dxa"/>
          </w:tcPr>
          <w:p w:rsidR="00373C6E" w:rsidRPr="00F81C35" w:rsidRDefault="00373C6E" w:rsidP="00130432">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9</w:t>
            </w:r>
            <w:r w:rsidRPr="00F81C35">
              <w:rPr>
                <w:rFonts w:ascii="Calibri" w:eastAsia="Calibri" w:hAnsi="Calibri" w:cs="Times New Roman"/>
                <w:color w:val="002060"/>
              </w:rPr>
              <w:t>0⁰</w:t>
            </w:r>
          </w:p>
        </w:tc>
      </w:tr>
      <w:tr w:rsidR="00373C6E" w:rsidRPr="004E0248" w:rsidTr="00373C6E">
        <w:tc>
          <w:tcPr>
            <w:tcW w:w="1602" w:type="dxa"/>
          </w:tcPr>
          <w:p w:rsidR="00373C6E" w:rsidRPr="00F81C35" w:rsidRDefault="00373C6E" w:rsidP="004E0248">
            <w:pPr>
              <w:tabs>
                <w:tab w:val="left" w:pos="288"/>
                <w:tab w:val="left" w:pos="4752"/>
              </w:tabs>
              <w:spacing w:line="240" w:lineRule="exact"/>
              <w:rPr>
                <w:rFonts w:asciiTheme="minorHAnsi" w:eastAsiaTheme="minorHAnsi" w:hAnsiTheme="minorHAnsi"/>
                <w:color w:val="002060"/>
                <w:sz w:val="22"/>
                <w:szCs w:val="22"/>
              </w:rPr>
            </w:pPr>
            <w:r w:rsidRPr="00F81C35">
              <w:rPr>
                <w:rFonts w:asciiTheme="minorHAnsi" w:eastAsiaTheme="minorHAnsi" w:hAnsiTheme="minorHAnsi"/>
                <w:color w:val="002060"/>
                <w:sz w:val="22"/>
                <w:szCs w:val="22"/>
              </w:rPr>
              <w:t>§4.71a Rating</w:t>
            </w:r>
          </w:p>
        </w:tc>
        <w:tc>
          <w:tcPr>
            <w:tcW w:w="1368" w:type="dxa"/>
          </w:tcPr>
          <w:p w:rsidR="00373C6E" w:rsidRPr="00F81C35" w:rsidRDefault="00373C6E" w:rsidP="004E0248">
            <w:pPr>
              <w:tabs>
                <w:tab w:val="left" w:pos="288"/>
                <w:tab w:val="left" w:pos="4752"/>
              </w:tabs>
              <w:spacing w:line="240" w:lineRule="exact"/>
              <w:jc w:val="center"/>
              <w:rPr>
                <w:rFonts w:asciiTheme="minorHAnsi" w:eastAsiaTheme="minorHAnsi" w:hAnsiTheme="minorHAnsi"/>
                <w:color w:val="002060"/>
                <w:sz w:val="22"/>
                <w:szCs w:val="22"/>
              </w:rPr>
            </w:pPr>
            <w:r>
              <w:rPr>
                <w:rFonts w:asciiTheme="minorHAnsi" w:eastAsiaTheme="minorHAnsi" w:hAnsiTheme="minorHAnsi"/>
                <w:color w:val="002060"/>
                <w:sz w:val="22"/>
                <w:szCs w:val="22"/>
              </w:rPr>
              <w:t>2</w:t>
            </w:r>
            <w:r w:rsidRPr="00F81C35">
              <w:rPr>
                <w:rFonts w:asciiTheme="minorHAnsi" w:eastAsiaTheme="minorHAnsi" w:hAnsiTheme="minorHAnsi"/>
                <w:color w:val="002060"/>
                <w:sz w:val="22"/>
                <w:szCs w:val="22"/>
              </w:rPr>
              <w:t>0%</w:t>
            </w:r>
          </w:p>
        </w:tc>
        <w:tc>
          <w:tcPr>
            <w:tcW w:w="990" w:type="dxa"/>
          </w:tcPr>
          <w:p w:rsidR="00373C6E" w:rsidRPr="00F81C35" w:rsidRDefault="00373C6E" w:rsidP="004E0248">
            <w:pPr>
              <w:tabs>
                <w:tab w:val="left" w:pos="288"/>
                <w:tab w:val="left" w:pos="4752"/>
              </w:tabs>
              <w:spacing w:line="240" w:lineRule="exact"/>
              <w:jc w:val="center"/>
              <w:rPr>
                <w:rFonts w:asciiTheme="minorHAnsi" w:eastAsiaTheme="minorHAnsi" w:hAnsiTheme="minorHAnsi"/>
                <w:color w:val="002060"/>
                <w:sz w:val="22"/>
                <w:szCs w:val="22"/>
              </w:rPr>
            </w:pPr>
            <w:r>
              <w:rPr>
                <w:rFonts w:asciiTheme="minorHAnsi" w:eastAsiaTheme="minorHAnsi" w:hAnsiTheme="minorHAnsi"/>
                <w:color w:val="002060"/>
                <w:sz w:val="22"/>
                <w:szCs w:val="22"/>
              </w:rPr>
              <w:t>4</w:t>
            </w:r>
            <w:r w:rsidRPr="00F81C35">
              <w:rPr>
                <w:rFonts w:asciiTheme="minorHAnsi" w:eastAsiaTheme="minorHAnsi" w:hAnsiTheme="minorHAnsi"/>
                <w:color w:val="002060"/>
                <w:sz w:val="22"/>
                <w:szCs w:val="22"/>
              </w:rPr>
              <w:t>0%</w:t>
            </w:r>
          </w:p>
        </w:tc>
        <w:tc>
          <w:tcPr>
            <w:tcW w:w="990" w:type="dxa"/>
          </w:tcPr>
          <w:p w:rsidR="00373C6E" w:rsidRPr="00F81C35" w:rsidRDefault="00373C6E" w:rsidP="004E0248">
            <w:pPr>
              <w:tabs>
                <w:tab w:val="left" w:pos="288"/>
                <w:tab w:val="left" w:pos="4752"/>
              </w:tabs>
              <w:spacing w:line="240" w:lineRule="exact"/>
              <w:jc w:val="center"/>
              <w:rPr>
                <w:rFonts w:asciiTheme="minorHAnsi" w:eastAsiaTheme="minorHAnsi" w:hAnsiTheme="minorHAnsi"/>
                <w:color w:val="002060"/>
                <w:sz w:val="22"/>
                <w:szCs w:val="22"/>
              </w:rPr>
            </w:pPr>
            <w:r>
              <w:rPr>
                <w:rFonts w:asciiTheme="minorHAnsi" w:eastAsiaTheme="minorHAnsi" w:hAnsiTheme="minorHAnsi"/>
                <w:color w:val="002060"/>
                <w:sz w:val="22"/>
                <w:szCs w:val="22"/>
              </w:rPr>
              <w:t>1</w:t>
            </w:r>
            <w:r w:rsidRPr="00F81C35">
              <w:rPr>
                <w:rFonts w:asciiTheme="minorHAnsi" w:eastAsiaTheme="minorHAnsi" w:hAnsiTheme="minorHAnsi"/>
                <w:color w:val="002060"/>
                <w:sz w:val="22"/>
                <w:szCs w:val="22"/>
              </w:rPr>
              <w:t>0%</w:t>
            </w:r>
          </w:p>
        </w:tc>
        <w:tc>
          <w:tcPr>
            <w:tcW w:w="900" w:type="dxa"/>
          </w:tcPr>
          <w:p w:rsidR="00373C6E" w:rsidRPr="00F81C35" w:rsidRDefault="00373C6E" w:rsidP="00130432">
            <w:pPr>
              <w:tabs>
                <w:tab w:val="left" w:pos="288"/>
                <w:tab w:val="left" w:pos="4752"/>
              </w:tabs>
              <w:spacing w:line="240" w:lineRule="exact"/>
              <w:jc w:val="center"/>
              <w:rPr>
                <w:rFonts w:asciiTheme="minorHAnsi" w:eastAsiaTheme="minorHAnsi" w:hAnsiTheme="minorHAnsi"/>
                <w:color w:val="002060"/>
                <w:sz w:val="22"/>
                <w:szCs w:val="22"/>
              </w:rPr>
            </w:pPr>
            <w:r>
              <w:rPr>
                <w:rFonts w:asciiTheme="minorHAnsi" w:eastAsiaTheme="minorHAnsi" w:hAnsiTheme="minorHAnsi"/>
                <w:color w:val="002060"/>
                <w:sz w:val="22"/>
                <w:szCs w:val="22"/>
              </w:rPr>
              <w:t>2</w:t>
            </w:r>
            <w:r w:rsidRPr="00F81C35">
              <w:rPr>
                <w:rFonts w:asciiTheme="minorHAnsi" w:eastAsiaTheme="minorHAnsi" w:hAnsiTheme="minorHAnsi"/>
                <w:color w:val="002060"/>
                <w:sz w:val="22"/>
                <w:szCs w:val="22"/>
              </w:rPr>
              <w:t>0%</w:t>
            </w:r>
          </w:p>
        </w:tc>
        <w:tc>
          <w:tcPr>
            <w:tcW w:w="1170" w:type="dxa"/>
          </w:tcPr>
          <w:p w:rsidR="00373C6E" w:rsidRPr="00F81C35" w:rsidRDefault="00373C6E" w:rsidP="00130432">
            <w:pPr>
              <w:tabs>
                <w:tab w:val="left" w:pos="288"/>
                <w:tab w:val="left" w:pos="4752"/>
              </w:tabs>
              <w:spacing w:line="240" w:lineRule="exact"/>
              <w:jc w:val="center"/>
              <w:rPr>
                <w:rFonts w:asciiTheme="minorHAnsi" w:eastAsiaTheme="minorHAnsi" w:hAnsiTheme="minorHAnsi"/>
                <w:color w:val="002060"/>
                <w:sz w:val="22"/>
                <w:szCs w:val="22"/>
              </w:rPr>
            </w:pPr>
            <w:r>
              <w:rPr>
                <w:rFonts w:asciiTheme="minorHAnsi" w:eastAsiaTheme="minorHAnsi" w:hAnsiTheme="minorHAnsi"/>
                <w:color w:val="002060"/>
                <w:sz w:val="22"/>
                <w:szCs w:val="22"/>
              </w:rPr>
              <w:t>2</w:t>
            </w:r>
            <w:r w:rsidRPr="00F81C35">
              <w:rPr>
                <w:rFonts w:asciiTheme="minorHAnsi" w:eastAsiaTheme="minorHAnsi" w:hAnsiTheme="minorHAnsi"/>
                <w:color w:val="002060"/>
                <w:sz w:val="22"/>
                <w:szCs w:val="22"/>
              </w:rPr>
              <w:t>0%</w:t>
            </w:r>
          </w:p>
        </w:tc>
        <w:tc>
          <w:tcPr>
            <w:tcW w:w="1260" w:type="dxa"/>
          </w:tcPr>
          <w:p w:rsidR="00373C6E" w:rsidRPr="00F81C35" w:rsidRDefault="00373C6E" w:rsidP="00130432">
            <w:pPr>
              <w:tabs>
                <w:tab w:val="left" w:pos="288"/>
                <w:tab w:val="left" w:pos="4752"/>
              </w:tabs>
              <w:spacing w:line="240" w:lineRule="exact"/>
              <w:jc w:val="center"/>
              <w:rPr>
                <w:rFonts w:asciiTheme="minorHAnsi" w:eastAsiaTheme="minorHAnsi" w:hAnsiTheme="minorHAnsi"/>
                <w:color w:val="002060"/>
                <w:sz w:val="22"/>
                <w:szCs w:val="22"/>
              </w:rPr>
            </w:pPr>
            <w:r>
              <w:rPr>
                <w:rFonts w:asciiTheme="minorHAnsi" w:eastAsiaTheme="minorHAnsi" w:hAnsiTheme="minorHAnsi"/>
                <w:color w:val="002060"/>
                <w:sz w:val="22"/>
                <w:szCs w:val="22"/>
              </w:rPr>
              <w:t>2</w:t>
            </w:r>
            <w:r w:rsidRPr="00F81C35">
              <w:rPr>
                <w:rFonts w:asciiTheme="minorHAnsi" w:eastAsiaTheme="minorHAnsi" w:hAnsiTheme="minorHAnsi"/>
                <w:color w:val="002060"/>
                <w:sz w:val="22"/>
                <w:szCs w:val="22"/>
              </w:rPr>
              <w:t>0%</w:t>
            </w:r>
          </w:p>
        </w:tc>
      </w:tr>
    </w:tbl>
    <w:p w:rsidR="00560D57" w:rsidRDefault="00560D57" w:rsidP="002C6E5B">
      <w:pPr>
        <w:tabs>
          <w:tab w:val="left" w:pos="288"/>
          <w:tab w:val="left" w:pos="4752"/>
        </w:tabs>
        <w:spacing w:line="240" w:lineRule="exact"/>
        <w:rPr>
          <w:rFonts w:asciiTheme="minorHAnsi" w:eastAsiaTheme="minorHAnsi" w:hAnsiTheme="minorHAnsi"/>
          <w:color w:val="auto"/>
          <w:szCs w:val="24"/>
        </w:rPr>
      </w:pPr>
    </w:p>
    <w:p w:rsidR="00F60F12" w:rsidRPr="00DB1457" w:rsidRDefault="0015627C" w:rsidP="00DB1457">
      <w:pPr>
        <w:tabs>
          <w:tab w:val="left" w:pos="288"/>
          <w:tab w:val="left" w:pos="4752"/>
        </w:tabs>
        <w:spacing w:line="240" w:lineRule="exact"/>
        <w:jc w:val="both"/>
        <w:rPr>
          <w:color w:val="000080"/>
        </w:rPr>
      </w:pPr>
      <w:r w:rsidRPr="00DB1457">
        <w:rPr>
          <w:color w:val="000080"/>
        </w:rPr>
        <w:t>One PT exam documented 30° flexion which is the threshold for a §4.71a rating of 40%.  It would appear to be an outlier and does not carry the probative value by itself to justify a 40% recommendation from the Board.  The same can be said for the PT exam referenced by the PEB which would support a 10% rating.  All other examinations, including the VA exam and the two closest to separation, would provide for a 20% rating.  A</w:t>
      </w:r>
      <w:r w:rsidR="00DB1457" w:rsidRPr="00DB1457">
        <w:rPr>
          <w:color w:val="000080"/>
        </w:rPr>
        <w:t>bnormal</w:t>
      </w:r>
      <w:r w:rsidRPr="00DB1457">
        <w:rPr>
          <w:color w:val="000080"/>
        </w:rPr>
        <w:t xml:space="preserve"> gait alone provides for a 20% rating.  The Board therefore recommends a 20% rating for the lumbar spine condition.</w:t>
      </w:r>
    </w:p>
    <w:p w:rsidR="007E7B4E" w:rsidRPr="00DB1457" w:rsidRDefault="007E7B4E" w:rsidP="00DB1457">
      <w:pPr>
        <w:tabs>
          <w:tab w:val="left" w:pos="288"/>
          <w:tab w:val="left" w:pos="4752"/>
        </w:tabs>
        <w:spacing w:line="240" w:lineRule="exact"/>
        <w:jc w:val="both"/>
        <w:rPr>
          <w:color w:val="000080"/>
        </w:rPr>
      </w:pPr>
    </w:p>
    <w:p w:rsidR="001400C4" w:rsidRPr="00DB1457" w:rsidRDefault="00EA7395" w:rsidP="00DB1457">
      <w:pPr>
        <w:tabs>
          <w:tab w:val="left" w:pos="288"/>
          <w:tab w:val="left" w:pos="4752"/>
        </w:tabs>
        <w:spacing w:line="240" w:lineRule="exact"/>
        <w:jc w:val="both"/>
        <w:rPr>
          <w:color w:val="000080"/>
        </w:rPr>
      </w:pPr>
      <w:proofErr w:type="gramStart"/>
      <w:r w:rsidRPr="003C1E11">
        <w:rPr>
          <w:color w:val="000080"/>
          <w:u w:val="single"/>
        </w:rPr>
        <w:t>Bladder Condition</w:t>
      </w:r>
      <w:r w:rsidRPr="00DB1457">
        <w:rPr>
          <w:color w:val="000080"/>
        </w:rPr>
        <w:t>.</w:t>
      </w:r>
      <w:proofErr w:type="gramEnd"/>
      <w:r w:rsidRPr="00DB1457">
        <w:rPr>
          <w:color w:val="000080"/>
        </w:rPr>
        <w:t xml:space="preserve">  </w:t>
      </w:r>
      <w:r w:rsidR="00A05A0C" w:rsidRPr="00DB1457">
        <w:rPr>
          <w:color w:val="000080"/>
        </w:rPr>
        <w:t xml:space="preserve">The contention for additional rating for the bladder condition is premised on the link between it and the unfitting disc disease.  In that regard, the MEB conclusion that it was secondary to BPH contrasted with the VA conclusion that it was secondary to sacral nerve involvement by the disc disease.  There is evidence for both links and the Action Officer opines that (more likely than not) the etiologies are co-mingled.  More than a cause and effect link between an unfitting condition and another condition is required </w:t>
      </w:r>
      <w:r w:rsidR="00D729A4" w:rsidRPr="00DB1457">
        <w:rPr>
          <w:color w:val="000080"/>
        </w:rPr>
        <w:t>for a service disability rating, however.  The latter condition must be, in itself, unfitting.  Regardless of etiology</w:t>
      </w:r>
      <w:r w:rsidR="00D24222" w:rsidRPr="00DB1457">
        <w:rPr>
          <w:color w:val="000080"/>
        </w:rPr>
        <w:t>,</w:t>
      </w:r>
      <w:r w:rsidR="00D729A4" w:rsidRPr="00DB1457">
        <w:rPr>
          <w:color w:val="000080"/>
        </w:rPr>
        <w:t xml:space="preserve"> it was judged by the MEB to be within AR 40-501 retention standards.  It was adjudicated as not unfitting by both PEB’s </w:t>
      </w:r>
      <w:r w:rsidR="00D24222" w:rsidRPr="00DB1457">
        <w:rPr>
          <w:color w:val="000080"/>
        </w:rPr>
        <w:t>and was reviewed by the USAPDA</w:t>
      </w:r>
      <w:r w:rsidR="00D729A4" w:rsidRPr="00DB1457">
        <w:rPr>
          <w:color w:val="000080"/>
        </w:rPr>
        <w:t>.</w:t>
      </w:r>
      <w:r w:rsidR="001400C4" w:rsidRPr="00DB1457">
        <w:rPr>
          <w:color w:val="000080"/>
        </w:rPr>
        <w:t xml:space="preserve">  Symptoms of urinary frequency, dribbling and change of a pad once a day were documented by the VA examiner.  Even in austere conditions, this would not be expected to render a soldier unfit.  The bladder condition was not profiled and was not mentioned in the Commander’s statement.  All evidence considered</w:t>
      </w:r>
      <w:proofErr w:type="gramStart"/>
      <w:r w:rsidR="001400C4" w:rsidRPr="00DB1457">
        <w:rPr>
          <w:color w:val="000080"/>
        </w:rPr>
        <w:t>,</w:t>
      </w:r>
      <w:proofErr w:type="gramEnd"/>
      <w:r w:rsidR="001400C4" w:rsidRPr="00DB1457">
        <w:rPr>
          <w:color w:val="000080"/>
        </w:rPr>
        <w:t xml:space="preserve"> there is not reasonable doubt in the CI’s favor supporting addition of the bladder dysfunction as an unfitting condition for separation rating.</w:t>
      </w:r>
    </w:p>
    <w:p w:rsidR="00EA7395" w:rsidRPr="00DB1457" w:rsidRDefault="00EA7395" w:rsidP="00DB1457">
      <w:pPr>
        <w:tabs>
          <w:tab w:val="left" w:pos="288"/>
          <w:tab w:val="left" w:pos="4752"/>
        </w:tabs>
        <w:spacing w:line="240" w:lineRule="exact"/>
        <w:jc w:val="both"/>
        <w:rPr>
          <w:color w:val="000080"/>
        </w:rPr>
      </w:pPr>
    </w:p>
    <w:p w:rsidR="00A93A8C" w:rsidRPr="00DB1457" w:rsidRDefault="00EA7395" w:rsidP="00DB1457">
      <w:pPr>
        <w:tabs>
          <w:tab w:val="left" w:pos="288"/>
          <w:tab w:val="left" w:pos="4752"/>
        </w:tabs>
        <w:spacing w:line="240" w:lineRule="exact"/>
        <w:jc w:val="both"/>
        <w:rPr>
          <w:color w:val="000080"/>
        </w:rPr>
      </w:pPr>
      <w:proofErr w:type="gramStart"/>
      <w:r w:rsidRPr="003C1E11">
        <w:rPr>
          <w:color w:val="000080"/>
          <w:u w:val="single"/>
        </w:rPr>
        <w:t>Major Depressive Disorder</w:t>
      </w:r>
      <w:r w:rsidRPr="00DB1457">
        <w:rPr>
          <w:color w:val="000080"/>
        </w:rPr>
        <w:t>.</w:t>
      </w:r>
      <w:proofErr w:type="gramEnd"/>
      <w:r w:rsidRPr="00DB1457">
        <w:rPr>
          <w:color w:val="000080"/>
        </w:rPr>
        <w:t xml:space="preserve">  </w:t>
      </w:r>
      <w:r w:rsidR="001400C4" w:rsidRPr="00DB1457">
        <w:rPr>
          <w:color w:val="000080"/>
        </w:rPr>
        <w:t xml:space="preserve">The psychiatric disorder did not </w:t>
      </w:r>
      <w:r w:rsidR="00594902" w:rsidRPr="00DB1457">
        <w:rPr>
          <w:color w:val="000080"/>
        </w:rPr>
        <w:t>reach clinical attention until a few weeks prior to the informal PEB.  The CI had checked the block for depression on his MEB physical, but did not elaborate.  The examiner noted it as ‘does not interfere with duty’.</w:t>
      </w:r>
      <w:r w:rsidR="005556B8" w:rsidRPr="00DB1457">
        <w:rPr>
          <w:color w:val="000080"/>
        </w:rPr>
        <w:t xml:space="preserve">  </w:t>
      </w:r>
      <w:r w:rsidR="005A766E" w:rsidRPr="00DB1457">
        <w:rPr>
          <w:color w:val="000080"/>
        </w:rPr>
        <w:t>A MEB psychiatric evaluation was performed by a Navy psychiatrist two weeks prior to the formal PEB, but was not included as a formal adjudication on that DA</w:t>
      </w:r>
      <w:r w:rsidR="00F051D6">
        <w:rPr>
          <w:color w:val="000080"/>
        </w:rPr>
        <w:t xml:space="preserve"> Form </w:t>
      </w:r>
      <w:r w:rsidR="005A766E" w:rsidRPr="00DB1457">
        <w:rPr>
          <w:color w:val="000080"/>
        </w:rPr>
        <w:t xml:space="preserve">199.  </w:t>
      </w:r>
      <w:r w:rsidR="005556B8" w:rsidRPr="00DB1457">
        <w:rPr>
          <w:color w:val="000080"/>
        </w:rPr>
        <w:t xml:space="preserve">The CI related to </w:t>
      </w:r>
      <w:r w:rsidR="005A766E" w:rsidRPr="00DB1457">
        <w:rPr>
          <w:color w:val="000080"/>
        </w:rPr>
        <w:t xml:space="preserve">the service psychiatrist that he did not bring the issues to light until it was clear that he was being medically separated.  Both the MEB and VA psychiatrists opined that the stressors related to his medical condition and the circumstances of separation were significant contributors to </w:t>
      </w:r>
      <w:r w:rsidR="005A766E" w:rsidRPr="00DB1457">
        <w:rPr>
          <w:color w:val="000080"/>
        </w:rPr>
        <w:lastRenderedPageBreak/>
        <w:t xml:space="preserve">his </w:t>
      </w:r>
      <w:r w:rsidR="00DB1457" w:rsidRPr="00DB1457">
        <w:rPr>
          <w:color w:val="000080"/>
        </w:rPr>
        <w:t>depression</w:t>
      </w:r>
      <w:r w:rsidR="005A766E" w:rsidRPr="00DB1457">
        <w:rPr>
          <w:color w:val="000080"/>
        </w:rPr>
        <w:t xml:space="preserve">.  The PEB’s </w:t>
      </w:r>
      <w:r w:rsidR="00D24222" w:rsidRPr="00DB1457">
        <w:rPr>
          <w:color w:val="000080"/>
        </w:rPr>
        <w:t>response</w:t>
      </w:r>
      <w:r w:rsidR="005A766E" w:rsidRPr="00DB1457">
        <w:rPr>
          <w:color w:val="000080"/>
        </w:rPr>
        <w:t xml:space="preserve"> to the CI’s appeal conceded this.  </w:t>
      </w:r>
      <w:r w:rsidR="001400C4" w:rsidRPr="00DB1457">
        <w:rPr>
          <w:color w:val="000080"/>
        </w:rPr>
        <w:t xml:space="preserve">As with the preceding discussion </w:t>
      </w:r>
      <w:r w:rsidR="005A766E" w:rsidRPr="00DB1457">
        <w:rPr>
          <w:color w:val="000080"/>
        </w:rPr>
        <w:t>regarding the bladder condition</w:t>
      </w:r>
      <w:r w:rsidR="000B2C6F" w:rsidRPr="00DB1457">
        <w:rPr>
          <w:color w:val="000080"/>
        </w:rPr>
        <w:t>,</w:t>
      </w:r>
      <w:r w:rsidR="005A766E" w:rsidRPr="00DB1457">
        <w:rPr>
          <w:color w:val="000080"/>
        </w:rPr>
        <w:t xml:space="preserve"> </w:t>
      </w:r>
      <w:r w:rsidR="001400C4" w:rsidRPr="00DB1457">
        <w:rPr>
          <w:color w:val="000080"/>
        </w:rPr>
        <w:t xml:space="preserve">it is not sufficient to </w:t>
      </w:r>
      <w:r w:rsidR="000B2C6F" w:rsidRPr="00DB1457">
        <w:rPr>
          <w:color w:val="000080"/>
        </w:rPr>
        <w:t xml:space="preserve">just establish this link without establishing that the associated condition was separately unfitting.  The USAPDA advisory opinion stated ‘the PEB found that the preponderance of the evidence did not support that this was a separately unfitting condition.’  The PEB response to appeal, however, did not make a statement to that effect.  It rather stated ‘your depression is secondary to your physical impairments and as such is not separately ratable.’  </w:t>
      </w:r>
      <w:r w:rsidR="004C5D31" w:rsidRPr="00DB1457">
        <w:rPr>
          <w:color w:val="000080"/>
        </w:rPr>
        <w:t xml:space="preserve">It is not clear what the PEB meant by this statement, but the Board cannot accept it as </w:t>
      </w:r>
      <w:r w:rsidR="00DB1457" w:rsidRPr="00DB1457">
        <w:rPr>
          <w:color w:val="000080"/>
        </w:rPr>
        <w:t>an opinion relative to</w:t>
      </w:r>
      <w:r w:rsidR="004C5D31" w:rsidRPr="00DB1457">
        <w:rPr>
          <w:color w:val="000080"/>
        </w:rPr>
        <w:t xml:space="preserve"> fitness.  The Board will therefore render an independent judgment as to whether there was unfitting psychiatric impairment.</w:t>
      </w:r>
    </w:p>
    <w:p w:rsidR="004C5D31" w:rsidRPr="00DB1457" w:rsidRDefault="004C5D31" w:rsidP="00DB1457">
      <w:pPr>
        <w:tabs>
          <w:tab w:val="left" w:pos="288"/>
          <w:tab w:val="left" w:pos="4752"/>
        </w:tabs>
        <w:spacing w:line="240" w:lineRule="exact"/>
        <w:jc w:val="both"/>
        <w:rPr>
          <w:color w:val="000080"/>
        </w:rPr>
      </w:pPr>
    </w:p>
    <w:p w:rsidR="004C5D31" w:rsidRPr="00DB1457" w:rsidRDefault="00D41D65" w:rsidP="00DB1457">
      <w:pPr>
        <w:tabs>
          <w:tab w:val="left" w:pos="288"/>
          <w:tab w:val="left" w:pos="4752"/>
        </w:tabs>
        <w:spacing w:line="240" w:lineRule="exact"/>
        <w:jc w:val="both"/>
        <w:rPr>
          <w:color w:val="000080"/>
        </w:rPr>
      </w:pPr>
      <w:r w:rsidRPr="00DB1457">
        <w:rPr>
          <w:color w:val="000080"/>
        </w:rPr>
        <w:t>The VA rating psychiatrist did not formulate an opinion regarding occupational or social impairment.  That exam did document excessive sleeping and decreased energy.  The GAF (global assessment of functioning) score was 57 denoting moderate impairment.  The VA rating of 50% based on this exam is not a good match with the §</w:t>
      </w:r>
      <w:r w:rsidR="00C900BB" w:rsidRPr="00DB1457">
        <w:rPr>
          <w:color w:val="000080"/>
        </w:rPr>
        <w:t>4.130 description of that rating</w:t>
      </w:r>
      <w:r w:rsidRPr="00DB1457">
        <w:rPr>
          <w:color w:val="000080"/>
        </w:rPr>
        <w:t>.</w:t>
      </w:r>
      <w:r w:rsidR="00C900BB" w:rsidRPr="00DB1457">
        <w:rPr>
          <w:color w:val="000080"/>
        </w:rPr>
        <w:t xml:space="preserve">  The rating decision did not elaborate the rationale.  A VA psychiatric examination 10 months after separation documented full-time employment </w:t>
      </w:r>
      <w:r w:rsidR="00D24222" w:rsidRPr="00DB1457">
        <w:rPr>
          <w:color w:val="000080"/>
        </w:rPr>
        <w:t>in the medical field</w:t>
      </w:r>
      <w:r w:rsidR="003C1E11">
        <w:rPr>
          <w:color w:val="000080"/>
        </w:rPr>
        <w:t xml:space="preserve"> at the same job he had held for some years as a civilian</w:t>
      </w:r>
      <w:r w:rsidR="00C900BB" w:rsidRPr="00DB1457">
        <w:rPr>
          <w:color w:val="000080"/>
        </w:rPr>
        <w:t xml:space="preserve">.  The MEB psychiatric examination was performed </w:t>
      </w:r>
      <w:r w:rsidR="00A02EA4" w:rsidRPr="00DB1457">
        <w:rPr>
          <w:color w:val="000080"/>
        </w:rPr>
        <w:t>two months prior</w:t>
      </w:r>
      <w:r w:rsidR="00C900BB" w:rsidRPr="00DB1457">
        <w:rPr>
          <w:color w:val="000080"/>
        </w:rPr>
        <w:t xml:space="preserve"> to separation and</w:t>
      </w:r>
      <w:r w:rsidR="00A02EA4" w:rsidRPr="00DB1457">
        <w:rPr>
          <w:color w:val="000080"/>
        </w:rPr>
        <w:t>, invoking SECNAV</w:t>
      </w:r>
      <w:r w:rsidR="00C900BB" w:rsidRPr="00DB1457">
        <w:rPr>
          <w:color w:val="000080"/>
        </w:rPr>
        <w:t xml:space="preserve"> </w:t>
      </w:r>
      <w:r w:rsidR="00A02EA4" w:rsidRPr="00DB1457">
        <w:rPr>
          <w:color w:val="000080"/>
        </w:rPr>
        <w:t xml:space="preserve">1950.4E, stated ‘he is deemed Not Fit for Full Duty from a mental health standpoint.’  </w:t>
      </w:r>
      <w:r w:rsidR="00D24222" w:rsidRPr="00DB1457">
        <w:rPr>
          <w:color w:val="000080"/>
        </w:rPr>
        <w:t>The opinion</w:t>
      </w:r>
      <w:r w:rsidR="009B7747" w:rsidRPr="00DB1457">
        <w:rPr>
          <w:color w:val="000080"/>
        </w:rPr>
        <w:t xml:space="preserve"> did not elaborate specific tasks or examples for military impairment.  The</w:t>
      </w:r>
      <w:r w:rsidR="00A02EA4" w:rsidRPr="00DB1457">
        <w:rPr>
          <w:color w:val="000080"/>
        </w:rPr>
        <w:t xml:space="preserve"> GAF score </w:t>
      </w:r>
      <w:r w:rsidR="009B7747" w:rsidRPr="00DB1457">
        <w:rPr>
          <w:color w:val="000080"/>
        </w:rPr>
        <w:t>was</w:t>
      </w:r>
      <w:r w:rsidR="00A02EA4" w:rsidRPr="00DB1457">
        <w:rPr>
          <w:color w:val="000080"/>
        </w:rPr>
        <w:t xml:space="preserve"> 60 and </w:t>
      </w:r>
      <w:r w:rsidR="009B7747" w:rsidRPr="00DB1457">
        <w:rPr>
          <w:color w:val="000080"/>
        </w:rPr>
        <w:t>the</w:t>
      </w:r>
      <w:r w:rsidR="00A02EA4" w:rsidRPr="00DB1457">
        <w:rPr>
          <w:color w:val="000080"/>
        </w:rPr>
        <w:t xml:space="preserve"> occupational and social impairment was </w:t>
      </w:r>
      <w:r w:rsidR="009B7747" w:rsidRPr="00DB1457">
        <w:rPr>
          <w:color w:val="000080"/>
        </w:rPr>
        <w:t xml:space="preserve">designated as </w:t>
      </w:r>
      <w:r w:rsidR="00A02EA4" w:rsidRPr="00DB1457">
        <w:rPr>
          <w:color w:val="000080"/>
        </w:rPr>
        <w:t xml:space="preserve">‘definite’.  </w:t>
      </w:r>
      <w:r w:rsidR="009B7747" w:rsidRPr="00DB1457">
        <w:rPr>
          <w:color w:val="000080"/>
        </w:rPr>
        <w:t xml:space="preserve">This single opinion on the eve of separation, of course, does not account for the total fitness picture in this case.  The Board must weigh the following observations: 1) </w:t>
      </w:r>
      <w:proofErr w:type="gramStart"/>
      <w:r w:rsidR="009B7747" w:rsidRPr="00DB1457">
        <w:rPr>
          <w:color w:val="000080"/>
        </w:rPr>
        <w:t>The</w:t>
      </w:r>
      <w:proofErr w:type="gramEnd"/>
      <w:r w:rsidR="009B7747" w:rsidRPr="00DB1457">
        <w:rPr>
          <w:color w:val="000080"/>
        </w:rPr>
        <w:t xml:space="preserve"> fact that the CI had completed a 20 year military career </w:t>
      </w:r>
      <w:r w:rsidR="003F0995" w:rsidRPr="00DB1457">
        <w:rPr>
          <w:color w:val="000080"/>
        </w:rPr>
        <w:t xml:space="preserve">with no evidence of mental health impairment is almost </w:t>
      </w:r>
      <w:r w:rsidR="003F0995" w:rsidRPr="003B1577">
        <w:rPr>
          <w:i/>
          <w:color w:val="000080"/>
        </w:rPr>
        <w:t xml:space="preserve">prima </w:t>
      </w:r>
      <w:proofErr w:type="spellStart"/>
      <w:r w:rsidR="003F0995" w:rsidRPr="003B1577">
        <w:rPr>
          <w:i/>
          <w:color w:val="000080"/>
        </w:rPr>
        <w:t>fascie</w:t>
      </w:r>
      <w:proofErr w:type="spellEnd"/>
      <w:r w:rsidR="003F0995" w:rsidRPr="00DB1457">
        <w:rPr>
          <w:color w:val="000080"/>
        </w:rPr>
        <w:t xml:space="preserve"> evidence that he was not unfit on a psychiatric basis.  He would have been unable to keep it undisclosed if it were associated with significant duty impairments</w:t>
      </w:r>
      <w:r w:rsidR="00D24222" w:rsidRPr="00DB1457">
        <w:rPr>
          <w:color w:val="000080"/>
        </w:rPr>
        <w:t xml:space="preserve">.  2) </w:t>
      </w:r>
      <w:r w:rsidR="003F0995" w:rsidRPr="00DB1457">
        <w:rPr>
          <w:color w:val="000080"/>
        </w:rPr>
        <w:t xml:space="preserve">The physical profile was S1 with no weapon restriction.  </w:t>
      </w:r>
      <w:r w:rsidR="00D24222" w:rsidRPr="00DB1457">
        <w:rPr>
          <w:color w:val="000080"/>
        </w:rPr>
        <w:t xml:space="preserve">3) </w:t>
      </w:r>
      <w:r w:rsidR="00185A59" w:rsidRPr="00DB1457">
        <w:rPr>
          <w:color w:val="000080"/>
        </w:rPr>
        <w:t xml:space="preserve">The Commander’s statement praised his performance within the limits of his physical profile.  It stated that he was assisting the unit with ‘administrative duties, including answering the telephone, organizing personnel and training records and filing.  Several conversations with the unit </w:t>
      </w:r>
      <w:r w:rsidR="00DB1457">
        <w:rPr>
          <w:color w:val="000080"/>
        </w:rPr>
        <w:t>...</w:t>
      </w:r>
      <w:r w:rsidR="00185A59" w:rsidRPr="00DB1457">
        <w:rPr>
          <w:color w:val="000080"/>
        </w:rPr>
        <w:t xml:space="preserve"> indicated that he performed his duties well.’</w:t>
      </w:r>
      <w:r w:rsidR="00D24222" w:rsidRPr="00DB1457">
        <w:rPr>
          <w:color w:val="000080"/>
        </w:rPr>
        <w:t xml:space="preserve">  4) </w:t>
      </w:r>
      <w:r w:rsidR="00185A59" w:rsidRPr="00DB1457">
        <w:rPr>
          <w:color w:val="000080"/>
        </w:rPr>
        <w:t xml:space="preserve">The history obtained by the examiner at the time of the MEB physical </w:t>
      </w:r>
      <w:r w:rsidR="00EA0725" w:rsidRPr="00DB1457">
        <w:rPr>
          <w:color w:val="000080"/>
        </w:rPr>
        <w:t>resulted in an opinion that the depression was not interfering with duty.</w:t>
      </w:r>
      <w:r w:rsidR="00D24222" w:rsidRPr="00DB1457">
        <w:rPr>
          <w:color w:val="000080"/>
        </w:rPr>
        <w:t xml:space="preserve">  5) </w:t>
      </w:r>
      <w:r w:rsidR="00EA0725" w:rsidRPr="00DB1457">
        <w:rPr>
          <w:color w:val="000080"/>
        </w:rPr>
        <w:t xml:space="preserve">Numerous STR entries throughout the MEB period for the CI’s other conditions documented cursory mental status exams and/or the psychiatric component of systems review.  These were all normal.  No </w:t>
      </w:r>
      <w:r w:rsidR="00F64664" w:rsidRPr="00DB1457">
        <w:rPr>
          <w:color w:val="000080"/>
        </w:rPr>
        <w:t>suggestion</w:t>
      </w:r>
      <w:r w:rsidR="00EA0725" w:rsidRPr="00DB1457">
        <w:rPr>
          <w:color w:val="000080"/>
        </w:rPr>
        <w:t xml:space="preserve"> of psychiatric impairment is evidenced </w:t>
      </w:r>
      <w:r w:rsidR="00D24222" w:rsidRPr="00DB1457">
        <w:rPr>
          <w:color w:val="000080"/>
        </w:rPr>
        <w:t xml:space="preserve">in the </w:t>
      </w:r>
      <w:r w:rsidR="00F051D6">
        <w:rPr>
          <w:color w:val="000080"/>
        </w:rPr>
        <w:t>service treatments record (</w:t>
      </w:r>
      <w:r w:rsidR="00D24222" w:rsidRPr="00DB1457">
        <w:rPr>
          <w:color w:val="000080"/>
        </w:rPr>
        <w:t>STR</w:t>
      </w:r>
      <w:r w:rsidR="00F051D6">
        <w:rPr>
          <w:color w:val="000080"/>
        </w:rPr>
        <w:t>)</w:t>
      </w:r>
      <w:r w:rsidR="00D24222" w:rsidRPr="00DB1457">
        <w:rPr>
          <w:color w:val="000080"/>
        </w:rPr>
        <w:t xml:space="preserve"> other than</w:t>
      </w:r>
      <w:r w:rsidR="00F64664" w:rsidRPr="00DB1457">
        <w:rPr>
          <w:color w:val="000080"/>
        </w:rPr>
        <w:t xml:space="preserve"> the MEB psychiatric addendum and a single statement regarding depression from the civilian orthopedist.  </w:t>
      </w:r>
      <w:r w:rsidR="00D24222" w:rsidRPr="00DB1457">
        <w:rPr>
          <w:color w:val="000080"/>
        </w:rPr>
        <w:t xml:space="preserve">6) </w:t>
      </w:r>
      <w:r w:rsidR="00F64664" w:rsidRPr="00DB1457">
        <w:rPr>
          <w:color w:val="000080"/>
        </w:rPr>
        <w:t xml:space="preserve">The CI was not prescribed psychotherapeutic medications at any time while on </w:t>
      </w:r>
      <w:r w:rsidR="00F64664" w:rsidRPr="00DB1457">
        <w:rPr>
          <w:color w:val="000080"/>
        </w:rPr>
        <w:lastRenderedPageBreak/>
        <w:t>active duty.</w:t>
      </w:r>
      <w:r w:rsidR="003C1E11">
        <w:rPr>
          <w:color w:val="000080"/>
        </w:rPr>
        <w:t xml:space="preserve">  7)  The evidence shows that the CI remained fully employed as a civilian in the same position he had previously held.</w:t>
      </w:r>
    </w:p>
    <w:p w:rsidR="00F64664" w:rsidRPr="00DB1457" w:rsidRDefault="00F64664" w:rsidP="00DB1457">
      <w:pPr>
        <w:tabs>
          <w:tab w:val="left" w:pos="288"/>
          <w:tab w:val="left" w:pos="4752"/>
        </w:tabs>
        <w:spacing w:line="240" w:lineRule="exact"/>
        <w:jc w:val="both"/>
        <w:rPr>
          <w:color w:val="000080"/>
        </w:rPr>
      </w:pPr>
    </w:p>
    <w:p w:rsidR="00F0347F" w:rsidRPr="00DB1457" w:rsidRDefault="00F64664" w:rsidP="00DB1457">
      <w:pPr>
        <w:tabs>
          <w:tab w:val="left" w:pos="288"/>
          <w:tab w:val="left" w:pos="4752"/>
        </w:tabs>
        <w:spacing w:line="240" w:lineRule="exact"/>
        <w:jc w:val="both"/>
        <w:rPr>
          <w:color w:val="000080"/>
        </w:rPr>
      </w:pPr>
      <w:r w:rsidRPr="00DB1457">
        <w:rPr>
          <w:color w:val="000080"/>
        </w:rPr>
        <w:t xml:space="preserve">The Board deliberated at length </w:t>
      </w:r>
      <w:r w:rsidR="00F0347F" w:rsidRPr="00DB1457">
        <w:rPr>
          <w:color w:val="000080"/>
        </w:rPr>
        <w:t>on arguments for and against recommendation of the depression as a separately unfitting condition.  It was determined that there is not reasonable doubt in the CI’s favor supporting the favorable recommendation.</w:t>
      </w:r>
    </w:p>
    <w:p w:rsidR="00EA7395" w:rsidRPr="00DB1457" w:rsidRDefault="00EA7395" w:rsidP="00DB1457">
      <w:pPr>
        <w:tabs>
          <w:tab w:val="left" w:pos="288"/>
          <w:tab w:val="left" w:pos="4752"/>
        </w:tabs>
        <w:spacing w:line="240" w:lineRule="exact"/>
        <w:jc w:val="both"/>
        <w:rPr>
          <w:color w:val="000080"/>
        </w:rPr>
      </w:pPr>
    </w:p>
    <w:p w:rsidR="00215196" w:rsidRPr="00DB1457" w:rsidRDefault="0073254D" w:rsidP="00DB1457">
      <w:pPr>
        <w:tabs>
          <w:tab w:val="left" w:pos="288"/>
          <w:tab w:val="left" w:pos="4752"/>
        </w:tabs>
        <w:spacing w:line="240" w:lineRule="exact"/>
        <w:jc w:val="both"/>
        <w:rPr>
          <w:color w:val="000080"/>
        </w:rPr>
      </w:pPr>
      <w:proofErr w:type="gramStart"/>
      <w:r w:rsidRPr="00DB1457">
        <w:rPr>
          <w:color w:val="000080"/>
          <w:u w:val="single"/>
        </w:rPr>
        <w:t>Other Conditions</w:t>
      </w:r>
      <w:r w:rsidR="00215196" w:rsidRPr="00DB1457">
        <w:rPr>
          <w:color w:val="000080"/>
        </w:rPr>
        <w:t>.</w:t>
      </w:r>
      <w:proofErr w:type="gramEnd"/>
      <w:r w:rsidR="00215196" w:rsidRPr="00DB1457">
        <w:rPr>
          <w:color w:val="000080"/>
        </w:rPr>
        <w:t xml:space="preserve">  The</w:t>
      </w:r>
      <w:r w:rsidR="00D50CF8" w:rsidRPr="00DB1457">
        <w:rPr>
          <w:color w:val="000080"/>
        </w:rPr>
        <w:t xml:space="preserve"> remaining conditions adjudicated as not unfitting by the PEB (</w:t>
      </w:r>
      <w:proofErr w:type="spellStart"/>
      <w:r w:rsidR="00D50CF8" w:rsidRPr="00DB1457">
        <w:rPr>
          <w:color w:val="000080"/>
        </w:rPr>
        <w:t>nephrolithiasis</w:t>
      </w:r>
      <w:proofErr w:type="spellEnd"/>
      <w:r w:rsidR="00D50CF8" w:rsidRPr="00DB1457">
        <w:rPr>
          <w:color w:val="000080"/>
        </w:rPr>
        <w:t xml:space="preserve">, reactive airway disease, allergic rhinitis, and hypercholesterolemia) </w:t>
      </w:r>
      <w:proofErr w:type="gramStart"/>
      <w:r w:rsidR="00151EAC" w:rsidRPr="00DB1457">
        <w:rPr>
          <w:color w:val="000080"/>
        </w:rPr>
        <w:t>were</w:t>
      </w:r>
      <w:proofErr w:type="gramEnd"/>
      <w:r w:rsidR="00151EAC" w:rsidRPr="00DB1457">
        <w:rPr>
          <w:color w:val="000080"/>
        </w:rPr>
        <w:t xml:space="preserve"> either resolved or chronic and stable.  They were not under active treatment during the MEB period and were not profiled or noted in the Commander’s statement.  No link to fitness is in evidence for any</w:t>
      </w:r>
      <w:r w:rsidR="008620A6" w:rsidRPr="00DB1457">
        <w:rPr>
          <w:color w:val="000080"/>
        </w:rPr>
        <w:t xml:space="preserve"> of them and there is no reasonable </w:t>
      </w:r>
      <w:r w:rsidR="00037A15" w:rsidRPr="00DB1457">
        <w:rPr>
          <w:color w:val="000080"/>
        </w:rPr>
        <w:t>basis for recommending</w:t>
      </w:r>
      <w:r w:rsidR="008620A6" w:rsidRPr="00DB1457">
        <w:rPr>
          <w:color w:val="000080"/>
        </w:rPr>
        <w:t xml:space="preserve"> </w:t>
      </w:r>
      <w:proofErr w:type="spellStart"/>
      <w:r w:rsidR="008620A6" w:rsidRPr="00DB1457">
        <w:rPr>
          <w:color w:val="000080"/>
        </w:rPr>
        <w:t>recharacterization</w:t>
      </w:r>
      <w:proofErr w:type="spellEnd"/>
      <w:r w:rsidR="008620A6" w:rsidRPr="00DB1457">
        <w:rPr>
          <w:color w:val="000080"/>
        </w:rPr>
        <w:t xml:space="preserve"> of any of the</w:t>
      </w:r>
      <w:r w:rsidR="00D24222" w:rsidRPr="00DB1457">
        <w:rPr>
          <w:color w:val="000080"/>
        </w:rPr>
        <w:t>se</w:t>
      </w:r>
      <w:r w:rsidR="008620A6" w:rsidRPr="00DB1457">
        <w:rPr>
          <w:color w:val="000080"/>
        </w:rPr>
        <w:t xml:space="preserve"> fitness adjudications.</w:t>
      </w:r>
      <w:r w:rsidR="00037A15" w:rsidRPr="00DB1457">
        <w:rPr>
          <w:color w:val="000080"/>
        </w:rPr>
        <w:t xml:space="preserve">  </w:t>
      </w:r>
      <w:r w:rsidR="001E4AF6" w:rsidRPr="00DB1457">
        <w:rPr>
          <w:color w:val="000080"/>
        </w:rPr>
        <w:t xml:space="preserve">The Board does not have the authority under </w:t>
      </w:r>
      <w:proofErr w:type="spellStart"/>
      <w:r w:rsidR="001E4AF6" w:rsidRPr="00DB1457">
        <w:rPr>
          <w:color w:val="000080"/>
        </w:rPr>
        <w:t>DoDI</w:t>
      </w:r>
      <w:proofErr w:type="spellEnd"/>
      <w:r w:rsidR="001E4AF6" w:rsidRPr="00DB1457">
        <w:rPr>
          <w:color w:val="000080"/>
        </w:rPr>
        <w:t xml:space="preserve"> 6040.44 to render fitness or rating recommendations for any conditions not considered by the DES.  The only conditions in that regard which have not been addressed are a right wrist injury and right foot fracture which were noted on the MEB physical.  The wrist condition was not coded by the VA and not evidenced elsewhere in the MEB record.  The foot fracture received a 10% rating from the VA.  The foot condition was not profiled and was not under active treatment at the time of separation.  There is no good support for an argument that it was unfitting.   </w:t>
      </w:r>
    </w:p>
    <w:p w:rsidR="00037A15" w:rsidRPr="00DB1457" w:rsidRDefault="00037A15" w:rsidP="00DB1457">
      <w:pPr>
        <w:tabs>
          <w:tab w:val="left" w:pos="288"/>
          <w:tab w:val="left" w:pos="4752"/>
        </w:tabs>
        <w:spacing w:line="240" w:lineRule="exact"/>
        <w:jc w:val="both"/>
        <w:rPr>
          <w:color w:val="000080"/>
        </w:rPr>
      </w:pPr>
    </w:p>
    <w:p w:rsidR="001E4AF6" w:rsidRDefault="001E4AF6" w:rsidP="00DB1457">
      <w:pPr>
        <w:tabs>
          <w:tab w:val="left" w:pos="288"/>
          <w:tab w:val="left" w:pos="4752"/>
        </w:tabs>
        <w:spacing w:line="240" w:lineRule="exact"/>
        <w:jc w:val="both"/>
        <w:rPr>
          <w:rFonts w:asciiTheme="minorHAnsi" w:hAnsiTheme="minorHAnsi"/>
          <w:color w:val="auto"/>
          <w:szCs w:val="24"/>
        </w:rPr>
      </w:pPr>
      <w:r w:rsidRPr="00DB1457">
        <w:rPr>
          <w:color w:val="000080"/>
        </w:rPr>
        <w:t>The Board, therefore, has no reasonable basis for recommending any additional unfitting conditions for separation rating.</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875F2D">
      <w:pPr>
        <w:tabs>
          <w:tab w:val="left" w:pos="288"/>
          <w:tab w:val="left" w:pos="4752"/>
        </w:tabs>
        <w:spacing w:line="240" w:lineRule="exact"/>
        <w:jc w:val="both"/>
        <w:rPr>
          <w:color w:val="000080"/>
        </w:rPr>
      </w:pPr>
    </w:p>
    <w:p w:rsidR="00655E52" w:rsidRPr="003C1E11" w:rsidRDefault="00C56FC8" w:rsidP="003C1E11">
      <w:pPr>
        <w:tabs>
          <w:tab w:val="left" w:pos="288"/>
          <w:tab w:val="left" w:pos="4752"/>
        </w:tabs>
        <w:spacing w:line="240" w:lineRule="exact"/>
        <w:jc w:val="both"/>
        <w:rPr>
          <w:color w:val="000080"/>
        </w:rPr>
      </w:pPr>
      <w:r w:rsidRPr="003C1E11">
        <w:rPr>
          <w:color w:val="000080"/>
          <w:u w:val="single"/>
        </w:rPr>
        <w:t>BOARD FINDINGS</w:t>
      </w:r>
      <w:r w:rsidRPr="003C1E11">
        <w:rPr>
          <w:color w:val="000080"/>
        </w:rPr>
        <w:t xml:space="preserve">:  IAW </w:t>
      </w:r>
      <w:proofErr w:type="spellStart"/>
      <w:r w:rsidRPr="003C1E11">
        <w:rPr>
          <w:color w:val="000080"/>
        </w:rPr>
        <w:t>DoDI</w:t>
      </w:r>
      <w:proofErr w:type="spellEnd"/>
      <w:r w:rsidRPr="003C1E11">
        <w:rPr>
          <w:color w:val="000080"/>
        </w:rPr>
        <w:t xml:space="preserve"> 6040.44, provisions of </w:t>
      </w:r>
      <w:proofErr w:type="spellStart"/>
      <w:r w:rsidRPr="003C1E11">
        <w:rPr>
          <w:color w:val="000080"/>
        </w:rPr>
        <w:t>DoD</w:t>
      </w:r>
      <w:proofErr w:type="spellEnd"/>
      <w:r w:rsidRPr="003C1E11">
        <w:rPr>
          <w:color w:val="000080"/>
        </w:rPr>
        <w:t xml:space="preserve"> or Military Department regulations or guidelines relied upon by the PEB will not be considered by the Board to the extent they were inconsistent with the VASRD in effect at the time of the adjudication. </w:t>
      </w:r>
      <w:r w:rsidR="001D68CF" w:rsidRPr="003C1E11">
        <w:rPr>
          <w:color w:val="000080"/>
        </w:rPr>
        <w:t xml:space="preserve"> </w:t>
      </w:r>
      <w:r w:rsidR="00655E52" w:rsidRPr="003C1E11">
        <w:rPr>
          <w:color w:val="000080"/>
        </w:rPr>
        <w:t xml:space="preserve">As discussed above, PEB reliance on the USAPDA pain policy for rating the lumbar spine condition was operant in this case and the condition was adjudicated independently of that policy by the Board.  In the matter of the left lower extremity </w:t>
      </w:r>
      <w:proofErr w:type="spellStart"/>
      <w:r w:rsidR="00655E52" w:rsidRPr="003C1E11">
        <w:rPr>
          <w:color w:val="000080"/>
        </w:rPr>
        <w:t>radiculopathy</w:t>
      </w:r>
      <w:proofErr w:type="spellEnd"/>
      <w:r w:rsidR="00655E52" w:rsidRPr="003C1E11">
        <w:rPr>
          <w:color w:val="000080"/>
        </w:rPr>
        <w:t xml:space="preserve"> and IAW VASRD §4.124a, the Board unanimously recommends no change in the PEB adjudication.  In the matter of the lumbar spine condition, the Board unanimously recommends a rating of 20% coded 5243 IAW VASRD §4.71a.  In the matter of the bladder dysfunction condition, the Board unanimously agrees that it cannot recommend a finding of unfit for additional rating at separation.  In the matter of the Major Depressive Disorder, the Board unanimously agrees that it cannot recommend a finding of unfit for additional rating at separation.  In the matter of the </w:t>
      </w:r>
      <w:proofErr w:type="spellStart"/>
      <w:r w:rsidR="00655E52" w:rsidRPr="003C1E11">
        <w:rPr>
          <w:color w:val="000080"/>
        </w:rPr>
        <w:t>nephrolithiasis</w:t>
      </w:r>
      <w:proofErr w:type="spellEnd"/>
      <w:r w:rsidR="00655E52" w:rsidRPr="003C1E11">
        <w:rPr>
          <w:color w:val="000080"/>
        </w:rPr>
        <w:t xml:space="preserve">, reactive airway disease, allergic rhinitis, and hypercholesterolemia conditions, the Board unanimously recommends no </w:t>
      </w:r>
      <w:proofErr w:type="spellStart"/>
      <w:r w:rsidR="00655E52" w:rsidRPr="003C1E11">
        <w:rPr>
          <w:color w:val="000080"/>
        </w:rPr>
        <w:t>recharacterization</w:t>
      </w:r>
      <w:proofErr w:type="spellEnd"/>
      <w:r w:rsidR="00655E52" w:rsidRPr="003C1E11">
        <w:rPr>
          <w:color w:val="000080"/>
        </w:rPr>
        <w:t xml:space="preserve"> of the PEB adjudication as not unfitting.  In the matter of the right wrist condition, right foot condition or </w:t>
      </w:r>
      <w:r w:rsidR="00655E52" w:rsidRPr="003C1E11">
        <w:rPr>
          <w:color w:val="000080"/>
        </w:rPr>
        <w:lastRenderedPageBreak/>
        <w:t>any other medical conditions eligible for Board consideration; the Board unanimously agrees that it cannot recommend any findings of unfit for additional rating at separation.</w:t>
      </w:r>
    </w:p>
    <w:p w:rsidR="00FB593A"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FB593A" w:rsidRPr="00D91DA6" w:rsidRDefault="00FB593A" w:rsidP="00875F2D">
      <w:pPr>
        <w:tabs>
          <w:tab w:val="left" w:pos="288"/>
          <w:tab w:val="left" w:pos="4752"/>
        </w:tabs>
        <w:spacing w:line="240" w:lineRule="exact"/>
        <w:jc w:val="both"/>
        <w:rPr>
          <w:color w:val="000080"/>
        </w:rPr>
      </w:pPr>
    </w:p>
    <w:p w:rsidR="00FB593A" w:rsidRDefault="00C56FC8" w:rsidP="00135385">
      <w:pPr>
        <w:tabs>
          <w:tab w:val="left" w:pos="288"/>
          <w:tab w:val="left" w:pos="4752"/>
        </w:tabs>
        <w:spacing w:line="240" w:lineRule="exact"/>
        <w:jc w:val="both"/>
        <w:rPr>
          <w:color w:val="000080"/>
        </w:rPr>
      </w:pPr>
      <w:r w:rsidRPr="003C1E11">
        <w:rPr>
          <w:color w:val="000080"/>
          <w:u w:val="single"/>
        </w:rPr>
        <w:t>RECOMMENDATION</w:t>
      </w:r>
      <w:r w:rsidRPr="003C1E11">
        <w:rPr>
          <w:color w:val="000080"/>
        </w:rPr>
        <w:t xml:space="preserve">: The Board recommends that the CI’s prior determination be modified as follows and that the discharge with severance pay be </w:t>
      </w:r>
      <w:proofErr w:type="spellStart"/>
      <w:r w:rsidRPr="003C1E11">
        <w:rPr>
          <w:color w:val="000080"/>
        </w:rPr>
        <w:t>recharacterized</w:t>
      </w:r>
      <w:proofErr w:type="spellEnd"/>
      <w:r w:rsidRPr="003C1E11">
        <w:rPr>
          <w:color w:val="000080"/>
        </w:rPr>
        <w:t xml:space="preserve"> to reflect permanent disability retirement, effective as of the date of his prior medical separation.</w:t>
      </w:r>
    </w:p>
    <w:p w:rsidR="004101B2" w:rsidRDefault="004101B2" w:rsidP="004101B2">
      <w:pPr>
        <w:tabs>
          <w:tab w:val="left" w:pos="288"/>
          <w:tab w:val="left" w:pos="4752"/>
        </w:tabs>
        <w:spacing w:line="240" w:lineRule="exact"/>
        <w:jc w:val="both"/>
        <w:rPr>
          <w:color w:val="00008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533FB5" w:rsidTr="00052F31">
        <w:trPr>
          <w:trHeight w:val="287"/>
        </w:trPr>
        <w:tc>
          <w:tcPr>
            <w:tcW w:w="6480" w:type="dxa"/>
            <w:shd w:val="clear" w:color="auto" w:fill="D9D9D9"/>
          </w:tcPr>
          <w:p w:rsidR="00A95BBA" w:rsidRPr="00A867F0" w:rsidRDefault="00A95BBA" w:rsidP="00052F31">
            <w:pPr>
              <w:tabs>
                <w:tab w:val="left" w:pos="288"/>
                <w:tab w:val="left" w:pos="4752"/>
              </w:tabs>
              <w:spacing w:before="40" w:line="240" w:lineRule="exact"/>
              <w:jc w:val="center"/>
              <w:rPr>
                <w:b/>
                <w:color w:val="000080"/>
                <w:szCs w:val="24"/>
              </w:rPr>
            </w:pPr>
            <w:r>
              <w:rPr>
                <w:b/>
                <w:color w:val="000080"/>
                <w:szCs w:val="24"/>
              </w:rPr>
              <w:t>UNFITTING CONDITION</w:t>
            </w:r>
          </w:p>
        </w:tc>
        <w:tc>
          <w:tcPr>
            <w:tcW w:w="1710" w:type="dxa"/>
            <w:shd w:val="clear" w:color="auto" w:fill="D9D9D9"/>
          </w:tcPr>
          <w:p w:rsidR="00A95BBA" w:rsidRPr="00A867F0" w:rsidRDefault="00A95BBA" w:rsidP="00052F31">
            <w:pPr>
              <w:tabs>
                <w:tab w:val="left" w:pos="288"/>
                <w:tab w:val="left" w:pos="4752"/>
              </w:tabs>
              <w:spacing w:before="40" w:line="240" w:lineRule="exact"/>
              <w:jc w:val="center"/>
              <w:rPr>
                <w:b/>
                <w:color w:val="000080"/>
                <w:szCs w:val="24"/>
              </w:rPr>
            </w:pPr>
            <w:r w:rsidRPr="00A867F0">
              <w:rPr>
                <w:b/>
                <w:color w:val="000080"/>
                <w:szCs w:val="24"/>
              </w:rPr>
              <w:t>VASRD C</w:t>
            </w:r>
            <w:r>
              <w:rPr>
                <w:b/>
                <w:color w:val="000080"/>
                <w:szCs w:val="24"/>
              </w:rPr>
              <w:t>ODE</w:t>
            </w:r>
          </w:p>
        </w:tc>
        <w:tc>
          <w:tcPr>
            <w:tcW w:w="1170" w:type="dxa"/>
            <w:shd w:val="clear" w:color="auto" w:fill="D9D9D9"/>
          </w:tcPr>
          <w:p w:rsidR="00A95BBA" w:rsidRPr="00A867F0" w:rsidRDefault="00A95BBA" w:rsidP="00052F31">
            <w:pPr>
              <w:tabs>
                <w:tab w:val="left" w:pos="288"/>
                <w:tab w:val="left" w:pos="4752"/>
              </w:tabs>
              <w:spacing w:before="40" w:line="240" w:lineRule="exact"/>
              <w:jc w:val="center"/>
              <w:rPr>
                <w:b/>
                <w:color w:val="000080"/>
                <w:szCs w:val="24"/>
              </w:rPr>
            </w:pPr>
            <w:r w:rsidRPr="00A867F0">
              <w:rPr>
                <w:b/>
                <w:color w:val="000080"/>
                <w:szCs w:val="24"/>
              </w:rPr>
              <w:t>R</w:t>
            </w:r>
            <w:r>
              <w:rPr>
                <w:b/>
                <w:color w:val="000080"/>
                <w:szCs w:val="24"/>
              </w:rPr>
              <w:t>ATING</w:t>
            </w:r>
          </w:p>
        </w:tc>
      </w:tr>
      <w:tr w:rsidR="00A95BBA" w:rsidRPr="00533FB5" w:rsidTr="00052F31">
        <w:tc>
          <w:tcPr>
            <w:tcW w:w="6480" w:type="dxa"/>
          </w:tcPr>
          <w:p w:rsidR="00A95BBA" w:rsidRPr="00A867F0" w:rsidRDefault="00655E52" w:rsidP="00655E52">
            <w:pPr>
              <w:tabs>
                <w:tab w:val="left" w:pos="288"/>
                <w:tab w:val="left" w:pos="4752"/>
              </w:tabs>
              <w:rPr>
                <w:color w:val="000080"/>
                <w:szCs w:val="24"/>
              </w:rPr>
            </w:pPr>
            <w:r>
              <w:rPr>
                <w:color w:val="000080"/>
                <w:szCs w:val="24"/>
              </w:rPr>
              <w:t>Moderate Left Lower Extremity Weakness</w:t>
            </w:r>
          </w:p>
        </w:tc>
        <w:tc>
          <w:tcPr>
            <w:tcW w:w="1710" w:type="dxa"/>
          </w:tcPr>
          <w:p w:rsidR="00A95BBA" w:rsidRPr="00A867F0" w:rsidRDefault="00655E52" w:rsidP="00655E52">
            <w:pPr>
              <w:tabs>
                <w:tab w:val="left" w:pos="288"/>
                <w:tab w:val="left" w:pos="4752"/>
              </w:tabs>
              <w:spacing w:before="20" w:after="20"/>
              <w:jc w:val="center"/>
              <w:rPr>
                <w:color w:val="000080"/>
                <w:szCs w:val="24"/>
              </w:rPr>
            </w:pPr>
            <w:r>
              <w:rPr>
                <w:color w:val="000080"/>
                <w:szCs w:val="24"/>
              </w:rPr>
              <w:t>5243-8520</w:t>
            </w:r>
          </w:p>
        </w:tc>
        <w:tc>
          <w:tcPr>
            <w:tcW w:w="1170" w:type="dxa"/>
          </w:tcPr>
          <w:p w:rsidR="00A95BBA" w:rsidRPr="00A867F0" w:rsidRDefault="00655E52" w:rsidP="00655E52">
            <w:pPr>
              <w:tabs>
                <w:tab w:val="left" w:pos="288"/>
                <w:tab w:val="left" w:pos="4752"/>
              </w:tabs>
              <w:spacing w:before="20" w:after="20"/>
              <w:jc w:val="center"/>
              <w:rPr>
                <w:color w:val="000080"/>
                <w:szCs w:val="24"/>
              </w:rPr>
            </w:pPr>
            <w:r>
              <w:rPr>
                <w:color w:val="000080"/>
                <w:szCs w:val="24"/>
              </w:rPr>
              <w:t>2</w:t>
            </w:r>
            <w:r w:rsidR="00A95BBA">
              <w:rPr>
                <w:color w:val="000080"/>
                <w:szCs w:val="24"/>
              </w:rPr>
              <w:t>0%</w:t>
            </w:r>
          </w:p>
        </w:tc>
      </w:tr>
      <w:tr w:rsidR="00655E52" w:rsidRPr="00533FB5" w:rsidTr="00052F31">
        <w:tc>
          <w:tcPr>
            <w:tcW w:w="6480" w:type="dxa"/>
          </w:tcPr>
          <w:p w:rsidR="00655E52" w:rsidRPr="00A867F0" w:rsidRDefault="00655E52" w:rsidP="00052F31">
            <w:pPr>
              <w:tabs>
                <w:tab w:val="left" w:pos="288"/>
                <w:tab w:val="left" w:pos="4752"/>
              </w:tabs>
              <w:spacing w:before="20" w:after="20"/>
              <w:rPr>
                <w:color w:val="000080"/>
                <w:szCs w:val="24"/>
              </w:rPr>
            </w:pPr>
            <w:r>
              <w:rPr>
                <w:color w:val="000080"/>
                <w:szCs w:val="24"/>
              </w:rPr>
              <w:t>Lumbar Disc Disease</w:t>
            </w:r>
          </w:p>
        </w:tc>
        <w:tc>
          <w:tcPr>
            <w:tcW w:w="1710" w:type="dxa"/>
          </w:tcPr>
          <w:p w:rsidR="00655E52" w:rsidRPr="00A867F0" w:rsidRDefault="00655E52" w:rsidP="00655E52">
            <w:pPr>
              <w:tabs>
                <w:tab w:val="left" w:pos="288"/>
                <w:tab w:val="left" w:pos="4752"/>
              </w:tabs>
              <w:spacing w:before="20" w:after="20"/>
              <w:jc w:val="center"/>
              <w:rPr>
                <w:color w:val="000080"/>
                <w:szCs w:val="24"/>
              </w:rPr>
            </w:pPr>
            <w:r>
              <w:rPr>
                <w:color w:val="000080"/>
                <w:szCs w:val="24"/>
              </w:rPr>
              <w:t>5243</w:t>
            </w:r>
          </w:p>
        </w:tc>
        <w:tc>
          <w:tcPr>
            <w:tcW w:w="1170" w:type="dxa"/>
          </w:tcPr>
          <w:p w:rsidR="00655E52" w:rsidRDefault="00655E52" w:rsidP="00655E52">
            <w:pPr>
              <w:tabs>
                <w:tab w:val="left" w:pos="288"/>
                <w:tab w:val="left" w:pos="4752"/>
              </w:tabs>
              <w:spacing w:before="20" w:after="20"/>
              <w:jc w:val="center"/>
              <w:rPr>
                <w:color w:val="000080"/>
                <w:szCs w:val="24"/>
              </w:rPr>
            </w:pPr>
            <w:r>
              <w:rPr>
                <w:color w:val="000080"/>
                <w:szCs w:val="24"/>
              </w:rPr>
              <w:t>20%</w:t>
            </w:r>
          </w:p>
        </w:tc>
      </w:tr>
      <w:tr w:rsidR="00A95BBA" w:rsidRPr="00533FB5" w:rsidTr="00052F31">
        <w:tblPrEx>
          <w:tblLook w:val="0000"/>
        </w:tblPrEx>
        <w:trPr>
          <w:gridBefore w:val="1"/>
          <w:wBefore w:w="6480" w:type="dxa"/>
          <w:trHeight w:val="287"/>
        </w:trPr>
        <w:tc>
          <w:tcPr>
            <w:tcW w:w="1710" w:type="dxa"/>
            <w:tcBorders>
              <w:left w:val="single" w:sz="4" w:space="0" w:color="auto"/>
              <w:bottom w:val="single" w:sz="4" w:space="0" w:color="000000"/>
            </w:tcBorders>
            <w:shd w:val="clear" w:color="auto" w:fill="D9D9D9" w:themeFill="background1" w:themeFillShade="D9"/>
          </w:tcPr>
          <w:p w:rsidR="00A95BBA" w:rsidRPr="00A867F0" w:rsidRDefault="00A95BBA" w:rsidP="00052F31">
            <w:pPr>
              <w:tabs>
                <w:tab w:val="left" w:pos="288"/>
                <w:tab w:val="left" w:pos="4752"/>
              </w:tabs>
              <w:spacing w:before="40" w:line="240" w:lineRule="exact"/>
              <w:jc w:val="center"/>
              <w:rPr>
                <w:b/>
                <w:color w:val="000080"/>
                <w:szCs w:val="24"/>
              </w:rPr>
            </w:pPr>
            <w:r w:rsidRPr="00A867F0">
              <w:rPr>
                <w:b/>
                <w:color w:val="000080"/>
                <w:szCs w:val="24"/>
              </w:rPr>
              <w:t>C</w:t>
            </w:r>
            <w:r>
              <w:rPr>
                <w:b/>
                <w:color w:val="000080"/>
                <w:szCs w:val="24"/>
              </w:rPr>
              <w:t>OMBINED</w:t>
            </w:r>
          </w:p>
        </w:tc>
        <w:tc>
          <w:tcPr>
            <w:tcW w:w="1170" w:type="dxa"/>
            <w:tcBorders>
              <w:bottom w:val="single" w:sz="4" w:space="0" w:color="000000"/>
            </w:tcBorders>
            <w:shd w:val="clear" w:color="auto" w:fill="D9D9D9" w:themeFill="background1" w:themeFillShade="D9"/>
          </w:tcPr>
          <w:p w:rsidR="00A95BBA" w:rsidRPr="005A258C" w:rsidRDefault="00DB1457" w:rsidP="00052F31">
            <w:pPr>
              <w:tabs>
                <w:tab w:val="left" w:pos="288"/>
                <w:tab w:val="left" w:pos="4752"/>
              </w:tabs>
              <w:spacing w:before="40" w:line="240" w:lineRule="exact"/>
              <w:jc w:val="center"/>
              <w:rPr>
                <w:b/>
                <w:color w:val="000080"/>
                <w:szCs w:val="24"/>
              </w:rPr>
            </w:pPr>
            <w:r>
              <w:rPr>
                <w:b/>
                <w:color w:val="000080"/>
                <w:szCs w:val="24"/>
              </w:rPr>
              <w:t>4</w:t>
            </w:r>
            <w:r w:rsidR="00A95BBA">
              <w:rPr>
                <w:b/>
                <w:color w:val="000080"/>
                <w:szCs w:val="24"/>
              </w:rPr>
              <w:t>0</w:t>
            </w:r>
            <w:r w:rsidR="00A95BBA" w:rsidRPr="005A258C">
              <w:rPr>
                <w:b/>
                <w:color w:val="000080"/>
                <w:szCs w:val="24"/>
              </w:rPr>
              <w:t>%</w:t>
            </w:r>
          </w:p>
        </w:tc>
      </w:tr>
    </w:tbl>
    <w:p w:rsidR="00B522CD"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D91DA6" w:rsidRDefault="00D91DA6" w:rsidP="00875F2D">
      <w:pPr>
        <w:tabs>
          <w:tab w:val="left" w:pos="288"/>
          <w:tab w:val="left" w:pos="4752"/>
        </w:tabs>
        <w:spacing w:line="240" w:lineRule="exact"/>
        <w:jc w:val="both"/>
        <w:rPr>
          <w:color w:val="000080"/>
        </w:rPr>
      </w:pPr>
    </w:p>
    <w:p w:rsidR="00D91DA6" w:rsidRDefault="00114F20" w:rsidP="003C1E11">
      <w:pPr>
        <w:rPr>
          <w:color w:val="000080"/>
        </w:rPr>
      </w:pPr>
      <w:r>
        <w:rPr>
          <w:color w:val="000080"/>
        </w:rPr>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51146C"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19273F">
        <w:rPr>
          <w:color w:val="000080"/>
        </w:rPr>
        <w:t>2009</w:t>
      </w:r>
      <w:r w:rsidR="006B7A64">
        <w:rPr>
          <w:color w:val="000080"/>
        </w:rPr>
        <w:t>0119</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E5531C" w:rsidRDefault="00E5531C">
      <w:pPr>
        <w:rPr>
          <w:color w:val="000080"/>
        </w:rPr>
      </w:pPr>
      <w:r>
        <w:rPr>
          <w:color w:val="000080"/>
        </w:rPr>
        <w:br w:type="page"/>
      </w:r>
    </w:p>
    <w:p w:rsidR="00D91DA6" w:rsidRDefault="00D91DA6" w:rsidP="00875F2D">
      <w:pPr>
        <w:tabs>
          <w:tab w:val="left" w:pos="288"/>
          <w:tab w:val="left" w:pos="4752"/>
        </w:tabs>
        <w:spacing w:line="240" w:lineRule="exact"/>
        <w:jc w:val="both"/>
        <w:rPr>
          <w:color w:val="000080"/>
        </w:rPr>
      </w:pPr>
    </w:p>
    <w:p w:rsidR="00E5531C" w:rsidRDefault="00E5531C" w:rsidP="00E5531C">
      <w:pPr>
        <w:pStyle w:val="Default"/>
        <w:framePr w:w="16241" w:wrap="auto" w:vAnchor="page" w:hAnchor="page" w:x="1" w:y="1"/>
      </w:pPr>
      <w:r>
        <w:rPr>
          <w:noProof/>
        </w:rPr>
        <w:lastRenderedPageBreak/>
        <w:drawing>
          <wp:inline distT="0" distB="0" distL="0" distR="0">
            <wp:extent cx="7800975" cy="10029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00975" cy="10029825"/>
                    </a:xfrm>
                    <a:prstGeom prst="rect">
                      <a:avLst/>
                    </a:prstGeom>
                    <a:noFill/>
                    <a:ln w="9525">
                      <a:noFill/>
                      <a:miter lim="800000"/>
                      <a:headEnd/>
                      <a:tailEnd/>
                    </a:ln>
                  </pic:spPr>
                </pic:pic>
              </a:graphicData>
            </a:graphic>
          </wp:inline>
        </w:drawing>
      </w:r>
    </w:p>
    <w:p w:rsidR="00114F20" w:rsidRDefault="00114F20"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Pr="00D91DA6" w:rsidRDefault="00114F20" w:rsidP="00875F2D">
      <w:pPr>
        <w:tabs>
          <w:tab w:val="left" w:pos="288"/>
          <w:tab w:val="left" w:pos="4752"/>
        </w:tabs>
        <w:spacing w:line="240" w:lineRule="exact"/>
        <w:jc w:val="both"/>
        <w:rPr>
          <w:color w:val="000080"/>
        </w:rPr>
      </w:pPr>
    </w:p>
    <w:p w:rsidR="00B522CD" w:rsidRDefault="00C30A97" w:rsidP="00881C8B">
      <w:pPr>
        <w:tabs>
          <w:tab w:val="left" w:pos="0"/>
          <w:tab w:val="left" w:pos="4320"/>
        </w:tabs>
        <w:spacing w:line="240" w:lineRule="exact"/>
        <w:jc w:val="both"/>
        <w:rPr>
          <w:color w:val="000080"/>
        </w:rPr>
      </w:pPr>
      <w:r>
        <w:rPr>
          <w:color w:val="000080"/>
        </w:rPr>
        <w:t xml:space="preserve">                             </w:t>
      </w:r>
    </w:p>
    <w:p w:rsidR="00AA04B3" w:rsidRDefault="00AA04B3" w:rsidP="00875F2D">
      <w:pPr>
        <w:tabs>
          <w:tab w:val="left" w:pos="288"/>
          <w:tab w:val="left" w:pos="4320"/>
          <w:tab w:val="left" w:pos="4410"/>
          <w:tab w:val="left" w:pos="4770"/>
          <w:tab w:val="left" w:pos="4860"/>
          <w:tab w:val="left" w:pos="5040"/>
        </w:tabs>
        <w:spacing w:line="240" w:lineRule="exact"/>
        <w:jc w:val="both"/>
        <w:rPr>
          <w:color w:val="000080"/>
        </w:rPr>
      </w:pPr>
    </w:p>
    <w:sectPr w:rsidR="00AA04B3" w:rsidSect="006869D8">
      <w:footerReference w:type="even" r:id="rId8"/>
      <w:footerReference w:type="default" r:id="rId9"/>
      <w:footnotePr>
        <w:numRestart w:val="eachSect"/>
      </w:footnotePr>
      <w:pgSz w:w="12240" w:h="15840" w:code="1"/>
      <w:pgMar w:top="1152"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BAB" w:rsidRDefault="00D43BAB">
      <w:r>
        <w:separator/>
      </w:r>
    </w:p>
  </w:endnote>
  <w:endnote w:type="continuationSeparator" w:id="0">
    <w:p w:rsidR="00D43BAB" w:rsidRDefault="00D43BAB">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F31" w:rsidRDefault="00D80363">
    <w:pPr>
      <w:pStyle w:val="Footer"/>
      <w:framePr w:wrap="around" w:vAnchor="text" w:hAnchor="margin" w:xAlign="center" w:y="1"/>
      <w:rPr>
        <w:rStyle w:val="PageNumber"/>
      </w:rPr>
    </w:pPr>
    <w:r>
      <w:rPr>
        <w:rStyle w:val="PageNumber"/>
      </w:rPr>
      <w:fldChar w:fldCharType="begin"/>
    </w:r>
    <w:r w:rsidR="00052F31">
      <w:rPr>
        <w:rStyle w:val="PageNumber"/>
      </w:rPr>
      <w:instrText xml:space="preserve">PAGE  </w:instrText>
    </w:r>
    <w:r>
      <w:rPr>
        <w:rStyle w:val="PageNumber"/>
      </w:rPr>
      <w:fldChar w:fldCharType="separate"/>
    </w:r>
    <w:r w:rsidR="00052F31">
      <w:rPr>
        <w:rStyle w:val="PageNumber"/>
        <w:noProof/>
      </w:rPr>
      <w:t>2</w:t>
    </w:r>
    <w:r>
      <w:rPr>
        <w:rStyle w:val="PageNumber"/>
      </w:rPr>
      <w:fldChar w:fldCharType="end"/>
    </w:r>
  </w:p>
  <w:p w:rsidR="00052F31" w:rsidRDefault="00052F31"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F31" w:rsidRDefault="00D80363">
    <w:pPr>
      <w:pStyle w:val="Footer"/>
      <w:framePr w:wrap="around" w:vAnchor="text" w:hAnchor="margin" w:xAlign="center" w:y="1"/>
      <w:rPr>
        <w:rStyle w:val="PageNumber"/>
      </w:rPr>
    </w:pPr>
    <w:r>
      <w:rPr>
        <w:rStyle w:val="PageNumber"/>
      </w:rPr>
      <w:fldChar w:fldCharType="begin"/>
    </w:r>
    <w:r w:rsidR="00052F31">
      <w:rPr>
        <w:rStyle w:val="PageNumber"/>
      </w:rPr>
      <w:instrText xml:space="preserve">PAGE  </w:instrText>
    </w:r>
    <w:r>
      <w:rPr>
        <w:rStyle w:val="PageNumber"/>
      </w:rPr>
      <w:fldChar w:fldCharType="separate"/>
    </w:r>
    <w:r w:rsidR="00E5531C">
      <w:rPr>
        <w:rStyle w:val="PageNumber"/>
        <w:noProof/>
      </w:rPr>
      <w:t>10</w:t>
    </w:r>
    <w:r>
      <w:rPr>
        <w:rStyle w:val="PageNumber"/>
      </w:rPr>
      <w:fldChar w:fldCharType="end"/>
    </w:r>
  </w:p>
  <w:p w:rsidR="00052F31" w:rsidRDefault="00052F31" w:rsidP="002B0749">
    <w:pPr>
      <w:pStyle w:val="Footer"/>
      <w:jc w:val="right"/>
    </w:pPr>
    <w:r>
      <w:tab/>
    </w:r>
    <w:r>
      <w:tab/>
    </w:r>
    <w:r w:rsidRPr="001D3186">
      <w:rPr>
        <w:caps/>
        <w:color w:val="000080"/>
      </w:rPr>
      <w:t>PD09</w:t>
    </w:r>
    <w:r>
      <w:rPr>
        <w:caps/>
        <w:color w:val="000080"/>
      </w:rPr>
      <w:t>00037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BAB" w:rsidRDefault="00D43BAB">
      <w:r>
        <w:separator/>
      </w:r>
    </w:p>
  </w:footnote>
  <w:footnote w:type="continuationSeparator" w:id="0">
    <w:p w:rsidR="00D43BAB" w:rsidRDefault="00D43B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37249"/>
  </w:hdrShapeDefaults>
  <w:footnotePr>
    <w:numRestart w:val="eachSect"/>
    <w:footnote w:id="-1"/>
    <w:footnote w:id="0"/>
  </w:footnotePr>
  <w:endnotePr>
    <w:endnote w:id="-1"/>
    <w:endnote w:id="0"/>
  </w:endnotePr>
  <w:compat/>
  <w:rsids>
    <w:rsidRoot w:val="001C28D1"/>
    <w:rsid w:val="000059FA"/>
    <w:rsid w:val="00006F87"/>
    <w:rsid w:val="00010ABA"/>
    <w:rsid w:val="00013417"/>
    <w:rsid w:val="000145C2"/>
    <w:rsid w:val="0001473F"/>
    <w:rsid w:val="00023D43"/>
    <w:rsid w:val="00032E07"/>
    <w:rsid w:val="000332CA"/>
    <w:rsid w:val="0003374E"/>
    <w:rsid w:val="000344E6"/>
    <w:rsid w:val="00035C3A"/>
    <w:rsid w:val="00036E4B"/>
    <w:rsid w:val="000379D0"/>
    <w:rsid w:val="00037A15"/>
    <w:rsid w:val="00040FC4"/>
    <w:rsid w:val="000416F8"/>
    <w:rsid w:val="00051622"/>
    <w:rsid w:val="00052234"/>
    <w:rsid w:val="00052F31"/>
    <w:rsid w:val="00053D7C"/>
    <w:rsid w:val="000577C9"/>
    <w:rsid w:val="0006431E"/>
    <w:rsid w:val="00065756"/>
    <w:rsid w:val="00072433"/>
    <w:rsid w:val="000775C2"/>
    <w:rsid w:val="000806AD"/>
    <w:rsid w:val="00082482"/>
    <w:rsid w:val="0008708B"/>
    <w:rsid w:val="00094E4F"/>
    <w:rsid w:val="000A2BCE"/>
    <w:rsid w:val="000A41E3"/>
    <w:rsid w:val="000A4BBA"/>
    <w:rsid w:val="000A5071"/>
    <w:rsid w:val="000B1E0C"/>
    <w:rsid w:val="000B2C6F"/>
    <w:rsid w:val="000C1F81"/>
    <w:rsid w:val="000C3C13"/>
    <w:rsid w:val="000C5813"/>
    <w:rsid w:val="000C7DE4"/>
    <w:rsid w:val="000D15E7"/>
    <w:rsid w:val="000D1A24"/>
    <w:rsid w:val="000D21C7"/>
    <w:rsid w:val="000D248A"/>
    <w:rsid w:val="000D43F9"/>
    <w:rsid w:val="000D4717"/>
    <w:rsid w:val="000D6457"/>
    <w:rsid w:val="000D7D55"/>
    <w:rsid w:val="000E0993"/>
    <w:rsid w:val="000E37E0"/>
    <w:rsid w:val="000F02BE"/>
    <w:rsid w:val="000F427B"/>
    <w:rsid w:val="001008C1"/>
    <w:rsid w:val="00103CCF"/>
    <w:rsid w:val="0010417F"/>
    <w:rsid w:val="001042D2"/>
    <w:rsid w:val="0010530E"/>
    <w:rsid w:val="001103CD"/>
    <w:rsid w:val="00114F20"/>
    <w:rsid w:val="001219DF"/>
    <w:rsid w:val="001231DC"/>
    <w:rsid w:val="001272AE"/>
    <w:rsid w:val="001315DD"/>
    <w:rsid w:val="00135385"/>
    <w:rsid w:val="001364D1"/>
    <w:rsid w:val="001400C4"/>
    <w:rsid w:val="00142EBA"/>
    <w:rsid w:val="00151EAC"/>
    <w:rsid w:val="00153740"/>
    <w:rsid w:val="001541C5"/>
    <w:rsid w:val="0015623F"/>
    <w:rsid w:val="0015627C"/>
    <w:rsid w:val="001642E3"/>
    <w:rsid w:val="00166182"/>
    <w:rsid w:val="00177659"/>
    <w:rsid w:val="001779E5"/>
    <w:rsid w:val="00182A4C"/>
    <w:rsid w:val="00183F77"/>
    <w:rsid w:val="00185A59"/>
    <w:rsid w:val="00185ECB"/>
    <w:rsid w:val="001870F0"/>
    <w:rsid w:val="0019273F"/>
    <w:rsid w:val="00193AD5"/>
    <w:rsid w:val="00194930"/>
    <w:rsid w:val="001A08CD"/>
    <w:rsid w:val="001A38EB"/>
    <w:rsid w:val="001A5E62"/>
    <w:rsid w:val="001A7538"/>
    <w:rsid w:val="001B4EC2"/>
    <w:rsid w:val="001B5B59"/>
    <w:rsid w:val="001B7C8C"/>
    <w:rsid w:val="001C181A"/>
    <w:rsid w:val="001C2053"/>
    <w:rsid w:val="001C28D1"/>
    <w:rsid w:val="001C4DE5"/>
    <w:rsid w:val="001C5CFC"/>
    <w:rsid w:val="001C7418"/>
    <w:rsid w:val="001D0051"/>
    <w:rsid w:val="001D2224"/>
    <w:rsid w:val="001D68CF"/>
    <w:rsid w:val="001D6A8C"/>
    <w:rsid w:val="001D7A56"/>
    <w:rsid w:val="001E18E0"/>
    <w:rsid w:val="001E18E2"/>
    <w:rsid w:val="001E4AF6"/>
    <w:rsid w:val="001F47E9"/>
    <w:rsid w:val="002009CF"/>
    <w:rsid w:val="00200AA0"/>
    <w:rsid w:val="00202736"/>
    <w:rsid w:val="00203652"/>
    <w:rsid w:val="002060B6"/>
    <w:rsid w:val="00215196"/>
    <w:rsid w:val="00216049"/>
    <w:rsid w:val="00217C09"/>
    <w:rsid w:val="00220F5C"/>
    <w:rsid w:val="00225196"/>
    <w:rsid w:val="00225CB4"/>
    <w:rsid w:val="0023049F"/>
    <w:rsid w:val="00232C9B"/>
    <w:rsid w:val="00232F09"/>
    <w:rsid w:val="002335D5"/>
    <w:rsid w:val="002338CA"/>
    <w:rsid w:val="00233FE5"/>
    <w:rsid w:val="0024174E"/>
    <w:rsid w:val="0024227D"/>
    <w:rsid w:val="00246860"/>
    <w:rsid w:val="00246DFF"/>
    <w:rsid w:val="00246E89"/>
    <w:rsid w:val="0025183C"/>
    <w:rsid w:val="002528EC"/>
    <w:rsid w:val="00255049"/>
    <w:rsid w:val="00257DE5"/>
    <w:rsid w:val="00260531"/>
    <w:rsid w:val="0026318D"/>
    <w:rsid w:val="00270864"/>
    <w:rsid w:val="002712F7"/>
    <w:rsid w:val="0027159C"/>
    <w:rsid w:val="00274549"/>
    <w:rsid w:val="00274E46"/>
    <w:rsid w:val="00276C86"/>
    <w:rsid w:val="002810A4"/>
    <w:rsid w:val="00284A26"/>
    <w:rsid w:val="002872FE"/>
    <w:rsid w:val="002A3237"/>
    <w:rsid w:val="002A685E"/>
    <w:rsid w:val="002A72C7"/>
    <w:rsid w:val="002B03B2"/>
    <w:rsid w:val="002B0749"/>
    <w:rsid w:val="002B2645"/>
    <w:rsid w:val="002C3185"/>
    <w:rsid w:val="002C5F10"/>
    <w:rsid w:val="002C6E5B"/>
    <w:rsid w:val="002D18B4"/>
    <w:rsid w:val="002D231A"/>
    <w:rsid w:val="002E1877"/>
    <w:rsid w:val="002E1C31"/>
    <w:rsid w:val="002E333A"/>
    <w:rsid w:val="002E3474"/>
    <w:rsid w:val="002E400C"/>
    <w:rsid w:val="002E49C3"/>
    <w:rsid w:val="002E7570"/>
    <w:rsid w:val="002E764B"/>
    <w:rsid w:val="002F0E28"/>
    <w:rsid w:val="002F287E"/>
    <w:rsid w:val="002F2D63"/>
    <w:rsid w:val="002F7F81"/>
    <w:rsid w:val="00300A36"/>
    <w:rsid w:val="0030678B"/>
    <w:rsid w:val="00310CD7"/>
    <w:rsid w:val="003136BD"/>
    <w:rsid w:val="00321462"/>
    <w:rsid w:val="00323E70"/>
    <w:rsid w:val="00326F7F"/>
    <w:rsid w:val="003320E8"/>
    <w:rsid w:val="0033555E"/>
    <w:rsid w:val="00336805"/>
    <w:rsid w:val="00337351"/>
    <w:rsid w:val="00337ADD"/>
    <w:rsid w:val="00341A54"/>
    <w:rsid w:val="0034669F"/>
    <w:rsid w:val="00351498"/>
    <w:rsid w:val="00352B22"/>
    <w:rsid w:val="003567DE"/>
    <w:rsid w:val="0036319E"/>
    <w:rsid w:val="003632A4"/>
    <w:rsid w:val="00363362"/>
    <w:rsid w:val="00370EF5"/>
    <w:rsid w:val="00372251"/>
    <w:rsid w:val="00373C6E"/>
    <w:rsid w:val="0037520D"/>
    <w:rsid w:val="0037628C"/>
    <w:rsid w:val="00376B81"/>
    <w:rsid w:val="00377BD2"/>
    <w:rsid w:val="003821E1"/>
    <w:rsid w:val="00384866"/>
    <w:rsid w:val="003857D4"/>
    <w:rsid w:val="00385D6F"/>
    <w:rsid w:val="00387095"/>
    <w:rsid w:val="00390092"/>
    <w:rsid w:val="00393651"/>
    <w:rsid w:val="003A0C5A"/>
    <w:rsid w:val="003A41BA"/>
    <w:rsid w:val="003A6A99"/>
    <w:rsid w:val="003B1577"/>
    <w:rsid w:val="003B227A"/>
    <w:rsid w:val="003B6764"/>
    <w:rsid w:val="003C1E11"/>
    <w:rsid w:val="003D2BA3"/>
    <w:rsid w:val="003D3C22"/>
    <w:rsid w:val="003D7089"/>
    <w:rsid w:val="003D7DDB"/>
    <w:rsid w:val="003E02C7"/>
    <w:rsid w:val="003E0543"/>
    <w:rsid w:val="003E0B5A"/>
    <w:rsid w:val="003E2AB1"/>
    <w:rsid w:val="003E31E3"/>
    <w:rsid w:val="003E46D1"/>
    <w:rsid w:val="003F0995"/>
    <w:rsid w:val="003F58B0"/>
    <w:rsid w:val="004007E9"/>
    <w:rsid w:val="00401825"/>
    <w:rsid w:val="00401BBC"/>
    <w:rsid w:val="00403BFB"/>
    <w:rsid w:val="00404B45"/>
    <w:rsid w:val="00406CC5"/>
    <w:rsid w:val="004074A4"/>
    <w:rsid w:val="004101B2"/>
    <w:rsid w:val="004123D7"/>
    <w:rsid w:val="004172DB"/>
    <w:rsid w:val="00421485"/>
    <w:rsid w:val="00422B75"/>
    <w:rsid w:val="00433F36"/>
    <w:rsid w:val="0043503A"/>
    <w:rsid w:val="0044384F"/>
    <w:rsid w:val="00446018"/>
    <w:rsid w:val="004543BC"/>
    <w:rsid w:val="0045645D"/>
    <w:rsid w:val="004574C6"/>
    <w:rsid w:val="00457BCF"/>
    <w:rsid w:val="00457DCE"/>
    <w:rsid w:val="00460E3F"/>
    <w:rsid w:val="00467592"/>
    <w:rsid w:val="004718E7"/>
    <w:rsid w:val="004761CC"/>
    <w:rsid w:val="00481DA1"/>
    <w:rsid w:val="0049445D"/>
    <w:rsid w:val="00495350"/>
    <w:rsid w:val="00497156"/>
    <w:rsid w:val="004A24D2"/>
    <w:rsid w:val="004A2C60"/>
    <w:rsid w:val="004A4136"/>
    <w:rsid w:val="004A417B"/>
    <w:rsid w:val="004B03F3"/>
    <w:rsid w:val="004B2536"/>
    <w:rsid w:val="004B6AF3"/>
    <w:rsid w:val="004B715E"/>
    <w:rsid w:val="004B7169"/>
    <w:rsid w:val="004B79C9"/>
    <w:rsid w:val="004C5D31"/>
    <w:rsid w:val="004C5E33"/>
    <w:rsid w:val="004C6CDA"/>
    <w:rsid w:val="004D10D4"/>
    <w:rsid w:val="004D16BD"/>
    <w:rsid w:val="004D6F2B"/>
    <w:rsid w:val="004E0248"/>
    <w:rsid w:val="004E21A3"/>
    <w:rsid w:val="004E32EA"/>
    <w:rsid w:val="004F3222"/>
    <w:rsid w:val="004F3BFA"/>
    <w:rsid w:val="00510588"/>
    <w:rsid w:val="0051146C"/>
    <w:rsid w:val="005222E7"/>
    <w:rsid w:val="00523E04"/>
    <w:rsid w:val="0052590B"/>
    <w:rsid w:val="00526591"/>
    <w:rsid w:val="00527178"/>
    <w:rsid w:val="005350A5"/>
    <w:rsid w:val="00536379"/>
    <w:rsid w:val="005400C5"/>
    <w:rsid w:val="00540BEF"/>
    <w:rsid w:val="005436C2"/>
    <w:rsid w:val="0055288D"/>
    <w:rsid w:val="00555259"/>
    <w:rsid w:val="005556B8"/>
    <w:rsid w:val="00557A5F"/>
    <w:rsid w:val="00560D57"/>
    <w:rsid w:val="00562A94"/>
    <w:rsid w:val="00564F5B"/>
    <w:rsid w:val="005710A9"/>
    <w:rsid w:val="00593043"/>
    <w:rsid w:val="00594902"/>
    <w:rsid w:val="005A258C"/>
    <w:rsid w:val="005A3560"/>
    <w:rsid w:val="005A6C99"/>
    <w:rsid w:val="005A766E"/>
    <w:rsid w:val="005B011A"/>
    <w:rsid w:val="005B1D8F"/>
    <w:rsid w:val="005B5B3D"/>
    <w:rsid w:val="005C3758"/>
    <w:rsid w:val="005E3064"/>
    <w:rsid w:val="005F1115"/>
    <w:rsid w:val="005F27F2"/>
    <w:rsid w:val="005F424D"/>
    <w:rsid w:val="005F66EB"/>
    <w:rsid w:val="00605AAB"/>
    <w:rsid w:val="00606BEB"/>
    <w:rsid w:val="0061014A"/>
    <w:rsid w:val="00613E26"/>
    <w:rsid w:val="00615641"/>
    <w:rsid w:val="006211D0"/>
    <w:rsid w:val="00624D0C"/>
    <w:rsid w:val="006307BA"/>
    <w:rsid w:val="00634C4A"/>
    <w:rsid w:val="0063532E"/>
    <w:rsid w:val="00637BDC"/>
    <w:rsid w:val="006418C9"/>
    <w:rsid w:val="00645046"/>
    <w:rsid w:val="00645EA2"/>
    <w:rsid w:val="00655E52"/>
    <w:rsid w:val="00662F08"/>
    <w:rsid w:val="00663589"/>
    <w:rsid w:val="00670DDC"/>
    <w:rsid w:val="00671EB4"/>
    <w:rsid w:val="0067443B"/>
    <w:rsid w:val="00684E2B"/>
    <w:rsid w:val="006869D8"/>
    <w:rsid w:val="00690FDA"/>
    <w:rsid w:val="00694EEA"/>
    <w:rsid w:val="006955B4"/>
    <w:rsid w:val="00696476"/>
    <w:rsid w:val="006A10FA"/>
    <w:rsid w:val="006A40E6"/>
    <w:rsid w:val="006A5666"/>
    <w:rsid w:val="006A5C07"/>
    <w:rsid w:val="006A75FA"/>
    <w:rsid w:val="006B07D5"/>
    <w:rsid w:val="006B1309"/>
    <w:rsid w:val="006B5923"/>
    <w:rsid w:val="006B67D9"/>
    <w:rsid w:val="006B6C14"/>
    <w:rsid w:val="006B7A64"/>
    <w:rsid w:val="006C3A68"/>
    <w:rsid w:val="006C6AB1"/>
    <w:rsid w:val="006D29A1"/>
    <w:rsid w:val="006D2D39"/>
    <w:rsid w:val="006E06D1"/>
    <w:rsid w:val="006E1313"/>
    <w:rsid w:val="006E2DC8"/>
    <w:rsid w:val="006E7356"/>
    <w:rsid w:val="006E77C8"/>
    <w:rsid w:val="006F149D"/>
    <w:rsid w:val="006F1A46"/>
    <w:rsid w:val="006F5A4E"/>
    <w:rsid w:val="00703B6C"/>
    <w:rsid w:val="00706482"/>
    <w:rsid w:val="00706BEF"/>
    <w:rsid w:val="007116BC"/>
    <w:rsid w:val="007165CE"/>
    <w:rsid w:val="00720968"/>
    <w:rsid w:val="00721D12"/>
    <w:rsid w:val="00721F8B"/>
    <w:rsid w:val="0073254D"/>
    <w:rsid w:val="0073616B"/>
    <w:rsid w:val="00736A49"/>
    <w:rsid w:val="00740F27"/>
    <w:rsid w:val="00743B71"/>
    <w:rsid w:val="00743C2D"/>
    <w:rsid w:val="00743E36"/>
    <w:rsid w:val="00744EBB"/>
    <w:rsid w:val="007468AC"/>
    <w:rsid w:val="00746AE2"/>
    <w:rsid w:val="00750C82"/>
    <w:rsid w:val="0076100C"/>
    <w:rsid w:val="007651ED"/>
    <w:rsid w:val="00766C87"/>
    <w:rsid w:val="00767770"/>
    <w:rsid w:val="00776310"/>
    <w:rsid w:val="00781BD4"/>
    <w:rsid w:val="00784832"/>
    <w:rsid w:val="00785D77"/>
    <w:rsid w:val="00786111"/>
    <w:rsid w:val="00791F1E"/>
    <w:rsid w:val="00792504"/>
    <w:rsid w:val="00794F3D"/>
    <w:rsid w:val="007968AC"/>
    <w:rsid w:val="007A0B39"/>
    <w:rsid w:val="007A14A4"/>
    <w:rsid w:val="007A168F"/>
    <w:rsid w:val="007A28E4"/>
    <w:rsid w:val="007A3BB3"/>
    <w:rsid w:val="007A5AD1"/>
    <w:rsid w:val="007A5B7B"/>
    <w:rsid w:val="007B0A06"/>
    <w:rsid w:val="007B5C5C"/>
    <w:rsid w:val="007B7C41"/>
    <w:rsid w:val="007C433E"/>
    <w:rsid w:val="007C4DB1"/>
    <w:rsid w:val="007C6046"/>
    <w:rsid w:val="007D0292"/>
    <w:rsid w:val="007D21AC"/>
    <w:rsid w:val="007D568A"/>
    <w:rsid w:val="007D574E"/>
    <w:rsid w:val="007E2046"/>
    <w:rsid w:val="007E4FBB"/>
    <w:rsid w:val="007E55BF"/>
    <w:rsid w:val="007E71B1"/>
    <w:rsid w:val="007E7B4E"/>
    <w:rsid w:val="007F0CE2"/>
    <w:rsid w:val="007F0EFF"/>
    <w:rsid w:val="007F1375"/>
    <w:rsid w:val="00803850"/>
    <w:rsid w:val="00805AFD"/>
    <w:rsid w:val="00811D5B"/>
    <w:rsid w:val="00817713"/>
    <w:rsid w:val="00830999"/>
    <w:rsid w:val="00830D5E"/>
    <w:rsid w:val="00830F69"/>
    <w:rsid w:val="00834458"/>
    <w:rsid w:val="00835841"/>
    <w:rsid w:val="00837465"/>
    <w:rsid w:val="00841457"/>
    <w:rsid w:val="0084374E"/>
    <w:rsid w:val="00844842"/>
    <w:rsid w:val="0085206E"/>
    <w:rsid w:val="00852AD4"/>
    <w:rsid w:val="00852BA8"/>
    <w:rsid w:val="00853718"/>
    <w:rsid w:val="008541EF"/>
    <w:rsid w:val="00856FA4"/>
    <w:rsid w:val="0086162B"/>
    <w:rsid w:val="008620A6"/>
    <w:rsid w:val="00865207"/>
    <w:rsid w:val="008656A7"/>
    <w:rsid w:val="00871262"/>
    <w:rsid w:val="00871D4E"/>
    <w:rsid w:val="00871E7B"/>
    <w:rsid w:val="00875B51"/>
    <w:rsid w:val="00875F2D"/>
    <w:rsid w:val="008764DC"/>
    <w:rsid w:val="00881C8B"/>
    <w:rsid w:val="00883930"/>
    <w:rsid w:val="00896535"/>
    <w:rsid w:val="00896683"/>
    <w:rsid w:val="008A63A9"/>
    <w:rsid w:val="008B04DB"/>
    <w:rsid w:val="008B3AF2"/>
    <w:rsid w:val="008B515D"/>
    <w:rsid w:val="008B5D31"/>
    <w:rsid w:val="008B6705"/>
    <w:rsid w:val="008D795D"/>
    <w:rsid w:val="008D7B07"/>
    <w:rsid w:val="008E2D99"/>
    <w:rsid w:val="008E4A60"/>
    <w:rsid w:val="009026E8"/>
    <w:rsid w:val="00906EB7"/>
    <w:rsid w:val="009102BF"/>
    <w:rsid w:val="009115F2"/>
    <w:rsid w:val="00914ADB"/>
    <w:rsid w:val="009153E3"/>
    <w:rsid w:val="00923B25"/>
    <w:rsid w:val="0092402E"/>
    <w:rsid w:val="00926FCB"/>
    <w:rsid w:val="00942365"/>
    <w:rsid w:val="00942645"/>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5099"/>
    <w:rsid w:val="0099421F"/>
    <w:rsid w:val="009A0DE3"/>
    <w:rsid w:val="009A1643"/>
    <w:rsid w:val="009A4F1B"/>
    <w:rsid w:val="009A79BA"/>
    <w:rsid w:val="009B1534"/>
    <w:rsid w:val="009B2652"/>
    <w:rsid w:val="009B4A3B"/>
    <w:rsid w:val="009B69D3"/>
    <w:rsid w:val="009B7747"/>
    <w:rsid w:val="009B7BA7"/>
    <w:rsid w:val="009C0938"/>
    <w:rsid w:val="009C22C8"/>
    <w:rsid w:val="009C3F82"/>
    <w:rsid w:val="009C72DD"/>
    <w:rsid w:val="009C7DF5"/>
    <w:rsid w:val="009D056C"/>
    <w:rsid w:val="009D060F"/>
    <w:rsid w:val="009D1ADE"/>
    <w:rsid w:val="009E09D0"/>
    <w:rsid w:val="009E1283"/>
    <w:rsid w:val="009E3A7F"/>
    <w:rsid w:val="009E57B1"/>
    <w:rsid w:val="009F7809"/>
    <w:rsid w:val="009F7AF5"/>
    <w:rsid w:val="00A00D14"/>
    <w:rsid w:val="00A01408"/>
    <w:rsid w:val="00A02457"/>
    <w:rsid w:val="00A02EA4"/>
    <w:rsid w:val="00A0404B"/>
    <w:rsid w:val="00A05A0C"/>
    <w:rsid w:val="00A07BDD"/>
    <w:rsid w:val="00A1105B"/>
    <w:rsid w:val="00A15B6B"/>
    <w:rsid w:val="00A15EB4"/>
    <w:rsid w:val="00A16876"/>
    <w:rsid w:val="00A200AA"/>
    <w:rsid w:val="00A2186F"/>
    <w:rsid w:val="00A2270B"/>
    <w:rsid w:val="00A23B89"/>
    <w:rsid w:val="00A2496E"/>
    <w:rsid w:val="00A258B7"/>
    <w:rsid w:val="00A32743"/>
    <w:rsid w:val="00A414A9"/>
    <w:rsid w:val="00A42474"/>
    <w:rsid w:val="00A44D75"/>
    <w:rsid w:val="00A47CF1"/>
    <w:rsid w:val="00A50418"/>
    <w:rsid w:val="00A523E2"/>
    <w:rsid w:val="00A56D26"/>
    <w:rsid w:val="00A608FB"/>
    <w:rsid w:val="00A60D83"/>
    <w:rsid w:val="00A60F68"/>
    <w:rsid w:val="00A65C78"/>
    <w:rsid w:val="00A66515"/>
    <w:rsid w:val="00A70E7B"/>
    <w:rsid w:val="00A73A7E"/>
    <w:rsid w:val="00A73B84"/>
    <w:rsid w:val="00A7411D"/>
    <w:rsid w:val="00A76094"/>
    <w:rsid w:val="00A768E2"/>
    <w:rsid w:val="00A82C52"/>
    <w:rsid w:val="00A86CB6"/>
    <w:rsid w:val="00A86E60"/>
    <w:rsid w:val="00A90D55"/>
    <w:rsid w:val="00A93A8C"/>
    <w:rsid w:val="00A959E7"/>
    <w:rsid w:val="00A95BBA"/>
    <w:rsid w:val="00A961EE"/>
    <w:rsid w:val="00AA04B3"/>
    <w:rsid w:val="00AA493E"/>
    <w:rsid w:val="00AA73AF"/>
    <w:rsid w:val="00AB1754"/>
    <w:rsid w:val="00AB27DD"/>
    <w:rsid w:val="00AC439D"/>
    <w:rsid w:val="00AC50C8"/>
    <w:rsid w:val="00AD067E"/>
    <w:rsid w:val="00AD68C5"/>
    <w:rsid w:val="00AE1273"/>
    <w:rsid w:val="00AE2D29"/>
    <w:rsid w:val="00AE4624"/>
    <w:rsid w:val="00AE5E14"/>
    <w:rsid w:val="00AF4FA5"/>
    <w:rsid w:val="00B15D30"/>
    <w:rsid w:val="00B23436"/>
    <w:rsid w:val="00B32179"/>
    <w:rsid w:val="00B331A9"/>
    <w:rsid w:val="00B40A3E"/>
    <w:rsid w:val="00B50227"/>
    <w:rsid w:val="00B522CD"/>
    <w:rsid w:val="00B55917"/>
    <w:rsid w:val="00B64DD6"/>
    <w:rsid w:val="00B72303"/>
    <w:rsid w:val="00B82277"/>
    <w:rsid w:val="00B91676"/>
    <w:rsid w:val="00B946F7"/>
    <w:rsid w:val="00B95833"/>
    <w:rsid w:val="00BA2D98"/>
    <w:rsid w:val="00BA2DE0"/>
    <w:rsid w:val="00BA30D1"/>
    <w:rsid w:val="00BA4609"/>
    <w:rsid w:val="00BA5BE2"/>
    <w:rsid w:val="00BA7F46"/>
    <w:rsid w:val="00BB0A0A"/>
    <w:rsid w:val="00BB45B5"/>
    <w:rsid w:val="00BB6064"/>
    <w:rsid w:val="00BC09D1"/>
    <w:rsid w:val="00BD40AB"/>
    <w:rsid w:val="00BD6806"/>
    <w:rsid w:val="00BD7433"/>
    <w:rsid w:val="00BD7831"/>
    <w:rsid w:val="00BD7C10"/>
    <w:rsid w:val="00BE046F"/>
    <w:rsid w:val="00BE0DEB"/>
    <w:rsid w:val="00BE2FC1"/>
    <w:rsid w:val="00BE6365"/>
    <w:rsid w:val="00BF0B7F"/>
    <w:rsid w:val="00BF4720"/>
    <w:rsid w:val="00C038EC"/>
    <w:rsid w:val="00C13B34"/>
    <w:rsid w:val="00C1713D"/>
    <w:rsid w:val="00C177F1"/>
    <w:rsid w:val="00C25978"/>
    <w:rsid w:val="00C261C6"/>
    <w:rsid w:val="00C30A97"/>
    <w:rsid w:val="00C31DDC"/>
    <w:rsid w:val="00C34326"/>
    <w:rsid w:val="00C36201"/>
    <w:rsid w:val="00C368E8"/>
    <w:rsid w:val="00C42443"/>
    <w:rsid w:val="00C42CBA"/>
    <w:rsid w:val="00C5019E"/>
    <w:rsid w:val="00C53E8A"/>
    <w:rsid w:val="00C54DF3"/>
    <w:rsid w:val="00C560A7"/>
    <w:rsid w:val="00C56FC8"/>
    <w:rsid w:val="00C60F23"/>
    <w:rsid w:val="00C62EB2"/>
    <w:rsid w:val="00C71BEC"/>
    <w:rsid w:val="00C74D3A"/>
    <w:rsid w:val="00C80511"/>
    <w:rsid w:val="00C80639"/>
    <w:rsid w:val="00C826F5"/>
    <w:rsid w:val="00C83740"/>
    <w:rsid w:val="00C84AD1"/>
    <w:rsid w:val="00C85579"/>
    <w:rsid w:val="00C863E5"/>
    <w:rsid w:val="00C900BB"/>
    <w:rsid w:val="00C931FC"/>
    <w:rsid w:val="00C932C5"/>
    <w:rsid w:val="00C9650E"/>
    <w:rsid w:val="00CA068D"/>
    <w:rsid w:val="00CA0EB8"/>
    <w:rsid w:val="00CA282D"/>
    <w:rsid w:val="00CA4670"/>
    <w:rsid w:val="00CA6B1A"/>
    <w:rsid w:val="00CB20DC"/>
    <w:rsid w:val="00CB23DC"/>
    <w:rsid w:val="00CB2487"/>
    <w:rsid w:val="00CB28E2"/>
    <w:rsid w:val="00CB7FF7"/>
    <w:rsid w:val="00CC19B3"/>
    <w:rsid w:val="00CC2044"/>
    <w:rsid w:val="00CC39D2"/>
    <w:rsid w:val="00CC69EC"/>
    <w:rsid w:val="00CD15BE"/>
    <w:rsid w:val="00CD185A"/>
    <w:rsid w:val="00CD34C7"/>
    <w:rsid w:val="00CD63C8"/>
    <w:rsid w:val="00CF158D"/>
    <w:rsid w:val="00CF4394"/>
    <w:rsid w:val="00D10577"/>
    <w:rsid w:val="00D1323B"/>
    <w:rsid w:val="00D14BAE"/>
    <w:rsid w:val="00D1648B"/>
    <w:rsid w:val="00D16819"/>
    <w:rsid w:val="00D171EE"/>
    <w:rsid w:val="00D20AC0"/>
    <w:rsid w:val="00D24222"/>
    <w:rsid w:val="00D336C8"/>
    <w:rsid w:val="00D339E8"/>
    <w:rsid w:val="00D40B1F"/>
    <w:rsid w:val="00D40D75"/>
    <w:rsid w:val="00D41D65"/>
    <w:rsid w:val="00D43BAB"/>
    <w:rsid w:val="00D50C8C"/>
    <w:rsid w:val="00D50CF8"/>
    <w:rsid w:val="00D52393"/>
    <w:rsid w:val="00D53F14"/>
    <w:rsid w:val="00D54BE4"/>
    <w:rsid w:val="00D60483"/>
    <w:rsid w:val="00D61ABB"/>
    <w:rsid w:val="00D63577"/>
    <w:rsid w:val="00D67FD7"/>
    <w:rsid w:val="00D729A4"/>
    <w:rsid w:val="00D74261"/>
    <w:rsid w:val="00D7441B"/>
    <w:rsid w:val="00D76AB2"/>
    <w:rsid w:val="00D77FB9"/>
    <w:rsid w:val="00D80363"/>
    <w:rsid w:val="00D80490"/>
    <w:rsid w:val="00D829AD"/>
    <w:rsid w:val="00D82EE2"/>
    <w:rsid w:val="00D8545C"/>
    <w:rsid w:val="00D87788"/>
    <w:rsid w:val="00D877C8"/>
    <w:rsid w:val="00D910C2"/>
    <w:rsid w:val="00D9168C"/>
    <w:rsid w:val="00D9189B"/>
    <w:rsid w:val="00D91DA6"/>
    <w:rsid w:val="00D94ECA"/>
    <w:rsid w:val="00D9706F"/>
    <w:rsid w:val="00D972D4"/>
    <w:rsid w:val="00DA195B"/>
    <w:rsid w:val="00DB0015"/>
    <w:rsid w:val="00DB1457"/>
    <w:rsid w:val="00DB2AAD"/>
    <w:rsid w:val="00DB626D"/>
    <w:rsid w:val="00DB6365"/>
    <w:rsid w:val="00DC0BF1"/>
    <w:rsid w:val="00DC41C3"/>
    <w:rsid w:val="00DD3593"/>
    <w:rsid w:val="00DD4ACA"/>
    <w:rsid w:val="00DE0C67"/>
    <w:rsid w:val="00DE6952"/>
    <w:rsid w:val="00DE7E74"/>
    <w:rsid w:val="00E00A69"/>
    <w:rsid w:val="00E017F0"/>
    <w:rsid w:val="00E01A0E"/>
    <w:rsid w:val="00E041E4"/>
    <w:rsid w:val="00E103C8"/>
    <w:rsid w:val="00E1085B"/>
    <w:rsid w:val="00E14581"/>
    <w:rsid w:val="00E15539"/>
    <w:rsid w:val="00E16541"/>
    <w:rsid w:val="00E2536E"/>
    <w:rsid w:val="00E2632B"/>
    <w:rsid w:val="00E322F7"/>
    <w:rsid w:val="00E3369B"/>
    <w:rsid w:val="00E36D76"/>
    <w:rsid w:val="00E405EA"/>
    <w:rsid w:val="00E408B7"/>
    <w:rsid w:val="00E42789"/>
    <w:rsid w:val="00E43F59"/>
    <w:rsid w:val="00E44E70"/>
    <w:rsid w:val="00E464F0"/>
    <w:rsid w:val="00E50BEB"/>
    <w:rsid w:val="00E5531C"/>
    <w:rsid w:val="00E6092F"/>
    <w:rsid w:val="00E629DA"/>
    <w:rsid w:val="00E67FAC"/>
    <w:rsid w:val="00E738CB"/>
    <w:rsid w:val="00E73C88"/>
    <w:rsid w:val="00E74437"/>
    <w:rsid w:val="00E81C3E"/>
    <w:rsid w:val="00E82B6D"/>
    <w:rsid w:val="00E9006D"/>
    <w:rsid w:val="00E9020B"/>
    <w:rsid w:val="00E957D8"/>
    <w:rsid w:val="00EA0725"/>
    <w:rsid w:val="00EA1177"/>
    <w:rsid w:val="00EA118B"/>
    <w:rsid w:val="00EA11B6"/>
    <w:rsid w:val="00EA2181"/>
    <w:rsid w:val="00EA2DD8"/>
    <w:rsid w:val="00EA4475"/>
    <w:rsid w:val="00EA681F"/>
    <w:rsid w:val="00EA7395"/>
    <w:rsid w:val="00EB321F"/>
    <w:rsid w:val="00EB3823"/>
    <w:rsid w:val="00EB47D8"/>
    <w:rsid w:val="00EB679F"/>
    <w:rsid w:val="00EB76E4"/>
    <w:rsid w:val="00EC0E65"/>
    <w:rsid w:val="00EC2938"/>
    <w:rsid w:val="00EC50C9"/>
    <w:rsid w:val="00EC5BB2"/>
    <w:rsid w:val="00ED4050"/>
    <w:rsid w:val="00ED664B"/>
    <w:rsid w:val="00EE0B44"/>
    <w:rsid w:val="00EE704A"/>
    <w:rsid w:val="00EF00FA"/>
    <w:rsid w:val="00EF4C74"/>
    <w:rsid w:val="00EF5268"/>
    <w:rsid w:val="00EF608E"/>
    <w:rsid w:val="00F0044B"/>
    <w:rsid w:val="00F0347F"/>
    <w:rsid w:val="00F051D6"/>
    <w:rsid w:val="00F05660"/>
    <w:rsid w:val="00F05807"/>
    <w:rsid w:val="00F07052"/>
    <w:rsid w:val="00F0706C"/>
    <w:rsid w:val="00F10C91"/>
    <w:rsid w:val="00F11EBE"/>
    <w:rsid w:val="00F130D0"/>
    <w:rsid w:val="00F14933"/>
    <w:rsid w:val="00F1516A"/>
    <w:rsid w:val="00F22A26"/>
    <w:rsid w:val="00F24072"/>
    <w:rsid w:val="00F26432"/>
    <w:rsid w:val="00F3197A"/>
    <w:rsid w:val="00F32139"/>
    <w:rsid w:val="00F33D56"/>
    <w:rsid w:val="00F34E08"/>
    <w:rsid w:val="00F41D91"/>
    <w:rsid w:val="00F42363"/>
    <w:rsid w:val="00F46964"/>
    <w:rsid w:val="00F46F9A"/>
    <w:rsid w:val="00F5126A"/>
    <w:rsid w:val="00F60F12"/>
    <w:rsid w:val="00F64664"/>
    <w:rsid w:val="00F6636A"/>
    <w:rsid w:val="00F67E31"/>
    <w:rsid w:val="00F718A8"/>
    <w:rsid w:val="00F72183"/>
    <w:rsid w:val="00F76D01"/>
    <w:rsid w:val="00F81C35"/>
    <w:rsid w:val="00F82981"/>
    <w:rsid w:val="00F8311F"/>
    <w:rsid w:val="00F83248"/>
    <w:rsid w:val="00F83376"/>
    <w:rsid w:val="00F853AE"/>
    <w:rsid w:val="00F93DCC"/>
    <w:rsid w:val="00F9435D"/>
    <w:rsid w:val="00FB593A"/>
    <w:rsid w:val="00FB6410"/>
    <w:rsid w:val="00FB6E82"/>
    <w:rsid w:val="00FC2A13"/>
    <w:rsid w:val="00FC4284"/>
    <w:rsid w:val="00FC4576"/>
    <w:rsid w:val="00FC7DBC"/>
    <w:rsid w:val="00FD076A"/>
    <w:rsid w:val="00FD0AA0"/>
    <w:rsid w:val="00FD1D5A"/>
    <w:rsid w:val="00FD5059"/>
    <w:rsid w:val="00FD554D"/>
    <w:rsid w:val="00FF0FF7"/>
    <w:rsid w:val="00FF1438"/>
    <w:rsid w:val="00FF3A38"/>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7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E5531C"/>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5F96B-FCC4-42E3-AA7E-9CA5DE487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2894</Words>
  <Characters>16497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4</cp:revision>
  <cp:lastPrinted>2010-05-11T19:25:00Z</cp:lastPrinted>
  <dcterms:created xsi:type="dcterms:W3CDTF">2012-01-11T15:14:00Z</dcterms:created>
  <dcterms:modified xsi:type="dcterms:W3CDTF">2012-01-11T19:19:00Z</dcterms:modified>
</cp:coreProperties>
</file>