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70" w:rsidRPr="00A027B5" w:rsidRDefault="00540BEF" w:rsidP="00540BEF">
      <w:pPr>
        <w:tabs>
          <w:tab w:val="left" w:pos="288"/>
          <w:tab w:val="left" w:pos="4752"/>
        </w:tabs>
        <w:spacing w:line="240" w:lineRule="exact"/>
        <w:jc w:val="center"/>
        <w:rPr>
          <w:rFonts w:asciiTheme="minorHAnsi" w:hAnsiTheme="minorHAnsi"/>
          <w:color w:val="auto"/>
        </w:rPr>
      </w:pPr>
      <w:r w:rsidRPr="00A027B5">
        <w:rPr>
          <w:rFonts w:asciiTheme="minorHAnsi" w:hAnsiTheme="minorHAnsi"/>
          <w:color w:val="auto"/>
        </w:rPr>
        <w:t xml:space="preserve">RECORD OF PROCEEDINGS </w:t>
      </w:r>
    </w:p>
    <w:p w:rsidR="00540BEF" w:rsidRPr="00A027B5" w:rsidRDefault="00540BEF" w:rsidP="00540BEF">
      <w:pPr>
        <w:tabs>
          <w:tab w:val="left" w:pos="288"/>
          <w:tab w:val="left" w:pos="4752"/>
        </w:tabs>
        <w:spacing w:line="240" w:lineRule="exact"/>
        <w:jc w:val="center"/>
        <w:rPr>
          <w:rFonts w:asciiTheme="minorHAnsi" w:hAnsiTheme="minorHAnsi"/>
          <w:color w:val="auto"/>
        </w:rPr>
      </w:pPr>
      <w:r w:rsidRPr="00A027B5">
        <w:rPr>
          <w:rFonts w:asciiTheme="minorHAnsi" w:hAnsiTheme="minorHAnsi"/>
          <w:color w:val="auto"/>
        </w:rPr>
        <w:t>PHYSICAL DISABILITY BOARD OF REVIEW</w:t>
      </w:r>
    </w:p>
    <w:p w:rsidR="00540BEF" w:rsidRPr="00A027B5" w:rsidRDefault="00540BEF" w:rsidP="00540BEF">
      <w:pPr>
        <w:tabs>
          <w:tab w:val="left" w:pos="288"/>
          <w:tab w:val="left" w:pos="4752"/>
        </w:tabs>
        <w:spacing w:line="240" w:lineRule="exact"/>
        <w:jc w:val="both"/>
        <w:rPr>
          <w:rFonts w:asciiTheme="minorHAnsi" w:hAnsiTheme="minorHAnsi"/>
          <w:color w:val="auto"/>
        </w:rPr>
      </w:pPr>
    </w:p>
    <w:p w:rsidR="00540BEF" w:rsidRPr="00A027B5" w:rsidRDefault="00540BEF" w:rsidP="00540BEF">
      <w:pPr>
        <w:tabs>
          <w:tab w:val="left" w:pos="288"/>
          <w:tab w:val="left" w:pos="4752"/>
        </w:tabs>
        <w:spacing w:line="240" w:lineRule="exact"/>
        <w:jc w:val="both"/>
        <w:rPr>
          <w:rFonts w:asciiTheme="minorHAnsi" w:hAnsiTheme="minorHAnsi"/>
          <w:color w:val="auto"/>
        </w:rPr>
      </w:pPr>
      <w:r w:rsidRPr="00A027B5">
        <w:rPr>
          <w:rFonts w:asciiTheme="minorHAnsi" w:hAnsiTheme="minorHAnsi"/>
          <w:color w:val="auto"/>
        </w:rPr>
        <w:t>NAME:</w:t>
      </w:r>
      <w:r w:rsidRPr="00A027B5">
        <w:rPr>
          <w:rFonts w:asciiTheme="minorHAnsi" w:hAnsiTheme="minorHAnsi"/>
          <w:color w:val="auto"/>
        </w:rPr>
        <w:tab/>
      </w:r>
      <w:r w:rsidRPr="00A027B5">
        <w:rPr>
          <w:rFonts w:asciiTheme="minorHAnsi" w:hAnsiTheme="minorHAnsi"/>
          <w:color w:val="auto"/>
        </w:rPr>
        <w:tab/>
      </w:r>
      <w:r w:rsidR="00A027B5" w:rsidRPr="00A027B5">
        <w:rPr>
          <w:rFonts w:asciiTheme="minorHAnsi" w:hAnsiTheme="minorHAnsi"/>
          <w:color w:val="auto"/>
        </w:rPr>
        <w:tab/>
      </w:r>
      <w:r w:rsidRPr="00A027B5">
        <w:rPr>
          <w:rFonts w:asciiTheme="minorHAnsi" w:hAnsiTheme="minorHAnsi"/>
          <w:color w:val="auto"/>
        </w:rPr>
        <w:t xml:space="preserve">BRANCH OF SERVICE: </w:t>
      </w:r>
      <w:r w:rsidR="000E0993" w:rsidRPr="00A027B5">
        <w:rPr>
          <w:rFonts w:asciiTheme="minorHAnsi" w:hAnsiTheme="minorHAnsi"/>
          <w:color w:val="auto"/>
        </w:rPr>
        <w:t>ARMY</w:t>
      </w:r>
    </w:p>
    <w:p w:rsidR="00CD688C" w:rsidRDefault="00540BEF" w:rsidP="00540BEF">
      <w:pPr>
        <w:tabs>
          <w:tab w:val="left" w:pos="288"/>
          <w:tab w:val="left" w:pos="4752"/>
        </w:tabs>
        <w:spacing w:line="240" w:lineRule="exact"/>
        <w:jc w:val="both"/>
        <w:rPr>
          <w:rFonts w:asciiTheme="minorHAnsi" w:hAnsiTheme="minorHAnsi"/>
          <w:color w:val="auto"/>
        </w:rPr>
      </w:pPr>
      <w:r w:rsidRPr="00A027B5">
        <w:rPr>
          <w:rFonts w:asciiTheme="minorHAnsi" w:hAnsiTheme="minorHAnsi"/>
          <w:color w:val="auto"/>
        </w:rPr>
        <w:t>CASE NUMBER:  PD0900</w:t>
      </w:r>
      <w:r w:rsidR="004E6E67" w:rsidRPr="00A027B5">
        <w:rPr>
          <w:rFonts w:asciiTheme="minorHAnsi" w:hAnsiTheme="minorHAnsi"/>
          <w:color w:val="auto"/>
        </w:rPr>
        <w:t>036</w:t>
      </w:r>
      <w:r w:rsidRPr="00A027B5">
        <w:rPr>
          <w:rFonts w:asciiTheme="minorHAnsi" w:hAnsiTheme="minorHAnsi"/>
          <w:color w:val="auto"/>
        </w:rPr>
        <w:tab/>
      </w:r>
      <w:r w:rsidRPr="00A027B5">
        <w:rPr>
          <w:rFonts w:asciiTheme="minorHAnsi" w:hAnsiTheme="minorHAnsi"/>
          <w:color w:val="auto"/>
        </w:rPr>
        <w:tab/>
      </w:r>
      <w:r w:rsidR="00A027B5" w:rsidRPr="00A027B5">
        <w:rPr>
          <w:rFonts w:asciiTheme="minorHAnsi" w:hAnsiTheme="minorHAnsi"/>
          <w:color w:val="auto"/>
        </w:rPr>
        <w:tab/>
      </w:r>
      <w:r w:rsidRPr="00A027B5">
        <w:rPr>
          <w:rFonts w:asciiTheme="minorHAnsi" w:hAnsiTheme="minorHAnsi"/>
          <w:color w:val="auto"/>
        </w:rPr>
        <w:t xml:space="preserve">BOARD DATE: </w:t>
      </w:r>
      <w:r w:rsidR="000F02BE" w:rsidRPr="00A027B5">
        <w:rPr>
          <w:rFonts w:asciiTheme="minorHAnsi" w:hAnsiTheme="minorHAnsi"/>
          <w:color w:val="auto"/>
        </w:rPr>
        <w:t>2010</w:t>
      </w:r>
      <w:r w:rsidR="00BE4277">
        <w:rPr>
          <w:rFonts w:asciiTheme="minorHAnsi" w:hAnsiTheme="minorHAnsi"/>
          <w:color w:val="auto"/>
        </w:rPr>
        <w:t>0818</w:t>
      </w:r>
    </w:p>
    <w:p w:rsidR="00540BEF" w:rsidRPr="00A027B5" w:rsidRDefault="00540BEF" w:rsidP="00540BEF">
      <w:pPr>
        <w:tabs>
          <w:tab w:val="left" w:pos="288"/>
          <w:tab w:val="left" w:pos="4752"/>
        </w:tabs>
        <w:spacing w:line="240" w:lineRule="exact"/>
        <w:jc w:val="both"/>
        <w:rPr>
          <w:rFonts w:asciiTheme="minorHAnsi" w:hAnsiTheme="minorHAnsi"/>
          <w:color w:val="auto"/>
        </w:rPr>
      </w:pPr>
      <w:r w:rsidRPr="00A027B5">
        <w:rPr>
          <w:rFonts w:asciiTheme="minorHAnsi" w:hAnsiTheme="minorHAnsi"/>
          <w:color w:val="auto"/>
        </w:rPr>
        <w:t xml:space="preserve">SEPARATION DATE: </w:t>
      </w:r>
      <w:r w:rsidR="000E0993" w:rsidRPr="00A027B5">
        <w:rPr>
          <w:rFonts w:asciiTheme="minorHAnsi" w:hAnsiTheme="minorHAnsi"/>
          <w:color w:val="auto"/>
        </w:rPr>
        <w:t>200</w:t>
      </w:r>
      <w:r w:rsidR="004E6E67" w:rsidRPr="00A027B5">
        <w:rPr>
          <w:rFonts w:asciiTheme="minorHAnsi" w:hAnsiTheme="minorHAnsi"/>
          <w:color w:val="auto"/>
        </w:rPr>
        <w:t>60912</w:t>
      </w:r>
    </w:p>
    <w:p w:rsidR="00540BEF" w:rsidRPr="00A027B5" w:rsidRDefault="00540BEF" w:rsidP="00540BEF">
      <w:pPr>
        <w:tabs>
          <w:tab w:val="left" w:pos="288"/>
          <w:tab w:val="left" w:pos="4752"/>
        </w:tabs>
        <w:spacing w:line="240" w:lineRule="exact"/>
        <w:jc w:val="both"/>
        <w:rPr>
          <w:rFonts w:asciiTheme="minorHAnsi" w:hAnsiTheme="minorHAnsi"/>
          <w:color w:val="auto"/>
        </w:rPr>
      </w:pPr>
      <w:r w:rsidRPr="00A027B5">
        <w:rPr>
          <w:rFonts w:asciiTheme="minorHAnsi" w:hAnsiTheme="minorHAnsi"/>
          <w:color w:val="auto"/>
          <w:u w:val="single"/>
        </w:rPr>
        <w:t>___________________________________________________________</w:t>
      </w:r>
      <w:r w:rsidR="008D11D1" w:rsidRPr="00A027B5">
        <w:rPr>
          <w:rFonts w:asciiTheme="minorHAnsi" w:hAnsiTheme="minorHAnsi"/>
          <w:color w:val="auto"/>
          <w:u w:val="single"/>
        </w:rPr>
        <w:t>__________________</w:t>
      </w:r>
      <w:r w:rsidRPr="00A027B5">
        <w:rPr>
          <w:rFonts w:asciiTheme="minorHAnsi" w:hAnsiTheme="minorHAnsi"/>
          <w:color w:val="auto"/>
          <w:u w:val="single"/>
        </w:rPr>
        <w:t>_</w:t>
      </w:r>
    </w:p>
    <w:p w:rsidR="00B522CD" w:rsidRPr="00A027B5" w:rsidRDefault="00B522CD" w:rsidP="00875F2D">
      <w:pPr>
        <w:tabs>
          <w:tab w:val="left" w:pos="288"/>
          <w:tab w:val="left" w:pos="4752"/>
        </w:tabs>
        <w:spacing w:line="240" w:lineRule="exact"/>
        <w:jc w:val="both"/>
        <w:rPr>
          <w:rFonts w:asciiTheme="minorHAnsi" w:hAnsiTheme="minorHAnsi"/>
          <w:color w:val="auto"/>
        </w:rPr>
      </w:pPr>
    </w:p>
    <w:p w:rsidR="00C52D45" w:rsidRPr="00A027B5" w:rsidRDefault="002C6E5B" w:rsidP="0061014A">
      <w:pPr>
        <w:tabs>
          <w:tab w:val="left" w:pos="288"/>
          <w:tab w:val="left" w:pos="4752"/>
        </w:tabs>
        <w:spacing w:line="240" w:lineRule="exact"/>
        <w:rPr>
          <w:rFonts w:asciiTheme="minorHAnsi" w:hAnsiTheme="minorHAnsi"/>
          <w:color w:val="auto"/>
          <w:szCs w:val="24"/>
        </w:rPr>
      </w:pPr>
      <w:r w:rsidRPr="00A027B5">
        <w:rPr>
          <w:rFonts w:asciiTheme="minorHAnsi" w:hAnsiTheme="minorHAnsi"/>
          <w:color w:val="auto"/>
          <w:u w:val="single"/>
        </w:rPr>
        <w:t>SUMMARY OF CASE</w:t>
      </w:r>
      <w:r w:rsidRPr="00A027B5">
        <w:rPr>
          <w:rFonts w:asciiTheme="minorHAnsi" w:hAnsiTheme="minorHAnsi"/>
          <w:color w:val="auto"/>
        </w:rPr>
        <w:t xml:space="preserve">:  </w:t>
      </w:r>
      <w:r w:rsidRPr="00A027B5">
        <w:rPr>
          <w:rFonts w:asciiTheme="minorHAnsi" w:hAnsiTheme="minorHAnsi"/>
          <w:color w:val="auto"/>
          <w:szCs w:val="24"/>
        </w:rPr>
        <w:t xml:space="preserve">This covered individual (CI) was </w:t>
      </w:r>
      <w:r w:rsidR="00E322F7" w:rsidRPr="00A027B5">
        <w:rPr>
          <w:rFonts w:asciiTheme="minorHAnsi" w:hAnsiTheme="minorHAnsi"/>
          <w:color w:val="auto"/>
          <w:szCs w:val="24"/>
        </w:rPr>
        <w:t xml:space="preserve">an active duty </w:t>
      </w:r>
      <w:r w:rsidR="004E6E67" w:rsidRPr="00A027B5">
        <w:rPr>
          <w:rFonts w:asciiTheme="minorHAnsi" w:hAnsiTheme="minorHAnsi"/>
          <w:color w:val="auto"/>
          <w:szCs w:val="24"/>
        </w:rPr>
        <w:t>E-4/</w:t>
      </w:r>
      <w:r w:rsidR="00113667" w:rsidRPr="00A027B5">
        <w:rPr>
          <w:rFonts w:asciiTheme="minorHAnsi" w:hAnsiTheme="minorHAnsi"/>
          <w:color w:val="auto"/>
          <w:szCs w:val="24"/>
        </w:rPr>
        <w:t>SPC</w:t>
      </w:r>
      <w:r w:rsidR="00E322F7" w:rsidRPr="00A027B5">
        <w:rPr>
          <w:rFonts w:asciiTheme="minorHAnsi" w:hAnsiTheme="minorHAnsi"/>
          <w:color w:val="auto"/>
          <w:szCs w:val="24"/>
        </w:rPr>
        <w:t xml:space="preserve"> (</w:t>
      </w:r>
      <w:r w:rsidR="004E6E67" w:rsidRPr="00A027B5">
        <w:rPr>
          <w:rFonts w:asciiTheme="minorHAnsi" w:hAnsiTheme="minorHAnsi"/>
          <w:color w:val="auto"/>
          <w:szCs w:val="24"/>
        </w:rPr>
        <w:t>13B/</w:t>
      </w:r>
      <w:proofErr w:type="spellStart"/>
      <w:r w:rsidR="004E6E67" w:rsidRPr="00A027B5">
        <w:rPr>
          <w:rFonts w:asciiTheme="minorHAnsi" w:hAnsiTheme="minorHAnsi"/>
          <w:color w:val="auto"/>
          <w:szCs w:val="24"/>
        </w:rPr>
        <w:t>Cannoneer</w:t>
      </w:r>
      <w:proofErr w:type="spellEnd"/>
      <w:r w:rsidR="00E322F7" w:rsidRPr="00A027B5">
        <w:rPr>
          <w:rFonts w:asciiTheme="minorHAnsi" w:hAnsiTheme="minorHAnsi"/>
          <w:color w:val="auto"/>
          <w:szCs w:val="24"/>
        </w:rPr>
        <w:t xml:space="preserve">) </w:t>
      </w:r>
      <w:r w:rsidRPr="00A027B5">
        <w:rPr>
          <w:rFonts w:asciiTheme="minorHAnsi" w:hAnsiTheme="minorHAnsi"/>
          <w:color w:val="auto"/>
          <w:szCs w:val="24"/>
        </w:rPr>
        <w:t>medically separated from the Army in 200</w:t>
      </w:r>
      <w:r w:rsidR="004E6E67" w:rsidRPr="00A027B5">
        <w:rPr>
          <w:rFonts w:asciiTheme="minorHAnsi" w:hAnsiTheme="minorHAnsi"/>
          <w:color w:val="auto"/>
          <w:szCs w:val="24"/>
        </w:rPr>
        <w:t>6</w:t>
      </w:r>
      <w:r w:rsidRPr="00A027B5">
        <w:rPr>
          <w:rFonts w:asciiTheme="minorHAnsi" w:hAnsiTheme="minorHAnsi"/>
          <w:color w:val="auto"/>
          <w:szCs w:val="24"/>
        </w:rPr>
        <w:t xml:space="preserve"> after </w:t>
      </w:r>
      <w:r w:rsidR="003B1895" w:rsidRPr="00A027B5">
        <w:rPr>
          <w:rFonts w:asciiTheme="minorHAnsi" w:hAnsiTheme="minorHAnsi"/>
          <w:color w:val="auto"/>
          <w:szCs w:val="24"/>
        </w:rPr>
        <w:t>2.7</w:t>
      </w:r>
      <w:r w:rsidRPr="00A027B5">
        <w:rPr>
          <w:rFonts w:asciiTheme="minorHAnsi" w:hAnsiTheme="minorHAnsi"/>
          <w:color w:val="auto"/>
          <w:szCs w:val="24"/>
        </w:rPr>
        <w:t xml:space="preserve"> years of service.  The medical basis for the separation was </w:t>
      </w:r>
      <w:r w:rsidR="008D11D1">
        <w:rPr>
          <w:rFonts w:asciiTheme="minorHAnsi" w:hAnsiTheme="minorHAnsi"/>
          <w:color w:val="auto"/>
          <w:szCs w:val="24"/>
        </w:rPr>
        <w:t xml:space="preserve">a right shoulder condition.  </w:t>
      </w:r>
      <w:r w:rsidR="002905C6">
        <w:rPr>
          <w:rFonts w:asciiTheme="minorHAnsi" w:hAnsiTheme="minorHAnsi"/>
          <w:color w:val="auto"/>
          <w:szCs w:val="24"/>
        </w:rPr>
        <w:t>The CI had a penetrating injury to his right upper arm due to an IED explosion 20051208.  He underwent debridement of his wounds and was treated for an infection.  Following extensive physical therapy</w:t>
      </w:r>
      <w:r w:rsidR="00D31E68">
        <w:rPr>
          <w:rFonts w:asciiTheme="minorHAnsi" w:hAnsiTheme="minorHAnsi"/>
          <w:color w:val="auto"/>
          <w:szCs w:val="24"/>
        </w:rPr>
        <w:t>,</w:t>
      </w:r>
      <w:r w:rsidR="002905C6">
        <w:rPr>
          <w:rFonts w:asciiTheme="minorHAnsi" w:hAnsiTheme="minorHAnsi"/>
          <w:color w:val="auto"/>
          <w:szCs w:val="24"/>
        </w:rPr>
        <w:t xml:space="preserve"> his right shoulder was painful and had </w:t>
      </w:r>
      <w:r w:rsidR="00FC1C99">
        <w:rPr>
          <w:rFonts w:asciiTheme="minorHAnsi" w:hAnsiTheme="minorHAnsi"/>
          <w:color w:val="auto"/>
          <w:szCs w:val="24"/>
        </w:rPr>
        <w:t xml:space="preserve">mechanical limitation to motion (frozen shoulder).  He was offered and declined additional shoulder treatment (injection and surgery) and this refusal was indicated as “justified and reasonable.”  The CI was also being treated for a mental health condition that was initially diagnosed as an adjustment disorder with anxiety related to his IED exposure.  The diagnosis was later changed to Anxiety Disorder, </w:t>
      </w:r>
      <w:r w:rsidR="00BF56E9">
        <w:rPr>
          <w:rFonts w:asciiTheme="minorHAnsi" w:hAnsiTheme="minorHAnsi"/>
          <w:color w:val="auto"/>
          <w:szCs w:val="24"/>
        </w:rPr>
        <w:t>Not Otherwise Specified (</w:t>
      </w:r>
      <w:r w:rsidR="00FC1C99">
        <w:rPr>
          <w:rFonts w:asciiTheme="minorHAnsi" w:hAnsiTheme="minorHAnsi"/>
          <w:color w:val="auto"/>
          <w:szCs w:val="24"/>
        </w:rPr>
        <w:t>NOS</w:t>
      </w:r>
      <w:r w:rsidR="00BF56E9">
        <w:rPr>
          <w:rFonts w:asciiTheme="minorHAnsi" w:hAnsiTheme="minorHAnsi"/>
          <w:color w:val="auto"/>
          <w:szCs w:val="24"/>
        </w:rPr>
        <w:t>)</w:t>
      </w:r>
      <w:r w:rsidR="00FC1C99">
        <w:rPr>
          <w:rFonts w:asciiTheme="minorHAnsi" w:hAnsiTheme="minorHAnsi"/>
          <w:color w:val="auto"/>
          <w:szCs w:val="24"/>
        </w:rPr>
        <w:t xml:space="preserve">.  He had attended several group therapy sessions and was “reporting resolution of his initial symptoms on …medications.” </w:t>
      </w:r>
      <w:r w:rsidR="006F52C9">
        <w:rPr>
          <w:rFonts w:asciiTheme="minorHAnsi" w:hAnsiTheme="minorHAnsi"/>
          <w:color w:val="auto"/>
          <w:szCs w:val="24"/>
        </w:rPr>
        <w:t xml:space="preserve">The CI was profiled </w:t>
      </w:r>
      <w:r w:rsidR="00061485">
        <w:rPr>
          <w:rFonts w:asciiTheme="minorHAnsi" w:hAnsiTheme="minorHAnsi"/>
          <w:color w:val="auto"/>
          <w:szCs w:val="24"/>
        </w:rPr>
        <w:t xml:space="preserve">as </w:t>
      </w:r>
      <w:r w:rsidR="006F52C9">
        <w:rPr>
          <w:rFonts w:asciiTheme="minorHAnsi" w:hAnsiTheme="minorHAnsi"/>
          <w:color w:val="auto"/>
          <w:szCs w:val="24"/>
        </w:rPr>
        <w:t xml:space="preserve">S-1.  The CI </w:t>
      </w:r>
      <w:r w:rsidR="00C52D45" w:rsidRPr="00C52D45">
        <w:rPr>
          <w:rFonts w:asciiTheme="minorHAnsi" w:hAnsiTheme="minorHAnsi"/>
          <w:color w:val="auto"/>
        </w:rPr>
        <w:t>did not respond adequately to medications and therapy</w:t>
      </w:r>
      <w:r w:rsidR="00C52D45">
        <w:rPr>
          <w:rFonts w:asciiTheme="minorHAnsi" w:hAnsiTheme="minorHAnsi"/>
          <w:color w:val="auto"/>
        </w:rPr>
        <w:t xml:space="preserve"> </w:t>
      </w:r>
      <w:r w:rsidR="00FC1C99">
        <w:rPr>
          <w:rFonts w:asciiTheme="minorHAnsi" w:hAnsiTheme="minorHAnsi"/>
          <w:color w:val="auto"/>
        </w:rPr>
        <w:t xml:space="preserve">for his shoulder </w:t>
      </w:r>
      <w:r w:rsidR="00C52D45" w:rsidRPr="00A027B5">
        <w:rPr>
          <w:rFonts w:asciiTheme="minorHAnsi" w:hAnsiTheme="minorHAnsi"/>
          <w:color w:val="auto"/>
          <w:szCs w:val="24"/>
        </w:rPr>
        <w:t xml:space="preserve">to </w:t>
      </w:r>
      <w:r w:rsidR="006F52C9">
        <w:rPr>
          <w:rFonts w:asciiTheme="minorHAnsi" w:hAnsiTheme="minorHAnsi"/>
          <w:color w:val="auto"/>
          <w:szCs w:val="24"/>
        </w:rPr>
        <w:t xml:space="preserve">be able to </w:t>
      </w:r>
      <w:r w:rsidR="00C52D45" w:rsidRPr="00A027B5">
        <w:rPr>
          <w:rFonts w:asciiTheme="minorHAnsi" w:hAnsiTheme="minorHAnsi"/>
          <w:color w:val="auto"/>
          <w:szCs w:val="24"/>
        </w:rPr>
        <w:t xml:space="preserve">perform </w:t>
      </w:r>
      <w:r w:rsidR="00FC1C99">
        <w:rPr>
          <w:rFonts w:asciiTheme="minorHAnsi" w:hAnsiTheme="minorHAnsi"/>
          <w:color w:val="auto"/>
          <w:szCs w:val="24"/>
        </w:rPr>
        <w:t xml:space="preserve">the physical tasks of his </w:t>
      </w:r>
      <w:r w:rsidR="00C52D45" w:rsidRPr="00A027B5">
        <w:rPr>
          <w:rFonts w:asciiTheme="minorHAnsi" w:hAnsiTheme="minorHAnsi"/>
          <w:color w:val="auto"/>
          <w:szCs w:val="24"/>
        </w:rPr>
        <w:t>MOS or participate in the APFT</w:t>
      </w:r>
      <w:r w:rsidR="006F52C9">
        <w:rPr>
          <w:rFonts w:asciiTheme="minorHAnsi" w:hAnsiTheme="minorHAnsi"/>
          <w:color w:val="auto"/>
          <w:szCs w:val="24"/>
        </w:rPr>
        <w:t xml:space="preserve">.  He </w:t>
      </w:r>
      <w:r w:rsidR="00C52D45" w:rsidRPr="00C52D45">
        <w:rPr>
          <w:rFonts w:asciiTheme="minorHAnsi" w:hAnsiTheme="minorHAnsi"/>
          <w:color w:val="auto"/>
        </w:rPr>
        <w:t xml:space="preserve">was placed on a permanent U-3 profile and referred for a </w:t>
      </w:r>
      <w:r w:rsidR="00C52D45">
        <w:rPr>
          <w:rFonts w:asciiTheme="minorHAnsi" w:hAnsiTheme="minorHAnsi"/>
          <w:color w:val="auto"/>
        </w:rPr>
        <w:t>Medical Evaluation Board (</w:t>
      </w:r>
      <w:r w:rsidR="00C52D45" w:rsidRPr="00C52D45">
        <w:rPr>
          <w:rFonts w:asciiTheme="minorHAnsi" w:hAnsiTheme="minorHAnsi"/>
          <w:color w:val="auto"/>
        </w:rPr>
        <w:t>MEB</w:t>
      </w:r>
      <w:r w:rsidR="00C52D45">
        <w:rPr>
          <w:rFonts w:asciiTheme="minorHAnsi" w:hAnsiTheme="minorHAnsi"/>
          <w:color w:val="auto"/>
        </w:rPr>
        <w:t>)</w:t>
      </w:r>
      <w:r w:rsidR="00C52D45" w:rsidRPr="00C52D45">
        <w:rPr>
          <w:rFonts w:asciiTheme="minorHAnsi" w:hAnsiTheme="minorHAnsi"/>
          <w:color w:val="auto"/>
        </w:rPr>
        <w:t xml:space="preserve">.  The MEB forwarded </w:t>
      </w:r>
      <w:r w:rsidR="00C52D45">
        <w:rPr>
          <w:rFonts w:asciiTheme="minorHAnsi" w:hAnsiTheme="minorHAnsi"/>
          <w:color w:val="auto"/>
        </w:rPr>
        <w:t xml:space="preserve">two </w:t>
      </w:r>
      <w:r w:rsidR="00C52D45" w:rsidRPr="00C52D45">
        <w:rPr>
          <w:rFonts w:asciiTheme="minorHAnsi" w:hAnsiTheme="minorHAnsi"/>
          <w:color w:val="auto"/>
        </w:rPr>
        <w:t xml:space="preserve">right shoulder conditions </w:t>
      </w:r>
      <w:r w:rsidR="00C52D45">
        <w:rPr>
          <w:rFonts w:asciiTheme="minorHAnsi" w:hAnsiTheme="minorHAnsi"/>
          <w:color w:val="auto"/>
        </w:rPr>
        <w:t>(</w:t>
      </w:r>
      <w:r w:rsidR="00C52D45" w:rsidRPr="00A027B5">
        <w:rPr>
          <w:rFonts w:asciiTheme="minorHAnsi" w:hAnsiTheme="minorHAnsi"/>
          <w:color w:val="auto"/>
          <w:szCs w:val="24"/>
        </w:rPr>
        <w:t xml:space="preserve">Adhesive </w:t>
      </w:r>
      <w:proofErr w:type="spellStart"/>
      <w:r w:rsidR="00C52D45" w:rsidRPr="00A027B5">
        <w:rPr>
          <w:rFonts w:asciiTheme="minorHAnsi" w:hAnsiTheme="minorHAnsi"/>
          <w:color w:val="auto"/>
          <w:szCs w:val="24"/>
        </w:rPr>
        <w:t>capsulitis</w:t>
      </w:r>
      <w:proofErr w:type="spellEnd"/>
      <w:r w:rsidR="00C52D45" w:rsidRPr="00A027B5">
        <w:rPr>
          <w:rFonts w:asciiTheme="minorHAnsi" w:hAnsiTheme="minorHAnsi"/>
          <w:color w:val="auto"/>
          <w:szCs w:val="24"/>
        </w:rPr>
        <w:t xml:space="preserve"> of the right shoulder</w:t>
      </w:r>
      <w:r w:rsidR="00C52D45">
        <w:rPr>
          <w:rFonts w:asciiTheme="minorHAnsi" w:hAnsiTheme="minorHAnsi"/>
          <w:color w:val="auto"/>
          <w:szCs w:val="24"/>
        </w:rPr>
        <w:t xml:space="preserve"> and</w:t>
      </w:r>
      <w:r w:rsidR="00C52D45" w:rsidRPr="00A027B5">
        <w:rPr>
          <w:rFonts w:asciiTheme="minorHAnsi" w:hAnsiTheme="minorHAnsi"/>
          <w:color w:val="auto"/>
          <w:szCs w:val="24"/>
        </w:rPr>
        <w:t xml:space="preserve"> </w:t>
      </w:r>
      <w:r w:rsidR="00084ABB">
        <w:rPr>
          <w:rFonts w:asciiTheme="minorHAnsi" w:hAnsiTheme="minorHAnsi"/>
          <w:color w:val="auto"/>
          <w:szCs w:val="24"/>
        </w:rPr>
        <w:t>r</w:t>
      </w:r>
      <w:r w:rsidR="00C52D45" w:rsidRPr="00A027B5">
        <w:rPr>
          <w:rFonts w:asciiTheme="minorHAnsi" w:hAnsiTheme="minorHAnsi"/>
          <w:color w:val="auto"/>
          <w:szCs w:val="24"/>
        </w:rPr>
        <w:t>ight shoulder flexion contracture</w:t>
      </w:r>
      <w:r w:rsidR="00C52D45">
        <w:rPr>
          <w:rFonts w:asciiTheme="minorHAnsi" w:hAnsiTheme="minorHAnsi"/>
          <w:color w:val="auto"/>
        </w:rPr>
        <w:t xml:space="preserve">) </w:t>
      </w:r>
      <w:r w:rsidR="00C52D45" w:rsidRPr="00C52D45">
        <w:rPr>
          <w:rFonts w:asciiTheme="minorHAnsi" w:hAnsiTheme="minorHAnsi"/>
          <w:color w:val="auto"/>
        </w:rPr>
        <w:t xml:space="preserve">to the Physical Evaluation Board (PEB) as medically unacceptable IAW AR 40-501.  The CI’s Anxiety </w:t>
      </w:r>
      <w:r w:rsidR="00061485">
        <w:rPr>
          <w:rFonts w:asciiTheme="minorHAnsi" w:hAnsiTheme="minorHAnsi"/>
          <w:color w:val="auto"/>
        </w:rPr>
        <w:t>d</w:t>
      </w:r>
      <w:r w:rsidR="00C52D45" w:rsidRPr="00C52D45">
        <w:rPr>
          <w:rFonts w:asciiTheme="minorHAnsi" w:hAnsiTheme="minorHAnsi"/>
          <w:color w:val="auto"/>
        </w:rPr>
        <w:t>isorder condition (as noted in the chart below) w</w:t>
      </w:r>
      <w:r w:rsidR="00C52D45">
        <w:rPr>
          <w:rFonts w:asciiTheme="minorHAnsi" w:hAnsiTheme="minorHAnsi"/>
          <w:color w:val="auto"/>
        </w:rPr>
        <w:t>as</w:t>
      </w:r>
      <w:r w:rsidR="00C52D45" w:rsidRPr="00C52D45">
        <w:rPr>
          <w:rFonts w:asciiTheme="minorHAnsi" w:hAnsiTheme="minorHAnsi"/>
          <w:color w:val="auto"/>
        </w:rPr>
        <w:t xml:space="preserve"> determined to be medically acceptable</w:t>
      </w:r>
      <w:r w:rsidR="00C52D45">
        <w:rPr>
          <w:rFonts w:asciiTheme="minorHAnsi" w:hAnsiTheme="minorHAnsi"/>
          <w:color w:val="auto"/>
        </w:rPr>
        <w:t xml:space="preserve"> and was </w:t>
      </w:r>
      <w:r w:rsidR="00C52D45" w:rsidRPr="00C52D45">
        <w:rPr>
          <w:rFonts w:asciiTheme="minorHAnsi" w:hAnsiTheme="minorHAnsi"/>
          <w:color w:val="auto"/>
        </w:rPr>
        <w:t xml:space="preserve">the only other condition forwarded on the DA Form 3947.  The informal PEB adjudicated the </w:t>
      </w:r>
      <w:r w:rsidR="00084ABB">
        <w:rPr>
          <w:rFonts w:asciiTheme="minorHAnsi" w:hAnsiTheme="minorHAnsi"/>
          <w:color w:val="auto"/>
        </w:rPr>
        <w:t>r</w:t>
      </w:r>
      <w:r w:rsidR="00C52D45">
        <w:rPr>
          <w:rFonts w:asciiTheme="minorHAnsi" w:hAnsiTheme="minorHAnsi"/>
          <w:color w:val="auto"/>
        </w:rPr>
        <w:t xml:space="preserve">ight </w:t>
      </w:r>
      <w:r w:rsidR="00084ABB">
        <w:rPr>
          <w:rFonts w:asciiTheme="minorHAnsi" w:hAnsiTheme="minorHAnsi"/>
          <w:color w:val="auto"/>
        </w:rPr>
        <w:t>s</w:t>
      </w:r>
      <w:r w:rsidR="00C52D45">
        <w:rPr>
          <w:rFonts w:asciiTheme="minorHAnsi" w:hAnsiTheme="minorHAnsi"/>
          <w:color w:val="auto"/>
        </w:rPr>
        <w:t>houlder</w:t>
      </w:r>
      <w:r w:rsidR="00C52D45" w:rsidRPr="00C52D45">
        <w:rPr>
          <w:rFonts w:asciiTheme="minorHAnsi" w:hAnsiTheme="minorHAnsi"/>
          <w:color w:val="auto"/>
        </w:rPr>
        <w:t xml:space="preserve"> condition</w:t>
      </w:r>
      <w:r w:rsidR="00C52D45">
        <w:rPr>
          <w:rFonts w:asciiTheme="minorHAnsi" w:hAnsiTheme="minorHAnsi"/>
          <w:color w:val="auto"/>
        </w:rPr>
        <w:t>s</w:t>
      </w:r>
      <w:r w:rsidR="00C52D45" w:rsidRPr="00C52D45">
        <w:rPr>
          <w:rFonts w:asciiTheme="minorHAnsi" w:hAnsiTheme="minorHAnsi"/>
          <w:color w:val="auto"/>
        </w:rPr>
        <w:t xml:space="preserve"> as </w:t>
      </w:r>
      <w:r w:rsidR="00C52D45">
        <w:rPr>
          <w:rFonts w:asciiTheme="minorHAnsi" w:hAnsiTheme="minorHAnsi"/>
          <w:color w:val="auto"/>
        </w:rPr>
        <w:t xml:space="preserve">a single </w:t>
      </w:r>
      <w:r w:rsidR="00C52D45" w:rsidRPr="00C52D45">
        <w:rPr>
          <w:rFonts w:asciiTheme="minorHAnsi" w:hAnsiTheme="minorHAnsi"/>
          <w:color w:val="auto"/>
        </w:rPr>
        <w:t>unfitting</w:t>
      </w:r>
      <w:r w:rsidR="00C52D45">
        <w:rPr>
          <w:rFonts w:asciiTheme="minorHAnsi" w:hAnsiTheme="minorHAnsi"/>
          <w:color w:val="auto"/>
        </w:rPr>
        <w:t xml:space="preserve"> diagnosis</w:t>
      </w:r>
      <w:r w:rsidR="00C52D45" w:rsidRPr="00C52D45">
        <w:rPr>
          <w:rFonts w:asciiTheme="minorHAnsi" w:hAnsiTheme="minorHAnsi"/>
          <w:color w:val="auto"/>
        </w:rPr>
        <w:t xml:space="preserve">, rated 10% with application of the US Army Physical Disability Agency (USAPDA) pain policy.  </w:t>
      </w:r>
      <w:r w:rsidR="00C52D45">
        <w:rPr>
          <w:rFonts w:asciiTheme="minorHAnsi" w:hAnsiTheme="minorHAnsi"/>
          <w:color w:val="auto"/>
        </w:rPr>
        <w:t>Anxiety disorder</w:t>
      </w:r>
      <w:r w:rsidR="00C52D45" w:rsidRPr="00C52D45">
        <w:rPr>
          <w:rFonts w:asciiTheme="minorHAnsi" w:hAnsiTheme="minorHAnsi"/>
          <w:color w:val="auto"/>
        </w:rPr>
        <w:t xml:space="preserve"> was adjudicated as not unfitting.  The CI did not appeal for a formal PEB and was thus medically separated with a </w:t>
      </w:r>
      <w:r w:rsidR="00C52D45">
        <w:rPr>
          <w:rFonts w:asciiTheme="minorHAnsi" w:hAnsiTheme="minorHAnsi"/>
          <w:color w:val="auto"/>
        </w:rPr>
        <w:t xml:space="preserve">10% </w:t>
      </w:r>
      <w:r w:rsidR="00C52D45" w:rsidRPr="00C52D45">
        <w:rPr>
          <w:rFonts w:asciiTheme="minorHAnsi" w:hAnsiTheme="minorHAnsi"/>
          <w:color w:val="auto"/>
        </w:rPr>
        <w:t>disability rating.</w:t>
      </w:r>
      <w:r w:rsidR="00C52D45">
        <w:rPr>
          <w:rFonts w:asciiTheme="minorHAnsi" w:hAnsiTheme="minorHAnsi"/>
          <w:color w:val="auto"/>
        </w:rPr>
        <w:t xml:space="preserve">  </w:t>
      </w:r>
    </w:p>
    <w:p w:rsidR="0061014A" w:rsidRPr="00A027B5" w:rsidRDefault="0061014A" w:rsidP="001A5E62">
      <w:pPr>
        <w:pBdr>
          <w:bottom w:val="single" w:sz="12" w:space="1" w:color="auto"/>
        </w:pBdr>
        <w:tabs>
          <w:tab w:val="left" w:pos="288"/>
          <w:tab w:val="left" w:pos="4752"/>
        </w:tabs>
        <w:spacing w:line="240" w:lineRule="exact"/>
        <w:rPr>
          <w:rFonts w:asciiTheme="minorHAnsi" w:hAnsiTheme="minorHAnsi"/>
          <w:color w:val="auto"/>
          <w:szCs w:val="24"/>
        </w:rPr>
      </w:pPr>
    </w:p>
    <w:p w:rsidR="003A3917" w:rsidRPr="00A027B5" w:rsidRDefault="003A3917" w:rsidP="00875F2D">
      <w:pPr>
        <w:tabs>
          <w:tab w:val="left" w:pos="288"/>
          <w:tab w:val="left" w:pos="4752"/>
        </w:tabs>
        <w:spacing w:line="240" w:lineRule="exact"/>
        <w:jc w:val="both"/>
        <w:rPr>
          <w:rFonts w:asciiTheme="minorHAnsi" w:hAnsiTheme="minorHAnsi"/>
          <w:color w:val="auto"/>
        </w:rPr>
      </w:pPr>
    </w:p>
    <w:p w:rsidR="00841243" w:rsidRPr="00A027B5" w:rsidRDefault="002C6E5B" w:rsidP="00325ED7">
      <w:pPr>
        <w:tabs>
          <w:tab w:val="left" w:pos="288"/>
          <w:tab w:val="left" w:pos="4752"/>
        </w:tabs>
        <w:spacing w:line="240" w:lineRule="exact"/>
        <w:rPr>
          <w:rFonts w:asciiTheme="minorHAnsi" w:hAnsiTheme="minorHAnsi"/>
          <w:color w:val="auto"/>
          <w:szCs w:val="24"/>
        </w:rPr>
      </w:pPr>
      <w:r w:rsidRPr="00A027B5">
        <w:rPr>
          <w:rFonts w:asciiTheme="minorHAnsi" w:hAnsiTheme="minorHAnsi"/>
          <w:color w:val="auto"/>
          <w:u w:val="single"/>
        </w:rPr>
        <w:t>CI CONTENTION</w:t>
      </w:r>
      <w:r w:rsidRPr="00A027B5">
        <w:rPr>
          <w:rFonts w:asciiTheme="minorHAnsi" w:hAnsiTheme="minorHAnsi"/>
          <w:color w:val="auto"/>
        </w:rPr>
        <w:t xml:space="preserve">:  </w:t>
      </w:r>
      <w:r w:rsidRPr="00A027B5">
        <w:rPr>
          <w:rFonts w:asciiTheme="minorHAnsi" w:hAnsiTheme="minorHAnsi"/>
          <w:color w:val="auto"/>
          <w:szCs w:val="24"/>
        </w:rPr>
        <w:t>The CI states:</w:t>
      </w:r>
      <w:r w:rsidR="00C932C5" w:rsidRPr="00A027B5">
        <w:rPr>
          <w:rFonts w:asciiTheme="minorHAnsi" w:hAnsiTheme="minorHAnsi"/>
          <w:color w:val="auto"/>
          <w:szCs w:val="24"/>
        </w:rPr>
        <w:t xml:space="preserve"> ‘’</w:t>
      </w:r>
      <w:r w:rsidR="00113667" w:rsidRPr="00A027B5">
        <w:rPr>
          <w:rFonts w:asciiTheme="minorHAnsi" w:hAnsiTheme="minorHAnsi"/>
          <w:color w:val="auto"/>
          <w:szCs w:val="24"/>
        </w:rPr>
        <w:t>THE DISQUALIFYING DISABILITY HAS PREVENTED ME FROM RETURNING TO A NORMAL CIVILIAN LIFE.</w:t>
      </w:r>
      <w:r w:rsidR="00325ED7" w:rsidRPr="00A027B5">
        <w:rPr>
          <w:rFonts w:asciiTheme="minorHAnsi" w:hAnsiTheme="minorHAnsi"/>
          <w:color w:val="auto"/>
          <w:szCs w:val="24"/>
        </w:rPr>
        <w:t xml:space="preserve"> </w:t>
      </w:r>
      <w:r w:rsidR="00113667" w:rsidRPr="00A027B5">
        <w:rPr>
          <w:rFonts w:asciiTheme="minorHAnsi" w:hAnsiTheme="minorHAnsi"/>
          <w:color w:val="auto"/>
          <w:szCs w:val="24"/>
        </w:rPr>
        <w:t xml:space="preserve"> BECAUSE OF THE DISABILITY I WAS UNABLE TO RETURN TO CIVILIAN WORK WHICH I ENJOY (LAW ENFORCEMENT).</w:t>
      </w:r>
      <w:r w:rsidR="00325ED7" w:rsidRPr="00A027B5">
        <w:rPr>
          <w:rFonts w:asciiTheme="minorHAnsi" w:hAnsiTheme="minorHAnsi"/>
          <w:color w:val="auto"/>
          <w:szCs w:val="24"/>
        </w:rPr>
        <w:t xml:space="preserve">  </w:t>
      </w:r>
      <w:r w:rsidR="00113667" w:rsidRPr="00A027B5">
        <w:rPr>
          <w:rFonts w:asciiTheme="minorHAnsi" w:hAnsiTheme="minorHAnsi"/>
          <w:color w:val="auto"/>
          <w:szCs w:val="24"/>
        </w:rPr>
        <w:t>ACTIVITIES RELATED TO MY CURRENT JOB AS A SOFTWARE ENGINEER ARE IMPACTED BY DISCOMFORT.</w:t>
      </w:r>
      <w:r w:rsidR="00896535" w:rsidRPr="00A027B5">
        <w:rPr>
          <w:rFonts w:asciiTheme="minorHAnsi" w:hAnsiTheme="minorHAnsi"/>
          <w:color w:val="auto"/>
          <w:szCs w:val="24"/>
        </w:rPr>
        <w:t xml:space="preserve"> </w:t>
      </w:r>
      <w:r w:rsidR="00841243" w:rsidRPr="00A027B5">
        <w:rPr>
          <w:rFonts w:asciiTheme="minorHAnsi" w:hAnsiTheme="minorHAnsi"/>
          <w:color w:val="auto"/>
          <w:szCs w:val="24"/>
        </w:rPr>
        <w:t xml:space="preserve">  </w:t>
      </w:r>
      <w:r w:rsidR="00325ED7" w:rsidRPr="00A027B5">
        <w:rPr>
          <w:rFonts w:asciiTheme="minorHAnsi" w:hAnsiTheme="minorHAnsi"/>
          <w:color w:val="auto"/>
          <w:szCs w:val="24"/>
        </w:rPr>
        <w:t xml:space="preserve">DUE TO MY CONDITION, I HAVE BEEN UNABLE TO </w:t>
      </w:r>
      <w:r w:rsidR="00C52D45">
        <w:rPr>
          <w:rFonts w:asciiTheme="minorHAnsi" w:hAnsiTheme="minorHAnsi"/>
          <w:color w:val="auto"/>
          <w:szCs w:val="24"/>
        </w:rPr>
        <w:t>LEAD</w:t>
      </w:r>
      <w:r w:rsidR="00325ED7" w:rsidRPr="00A027B5">
        <w:rPr>
          <w:rFonts w:asciiTheme="minorHAnsi" w:hAnsiTheme="minorHAnsi"/>
          <w:color w:val="auto"/>
          <w:szCs w:val="24"/>
        </w:rPr>
        <w:t xml:space="preserve"> AN ACTIVE LIFESTYLE. I AM UNABLE TO PARTICIPATE IN ANY OF THE </w:t>
      </w:r>
      <w:proofErr w:type="spellStart"/>
      <w:r w:rsidR="00325ED7" w:rsidRPr="00A027B5">
        <w:rPr>
          <w:rFonts w:asciiTheme="minorHAnsi" w:hAnsiTheme="minorHAnsi"/>
          <w:color w:val="auto"/>
          <w:szCs w:val="24"/>
        </w:rPr>
        <w:t>HOBBlES</w:t>
      </w:r>
      <w:proofErr w:type="spellEnd"/>
      <w:r w:rsidR="00325ED7" w:rsidRPr="00A027B5">
        <w:rPr>
          <w:rFonts w:asciiTheme="minorHAnsi" w:hAnsiTheme="minorHAnsi"/>
          <w:color w:val="auto"/>
          <w:szCs w:val="24"/>
        </w:rPr>
        <w:t xml:space="preserve"> OR ACTIVITIES I ENJOY DUE TO PAIN AND LIMITED MOBILITY. </w:t>
      </w:r>
      <w:r w:rsidR="00A027B5">
        <w:rPr>
          <w:rFonts w:asciiTheme="minorHAnsi" w:hAnsiTheme="minorHAnsi"/>
          <w:color w:val="auto"/>
          <w:szCs w:val="24"/>
        </w:rPr>
        <w:t xml:space="preserve"> </w:t>
      </w:r>
      <w:r w:rsidR="00325ED7" w:rsidRPr="00A027B5">
        <w:rPr>
          <w:rFonts w:asciiTheme="minorHAnsi" w:hAnsiTheme="minorHAnsi"/>
          <w:color w:val="auto"/>
          <w:szCs w:val="24"/>
        </w:rPr>
        <w:t>SLEEP IS OFTEN INTERRUPTED BY SHOULDER PAIN.  ACTIVITIES SUCH AS GROCERY SHOPPING ARE HIN</w:t>
      </w:r>
      <w:r w:rsidR="00A027B5">
        <w:rPr>
          <w:rFonts w:asciiTheme="minorHAnsi" w:hAnsiTheme="minorHAnsi"/>
          <w:color w:val="auto"/>
          <w:szCs w:val="24"/>
        </w:rPr>
        <w:t>D</w:t>
      </w:r>
      <w:r w:rsidR="00325ED7" w:rsidRPr="00A027B5">
        <w:rPr>
          <w:rFonts w:asciiTheme="minorHAnsi" w:hAnsiTheme="minorHAnsi"/>
          <w:color w:val="auto"/>
          <w:szCs w:val="24"/>
        </w:rPr>
        <w:t>ERED BY A LIMITED RANGE OF MOTION. GETTING DRESSED AND SHOWERING CONTINUE TO PROVE FRUSTRATING AND LABORSOME.</w:t>
      </w:r>
      <w:r w:rsidR="00A027B5">
        <w:rPr>
          <w:rFonts w:asciiTheme="minorHAnsi" w:hAnsiTheme="minorHAnsi"/>
          <w:color w:val="auto"/>
          <w:szCs w:val="24"/>
        </w:rPr>
        <w:t>”</w:t>
      </w:r>
    </w:p>
    <w:p w:rsidR="00A90D55" w:rsidRPr="00A027B5" w:rsidRDefault="008B5D31" w:rsidP="00841243">
      <w:pPr>
        <w:tabs>
          <w:tab w:val="left" w:pos="288"/>
          <w:tab w:val="left" w:pos="4752"/>
        </w:tabs>
        <w:spacing w:line="240" w:lineRule="exact"/>
        <w:rPr>
          <w:rFonts w:asciiTheme="minorHAnsi" w:hAnsiTheme="minorHAnsi"/>
          <w:color w:val="auto"/>
        </w:rPr>
      </w:pPr>
      <w:r w:rsidRPr="00A027B5">
        <w:rPr>
          <w:rFonts w:asciiTheme="minorHAnsi" w:hAnsiTheme="minorHAnsi"/>
          <w:color w:val="auto"/>
          <w:u w:val="single"/>
        </w:rPr>
        <w:t>______________________</w:t>
      </w:r>
      <w:r w:rsidR="003A3917" w:rsidRPr="00A027B5">
        <w:rPr>
          <w:rFonts w:asciiTheme="minorHAnsi" w:hAnsiTheme="minorHAnsi"/>
          <w:color w:val="auto"/>
          <w:u w:val="single"/>
        </w:rPr>
        <w:t>__________________</w:t>
      </w:r>
      <w:r w:rsidRPr="00A027B5">
        <w:rPr>
          <w:rFonts w:asciiTheme="minorHAnsi" w:hAnsiTheme="minorHAnsi"/>
          <w:color w:val="auto"/>
          <w:u w:val="single"/>
        </w:rPr>
        <w:t>______________________________________</w:t>
      </w:r>
    </w:p>
    <w:p w:rsidR="001C181A" w:rsidRPr="00A027B5" w:rsidRDefault="001C181A" w:rsidP="00875F2D">
      <w:pPr>
        <w:tabs>
          <w:tab w:val="left" w:pos="288"/>
          <w:tab w:val="left" w:pos="4752"/>
        </w:tabs>
        <w:spacing w:line="240" w:lineRule="exact"/>
        <w:jc w:val="both"/>
        <w:rPr>
          <w:rFonts w:asciiTheme="minorHAnsi" w:hAnsiTheme="minorHAnsi"/>
          <w:color w:val="auto"/>
        </w:rPr>
      </w:pPr>
    </w:p>
    <w:p w:rsidR="001040D3" w:rsidRDefault="001040D3">
      <w:pPr>
        <w:rPr>
          <w:rFonts w:asciiTheme="minorHAnsi" w:hAnsiTheme="minorHAnsi"/>
          <w:color w:val="auto"/>
          <w:u w:val="single"/>
        </w:rPr>
      </w:pPr>
      <w:r>
        <w:rPr>
          <w:rFonts w:asciiTheme="minorHAnsi" w:hAnsiTheme="minorHAnsi"/>
          <w:color w:val="auto"/>
          <w:u w:val="single"/>
        </w:rPr>
        <w:br w:type="page"/>
      </w:r>
    </w:p>
    <w:p w:rsidR="008D11D1" w:rsidRDefault="002C6E5B" w:rsidP="00875F2D">
      <w:pPr>
        <w:tabs>
          <w:tab w:val="left" w:pos="288"/>
          <w:tab w:val="left" w:pos="4752"/>
        </w:tabs>
        <w:spacing w:line="240" w:lineRule="exact"/>
        <w:jc w:val="both"/>
        <w:rPr>
          <w:rFonts w:asciiTheme="minorHAnsi" w:hAnsiTheme="minorHAnsi"/>
          <w:color w:val="auto"/>
        </w:rPr>
      </w:pPr>
      <w:r w:rsidRPr="00A027B5">
        <w:rPr>
          <w:rFonts w:asciiTheme="minorHAnsi" w:hAnsiTheme="minorHAnsi"/>
          <w:color w:val="auto"/>
          <w:u w:val="single"/>
        </w:rPr>
        <w:lastRenderedPageBreak/>
        <w:t>RATING COMPARISON</w:t>
      </w:r>
      <w:r w:rsidRPr="00A027B5">
        <w:rPr>
          <w:rFonts w:asciiTheme="minorHAnsi" w:hAnsiTheme="minorHAnsi"/>
          <w:color w:val="auto"/>
        </w:rPr>
        <w:t>:</w:t>
      </w:r>
      <w:r w:rsidR="008D11D1">
        <w:rPr>
          <w:rFonts w:asciiTheme="minorHAnsi" w:hAnsiTheme="minorHAnsi"/>
          <w:color w:val="auto"/>
        </w:rPr>
        <w:t xml:space="preserve"> </w:t>
      </w:r>
    </w:p>
    <w:p w:rsidR="00F82981" w:rsidRPr="00A027B5" w:rsidRDefault="00F82981" w:rsidP="00875F2D">
      <w:pPr>
        <w:tabs>
          <w:tab w:val="left" w:pos="288"/>
          <w:tab w:val="left" w:pos="4752"/>
        </w:tabs>
        <w:spacing w:line="240" w:lineRule="exact"/>
        <w:jc w:val="both"/>
        <w:rPr>
          <w:rFonts w:asciiTheme="minorHAnsi" w:hAnsiTheme="minorHAnsi"/>
          <w:color w:val="000080"/>
        </w:rPr>
      </w:pPr>
    </w:p>
    <w:tbl>
      <w:tblPr>
        <w:tblStyle w:val="TableGrid"/>
        <w:tblW w:w="9270" w:type="dxa"/>
        <w:jc w:val="center"/>
        <w:tblLayout w:type="fixed"/>
        <w:tblLook w:val="04A0"/>
      </w:tblPr>
      <w:tblGrid>
        <w:gridCol w:w="1980"/>
        <w:gridCol w:w="1170"/>
        <w:gridCol w:w="900"/>
        <w:gridCol w:w="2700"/>
        <w:gridCol w:w="720"/>
        <w:gridCol w:w="810"/>
        <w:gridCol w:w="990"/>
      </w:tblGrid>
      <w:tr w:rsidR="00684E2B" w:rsidRPr="00A027B5" w:rsidTr="0040028A">
        <w:trPr>
          <w:trHeight w:val="233"/>
          <w:jc w:val="center"/>
        </w:trPr>
        <w:tc>
          <w:tcPr>
            <w:tcW w:w="4050" w:type="dxa"/>
            <w:gridSpan w:val="3"/>
            <w:tcBorders>
              <w:right w:val="thinThickThinSmallGap" w:sz="24" w:space="0" w:color="auto"/>
            </w:tcBorders>
            <w:shd w:val="clear" w:color="auto" w:fill="D9D9D9" w:themeFill="background1" w:themeFillShade="D9"/>
          </w:tcPr>
          <w:p w:rsidR="00684E2B" w:rsidRPr="00A027B5" w:rsidRDefault="00684E2B" w:rsidP="00325ED7">
            <w:pPr>
              <w:pStyle w:val="ListParagraph"/>
              <w:spacing w:after="0" w:line="240" w:lineRule="auto"/>
              <w:ind w:left="0"/>
              <w:jc w:val="center"/>
              <w:rPr>
                <w:rFonts w:cs="Times New Roman"/>
                <w:b/>
                <w:sz w:val="20"/>
                <w:szCs w:val="20"/>
              </w:rPr>
            </w:pPr>
            <w:r w:rsidRPr="00A027B5">
              <w:rPr>
                <w:rFonts w:cs="Times New Roman"/>
                <w:b/>
                <w:sz w:val="20"/>
                <w:szCs w:val="20"/>
              </w:rPr>
              <w:t>Service PEB</w:t>
            </w:r>
            <w:r w:rsidR="002B2645" w:rsidRPr="00A027B5">
              <w:rPr>
                <w:rFonts w:cs="Times New Roman"/>
                <w:b/>
                <w:sz w:val="20"/>
                <w:szCs w:val="20"/>
              </w:rPr>
              <w:t xml:space="preserve"> – Dated </w:t>
            </w:r>
            <w:r w:rsidR="00325ED7" w:rsidRPr="00A027B5">
              <w:rPr>
                <w:rFonts w:cs="Times New Roman"/>
                <w:b/>
                <w:sz w:val="20"/>
                <w:szCs w:val="20"/>
              </w:rPr>
              <w:t>20060823</w:t>
            </w:r>
          </w:p>
        </w:tc>
        <w:tc>
          <w:tcPr>
            <w:tcW w:w="5220" w:type="dxa"/>
            <w:gridSpan w:val="4"/>
            <w:tcBorders>
              <w:left w:val="thinThickThinSmallGap" w:sz="24" w:space="0" w:color="auto"/>
            </w:tcBorders>
            <w:shd w:val="clear" w:color="auto" w:fill="D9D9D9" w:themeFill="background1" w:themeFillShade="D9"/>
          </w:tcPr>
          <w:p w:rsidR="00684E2B" w:rsidRPr="00A027B5" w:rsidRDefault="00684E2B" w:rsidP="00C06109">
            <w:pPr>
              <w:pStyle w:val="ListParagraph"/>
              <w:spacing w:after="0" w:line="240" w:lineRule="auto"/>
              <w:ind w:left="0"/>
              <w:jc w:val="center"/>
              <w:rPr>
                <w:rFonts w:cs="Times New Roman"/>
                <w:b/>
                <w:sz w:val="20"/>
                <w:szCs w:val="20"/>
              </w:rPr>
            </w:pPr>
            <w:r w:rsidRPr="00A027B5">
              <w:rPr>
                <w:rFonts w:cs="Times New Roman"/>
                <w:b/>
                <w:sz w:val="20"/>
                <w:szCs w:val="20"/>
              </w:rPr>
              <w:t>VA (</w:t>
            </w:r>
            <w:r w:rsidR="00C06109" w:rsidRPr="00A027B5">
              <w:rPr>
                <w:rFonts w:cs="Times New Roman"/>
                <w:b/>
                <w:sz w:val="20"/>
                <w:szCs w:val="20"/>
              </w:rPr>
              <w:t>14</w:t>
            </w:r>
            <w:r w:rsidRPr="00A027B5">
              <w:rPr>
                <w:rFonts w:cs="Times New Roman"/>
                <w:b/>
                <w:sz w:val="20"/>
                <w:szCs w:val="20"/>
              </w:rPr>
              <w:t xml:space="preserve"> Mo. after Separation)</w:t>
            </w:r>
            <w:r w:rsidR="000C3C13" w:rsidRPr="00A027B5">
              <w:rPr>
                <w:rFonts w:cs="Times New Roman"/>
                <w:b/>
                <w:sz w:val="20"/>
                <w:szCs w:val="20"/>
              </w:rPr>
              <w:t xml:space="preserve"> – All Effective </w:t>
            </w:r>
            <w:r w:rsidR="00325ED7" w:rsidRPr="00A027B5">
              <w:rPr>
                <w:rFonts w:cs="Times New Roman"/>
                <w:b/>
                <w:sz w:val="20"/>
                <w:szCs w:val="20"/>
              </w:rPr>
              <w:t>20060913</w:t>
            </w:r>
          </w:p>
        </w:tc>
      </w:tr>
      <w:tr w:rsidR="002B2645" w:rsidRPr="00A027B5" w:rsidTr="0040028A">
        <w:trPr>
          <w:trHeight w:val="233"/>
          <w:jc w:val="center"/>
        </w:trPr>
        <w:tc>
          <w:tcPr>
            <w:tcW w:w="1980" w:type="dxa"/>
            <w:tcBorders>
              <w:bottom w:val="single" w:sz="4" w:space="0" w:color="000000" w:themeColor="text1"/>
            </w:tcBorders>
            <w:shd w:val="clear" w:color="auto" w:fill="D9D9D9" w:themeFill="background1" w:themeFillShade="D9"/>
          </w:tcPr>
          <w:p w:rsidR="002B2645" w:rsidRPr="00A027B5" w:rsidRDefault="002B2645" w:rsidP="00AE6115">
            <w:pPr>
              <w:pStyle w:val="ListParagraph"/>
              <w:spacing w:after="0" w:line="240" w:lineRule="auto"/>
              <w:ind w:left="0"/>
              <w:jc w:val="center"/>
              <w:rPr>
                <w:rFonts w:cs="Times New Roman"/>
                <w:b/>
                <w:sz w:val="20"/>
                <w:szCs w:val="20"/>
              </w:rPr>
            </w:pPr>
            <w:r w:rsidRPr="00A027B5">
              <w:rPr>
                <w:rFonts w:cs="Times New Roman"/>
                <w:b/>
                <w:sz w:val="20"/>
                <w:szCs w:val="20"/>
              </w:rPr>
              <w:t>Condition</w:t>
            </w:r>
          </w:p>
        </w:tc>
        <w:tc>
          <w:tcPr>
            <w:tcW w:w="1170" w:type="dxa"/>
            <w:tcBorders>
              <w:bottom w:val="single" w:sz="4" w:space="0" w:color="000000" w:themeColor="text1"/>
            </w:tcBorders>
            <w:shd w:val="clear" w:color="auto" w:fill="D9D9D9" w:themeFill="background1" w:themeFillShade="D9"/>
          </w:tcPr>
          <w:p w:rsidR="002B2645" w:rsidRPr="00A027B5" w:rsidRDefault="002B2645" w:rsidP="00AE6115">
            <w:pPr>
              <w:pStyle w:val="ListParagraph"/>
              <w:spacing w:after="0" w:line="240" w:lineRule="auto"/>
              <w:ind w:left="0"/>
              <w:jc w:val="center"/>
              <w:rPr>
                <w:rFonts w:cs="Times New Roman"/>
                <w:b/>
                <w:sz w:val="20"/>
                <w:szCs w:val="20"/>
              </w:rPr>
            </w:pPr>
            <w:r w:rsidRPr="00A027B5">
              <w:rPr>
                <w:rFonts w:cs="Times New Roman"/>
                <w:b/>
                <w:sz w:val="20"/>
                <w:szCs w:val="20"/>
              </w:rPr>
              <w:t>Code</w:t>
            </w:r>
          </w:p>
        </w:tc>
        <w:tc>
          <w:tcPr>
            <w:tcW w:w="900" w:type="dxa"/>
            <w:tcBorders>
              <w:bottom w:val="single" w:sz="4" w:space="0" w:color="000000" w:themeColor="text1"/>
              <w:right w:val="thinThickThinSmallGap" w:sz="24" w:space="0" w:color="auto"/>
            </w:tcBorders>
            <w:shd w:val="clear" w:color="auto" w:fill="D9D9D9" w:themeFill="background1" w:themeFillShade="D9"/>
          </w:tcPr>
          <w:p w:rsidR="002B2645" w:rsidRPr="00A027B5" w:rsidRDefault="002B2645" w:rsidP="00AE6115">
            <w:pPr>
              <w:pStyle w:val="ListParagraph"/>
              <w:spacing w:after="0" w:line="240" w:lineRule="auto"/>
              <w:ind w:left="0"/>
              <w:jc w:val="center"/>
              <w:rPr>
                <w:rFonts w:cs="Times New Roman"/>
                <w:b/>
                <w:sz w:val="20"/>
                <w:szCs w:val="20"/>
              </w:rPr>
            </w:pPr>
            <w:r w:rsidRPr="00A027B5">
              <w:rPr>
                <w:rFonts w:cs="Times New Roman"/>
                <w:b/>
                <w:sz w:val="20"/>
                <w:szCs w:val="20"/>
              </w:rPr>
              <w:t>Rating</w:t>
            </w:r>
          </w:p>
        </w:tc>
        <w:tc>
          <w:tcPr>
            <w:tcW w:w="2700" w:type="dxa"/>
            <w:tcBorders>
              <w:left w:val="thinThickThinSmallGap" w:sz="24" w:space="0" w:color="auto"/>
              <w:bottom w:val="single" w:sz="4" w:space="0" w:color="000000" w:themeColor="text1"/>
            </w:tcBorders>
            <w:shd w:val="clear" w:color="auto" w:fill="D9D9D9" w:themeFill="background1" w:themeFillShade="D9"/>
          </w:tcPr>
          <w:p w:rsidR="002B2645" w:rsidRPr="00A027B5" w:rsidRDefault="002B2645" w:rsidP="00AE6115">
            <w:pPr>
              <w:pStyle w:val="ListParagraph"/>
              <w:spacing w:after="0" w:line="240" w:lineRule="auto"/>
              <w:ind w:left="0"/>
              <w:jc w:val="center"/>
              <w:rPr>
                <w:rFonts w:cs="Times New Roman"/>
                <w:b/>
                <w:sz w:val="20"/>
                <w:szCs w:val="20"/>
              </w:rPr>
            </w:pPr>
            <w:r w:rsidRPr="00A027B5">
              <w:rPr>
                <w:rFonts w:cs="Times New Roman"/>
                <w:b/>
                <w:sz w:val="20"/>
                <w:szCs w:val="20"/>
              </w:rPr>
              <w:t>Condition</w:t>
            </w:r>
          </w:p>
        </w:tc>
        <w:tc>
          <w:tcPr>
            <w:tcW w:w="720" w:type="dxa"/>
            <w:tcBorders>
              <w:bottom w:val="single" w:sz="4" w:space="0" w:color="000000" w:themeColor="text1"/>
            </w:tcBorders>
            <w:shd w:val="clear" w:color="auto" w:fill="D9D9D9" w:themeFill="background1" w:themeFillShade="D9"/>
          </w:tcPr>
          <w:p w:rsidR="002B2645" w:rsidRPr="00A027B5" w:rsidRDefault="002B2645" w:rsidP="00AE6115">
            <w:pPr>
              <w:pStyle w:val="ListParagraph"/>
              <w:spacing w:after="0" w:line="240" w:lineRule="auto"/>
              <w:ind w:left="0"/>
              <w:jc w:val="center"/>
              <w:rPr>
                <w:rFonts w:cs="Times New Roman"/>
                <w:b/>
                <w:sz w:val="20"/>
                <w:szCs w:val="20"/>
              </w:rPr>
            </w:pPr>
            <w:r w:rsidRPr="00A027B5">
              <w:rPr>
                <w:rFonts w:cs="Times New Roman"/>
                <w:b/>
                <w:sz w:val="20"/>
                <w:szCs w:val="20"/>
              </w:rPr>
              <w:t>Code</w:t>
            </w:r>
          </w:p>
        </w:tc>
        <w:tc>
          <w:tcPr>
            <w:tcW w:w="810" w:type="dxa"/>
            <w:tcBorders>
              <w:bottom w:val="single" w:sz="4" w:space="0" w:color="000000" w:themeColor="text1"/>
            </w:tcBorders>
            <w:shd w:val="clear" w:color="auto" w:fill="D9D9D9" w:themeFill="background1" w:themeFillShade="D9"/>
          </w:tcPr>
          <w:p w:rsidR="002B2645" w:rsidRPr="00A027B5" w:rsidRDefault="002B2645" w:rsidP="00AE6115">
            <w:pPr>
              <w:pStyle w:val="ListParagraph"/>
              <w:spacing w:after="0" w:line="240" w:lineRule="auto"/>
              <w:ind w:left="0"/>
              <w:jc w:val="center"/>
              <w:rPr>
                <w:rFonts w:cs="Times New Roman"/>
                <w:b/>
                <w:sz w:val="20"/>
                <w:szCs w:val="20"/>
              </w:rPr>
            </w:pPr>
            <w:r w:rsidRPr="00A027B5">
              <w:rPr>
                <w:rFonts w:cs="Times New Roman"/>
                <w:b/>
                <w:sz w:val="20"/>
                <w:szCs w:val="20"/>
              </w:rPr>
              <w:t>Rating</w:t>
            </w:r>
          </w:p>
        </w:tc>
        <w:tc>
          <w:tcPr>
            <w:tcW w:w="990" w:type="dxa"/>
            <w:tcBorders>
              <w:bottom w:val="single" w:sz="4" w:space="0" w:color="000000" w:themeColor="text1"/>
            </w:tcBorders>
            <w:shd w:val="clear" w:color="auto" w:fill="D9D9D9" w:themeFill="background1" w:themeFillShade="D9"/>
          </w:tcPr>
          <w:p w:rsidR="002B2645" w:rsidRPr="00A027B5" w:rsidRDefault="002B2645" w:rsidP="00AE6115">
            <w:pPr>
              <w:pStyle w:val="ListParagraph"/>
              <w:spacing w:after="0" w:line="240" w:lineRule="auto"/>
              <w:ind w:left="0"/>
              <w:jc w:val="center"/>
              <w:rPr>
                <w:rFonts w:cs="Times New Roman"/>
                <w:b/>
                <w:sz w:val="20"/>
                <w:szCs w:val="20"/>
              </w:rPr>
            </w:pPr>
            <w:r w:rsidRPr="00A027B5">
              <w:rPr>
                <w:rFonts w:cs="Times New Roman"/>
                <w:b/>
                <w:sz w:val="20"/>
                <w:szCs w:val="20"/>
              </w:rPr>
              <w:t>Exam</w:t>
            </w:r>
          </w:p>
        </w:tc>
      </w:tr>
      <w:tr w:rsidR="002B2645" w:rsidRPr="00A027B5" w:rsidTr="0040028A">
        <w:trPr>
          <w:trHeight w:val="152"/>
          <w:jc w:val="center"/>
        </w:trPr>
        <w:tc>
          <w:tcPr>
            <w:tcW w:w="1980" w:type="dxa"/>
            <w:shd w:val="clear" w:color="auto" w:fill="FFFFFF" w:themeFill="background1"/>
          </w:tcPr>
          <w:p w:rsidR="002B2645" w:rsidRPr="00A027B5" w:rsidRDefault="00325ED7" w:rsidP="00AE6115">
            <w:pPr>
              <w:pStyle w:val="ListParagraph"/>
              <w:spacing w:after="0" w:line="240" w:lineRule="auto"/>
              <w:ind w:left="0"/>
              <w:rPr>
                <w:rFonts w:cs="Times New Roman"/>
                <w:sz w:val="18"/>
                <w:szCs w:val="18"/>
              </w:rPr>
            </w:pPr>
            <w:r w:rsidRPr="00A027B5">
              <w:rPr>
                <w:rFonts w:cs="Times New Roman"/>
                <w:sz w:val="18"/>
                <w:szCs w:val="18"/>
              </w:rPr>
              <w:t xml:space="preserve">Right Shoulder Flexion Contracture and Adhesive </w:t>
            </w:r>
            <w:proofErr w:type="spellStart"/>
            <w:r w:rsidRPr="00A027B5">
              <w:rPr>
                <w:rFonts w:cs="Times New Roman"/>
                <w:sz w:val="18"/>
                <w:szCs w:val="18"/>
              </w:rPr>
              <w:t>Capsulitis</w:t>
            </w:r>
            <w:proofErr w:type="spellEnd"/>
          </w:p>
        </w:tc>
        <w:tc>
          <w:tcPr>
            <w:tcW w:w="1170" w:type="dxa"/>
            <w:shd w:val="clear" w:color="auto" w:fill="FFFFFF" w:themeFill="background1"/>
          </w:tcPr>
          <w:p w:rsidR="002B2645" w:rsidRPr="00A027B5" w:rsidRDefault="00325ED7" w:rsidP="00AE6115">
            <w:pPr>
              <w:pStyle w:val="ListParagraph"/>
              <w:spacing w:after="0" w:line="240" w:lineRule="auto"/>
              <w:ind w:left="0"/>
              <w:jc w:val="center"/>
              <w:rPr>
                <w:rFonts w:cs="Times New Roman"/>
                <w:sz w:val="18"/>
                <w:szCs w:val="18"/>
              </w:rPr>
            </w:pPr>
            <w:r w:rsidRPr="00A027B5">
              <w:rPr>
                <w:rFonts w:cs="Times New Roman"/>
                <w:sz w:val="18"/>
                <w:szCs w:val="18"/>
              </w:rPr>
              <w:t>5099-5003</w:t>
            </w:r>
          </w:p>
        </w:tc>
        <w:tc>
          <w:tcPr>
            <w:tcW w:w="900" w:type="dxa"/>
            <w:tcBorders>
              <w:right w:val="thinThickThinSmallGap" w:sz="24" w:space="0" w:color="auto"/>
            </w:tcBorders>
            <w:shd w:val="clear" w:color="auto" w:fill="FFFFFF" w:themeFill="background1"/>
          </w:tcPr>
          <w:p w:rsidR="002B2645" w:rsidRPr="00A027B5" w:rsidRDefault="00325ED7" w:rsidP="00AE6115">
            <w:pPr>
              <w:pStyle w:val="ListParagraph"/>
              <w:spacing w:after="0" w:line="240" w:lineRule="auto"/>
              <w:ind w:left="0"/>
              <w:jc w:val="center"/>
              <w:rPr>
                <w:rFonts w:cs="Times New Roman"/>
                <w:sz w:val="18"/>
                <w:szCs w:val="18"/>
              </w:rPr>
            </w:pPr>
            <w:r w:rsidRPr="00A027B5">
              <w:rPr>
                <w:rFonts w:cs="Times New Roman"/>
                <w:sz w:val="18"/>
                <w:szCs w:val="18"/>
              </w:rPr>
              <w:t>10%</w:t>
            </w:r>
          </w:p>
        </w:tc>
        <w:tc>
          <w:tcPr>
            <w:tcW w:w="2700" w:type="dxa"/>
            <w:tcBorders>
              <w:left w:val="thinThickThinSmallGap" w:sz="24" w:space="0" w:color="auto"/>
            </w:tcBorders>
            <w:shd w:val="clear" w:color="auto" w:fill="FFFFFF" w:themeFill="background1"/>
          </w:tcPr>
          <w:p w:rsidR="002B2645" w:rsidRPr="00A027B5" w:rsidRDefault="00325ED7" w:rsidP="00AE6115">
            <w:pPr>
              <w:pStyle w:val="ListParagraph"/>
              <w:spacing w:after="0" w:line="240" w:lineRule="auto"/>
              <w:ind w:left="0"/>
              <w:rPr>
                <w:rFonts w:cs="Times New Roman"/>
                <w:sz w:val="18"/>
                <w:szCs w:val="18"/>
              </w:rPr>
            </w:pPr>
            <w:r w:rsidRPr="00A027B5">
              <w:rPr>
                <w:rFonts w:cs="Times New Roman"/>
                <w:sz w:val="18"/>
                <w:szCs w:val="18"/>
              </w:rPr>
              <w:t xml:space="preserve">Adhesive </w:t>
            </w:r>
            <w:proofErr w:type="spellStart"/>
            <w:r w:rsidRPr="00A027B5">
              <w:rPr>
                <w:rFonts w:cs="Times New Roman"/>
                <w:sz w:val="18"/>
                <w:szCs w:val="18"/>
              </w:rPr>
              <w:t>Capsulitis</w:t>
            </w:r>
            <w:proofErr w:type="spellEnd"/>
            <w:r w:rsidRPr="00A027B5">
              <w:rPr>
                <w:rFonts w:cs="Times New Roman"/>
                <w:sz w:val="18"/>
                <w:szCs w:val="18"/>
              </w:rPr>
              <w:t xml:space="preserve"> and Degenerative Changes, Right Shoulder</w:t>
            </w:r>
          </w:p>
        </w:tc>
        <w:tc>
          <w:tcPr>
            <w:tcW w:w="720" w:type="dxa"/>
            <w:shd w:val="clear" w:color="auto" w:fill="FFFFFF" w:themeFill="background1"/>
          </w:tcPr>
          <w:p w:rsidR="002B2645" w:rsidRPr="00A027B5" w:rsidRDefault="00325ED7" w:rsidP="00AE6115">
            <w:pPr>
              <w:pStyle w:val="ListParagraph"/>
              <w:spacing w:after="0" w:line="240" w:lineRule="auto"/>
              <w:ind w:left="0"/>
              <w:jc w:val="center"/>
              <w:rPr>
                <w:rFonts w:cs="Times New Roman"/>
                <w:sz w:val="18"/>
                <w:szCs w:val="18"/>
              </w:rPr>
            </w:pPr>
            <w:r w:rsidRPr="00A027B5">
              <w:rPr>
                <w:rFonts w:cs="Times New Roman"/>
                <w:sz w:val="18"/>
                <w:szCs w:val="18"/>
              </w:rPr>
              <w:t>5201</w:t>
            </w:r>
          </w:p>
        </w:tc>
        <w:tc>
          <w:tcPr>
            <w:tcW w:w="810" w:type="dxa"/>
            <w:shd w:val="clear" w:color="auto" w:fill="FFFFFF" w:themeFill="background1"/>
          </w:tcPr>
          <w:p w:rsidR="002B2645" w:rsidRPr="00A027B5" w:rsidRDefault="00325ED7" w:rsidP="00AE6115">
            <w:pPr>
              <w:pStyle w:val="ListParagraph"/>
              <w:spacing w:after="0" w:line="240" w:lineRule="auto"/>
              <w:ind w:left="0"/>
              <w:jc w:val="center"/>
              <w:rPr>
                <w:rFonts w:cs="Times New Roman"/>
                <w:sz w:val="18"/>
                <w:szCs w:val="18"/>
              </w:rPr>
            </w:pPr>
            <w:r w:rsidRPr="00A027B5">
              <w:rPr>
                <w:rFonts w:cs="Times New Roman"/>
                <w:sz w:val="18"/>
                <w:szCs w:val="18"/>
              </w:rPr>
              <w:t>40%</w:t>
            </w:r>
          </w:p>
        </w:tc>
        <w:tc>
          <w:tcPr>
            <w:tcW w:w="990" w:type="dxa"/>
            <w:shd w:val="clear" w:color="auto" w:fill="FFFFFF" w:themeFill="background1"/>
          </w:tcPr>
          <w:p w:rsidR="00906057" w:rsidRPr="00A027B5" w:rsidRDefault="00325ED7" w:rsidP="00061485">
            <w:pPr>
              <w:pStyle w:val="ListParagraph"/>
              <w:spacing w:after="0" w:line="240" w:lineRule="auto"/>
              <w:ind w:left="0"/>
              <w:jc w:val="center"/>
              <w:rPr>
                <w:rFonts w:cs="Times New Roman"/>
                <w:sz w:val="18"/>
                <w:szCs w:val="18"/>
              </w:rPr>
            </w:pPr>
            <w:r w:rsidRPr="00A027B5">
              <w:rPr>
                <w:rFonts w:cs="Times New Roman"/>
                <w:sz w:val="18"/>
                <w:szCs w:val="18"/>
              </w:rPr>
              <w:t xml:space="preserve">STR </w:t>
            </w:r>
          </w:p>
        </w:tc>
      </w:tr>
      <w:tr w:rsidR="008D11D1" w:rsidRPr="00A027B5" w:rsidTr="0040028A">
        <w:trPr>
          <w:trHeight w:val="152"/>
          <w:jc w:val="center"/>
        </w:trPr>
        <w:tc>
          <w:tcPr>
            <w:tcW w:w="1980" w:type="dxa"/>
            <w:shd w:val="clear" w:color="auto" w:fill="FFFFFF" w:themeFill="background1"/>
          </w:tcPr>
          <w:p w:rsidR="008D11D1" w:rsidRPr="00A027B5" w:rsidRDefault="008D11D1" w:rsidP="00AE6115">
            <w:pPr>
              <w:pStyle w:val="ListParagraph"/>
              <w:spacing w:after="0" w:line="240" w:lineRule="auto"/>
              <w:ind w:left="0"/>
              <w:rPr>
                <w:rFonts w:cs="Times New Roman"/>
                <w:sz w:val="18"/>
                <w:szCs w:val="18"/>
              </w:rPr>
            </w:pPr>
            <w:r>
              <w:rPr>
                <w:rFonts w:cs="Times New Roman"/>
                <w:sz w:val="18"/>
                <w:szCs w:val="18"/>
              </w:rPr>
              <w:t>Anxiety Disorder, NOS</w:t>
            </w:r>
          </w:p>
        </w:tc>
        <w:tc>
          <w:tcPr>
            <w:tcW w:w="2070" w:type="dxa"/>
            <w:gridSpan w:val="2"/>
            <w:tcBorders>
              <w:right w:val="thinThickThinSmallGap" w:sz="24" w:space="0" w:color="auto"/>
            </w:tcBorders>
            <w:shd w:val="clear" w:color="auto" w:fill="FFFFFF" w:themeFill="background1"/>
          </w:tcPr>
          <w:p w:rsidR="008D11D1" w:rsidRPr="00A027B5" w:rsidRDefault="008D11D1" w:rsidP="00AE6115">
            <w:pPr>
              <w:pStyle w:val="ListParagraph"/>
              <w:spacing w:after="0" w:line="240" w:lineRule="auto"/>
              <w:ind w:left="0"/>
              <w:jc w:val="center"/>
              <w:rPr>
                <w:rFonts w:cs="Times New Roman"/>
                <w:sz w:val="18"/>
                <w:szCs w:val="18"/>
              </w:rPr>
            </w:pPr>
            <w:r w:rsidRPr="00A027B5">
              <w:rPr>
                <w:rFonts w:cs="Times New Roman"/>
                <w:sz w:val="18"/>
                <w:szCs w:val="18"/>
              </w:rPr>
              <w:t>Not Unfitting</w:t>
            </w:r>
          </w:p>
        </w:tc>
        <w:tc>
          <w:tcPr>
            <w:tcW w:w="2700" w:type="dxa"/>
            <w:tcBorders>
              <w:left w:val="thinThickThinSmallGap" w:sz="24" w:space="0" w:color="auto"/>
            </w:tcBorders>
            <w:shd w:val="clear" w:color="auto" w:fill="FFFFFF" w:themeFill="background1"/>
          </w:tcPr>
          <w:p w:rsidR="008D11D1" w:rsidRPr="00A027B5" w:rsidRDefault="008D11D1" w:rsidP="00AE6115">
            <w:pPr>
              <w:pStyle w:val="ListParagraph"/>
              <w:spacing w:after="0" w:line="240" w:lineRule="auto"/>
              <w:ind w:left="0"/>
              <w:rPr>
                <w:rFonts w:cs="Times New Roman"/>
                <w:sz w:val="18"/>
                <w:szCs w:val="18"/>
              </w:rPr>
            </w:pPr>
            <w:r w:rsidRPr="00A027B5">
              <w:rPr>
                <w:rFonts w:cs="Times New Roman"/>
                <w:sz w:val="18"/>
                <w:szCs w:val="18"/>
              </w:rPr>
              <w:t>Posttraumatic Stress Disorder</w:t>
            </w:r>
          </w:p>
        </w:tc>
        <w:tc>
          <w:tcPr>
            <w:tcW w:w="72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9411</w:t>
            </w:r>
          </w:p>
        </w:tc>
        <w:tc>
          <w:tcPr>
            <w:tcW w:w="81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10%</w:t>
            </w:r>
          </w:p>
        </w:tc>
        <w:tc>
          <w:tcPr>
            <w:tcW w:w="99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20071108</w:t>
            </w:r>
          </w:p>
        </w:tc>
      </w:tr>
      <w:tr w:rsidR="008D11D1" w:rsidRPr="00A027B5" w:rsidTr="0040028A">
        <w:trPr>
          <w:trHeight w:val="152"/>
          <w:jc w:val="center"/>
        </w:trPr>
        <w:tc>
          <w:tcPr>
            <w:tcW w:w="4050" w:type="dxa"/>
            <w:gridSpan w:val="3"/>
            <w:vMerge w:val="restart"/>
            <w:tcBorders>
              <w:right w:val="thinThickThinSmallGap" w:sz="24" w:space="0" w:color="auto"/>
            </w:tcBorders>
            <w:shd w:val="clear" w:color="auto" w:fill="FFFFFF" w:themeFill="background1"/>
          </w:tcPr>
          <w:p w:rsidR="008D11D1" w:rsidRPr="00A027B5" w:rsidRDefault="008D11D1" w:rsidP="00AE6115">
            <w:pPr>
              <w:pStyle w:val="ListParagraph"/>
              <w:ind w:left="0"/>
              <w:jc w:val="center"/>
              <w:rPr>
                <w:rFonts w:cs="Times New Roman"/>
                <w:sz w:val="18"/>
                <w:szCs w:val="18"/>
              </w:rPr>
            </w:pPr>
            <w:r w:rsidRPr="00A027B5">
              <w:rPr>
                <w:rFonts w:eastAsiaTheme="minorEastAsia"/>
                <w:sz w:val="18"/>
                <w:szCs w:val="18"/>
              </w:rPr>
              <w:t>↓</w:t>
            </w:r>
            <w:r>
              <w:rPr>
                <w:rFonts w:eastAsiaTheme="minorEastAsia"/>
                <w:sz w:val="18"/>
                <w:szCs w:val="18"/>
              </w:rPr>
              <w:t>No Additional DA 3947 Entries</w:t>
            </w:r>
            <w:r w:rsidRPr="00A027B5">
              <w:rPr>
                <w:rFonts w:eastAsiaTheme="minorEastAsia"/>
                <w:sz w:val="18"/>
                <w:szCs w:val="18"/>
              </w:rPr>
              <w:t>↓</w:t>
            </w:r>
          </w:p>
        </w:tc>
        <w:tc>
          <w:tcPr>
            <w:tcW w:w="2700" w:type="dxa"/>
            <w:tcBorders>
              <w:left w:val="thinThickThinSmallGap" w:sz="24" w:space="0" w:color="auto"/>
            </w:tcBorders>
            <w:shd w:val="clear" w:color="auto" w:fill="FFFFFF" w:themeFill="background1"/>
          </w:tcPr>
          <w:p w:rsidR="008D11D1" w:rsidRPr="00A027B5" w:rsidRDefault="008D11D1" w:rsidP="00F42492">
            <w:pPr>
              <w:pStyle w:val="ListParagraph"/>
              <w:spacing w:after="0" w:line="240" w:lineRule="auto"/>
              <w:ind w:left="0"/>
              <w:rPr>
                <w:rFonts w:cs="Times New Roman"/>
                <w:sz w:val="18"/>
                <w:szCs w:val="18"/>
              </w:rPr>
            </w:pPr>
            <w:r w:rsidRPr="00A027B5">
              <w:rPr>
                <w:rFonts w:cs="Times New Roman"/>
                <w:sz w:val="18"/>
                <w:szCs w:val="18"/>
              </w:rPr>
              <w:t>Lumbar Spine</w:t>
            </w:r>
            <w:r>
              <w:rPr>
                <w:rFonts w:cs="Times New Roman"/>
                <w:sz w:val="18"/>
                <w:szCs w:val="18"/>
              </w:rPr>
              <w:t>, DDD</w:t>
            </w:r>
          </w:p>
        </w:tc>
        <w:tc>
          <w:tcPr>
            <w:tcW w:w="72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5010</w:t>
            </w:r>
          </w:p>
        </w:tc>
        <w:tc>
          <w:tcPr>
            <w:tcW w:w="81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10%</w:t>
            </w:r>
          </w:p>
        </w:tc>
        <w:tc>
          <w:tcPr>
            <w:tcW w:w="99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20071108</w:t>
            </w:r>
          </w:p>
        </w:tc>
      </w:tr>
      <w:tr w:rsidR="008D11D1" w:rsidRPr="00A027B5" w:rsidTr="0040028A">
        <w:trPr>
          <w:trHeight w:val="152"/>
          <w:jc w:val="center"/>
        </w:trPr>
        <w:tc>
          <w:tcPr>
            <w:tcW w:w="4050" w:type="dxa"/>
            <w:gridSpan w:val="3"/>
            <w:vMerge/>
            <w:tcBorders>
              <w:right w:val="thinThickThinSmallGap" w:sz="24" w:space="0" w:color="auto"/>
            </w:tcBorders>
            <w:shd w:val="clear" w:color="auto" w:fill="FFFFFF" w:themeFill="background1"/>
          </w:tcPr>
          <w:p w:rsidR="008D11D1" w:rsidRPr="00A027B5" w:rsidRDefault="008D11D1" w:rsidP="00AE6115">
            <w:pPr>
              <w:pStyle w:val="ListParagraph"/>
              <w:ind w:left="0"/>
              <w:jc w:val="center"/>
              <w:rPr>
                <w:rFonts w:cs="Times New Roman"/>
                <w:sz w:val="18"/>
                <w:szCs w:val="18"/>
              </w:rPr>
            </w:pPr>
          </w:p>
        </w:tc>
        <w:tc>
          <w:tcPr>
            <w:tcW w:w="2700" w:type="dxa"/>
            <w:tcBorders>
              <w:left w:val="thinThickThinSmallGap" w:sz="24" w:space="0" w:color="auto"/>
            </w:tcBorders>
            <w:shd w:val="clear" w:color="auto" w:fill="FFFFFF" w:themeFill="background1"/>
          </w:tcPr>
          <w:p w:rsidR="008D11D1" w:rsidRPr="00A027B5" w:rsidRDefault="008D11D1" w:rsidP="00F42492">
            <w:pPr>
              <w:pStyle w:val="ListParagraph"/>
              <w:spacing w:after="0" w:line="240" w:lineRule="auto"/>
              <w:ind w:left="0"/>
              <w:rPr>
                <w:rFonts w:cs="Times New Roman"/>
                <w:sz w:val="18"/>
                <w:szCs w:val="18"/>
              </w:rPr>
            </w:pPr>
            <w:r w:rsidRPr="00A027B5">
              <w:rPr>
                <w:rFonts w:cs="Times New Roman"/>
                <w:sz w:val="18"/>
                <w:szCs w:val="18"/>
              </w:rPr>
              <w:t>Right Hand, Neuropathy</w:t>
            </w:r>
            <w:r>
              <w:rPr>
                <w:rFonts w:cs="Times New Roman"/>
                <w:sz w:val="18"/>
                <w:szCs w:val="18"/>
              </w:rPr>
              <w:t xml:space="preserve"> …</w:t>
            </w:r>
          </w:p>
        </w:tc>
        <w:tc>
          <w:tcPr>
            <w:tcW w:w="72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8515</w:t>
            </w:r>
          </w:p>
        </w:tc>
        <w:tc>
          <w:tcPr>
            <w:tcW w:w="81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10%</w:t>
            </w:r>
          </w:p>
        </w:tc>
        <w:tc>
          <w:tcPr>
            <w:tcW w:w="990" w:type="dxa"/>
            <w:shd w:val="clear" w:color="auto" w:fill="FFFFFF" w:themeFill="background1"/>
          </w:tcPr>
          <w:p w:rsidR="008D11D1" w:rsidRPr="00A027B5" w:rsidRDefault="008D11D1" w:rsidP="00F42492">
            <w:pPr>
              <w:pStyle w:val="ListParagraph"/>
              <w:spacing w:after="0" w:line="240" w:lineRule="auto"/>
              <w:ind w:left="0"/>
              <w:jc w:val="center"/>
              <w:rPr>
                <w:rFonts w:cs="Times New Roman"/>
                <w:sz w:val="18"/>
                <w:szCs w:val="18"/>
              </w:rPr>
            </w:pPr>
            <w:r w:rsidRPr="00A027B5">
              <w:rPr>
                <w:rFonts w:cs="Times New Roman"/>
                <w:sz w:val="18"/>
                <w:szCs w:val="18"/>
              </w:rPr>
              <w:t>20071108</w:t>
            </w:r>
          </w:p>
        </w:tc>
      </w:tr>
      <w:tr w:rsidR="008D11D1" w:rsidRPr="00A027B5" w:rsidTr="0040028A">
        <w:trPr>
          <w:trHeight w:val="197"/>
          <w:jc w:val="center"/>
        </w:trPr>
        <w:tc>
          <w:tcPr>
            <w:tcW w:w="4050" w:type="dxa"/>
            <w:gridSpan w:val="3"/>
            <w:vMerge/>
            <w:tcBorders>
              <w:right w:val="thinThickThinSmallGap" w:sz="24" w:space="0" w:color="auto"/>
            </w:tcBorders>
            <w:shd w:val="clear" w:color="auto" w:fill="FFFFFF" w:themeFill="background1"/>
          </w:tcPr>
          <w:p w:rsidR="008D11D1" w:rsidRPr="00A027B5" w:rsidRDefault="008D11D1" w:rsidP="00AE6115">
            <w:pPr>
              <w:pStyle w:val="ListParagraph"/>
              <w:spacing w:after="0" w:line="240" w:lineRule="auto"/>
              <w:ind w:left="0"/>
              <w:jc w:val="center"/>
              <w:rPr>
                <w:rFonts w:cs="Times New Roman"/>
                <w:b/>
                <w:sz w:val="18"/>
                <w:szCs w:val="18"/>
              </w:rPr>
            </w:pPr>
          </w:p>
        </w:tc>
        <w:tc>
          <w:tcPr>
            <w:tcW w:w="4230" w:type="dxa"/>
            <w:gridSpan w:val="3"/>
            <w:tcBorders>
              <w:left w:val="thinThickThinSmallGap" w:sz="24" w:space="0" w:color="auto"/>
            </w:tcBorders>
            <w:shd w:val="clear" w:color="auto" w:fill="FFFFFF" w:themeFill="background1"/>
          </w:tcPr>
          <w:p w:rsidR="008D11D1" w:rsidRPr="00A027B5" w:rsidRDefault="008D11D1" w:rsidP="00906057">
            <w:pPr>
              <w:pStyle w:val="ListParagraph"/>
              <w:spacing w:after="0" w:line="240" w:lineRule="auto"/>
              <w:ind w:left="0"/>
              <w:jc w:val="center"/>
              <w:rPr>
                <w:rFonts w:cs="Times New Roman"/>
                <w:sz w:val="18"/>
                <w:szCs w:val="18"/>
              </w:rPr>
            </w:pPr>
            <w:r w:rsidRPr="00A027B5">
              <w:rPr>
                <w:rFonts w:cs="Times New Roman"/>
                <w:sz w:val="18"/>
                <w:szCs w:val="18"/>
              </w:rPr>
              <w:t>Non-PEB X  1/ NSC X 3</w:t>
            </w:r>
          </w:p>
        </w:tc>
        <w:tc>
          <w:tcPr>
            <w:tcW w:w="990" w:type="dxa"/>
            <w:shd w:val="clear" w:color="auto" w:fill="FFFFFF" w:themeFill="background1"/>
          </w:tcPr>
          <w:p w:rsidR="008D11D1" w:rsidRPr="00A027B5" w:rsidRDefault="008D11D1" w:rsidP="00AE6115">
            <w:pPr>
              <w:pStyle w:val="ListParagraph"/>
              <w:spacing w:after="0" w:line="240" w:lineRule="auto"/>
              <w:ind w:left="0"/>
              <w:jc w:val="center"/>
              <w:rPr>
                <w:rFonts w:cs="Times New Roman"/>
                <w:sz w:val="18"/>
                <w:szCs w:val="18"/>
              </w:rPr>
            </w:pPr>
          </w:p>
        </w:tc>
      </w:tr>
      <w:tr w:rsidR="00684E2B" w:rsidRPr="00A027B5" w:rsidTr="0040028A">
        <w:trPr>
          <w:trHeight w:val="242"/>
          <w:jc w:val="center"/>
        </w:trPr>
        <w:tc>
          <w:tcPr>
            <w:tcW w:w="4050" w:type="dxa"/>
            <w:gridSpan w:val="3"/>
            <w:tcBorders>
              <w:right w:val="thinThickThinSmallGap" w:sz="24" w:space="0" w:color="auto"/>
            </w:tcBorders>
            <w:shd w:val="clear" w:color="auto" w:fill="D9D9D9" w:themeFill="background1" w:themeFillShade="D9"/>
          </w:tcPr>
          <w:p w:rsidR="00684E2B" w:rsidRPr="00A027B5" w:rsidRDefault="00684E2B" w:rsidP="00325ED7">
            <w:pPr>
              <w:pStyle w:val="ListParagraph"/>
              <w:spacing w:after="0" w:line="240" w:lineRule="auto"/>
              <w:ind w:left="0"/>
              <w:jc w:val="center"/>
              <w:rPr>
                <w:rFonts w:cs="Times New Roman"/>
                <w:b/>
                <w:sz w:val="20"/>
                <w:szCs w:val="20"/>
              </w:rPr>
            </w:pPr>
            <w:r w:rsidRPr="00A027B5">
              <w:rPr>
                <w:rFonts w:cs="Times New Roman"/>
                <w:b/>
                <w:sz w:val="20"/>
                <w:szCs w:val="20"/>
              </w:rPr>
              <w:t xml:space="preserve">TOTAL Combined:  </w:t>
            </w:r>
            <w:r w:rsidR="00325ED7" w:rsidRPr="00A027B5">
              <w:rPr>
                <w:rFonts w:cs="Times New Roman"/>
                <w:b/>
                <w:sz w:val="20"/>
                <w:szCs w:val="20"/>
              </w:rPr>
              <w:t>1</w:t>
            </w:r>
            <w:r w:rsidRPr="00A027B5">
              <w:rPr>
                <w:rFonts w:cs="Times New Roman"/>
                <w:b/>
                <w:sz w:val="20"/>
                <w:szCs w:val="20"/>
              </w:rPr>
              <w:t>0%</w:t>
            </w:r>
          </w:p>
        </w:tc>
        <w:tc>
          <w:tcPr>
            <w:tcW w:w="5220" w:type="dxa"/>
            <w:gridSpan w:val="4"/>
            <w:tcBorders>
              <w:left w:val="thinThickThinSmallGap" w:sz="24" w:space="0" w:color="auto"/>
            </w:tcBorders>
            <w:shd w:val="clear" w:color="auto" w:fill="D9D9D9" w:themeFill="background1" w:themeFillShade="D9"/>
          </w:tcPr>
          <w:p w:rsidR="00684E2B" w:rsidRPr="00A027B5" w:rsidRDefault="00684E2B" w:rsidP="00906057">
            <w:pPr>
              <w:pStyle w:val="ListParagraph"/>
              <w:spacing w:after="0" w:line="240" w:lineRule="auto"/>
              <w:ind w:left="0"/>
              <w:jc w:val="center"/>
              <w:rPr>
                <w:rFonts w:cs="Times New Roman"/>
                <w:b/>
                <w:sz w:val="20"/>
                <w:szCs w:val="20"/>
              </w:rPr>
            </w:pPr>
            <w:r w:rsidRPr="00A027B5">
              <w:rPr>
                <w:rFonts w:cs="Times New Roman"/>
                <w:b/>
                <w:sz w:val="20"/>
                <w:szCs w:val="20"/>
              </w:rPr>
              <w:t>TOTAL Combined (</w:t>
            </w:r>
            <w:r w:rsidRPr="00A027B5">
              <w:rPr>
                <w:rFonts w:cs="Times New Roman"/>
                <w:b/>
                <w:i/>
                <w:sz w:val="20"/>
                <w:szCs w:val="20"/>
              </w:rPr>
              <w:t>Includes Non-PEB Conditions</w:t>
            </w:r>
            <w:r w:rsidR="006F5A4E" w:rsidRPr="00A027B5">
              <w:rPr>
                <w:rFonts w:cs="Times New Roman"/>
                <w:b/>
                <w:sz w:val="20"/>
                <w:szCs w:val="20"/>
              </w:rPr>
              <w:t xml:space="preserve">): </w:t>
            </w:r>
            <w:r w:rsidR="00906057" w:rsidRPr="00A027B5">
              <w:rPr>
                <w:rFonts w:cs="Times New Roman"/>
                <w:b/>
                <w:sz w:val="20"/>
                <w:szCs w:val="20"/>
              </w:rPr>
              <w:t>60</w:t>
            </w:r>
            <w:r w:rsidRPr="00A027B5">
              <w:rPr>
                <w:rFonts w:cs="Times New Roman"/>
                <w:b/>
                <w:sz w:val="20"/>
                <w:szCs w:val="20"/>
              </w:rPr>
              <w:t>%</w:t>
            </w:r>
            <w:r w:rsidR="00061485">
              <w:rPr>
                <w:rFonts w:cs="Times New Roman"/>
                <w:b/>
                <w:sz w:val="20"/>
                <w:szCs w:val="20"/>
              </w:rPr>
              <w:t>*</w:t>
            </w:r>
            <w:r w:rsidRPr="00A027B5">
              <w:rPr>
                <w:rFonts w:cs="Times New Roman"/>
                <w:b/>
                <w:sz w:val="20"/>
                <w:szCs w:val="20"/>
              </w:rPr>
              <w:t xml:space="preserve">                                                                         </w:t>
            </w:r>
            <w:r w:rsidRPr="00A027B5">
              <w:rPr>
                <w:rFonts w:cs="Times New Roman"/>
                <w:sz w:val="20"/>
                <w:szCs w:val="20"/>
              </w:rPr>
              <w:t xml:space="preserve"> </w:t>
            </w:r>
          </w:p>
        </w:tc>
      </w:tr>
    </w:tbl>
    <w:p w:rsidR="00156BA9" w:rsidRPr="00061485" w:rsidRDefault="00061485" w:rsidP="00875F2D">
      <w:pPr>
        <w:tabs>
          <w:tab w:val="left" w:pos="288"/>
          <w:tab w:val="left" w:pos="4752"/>
        </w:tabs>
        <w:spacing w:line="240" w:lineRule="exact"/>
        <w:jc w:val="both"/>
        <w:rPr>
          <w:rFonts w:asciiTheme="minorHAnsi" w:hAnsiTheme="minorHAnsi"/>
          <w:color w:val="auto"/>
        </w:rPr>
      </w:pPr>
      <w:r>
        <w:rPr>
          <w:rFonts w:asciiTheme="minorHAnsi" w:hAnsiTheme="minorHAnsi"/>
          <w:color w:val="auto"/>
        </w:rPr>
        <w:t>*VA rating changed: R. Shoulder 30% 20090114; PTSD 30% 20081204/50% 20090910</w:t>
      </w:r>
    </w:p>
    <w:p w:rsidR="00A90D55" w:rsidRDefault="00A90D55" w:rsidP="00875F2D">
      <w:pPr>
        <w:pBdr>
          <w:bottom w:val="single" w:sz="12" w:space="1" w:color="auto"/>
        </w:pBdr>
        <w:tabs>
          <w:tab w:val="left" w:pos="288"/>
          <w:tab w:val="left" w:pos="4752"/>
        </w:tabs>
        <w:spacing w:line="240" w:lineRule="exact"/>
        <w:jc w:val="both"/>
        <w:rPr>
          <w:rFonts w:asciiTheme="minorHAnsi" w:hAnsiTheme="minorHAnsi"/>
          <w:color w:val="auto"/>
          <w:u w:val="single"/>
        </w:rPr>
      </w:pPr>
    </w:p>
    <w:p w:rsidR="003A3917" w:rsidRPr="00A027B5" w:rsidRDefault="003A3917" w:rsidP="00875F2D">
      <w:pPr>
        <w:tabs>
          <w:tab w:val="left" w:pos="288"/>
          <w:tab w:val="left" w:pos="4752"/>
        </w:tabs>
        <w:spacing w:line="240" w:lineRule="exact"/>
        <w:jc w:val="both"/>
        <w:rPr>
          <w:rFonts w:asciiTheme="minorHAnsi" w:hAnsiTheme="minorHAnsi"/>
          <w:color w:val="000080"/>
        </w:rPr>
      </w:pPr>
    </w:p>
    <w:p w:rsidR="002C6E5B" w:rsidRPr="00A027B5" w:rsidRDefault="002C6E5B" w:rsidP="002C6E5B">
      <w:pPr>
        <w:tabs>
          <w:tab w:val="left" w:pos="288"/>
          <w:tab w:val="left" w:pos="4752"/>
        </w:tabs>
        <w:spacing w:line="240" w:lineRule="exact"/>
        <w:jc w:val="both"/>
        <w:rPr>
          <w:rFonts w:asciiTheme="minorHAnsi" w:hAnsiTheme="minorHAnsi"/>
          <w:color w:val="auto"/>
          <w:szCs w:val="24"/>
        </w:rPr>
      </w:pPr>
      <w:r w:rsidRPr="00A027B5">
        <w:rPr>
          <w:rFonts w:asciiTheme="minorHAnsi" w:hAnsiTheme="minorHAnsi"/>
          <w:color w:val="auto"/>
          <w:szCs w:val="24"/>
          <w:u w:val="single"/>
        </w:rPr>
        <w:t>ANALYSIS SUMMARY</w:t>
      </w:r>
      <w:r w:rsidRPr="00A027B5">
        <w:rPr>
          <w:rFonts w:asciiTheme="minorHAnsi" w:hAnsiTheme="minorHAnsi"/>
          <w:color w:val="auto"/>
          <w:szCs w:val="24"/>
        </w:rPr>
        <w:t>:</w:t>
      </w:r>
      <w:r w:rsidR="006F52C9">
        <w:rPr>
          <w:rFonts w:asciiTheme="minorHAnsi" w:hAnsiTheme="minorHAnsi"/>
          <w:color w:val="auto"/>
          <w:szCs w:val="24"/>
        </w:rPr>
        <w:t xml:space="preserve"> </w:t>
      </w:r>
    </w:p>
    <w:p w:rsidR="002C6E5B" w:rsidRDefault="002C6E5B" w:rsidP="002C6E5B">
      <w:pPr>
        <w:tabs>
          <w:tab w:val="left" w:pos="288"/>
          <w:tab w:val="left" w:pos="4752"/>
        </w:tabs>
        <w:spacing w:line="240" w:lineRule="exact"/>
        <w:jc w:val="both"/>
        <w:rPr>
          <w:rFonts w:asciiTheme="minorHAnsi" w:hAnsiTheme="minorHAnsi"/>
          <w:color w:val="auto"/>
          <w:szCs w:val="24"/>
        </w:rPr>
      </w:pPr>
    </w:p>
    <w:p w:rsidR="00061485" w:rsidRDefault="006F52C9" w:rsidP="006F52C9">
      <w:pPr>
        <w:tabs>
          <w:tab w:val="left" w:pos="288"/>
          <w:tab w:val="left" w:pos="4752"/>
        </w:tabs>
        <w:spacing w:line="240" w:lineRule="exact"/>
        <w:rPr>
          <w:rFonts w:asciiTheme="minorHAnsi" w:eastAsiaTheme="minorHAnsi" w:hAnsiTheme="minorHAnsi"/>
          <w:color w:val="auto"/>
          <w:szCs w:val="24"/>
        </w:rPr>
      </w:pPr>
      <w:proofErr w:type="gramStart"/>
      <w:r>
        <w:rPr>
          <w:rFonts w:asciiTheme="minorHAnsi" w:hAnsiTheme="minorHAnsi"/>
          <w:color w:val="auto"/>
          <w:szCs w:val="24"/>
          <w:u w:val="single"/>
        </w:rPr>
        <w:t xml:space="preserve">Right </w:t>
      </w:r>
      <w:r w:rsidRPr="00A027B5">
        <w:rPr>
          <w:rFonts w:asciiTheme="minorHAnsi" w:hAnsiTheme="minorHAnsi"/>
          <w:color w:val="auto"/>
          <w:szCs w:val="24"/>
          <w:u w:val="single"/>
        </w:rPr>
        <w:t>Shoulder Condition</w:t>
      </w:r>
      <w:r w:rsidRPr="006F52C9">
        <w:rPr>
          <w:rFonts w:asciiTheme="minorHAnsi" w:hAnsiTheme="minorHAnsi"/>
          <w:color w:val="auto"/>
          <w:szCs w:val="24"/>
        </w:rPr>
        <w:t>.</w:t>
      </w:r>
      <w:proofErr w:type="gramEnd"/>
      <w:r>
        <w:rPr>
          <w:rFonts w:asciiTheme="minorHAnsi" w:hAnsiTheme="minorHAnsi"/>
          <w:color w:val="auto"/>
          <w:szCs w:val="24"/>
        </w:rPr>
        <w:t xml:space="preserve">  </w:t>
      </w:r>
      <w:r w:rsidR="003214B3" w:rsidRPr="003214B3">
        <w:rPr>
          <w:rFonts w:asciiTheme="minorHAnsi" w:hAnsiTheme="minorHAnsi"/>
          <w:color w:val="auto"/>
          <w:szCs w:val="24"/>
        </w:rPr>
        <w:t xml:space="preserve">The PEB combined the Adhesive </w:t>
      </w:r>
      <w:proofErr w:type="spellStart"/>
      <w:r w:rsidR="003214B3" w:rsidRPr="003214B3">
        <w:rPr>
          <w:rFonts w:asciiTheme="minorHAnsi" w:hAnsiTheme="minorHAnsi"/>
          <w:color w:val="auto"/>
          <w:szCs w:val="24"/>
        </w:rPr>
        <w:t>Capsulitis</w:t>
      </w:r>
      <w:proofErr w:type="spellEnd"/>
      <w:r w:rsidR="003214B3" w:rsidRPr="003214B3">
        <w:rPr>
          <w:rFonts w:asciiTheme="minorHAnsi" w:hAnsiTheme="minorHAnsi"/>
          <w:color w:val="auto"/>
          <w:szCs w:val="24"/>
        </w:rPr>
        <w:t xml:space="preserve"> of the </w:t>
      </w:r>
      <w:r w:rsidR="003214B3">
        <w:rPr>
          <w:rFonts w:asciiTheme="minorHAnsi" w:hAnsiTheme="minorHAnsi"/>
          <w:color w:val="auto"/>
          <w:szCs w:val="24"/>
        </w:rPr>
        <w:t>R</w:t>
      </w:r>
      <w:r w:rsidR="003214B3" w:rsidRPr="003214B3">
        <w:rPr>
          <w:rFonts w:asciiTheme="minorHAnsi" w:hAnsiTheme="minorHAnsi"/>
          <w:color w:val="auto"/>
          <w:szCs w:val="24"/>
        </w:rPr>
        <w:t xml:space="preserve">ight </w:t>
      </w:r>
      <w:r w:rsidR="003214B3">
        <w:rPr>
          <w:rFonts w:asciiTheme="minorHAnsi" w:hAnsiTheme="minorHAnsi"/>
          <w:color w:val="auto"/>
          <w:szCs w:val="24"/>
        </w:rPr>
        <w:t>S</w:t>
      </w:r>
      <w:r w:rsidR="003214B3" w:rsidRPr="003214B3">
        <w:rPr>
          <w:rFonts w:asciiTheme="minorHAnsi" w:hAnsiTheme="minorHAnsi"/>
          <w:color w:val="auto"/>
          <w:szCs w:val="24"/>
        </w:rPr>
        <w:t>houlder and Right Shoulder Flexion Contracture as a single unfitting condition, coded analogously to 5003 and rated 10%</w:t>
      </w:r>
      <w:r w:rsidR="003214B3">
        <w:rPr>
          <w:rFonts w:asciiTheme="minorHAnsi" w:hAnsiTheme="minorHAnsi"/>
          <w:color w:val="auto"/>
          <w:szCs w:val="24"/>
        </w:rPr>
        <w:t xml:space="preserve"> and</w:t>
      </w:r>
      <w:r w:rsidR="000020A6">
        <w:rPr>
          <w:rFonts w:asciiTheme="minorHAnsi" w:hAnsiTheme="minorHAnsi"/>
          <w:color w:val="auto"/>
          <w:szCs w:val="24"/>
        </w:rPr>
        <w:t xml:space="preserve"> </w:t>
      </w:r>
      <w:r w:rsidR="003214B3">
        <w:rPr>
          <w:rFonts w:asciiTheme="minorHAnsi" w:hAnsiTheme="minorHAnsi"/>
          <w:color w:val="auto"/>
          <w:szCs w:val="24"/>
        </w:rPr>
        <w:t xml:space="preserve">invoked </w:t>
      </w:r>
      <w:r w:rsidR="000020A6">
        <w:rPr>
          <w:rFonts w:asciiTheme="minorHAnsi" w:hAnsiTheme="minorHAnsi"/>
          <w:color w:val="auto"/>
          <w:szCs w:val="24"/>
        </w:rPr>
        <w:t xml:space="preserve">the </w:t>
      </w:r>
      <w:r w:rsidR="005139DE" w:rsidRPr="00C52D45">
        <w:rPr>
          <w:rFonts w:asciiTheme="minorHAnsi" w:hAnsiTheme="minorHAnsi"/>
          <w:color w:val="auto"/>
        </w:rPr>
        <w:t>US Army Physical Disability Agency (USAPDA) pain policy</w:t>
      </w:r>
      <w:r w:rsidR="005139DE" w:rsidRPr="005139DE">
        <w:rPr>
          <w:rFonts w:asciiTheme="minorHAnsi" w:hAnsiTheme="minorHAnsi"/>
          <w:color w:val="auto"/>
          <w:szCs w:val="24"/>
        </w:rPr>
        <w:t xml:space="preserve"> </w:t>
      </w:r>
      <w:r w:rsidR="005139DE">
        <w:rPr>
          <w:rFonts w:asciiTheme="minorHAnsi" w:hAnsiTheme="minorHAnsi"/>
          <w:color w:val="auto"/>
          <w:szCs w:val="24"/>
        </w:rPr>
        <w:t>for rating</w:t>
      </w:r>
      <w:r w:rsidR="003214B3">
        <w:rPr>
          <w:rFonts w:asciiTheme="minorHAnsi" w:hAnsiTheme="minorHAnsi"/>
          <w:color w:val="auto"/>
          <w:szCs w:val="24"/>
        </w:rPr>
        <w:t xml:space="preserve">.  </w:t>
      </w:r>
      <w:r w:rsidR="00C0442D">
        <w:rPr>
          <w:rFonts w:asciiTheme="minorHAnsi" w:hAnsiTheme="minorHAnsi"/>
          <w:color w:val="auto"/>
          <w:szCs w:val="24"/>
        </w:rPr>
        <w:t xml:space="preserve">The record indicated that the CI’s shrapnel wound to the right arm caused disability beyond </w:t>
      </w:r>
      <w:r w:rsidR="00114D2D">
        <w:rPr>
          <w:rFonts w:asciiTheme="minorHAnsi" w:hAnsiTheme="minorHAnsi"/>
          <w:color w:val="auto"/>
          <w:szCs w:val="24"/>
        </w:rPr>
        <w:t>right shoulder “</w:t>
      </w:r>
      <w:r w:rsidR="00C0442D">
        <w:rPr>
          <w:rFonts w:asciiTheme="minorHAnsi" w:hAnsiTheme="minorHAnsi"/>
          <w:color w:val="auto"/>
          <w:szCs w:val="24"/>
        </w:rPr>
        <w:t>abduction</w:t>
      </w:r>
      <w:r w:rsidR="00114D2D">
        <w:rPr>
          <w:rFonts w:asciiTheme="minorHAnsi" w:hAnsiTheme="minorHAnsi"/>
          <w:color w:val="auto"/>
          <w:szCs w:val="24"/>
        </w:rPr>
        <w:t xml:space="preserve"> limited by pain”</w:t>
      </w:r>
      <w:r w:rsidR="00C0442D">
        <w:rPr>
          <w:rFonts w:asciiTheme="minorHAnsi" w:hAnsiTheme="minorHAnsi"/>
          <w:color w:val="auto"/>
          <w:szCs w:val="24"/>
        </w:rPr>
        <w:t>, and those additional disabilities will be discussed below</w:t>
      </w:r>
      <w:r w:rsidR="00114D2D">
        <w:rPr>
          <w:rFonts w:asciiTheme="minorHAnsi" w:hAnsiTheme="minorHAnsi"/>
          <w:color w:val="auto"/>
          <w:szCs w:val="24"/>
        </w:rPr>
        <w:t xml:space="preserve"> in additional right upper extremity </w:t>
      </w:r>
      <w:r w:rsidR="003214B3">
        <w:rPr>
          <w:rFonts w:asciiTheme="minorHAnsi" w:hAnsiTheme="minorHAnsi"/>
          <w:color w:val="auto"/>
          <w:szCs w:val="24"/>
        </w:rPr>
        <w:t xml:space="preserve">muscle </w:t>
      </w:r>
      <w:r w:rsidR="00114D2D">
        <w:rPr>
          <w:rFonts w:asciiTheme="minorHAnsi" w:hAnsiTheme="minorHAnsi"/>
          <w:color w:val="auto"/>
          <w:szCs w:val="24"/>
        </w:rPr>
        <w:t>coding</w:t>
      </w:r>
      <w:r w:rsidR="00C0442D">
        <w:rPr>
          <w:rFonts w:asciiTheme="minorHAnsi" w:hAnsiTheme="minorHAnsi"/>
          <w:color w:val="auto"/>
          <w:szCs w:val="24"/>
        </w:rPr>
        <w:t xml:space="preserve">.  </w:t>
      </w:r>
      <w:r w:rsidR="00114D2D">
        <w:rPr>
          <w:rFonts w:asciiTheme="minorHAnsi" w:hAnsiTheme="minorHAnsi"/>
          <w:color w:val="auto"/>
          <w:szCs w:val="24"/>
        </w:rPr>
        <w:t xml:space="preserve">This section will focus on rating the right shoulder pain-limited motion.  </w:t>
      </w:r>
      <w:r w:rsidR="00D714FA">
        <w:rPr>
          <w:rFonts w:asciiTheme="minorHAnsi" w:eastAsiaTheme="minorHAnsi" w:hAnsiTheme="minorHAnsi"/>
          <w:color w:val="auto"/>
          <w:szCs w:val="24"/>
        </w:rPr>
        <w:t>The service treatment record (STR) d</w:t>
      </w:r>
      <w:r w:rsidR="00E13600">
        <w:rPr>
          <w:rFonts w:asciiTheme="minorHAnsi" w:eastAsiaTheme="minorHAnsi" w:hAnsiTheme="minorHAnsi"/>
          <w:color w:val="auto"/>
          <w:szCs w:val="24"/>
        </w:rPr>
        <w:t>id</w:t>
      </w:r>
      <w:r w:rsidR="00D714FA">
        <w:rPr>
          <w:rFonts w:asciiTheme="minorHAnsi" w:eastAsiaTheme="minorHAnsi" w:hAnsiTheme="minorHAnsi"/>
          <w:color w:val="auto"/>
          <w:szCs w:val="24"/>
        </w:rPr>
        <w:t xml:space="preserve"> not clearly delineate which arm </w:t>
      </w:r>
      <w:r w:rsidR="00E13600">
        <w:rPr>
          <w:rFonts w:asciiTheme="minorHAnsi" w:eastAsiaTheme="minorHAnsi" w:hAnsiTheme="minorHAnsi"/>
          <w:color w:val="auto"/>
          <w:szCs w:val="24"/>
        </w:rPr>
        <w:t>wa</w:t>
      </w:r>
      <w:r w:rsidR="00D714FA">
        <w:rPr>
          <w:rFonts w:asciiTheme="minorHAnsi" w:eastAsiaTheme="minorHAnsi" w:hAnsiTheme="minorHAnsi"/>
          <w:color w:val="auto"/>
          <w:szCs w:val="24"/>
        </w:rPr>
        <w:t>s domina</w:t>
      </w:r>
      <w:r w:rsidR="00B74780">
        <w:rPr>
          <w:rFonts w:asciiTheme="minorHAnsi" w:eastAsiaTheme="minorHAnsi" w:hAnsiTheme="minorHAnsi"/>
          <w:color w:val="auto"/>
          <w:szCs w:val="24"/>
        </w:rPr>
        <w:t>nt</w:t>
      </w:r>
      <w:r w:rsidR="00D714FA">
        <w:rPr>
          <w:rFonts w:asciiTheme="minorHAnsi" w:eastAsiaTheme="minorHAnsi" w:hAnsiTheme="minorHAnsi"/>
          <w:color w:val="auto"/>
          <w:szCs w:val="24"/>
        </w:rPr>
        <w:t xml:space="preserve">.  The VA record had multiple </w:t>
      </w:r>
      <w:r w:rsidR="00180D7D">
        <w:rPr>
          <w:rFonts w:asciiTheme="minorHAnsi" w:eastAsiaTheme="minorHAnsi" w:hAnsiTheme="minorHAnsi"/>
          <w:color w:val="auto"/>
          <w:szCs w:val="24"/>
        </w:rPr>
        <w:t>references to the CI being left-</w:t>
      </w:r>
      <w:r w:rsidR="00D714FA">
        <w:rPr>
          <w:rFonts w:asciiTheme="minorHAnsi" w:eastAsiaTheme="minorHAnsi" w:hAnsiTheme="minorHAnsi"/>
          <w:color w:val="auto"/>
          <w:szCs w:val="24"/>
        </w:rPr>
        <w:t>hand domina</w:t>
      </w:r>
      <w:r w:rsidR="00BF56E9">
        <w:rPr>
          <w:rFonts w:asciiTheme="minorHAnsi" w:eastAsiaTheme="minorHAnsi" w:hAnsiTheme="minorHAnsi"/>
          <w:color w:val="auto"/>
          <w:szCs w:val="24"/>
        </w:rPr>
        <w:t>nt</w:t>
      </w:r>
      <w:r w:rsidR="00D714FA">
        <w:rPr>
          <w:rFonts w:asciiTheme="minorHAnsi" w:eastAsiaTheme="minorHAnsi" w:hAnsiTheme="minorHAnsi"/>
          <w:color w:val="auto"/>
          <w:szCs w:val="24"/>
        </w:rPr>
        <w:t>, using his left hand to sign, and doing only a few other things with his right arm/hand.  Notation of left</w:t>
      </w:r>
      <w:r w:rsidR="00180D7D">
        <w:rPr>
          <w:rFonts w:asciiTheme="minorHAnsi" w:eastAsiaTheme="minorHAnsi" w:hAnsiTheme="minorHAnsi"/>
          <w:color w:val="auto"/>
          <w:szCs w:val="24"/>
        </w:rPr>
        <w:t>-</w:t>
      </w:r>
      <w:r w:rsidR="00D714FA">
        <w:rPr>
          <w:rFonts w:asciiTheme="minorHAnsi" w:eastAsiaTheme="minorHAnsi" w:hAnsiTheme="minorHAnsi"/>
          <w:color w:val="auto"/>
          <w:szCs w:val="24"/>
        </w:rPr>
        <w:t>hand domin</w:t>
      </w:r>
      <w:r w:rsidR="00BF56E9">
        <w:rPr>
          <w:rFonts w:asciiTheme="minorHAnsi" w:eastAsiaTheme="minorHAnsi" w:hAnsiTheme="minorHAnsi"/>
          <w:color w:val="auto"/>
          <w:szCs w:val="24"/>
        </w:rPr>
        <w:t>ant</w:t>
      </w:r>
      <w:r w:rsidR="00D714FA">
        <w:rPr>
          <w:rFonts w:asciiTheme="minorHAnsi" w:eastAsiaTheme="minorHAnsi" w:hAnsiTheme="minorHAnsi"/>
          <w:color w:val="auto"/>
          <w:szCs w:val="24"/>
        </w:rPr>
        <w:t xml:space="preserve"> was also </w:t>
      </w:r>
      <w:r w:rsidR="00180D7D">
        <w:rPr>
          <w:rFonts w:asciiTheme="minorHAnsi" w:eastAsiaTheme="minorHAnsi" w:hAnsiTheme="minorHAnsi"/>
          <w:color w:val="auto"/>
          <w:szCs w:val="24"/>
        </w:rPr>
        <w:t xml:space="preserve">noted </w:t>
      </w:r>
      <w:r w:rsidR="00D714FA">
        <w:rPr>
          <w:rFonts w:asciiTheme="minorHAnsi" w:eastAsiaTheme="minorHAnsi" w:hAnsiTheme="minorHAnsi"/>
          <w:color w:val="auto"/>
          <w:szCs w:val="24"/>
        </w:rPr>
        <w:t>on non-musculoskeletal evaluations.  The Board considered that the VA exams all followed the CI’s injury and right shoulder disability which might remotely have changed his domin</w:t>
      </w:r>
      <w:r w:rsidR="00BF56E9">
        <w:rPr>
          <w:rFonts w:asciiTheme="minorHAnsi" w:eastAsiaTheme="minorHAnsi" w:hAnsiTheme="minorHAnsi"/>
          <w:color w:val="auto"/>
          <w:szCs w:val="24"/>
        </w:rPr>
        <w:t>ant</w:t>
      </w:r>
      <w:r w:rsidR="00D714FA">
        <w:rPr>
          <w:rFonts w:asciiTheme="minorHAnsi" w:eastAsiaTheme="minorHAnsi" w:hAnsiTheme="minorHAnsi"/>
          <w:color w:val="auto"/>
          <w:szCs w:val="24"/>
        </w:rPr>
        <w:t xml:space="preserve"> hand, or that the CI was ambidextrous.  The preponderance of the evidence led the Board to consider the CI left hand domin</w:t>
      </w:r>
      <w:r w:rsidR="00B74780">
        <w:rPr>
          <w:rFonts w:asciiTheme="minorHAnsi" w:eastAsiaTheme="minorHAnsi" w:hAnsiTheme="minorHAnsi"/>
          <w:color w:val="auto"/>
          <w:szCs w:val="24"/>
        </w:rPr>
        <w:t>ant</w:t>
      </w:r>
      <w:r w:rsidR="00D714FA">
        <w:rPr>
          <w:rFonts w:asciiTheme="minorHAnsi" w:eastAsiaTheme="minorHAnsi" w:hAnsiTheme="minorHAnsi"/>
          <w:color w:val="auto"/>
          <w:szCs w:val="24"/>
        </w:rPr>
        <w:t xml:space="preserve">.  </w:t>
      </w:r>
      <w:r w:rsidR="000C271A">
        <w:rPr>
          <w:rFonts w:asciiTheme="minorHAnsi" w:eastAsiaTheme="minorHAnsi" w:hAnsiTheme="minorHAnsi"/>
          <w:color w:val="auto"/>
          <w:szCs w:val="24"/>
        </w:rPr>
        <w:t xml:space="preserve">Therefore, </w:t>
      </w:r>
      <w:r w:rsidR="000C271A">
        <w:rPr>
          <w:rFonts w:asciiTheme="minorHAnsi" w:hAnsiTheme="minorHAnsi"/>
          <w:color w:val="auto"/>
          <w:szCs w:val="24"/>
        </w:rPr>
        <w:t>disability rating should be for the CI’s “</w:t>
      </w:r>
      <w:r w:rsidR="000C271A" w:rsidRPr="00774840">
        <w:rPr>
          <w:rFonts w:asciiTheme="minorHAnsi" w:hAnsiTheme="minorHAnsi"/>
          <w:color w:val="auto"/>
          <w:szCs w:val="24"/>
        </w:rPr>
        <w:t>Minor</w:t>
      </w:r>
      <w:r w:rsidR="000C271A">
        <w:rPr>
          <w:rFonts w:asciiTheme="minorHAnsi" w:hAnsiTheme="minorHAnsi"/>
          <w:color w:val="auto"/>
          <w:szCs w:val="24"/>
        </w:rPr>
        <w:t>”, or “non-domina</w:t>
      </w:r>
      <w:r w:rsidR="00BF56E9">
        <w:rPr>
          <w:rFonts w:asciiTheme="minorHAnsi" w:hAnsiTheme="minorHAnsi"/>
          <w:color w:val="auto"/>
          <w:szCs w:val="24"/>
        </w:rPr>
        <w:t>nt</w:t>
      </w:r>
      <w:r w:rsidR="000C271A">
        <w:rPr>
          <w:rFonts w:asciiTheme="minorHAnsi" w:hAnsiTheme="minorHAnsi"/>
          <w:color w:val="auto"/>
          <w:szCs w:val="24"/>
        </w:rPr>
        <w:t xml:space="preserve">” arm.  </w:t>
      </w:r>
      <w:r w:rsidR="00180D7D" w:rsidRPr="00A027B5">
        <w:rPr>
          <w:rFonts w:asciiTheme="minorHAnsi" w:eastAsiaTheme="minorHAnsi" w:hAnsiTheme="minorHAnsi"/>
          <w:color w:val="auto"/>
          <w:szCs w:val="24"/>
        </w:rPr>
        <w:t xml:space="preserve">There </w:t>
      </w:r>
      <w:r w:rsidR="00180D7D" w:rsidRPr="00061485">
        <w:rPr>
          <w:rFonts w:asciiTheme="minorHAnsi" w:eastAsiaTheme="minorHAnsi" w:hAnsiTheme="minorHAnsi"/>
          <w:color w:val="auto"/>
          <w:szCs w:val="24"/>
        </w:rPr>
        <w:t>were three range-</w:t>
      </w:r>
      <w:r w:rsidR="00180D7D" w:rsidRPr="00A027B5">
        <w:rPr>
          <w:rFonts w:asciiTheme="minorHAnsi" w:eastAsiaTheme="minorHAnsi" w:hAnsiTheme="minorHAnsi"/>
          <w:color w:val="auto"/>
          <w:szCs w:val="24"/>
        </w:rPr>
        <w:t xml:space="preserve">of-motion (ROM) evaluations in evidence which the Board weighed in arriving at its rating recommendation. </w:t>
      </w:r>
      <w:r w:rsidR="00180D7D">
        <w:rPr>
          <w:rFonts w:asciiTheme="minorHAnsi" w:eastAsiaTheme="minorHAnsi" w:hAnsiTheme="minorHAnsi"/>
          <w:color w:val="auto"/>
          <w:szCs w:val="24"/>
        </w:rPr>
        <w:t xml:space="preserve"> All</w:t>
      </w:r>
      <w:r w:rsidR="00180D7D" w:rsidRPr="00A027B5">
        <w:rPr>
          <w:rFonts w:asciiTheme="minorHAnsi" w:eastAsiaTheme="minorHAnsi" w:hAnsiTheme="minorHAnsi"/>
          <w:color w:val="auto"/>
          <w:szCs w:val="24"/>
        </w:rPr>
        <w:t xml:space="preserve"> of these exams are summarized in the chart below.</w:t>
      </w:r>
      <w:r w:rsidR="00180D7D">
        <w:rPr>
          <w:rFonts w:asciiTheme="minorHAnsi" w:eastAsiaTheme="minorHAnsi" w:hAnsiTheme="minorHAnsi"/>
          <w:color w:val="auto"/>
          <w:szCs w:val="24"/>
        </w:rPr>
        <w:t xml:space="preserve">   </w:t>
      </w:r>
    </w:p>
    <w:p w:rsidR="00180D7D" w:rsidRDefault="00180D7D" w:rsidP="006F52C9">
      <w:pPr>
        <w:tabs>
          <w:tab w:val="left" w:pos="288"/>
          <w:tab w:val="left" w:pos="4752"/>
        </w:tabs>
        <w:spacing w:line="240" w:lineRule="exact"/>
        <w:rPr>
          <w:rFonts w:asciiTheme="minorHAnsi" w:eastAsiaTheme="minorHAnsi" w:hAnsiTheme="minorHAnsi"/>
          <w:color w:val="auto"/>
          <w:szCs w:val="24"/>
        </w:rPr>
      </w:pPr>
    </w:p>
    <w:tbl>
      <w:tblPr>
        <w:tblW w:w="0" w:type="auto"/>
        <w:jc w:val="center"/>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752"/>
        <w:gridCol w:w="1890"/>
        <w:gridCol w:w="2880"/>
      </w:tblGrid>
      <w:tr w:rsidR="0085029E" w:rsidRPr="0079104E" w:rsidTr="000C271A">
        <w:trPr>
          <w:trHeight w:val="323"/>
          <w:jc w:val="center"/>
        </w:trPr>
        <w:tc>
          <w:tcPr>
            <w:tcW w:w="2257" w:type="dxa"/>
            <w:shd w:val="clear" w:color="auto" w:fill="D9D9D9" w:themeFill="background1" w:themeFillShade="D9"/>
          </w:tcPr>
          <w:p w:rsidR="0085029E" w:rsidRPr="00A027B5" w:rsidRDefault="00774840" w:rsidP="006F52C9">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 xml:space="preserve">Right </w:t>
            </w:r>
            <w:r w:rsidR="0085029E">
              <w:rPr>
                <w:rFonts w:asciiTheme="minorHAnsi" w:eastAsiaTheme="minorHAnsi" w:hAnsiTheme="minorHAnsi"/>
                <w:color w:val="auto"/>
                <w:szCs w:val="24"/>
              </w:rPr>
              <w:t>Shoulder ROM</w:t>
            </w:r>
          </w:p>
        </w:tc>
        <w:tc>
          <w:tcPr>
            <w:tcW w:w="1752" w:type="dxa"/>
            <w:shd w:val="clear" w:color="auto" w:fill="D9D9D9" w:themeFill="background1" w:themeFillShade="D9"/>
          </w:tcPr>
          <w:p w:rsidR="0085029E" w:rsidRPr="00A027B5" w:rsidRDefault="0085029E" w:rsidP="006F52C9">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 xml:space="preserve">PT - </w:t>
            </w:r>
            <w:r w:rsidRPr="00A027B5">
              <w:rPr>
                <w:rFonts w:asciiTheme="minorHAnsi" w:eastAsiaTheme="minorHAnsi" w:hAnsiTheme="minorHAnsi"/>
                <w:color w:val="auto"/>
                <w:szCs w:val="24"/>
              </w:rPr>
              <w:t>20060511</w:t>
            </w:r>
          </w:p>
        </w:tc>
        <w:tc>
          <w:tcPr>
            <w:tcW w:w="1890" w:type="dxa"/>
            <w:shd w:val="clear" w:color="auto" w:fill="D9D9D9" w:themeFill="background1" w:themeFillShade="D9"/>
          </w:tcPr>
          <w:p w:rsidR="0085029E" w:rsidRPr="00A027B5" w:rsidRDefault="0085029E" w:rsidP="0085029E">
            <w:pPr>
              <w:tabs>
                <w:tab w:val="left" w:pos="288"/>
                <w:tab w:val="left" w:pos="4752"/>
              </w:tabs>
              <w:spacing w:line="240" w:lineRule="exact"/>
              <w:jc w:val="center"/>
              <w:rPr>
                <w:rFonts w:asciiTheme="minorHAnsi" w:eastAsiaTheme="minorHAnsi" w:hAnsiTheme="minorHAnsi"/>
                <w:color w:val="auto"/>
                <w:szCs w:val="24"/>
              </w:rPr>
            </w:pPr>
            <w:r>
              <w:rPr>
                <w:rFonts w:asciiTheme="minorHAnsi" w:eastAsiaTheme="minorHAnsi" w:hAnsiTheme="minorHAnsi"/>
                <w:color w:val="auto"/>
                <w:szCs w:val="24"/>
              </w:rPr>
              <w:t>MEB - 20060622</w:t>
            </w:r>
          </w:p>
        </w:tc>
        <w:tc>
          <w:tcPr>
            <w:tcW w:w="2880" w:type="dxa"/>
            <w:shd w:val="clear" w:color="auto" w:fill="D9D9D9" w:themeFill="background1" w:themeFillShade="D9"/>
          </w:tcPr>
          <w:p w:rsidR="0085029E" w:rsidRPr="0079104E" w:rsidRDefault="0085029E" w:rsidP="006F52C9">
            <w:pPr>
              <w:tabs>
                <w:tab w:val="left" w:pos="288"/>
                <w:tab w:val="left" w:pos="4752"/>
              </w:tabs>
              <w:spacing w:line="240" w:lineRule="exact"/>
              <w:rPr>
                <w:rFonts w:asciiTheme="minorHAnsi" w:eastAsiaTheme="minorHAnsi" w:hAnsiTheme="minorHAnsi"/>
                <w:color w:val="auto"/>
                <w:szCs w:val="24"/>
              </w:rPr>
            </w:pPr>
            <w:r w:rsidRPr="0079104E">
              <w:rPr>
                <w:rFonts w:asciiTheme="minorHAnsi" w:eastAsiaTheme="minorHAnsi" w:hAnsiTheme="minorHAnsi"/>
                <w:color w:val="auto"/>
                <w:szCs w:val="24"/>
              </w:rPr>
              <w:t>VA - 20090114</w:t>
            </w:r>
          </w:p>
        </w:tc>
      </w:tr>
      <w:tr w:rsidR="0085029E" w:rsidRPr="00A027B5" w:rsidTr="000C271A">
        <w:trPr>
          <w:jc w:val="center"/>
        </w:trPr>
        <w:tc>
          <w:tcPr>
            <w:tcW w:w="2257" w:type="dxa"/>
          </w:tcPr>
          <w:p w:rsidR="0085029E" w:rsidRPr="00A027B5" w:rsidRDefault="0085029E" w:rsidP="006F52C9">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Flexion</w:t>
            </w:r>
          </w:p>
        </w:tc>
        <w:tc>
          <w:tcPr>
            <w:tcW w:w="1752"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60</w:t>
            </w:r>
            <w:r>
              <w:rPr>
                <w:rFonts w:asciiTheme="minorHAnsi" w:eastAsiaTheme="minorHAnsi" w:hAnsiTheme="minorHAnsi"/>
                <w:color w:val="auto"/>
                <w:szCs w:val="24"/>
              </w:rPr>
              <w:t>°</w:t>
            </w:r>
          </w:p>
        </w:tc>
        <w:tc>
          <w:tcPr>
            <w:tcW w:w="1890"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30°</w:t>
            </w:r>
          </w:p>
        </w:tc>
        <w:tc>
          <w:tcPr>
            <w:tcW w:w="2880"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40</w:t>
            </w:r>
            <w:r>
              <w:rPr>
                <w:rFonts w:asciiTheme="minorHAnsi" w:eastAsiaTheme="minorHAnsi" w:hAnsiTheme="minorHAnsi"/>
                <w:color w:val="auto"/>
                <w:szCs w:val="24"/>
              </w:rPr>
              <w:t xml:space="preserve">° </w:t>
            </w:r>
            <w:r w:rsidRPr="00A027B5">
              <w:rPr>
                <w:rFonts w:asciiTheme="minorHAnsi" w:eastAsiaTheme="minorHAnsi" w:hAnsiTheme="minorHAnsi"/>
                <w:color w:val="auto"/>
                <w:szCs w:val="24"/>
              </w:rPr>
              <w:t>w/pain</w:t>
            </w:r>
          </w:p>
        </w:tc>
      </w:tr>
      <w:tr w:rsidR="0085029E" w:rsidRPr="00A027B5" w:rsidTr="000C271A">
        <w:trPr>
          <w:trHeight w:val="323"/>
          <w:jc w:val="center"/>
        </w:trPr>
        <w:tc>
          <w:tcPr>
            <w:tcW w:w="2257"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Abduction</w:t>
            </w:r>
          </w:p>
        </w:tc>
        <w:tc>
          <w:tcPr>
            <w:tcW w:w="1752"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40</w:t>
            </w:r>
            <w:r>
              <w:rPr>
                <w:rFonts w:asciiTheme="minorHAnsi" w:eastAsiaTheme="minorHAnsi" w:hAnsiTheme="minorHAnsi"/>
                <w:color w:val="auto"/>
                <w:szCs w:val="24"/>
              </w:rPr>
              <w:t>°</w:t>
            </w:r>
          </w:p>
        </w:tc>
        <w:tc>
          <w:tcPr>
            <w:tcW w:w="1890"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47°</w:t>
            </w:r>
          </w:p>
        </w:tc>
        <w:tc>
          <w:tcPr>
            <w:tcW w:w="2880"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DD6C16">
              <w:rPr>
                <w:rFonts w:asciiTheme="minorHAnsi" w:eastAsiaTheme="minorHAnsi" w:hAnsiTheme="minorHAnsi"/>
                <w:color w:val="auto"/>
                <w:szCs w:val="24"/>
              </w:rPr>
              <w:t>30</w:t>
            </w:r>
            <w:r w:rsidRPr="000C271A">
              <w:rPr>
                <w:rFonts w:asciiTheme="minorHAnsi" w:eastAsiaTheme="minorHAnsi" w:hAnsiTheme="minorHAnsi"/>
                <w:b/>
                <w:color w:val="auto"/>
                <w:szCs w:val="24"/>
              </w:rPr>
              <w:t xml:space="preserve">° </w:t>
            </w:r>
            <w:r w:rsidRPr="00A027B5">
              <w:rPr>
                <w:rFonts w:asciiTheme="minorHAnsi" w:eastAsiaTheme="minorHAnsi" w:hAnsiTheme="minorHAnsi"/>
                <w:color w:val="auto"/>
                <w:szCs w:val="24"/>
              </w:rPr>
              <w:t>w/pain</w:t>
            </w:r>
          </w:p>
        </w:tc>
      </w:tr>
      <w:tr w:rsidR="0085029E" w:rsidRPr="00A027B5" w:rsidTr="000C271A">
        <w:trPr>
          <w:trHeight w:val="260"/>
          <w:jc w:val="center"/>
        </w:trPr>
        <w:tc>
          <w:tcPr>
            <w:tcW w:w="2257"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External Rotation</w:t>
            </w:r>
          </w:p>
        </w:tc>
        <w:tc>
          <w:tcPr>
            <w:tcW w:w="1752"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25</w:t>
            </w:r>
            <w:r>
              <w:rPr>
                <w:rFonts w:asciiTheme="minorHAnsi" w:eastAsiaTheme="minorHAnsi" w:hAnsiTheme="minorHAnsi"/>
                <w:color w:val="auto"/>
                <w:szCs w:val="24"/>
              </w:rPr>
              <w:t>°</w:t>
            </w:r>
          </w:p>
        </w:tc>
        <w:tc>
          <w:tcPr>
            <w:tcW w:w="1890"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33°</w:t>
            </w:r>
          </w:p>
        </w:tc>
        <w:tc>
          <w:tcPr>
            <w:tcW w:w="2880"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50</w:t>
            </w:r>
            <w:r>
              <w:rPr>
                <w:rFonts w:asciiTheme="minorHAnsi" w:eastAsiaTheme="minorHAnsi" w:hAnsiTheme="minorHAnsi"/>
                <w:color w:val="auto"/>
                <w:szCs w:val="24"/>
              </w:rPr>
              <w:t xml:space="preserve">° </w:t>
            </w:r>
            <w:r w:rsidRPr="00A027B5">
              <w:rPr>
                <w:rFonts w:asciiTheme="minorHAnsi" w:eastAsiaTheme="minorHAnsi" w:hAnsiTheme="minorHAnsi"/>
                <w:color w:val="auto"/>
                <w:szCs w:val="24"/>
              </w:rPr>
              <w:t>w/pain</w:t>
            </w:r>
          </w:p>
        </w:tc>
      </w:tr>
      <w:tr w:rsidR="0085029E" w:rsidRPr="00A027B5" w:rsidTr="000C271A">
        <w:trPr>
          <w:jc w:val="center"/>
        </w:trPr>
        <w:tc>
          <w:tcPr>
            <w:tcW w:w="2257"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Internal Rotation</w:t>
            </w:r>
          </w:p>
        </w:tc>
        <w:tc>
          <w:tcPr>
            <w:tcW w:w="1752"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25</w:t>
            </w:r>
            <w:r>
              <w:rPr>
                <w:rFonts w:asciiTheme="minorHAnsi" w:eastAsiaTheme="minorHAnsi" w:hAnsiTheme="minorHAnsi"/>
                <w:color w:val="auto"/>
                <w:szCs w:val="24"/>
              </w:rPr>
              <w:t>°</w:t>
            </w:r>
          </w:p>
        </w:tc>
        <w:tc>
          <w:tcPr>
            <w:tcW w:w="1890"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45°</w:t>
            </w:r>
          </w:p>
        </w:tc>
        <w:tc>
          <w:tcPr>
            <w:tcW w:w="2880"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A027B5">
              <w:rPr>
                <w:rFonts w:asciiTheme="minorHAnsi" w:eastAsiaTheme="minorHAnsi" w:hAnsiTheme="minorHAnsi"/>
                <w:color w:val="auto"/>
                <w:szCs w:val="24"/>
              </w:rPr>
              <w:t>90</w:t>
            </w:r>
            <w:r>
              <w:rPr>
                <w:rFonts w:asciiTheme="minorHAnsi" w:eastAsiaTheme="minorHAnsi" w:hAnsiTheme="minorHAnsi"/>
                <w:color w:val="auto"/>
                <w:szCs w:val="24"/>
              </w:rPr>
              <w:t xml:space="preserve">° </w:t>
            </w:r>
            <w:r w:rsidRPr="00A027B5">
              <w:rPr>
                <w:rFonts w:asciiTheme="minorHAnsi" w:eastAsiaTheme="minorHAnsi" w:hAnsiTheme="minorHAnsi"/>
                <w:color w:val="auto"/>
                <w:szCs w:val="24"/>
              </w:rPr>
              <w:t>w/pain</w:t>
            </w:r>
          </w:p>
        </w:tc>
      </w:tr>
      <w:tr w:rsidR="0085029E" w:rsidRPr="00A027B5" w:rsidTr="000C271A">
        <w:trPr>
          <w:jc w:val="center"/>
        </w:trPr>
        <w:tc>
          <w:tcPr>
            <w:tcW w:w="2257" w:type="dxa"/>
          </w:tcPr>
          <w:p w:rsidR="0085029E" w:rsidRPr="00A027B5" w:rsidRDefault="0085029E" w:rsidP="00F42492">
            <w:pPr>
              <w:tabs>
                <w:tab w:val="left" w:pos="288"/>
                <w:tab w:val="left" w:pos="4752"/>
              </w:tabs>
              <w:spacing w:line="240" w:lineRule="exact"/>
              <w:rPr>
                <w:rFonts w:asciiTheme="minorHAnsi" w:eastAsiaTheme="minorHAnsi" w:hAnsiTheme="minorHAnsi"/>
                <w:color w:val="auto"/>
                <w:szCs w:val="24"/>
              </w:rPr>
            </w:pPr>
            <w:r w:rsidRPr="006F52C9">
              <w:rPr>
                <w:rFonts w:asciiTheme="minorHAnsi" w:eastAsiaTheme="minorHAnsi" w:hAnsiTheme="minorHAnsi"/>
                <w:color w:val="auto"/>
                <w:szCs w:val="24"/>
              </w:rPr>
              <w:t>§4.71a Rating</w:t>
            </w:r>
          </w:p>
        </w:tc>
        <w:tc>
          <w:tcPr>
            <w:tcW w:w="1752" w:type="dxa"/>
          </w:tcPr>
          <w:p w:rsidR="0085029E" w:rsidRPr="00A027B5" w:rsidRDefault="00553C7F" w:rsidP="00F42492">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20%</w:t>
            </w:r>
          </w:p>
        </w:tc>
        <w:tc>
          <w:tcPr>
            <w:tcW w:w="1890" w:type="dxa"/>
          </w:tcPr>
          <w:p w:rsidR="0085029E" w:rsidRPr="00A027B5" w:rsidRDefault="000C271A" w:rsidP="00F42492">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2</w:t>
            </w:r>
            <w:r w:rsidR="00553C7F">
              <w:rPr>
                <w:rFonts w:asciiTheme="minorHAnsi" w:eastAsiaTheme="minorHAnsi" w:hAnsiTheme="minorHAnsi"/>
                <w:color w:val="auto"/>
                <w:szCs w:val="24"/>
              </w:rPr>
              <w:t>0%</w:t>
            </w:r>
          </w:p>
        </w:tc>
        <w:tc>
          <w:tcPr>
            <w:tcW w:w="2880" w:type="dxa"/>
          </w:tcPr>
          <w:p w:rsidR="0085029E" w:rsidRPr="00A027B5" w:rsidRDefault="00553C7F" w:rsidP="000C271A">
            <w:pPr>
              <w:tabs>
                <w:tab w:val="left" w:pos="288"/>
                <w:tab w:val="left" w:pos="4752"/>
              </w:tabs>
              <w:spacing w:line="240" w:lineRule="exact"/>
              <w:rPr>
                <w:rFonts w:asciiTheme="minorHAnsi" w:eastAsiaTheme="minorHAnsi" w:hAnsiTheme="minorHAnsi"/>
                <w:color w:val="auto"/>
                <w:szCs w:val="24"/>
              </w:rPr>
            </w:pPr>
            <w:r>
              <w:rPr>
                <w:rFonts w:asciiTheme="minorHAnsi" w:eastAsiaTheme="minorHAnsi" w:hAnsiTheme="minorHAnsi"/>
                <w:color w:val="auto"/>
                <w:szCs w:val="24"/>
              </w:rPr>
              <w:t>30%</w:t>
            </w:r>
            <w:r w:rsidR="00061485">
              <w:rPr>
                <w:rFonts w:asciiTheme="minorHAnsi" w:eastAsiaTheme="minorHAnsi" w:hAnsiTheme="minorHAnsi"/>
                <w:color w:val="auto"/>
                <w:szCs w:val="24"/>
              </w:rPr>
              <w:t>*</w:t>
            </w:r>
            <w:r w:rsidR="000C271A">
              <w:rPr>
                <w:rFonts w:asciiTheme="minorHAnsi" w:eastAsiaTheme="minorHAnsi" w:hAnsiTheme="minorHAnsi"/>
                <w:color w:val="auto"/>
                <w:szCs w:val="24"/>
              </w:rPr>
              <w:t xml:space="preserve"> (changed from 40%)</w:t>
            </w:r>
          </w:p>
        </w:tc>
      </w:tr>
    </w:tbl>
    <w:p w:rsidR="006F52C9" w:rsidRPr="0085029E" w:rsidRDefault="006F52C9" w:rsidP="002C6E5B">
      <w:pPr>
        <w:tabs>
          <w:tab w:val="left" w:pos="288"/>
          <w:tab w:val="left" w:pos="4752"/>
        </w:tabs>
        <w:spacing w:line="240" w:lineRule="exact"/>
        <w:jc w:val="both"/>
        <w:rPr>
          <w:rFonts w:asciiTheme="minorHAnsi" w:hAnsiTheme="minorHAnsi"/>
          <w:color w:val="auto"/>
          <w:szCs w:val="24"/>
        </w:rPr>
      </w:pPr>
    </w:p>
    <w:p w:rsidR="00D714FA" w:rsidRDefault="00553C7F" w:rsidP="0085029E">
      <w:pPr>
        <w:tabs>
          <w:tab w:val="left" w:pos="288"/>
          <w:tab w:val="left" w:pos="4752"/>
        </w:tabs>
        <w:spacing w:line="240" w:lineRule="exact"/>
        <w:rPr>
          <w:rFonts w:asciiTheme="minorHAnsi" w:hAnsiTheme="minorHAnsi"/>
          <w:color w:val="auto"/>
          <w:szCs w:val="24"/>
        </w:rPr>
      </w:pPr>
      <w:r w:rsidRPr="00553C7F">
        <w:rPr>
          <w:rFonts w:asciiTheme="minorHAnsi" w:hAnsiTheme="minorHAnsi"/>
          <w:color w:val="auto"/>
          <w:szCs w:val="24"/>
        </w:rPr>
        <w:t xml:space="preserve">The VA initial rating </w:t>
      </w:r>
      <w:r w:rsidR="00C0442D" w:rsidRPr="00553C7F">
        <w:rPr>
          <w:rFonts w:asciiTheme="minorHAnsi" w:hAnsiTheme="minorHAnsi"/>
          <w:color w:val="auto"/>
          <w:szCs w:val="24"/>
        </w:rPr>
        <w:t xml:space="preserve">of 40% </w:t>
      </w:r>
      <w:r w:rsidR="00C0442D">
        <w:rPr>
          <w:rFonts w:asciiTheme="minorHAnsi" w:hAnsiTheme="minorHAnsi"/>
          <w:color w:val="auto"/>
          <w:szCs w:val="24"/>
        </w:rPr>
        <w:t>coded 5201</w:t>
      </w:r>
      <w:r w:rsidR="00A00E75">
        <w:rPr>
          <w:rFonts w:asciiTheme="minorHAnsi" w:hAnsiTheme="minorHAnsi"/>
          <w:color w:val="auto"/>
          <w:szCs w:val="24"/>
        </w:rPr>
        <w:t xml:space="preserve"> </w:t>
      </w:r>
      <w:r w:rsidRPr="00553C7F">
        <w:rPr>
          <w:rFonts w:asciiTheme="minorHAnsi" w:hAnsiTheme="minorHAnsi"/>
          <w:color w:val="auto"/>
          <w:szCs w:val="24"/>
        </w:rPr>
        <w:t xml:space="preserve">relied exclusively on the MEB range of motion </w:t>
      </w:r>
      <w:r w:rsidR="000C271A" w:rsidRPr="00553C7F">
        <w:rPr>
          <w:rFonts w:asciiTheme="minorHAnsi" w:hAnsiTheme="minorHAnsi"/>
          <w:color w:val="auto"/>
          <w:szCs w:val="24"/>
        </w:rPr>
        <w:t xml:space="preserve">and exam </w:t>
      </w:r>
      <w:r w:rsidR="000C271A">
        <w:rPr>
          <w:rFonts w:asciiTheme="minorHAnsi" w:hAnsiTheme="minorHAnsi"/>
          <w:color w:val="auto"/>
          <w:szCs w:val="24"/>
        </w:rPr>
        <w:t xml:space="preserve">(20060622) </w:t>
      </w:r>
      <w:r w:rsidRPr="00553C7F">
        <w:rPr>
          <w:rFonts w:asciiTheme="minorHAnsi" w:hAnsiTheme="minorHAnsi"/>
          <w:color w:val="auto"/>
          <w:szCs w:val="24"/>
        </w:rPr>
        <w:t>as the C</w:t>
      </w:r>
      <w:r>
        <w:rPr>
          <w:rFonts w:asciiTheme="minorHAnsi" w:hAnsiTheme="minorHAnsi"/>
          <w:color w:val="auto"/>
          <w:szCs w:val="24"/>
        </w:rPr>
        <w:t xml:space="preserve">I did not show for his VA evaluation.  </w:t>
      </w:r>
      <w:r w:rsidR="00C0442D">
        <w:rPr>
          <w:rFonts w:asciiTheme="minorHAnsi" w:hAnsiTheme="minorHAnsi"/>
          <w:color w:val="auto"/>
          <w:szCs w:val="24"/>
        </w:rPr>
        <w:t>Independently rating this exam would be 20%; The VA 40% rating coded 5201 was the maximum 5201 rating for “Arm, limitation of motion to 25</w:t>
      </w:r>
      <w:r w:rsidR="00C0442D">
        <w:rPr>
          <w:rFonts w:asciiTheme="minorHAnsi" w:eastAsiaTheme="minorHAnsi" w:hAnsiTheme="minorHAnsi"/>
          <w:color w:val="auto"/>
          <w:szCs w:val="24"/>
        </w:rPr>
        <w:t xml:space="preserve">° from side” for “Major” or dominate arm.  The VA rating apparently equated the flexion limitation to abduction limitation.  </w:t>
      </w:r>
      <w:r w:rsidR="009D76A9">
        <w:rPr>
          <w:rFonts w:asciiTheme="minorHAnsi" w:hAnsiTheme="minorHAnsi"/>
          <w:color w:val="auto"/>
          <w:szCs w:val="24"/>
        </w:rPr>
        <w:t xml:space="preserve">The first VA evaluation for the right shoulder, over 2 years later, demonstrated </w:t>
      </w:r>
      <w:r w:rsidR="00180D7D">
        <w:rPr>
          <w:rFonts w:asciiTheme="minorHAnsi" w:hAnsiTheme="minorHAnsi"/>
          <w:color w:val="auto"/>
          <w:szCs w:val="24"/>
        </w:rPr>
        <w:t xml:space="preserve">essentially similar </w:t>
      </w:r>
      <w:r w:rsidR="009D76A9">
        <w:rPr>
          <w:rFonts w:asciiTheme="minorHAnsi" w:hAnsiTheme="minorHAnsi"/>
          <w:color w:val="auto"/>
          <w:szCs w:val="24"/>
        </w:rPr>
        <w:t>ROM</w:t>
      </w:r>
      <w:r w:rsidR="00D714FA">
        <w:rPr>
          <w:rFonts w:asciiTheme="minorHAnsi" w:hAnsiTheme="minorHAnsi"/>
          <w:color w:val="auto"/>
          <w:szCs w:val="24"/>
        </w:rPr>
        <w:t>s</w:t>
      </w:r>
      <w:r w:rsidR="009D76A9">
        <w:rPr>
          <w:rFonts w:asciiTheme="minorHAnsi" w:hAnsiTheme="minorHAnsi"/>
          <w:color w:val="auto"/>
          <w:szCs w:val="24"/>
        </w:rPr>
        <w:t xml:space="preserve"> </w:t>
      </w:r>
      <w:r w:rsidR="00D714FA">
        <w:rPr>
          <w:rFonts w:asciiTheme="minorHAnsi" w:hAnsiTheme="minorHAnsi"/>
          <w:color w:val="auto"/>
          <w:szCs w:val="24"/>
        </w:rPr>
        <w:t xml:space="preserve">with </w:t>
      </w:r>
      <w:r w:rsidR="009D76A9">
        <w:rPr>
          <w:rFonts w:asciiTheme="minorHAnsi" w:hAnsiTheme="minorHAnsi"/>
          <w:color w:val="auto"/>
          <w:szCs w:val="24"/>
        </w:rPr>
        <w:t>more extensive right upper extremity muscle and neurologic involvement</w:t>
      </w:r>
      <w:r w:rsidR="00D714FA">
        <w:rPr>
          <w:rFonts w:asciiTheme="minorHAnsi" w:hAnsiTheme="minorHAnsi"/>
          <w:color w:val="auto"/>
          <w:szCs w:val="24"/>
        </w:rPr>
        <w:t>/disability</w:t>
      </w:r>
      <w:r w:rsidR="00C0442D">
        <w:rPr>
          <w:rFonts w:asciiTheme="minorHAnsi" w:hAnsiTheme="minorHAnsi"/>
          <w:color w:val="auto"/>
          <w:szCs w:val="24"/>
        </w:rPr>
        <w:t xml:space="preserve"> and the </w:t>
      </w:r>
      <w:r w:rsidR="00D714FA">
        <w:rPr>
          <w:rFonts w:asciiTheme="minorHAnsi" w:hAnsiTheme="minorHAnsi"/>
          <w:color w:val="auto"/>
          <w:szCs w:val="24"/>
        </w:rPr>
        <w:t xml:space="preserve">changed </w:t>
      </w:r>
      <w:r w:rsidR="009D76A9">
        <w:rPr>
          <w:rFonts w:asciiTheme="minorHAnsi" w:hAnsiTheme="minorHAnsi"/>
          <w:color w:val="auto"/>
          <w:szCs w:val="24"/>
        </w:rPr>
        <w:t xml:space="preserve">VA rating </w:t>
      </w:r>
      <w:r w:rsidR="00C0442D">
        <w:rPr>
          <w:rFonts w:asciiTheme="minorHAnsi" w:hAnsiTheme="minorHAnsi"/>
          <w:color w:val="auto"/>
          <w:szCs w:val="24"/>
        </w:rPr>
        <w:t>to</w:t>
      </w:r>
      <w:r w:rsidR="009D76A9">
        <w:rPr>
          <w:rFonts w:asciiTheme="minorHAnsi" w:hAnsiTheme="minorHAnsi"/>
          <w:color w:val="auto"/>
          <w:szCs w:val="24"/>
        </w:rPr>
        <w:t xml:space="preserve"> 30% </w:t>
      </w:r>
      <w:r w:rsidR="00180D7D">
        <w:rPr>
          <w:rFonts w:asciiTheme="minorHAnsi" w:hAnsiTheme="minorHAnsi"/>
          <w:color w:val="auto"/>
          <w:szCs w:val="24"/>
        </w:rPr>
        <w:t xml:space="preserve">appeared </w:t>
      </w:r>
      <w:r w:rsidR="009D76A9">
        <w:rPr>
          <w:rFonts w:asciiTheme="minorHAnsi" w:hAnsiTheme="minorHAnsi"/>
          <w:color w:val="auto"/>
          <w:szCs w:val="24"/>
        </w:rPr>
        <w:t xml:space="preserve">due to recognition that the CI was left-hand </w:t>
      </w:r>
      <w:r w:rsidR="009D76A9" w:rsidRPr="00D714FA">
        <w:rPr>
          <w:rFonts w:asciiTheme="minorHAnsi" w:hAnsiTheme="minorHAnsi"/>
          <w:color w:val="auto"/>
          <w:szCs w:val="24"/>
        </w:rPr>
        <w:t>dominant</w:t>
      </w:r>
      <w:r w:rsidR="00C0442D">
        <w:rPr>
          <w:rFonts w:asciiTheme="minorHAnsi" w:hAnsiTheme="minorHAnsi"/>
          <w:color w:val="auto"/>
          <w:szCs w:val="24"/>
        </w:rPr>
        <w:t>.  The Board adjudged that t</w:t>
      </w:r>
      <w:r w:rsidR="00D714FA" w:rsidRPr="00D714FA">
        <w:rPr>
          <w:rFonts w:asciiTheme="minorHAnsi" w:eastAsiaTheme="minorHAnsi" w:hAnsiTheme="minorHAnsi"/>
          <w:color w:val="auto"/>
          <w:szCs w:val="24"/>
        </w:rPr>
        <w:t xml:space="preserve">he CI’s ROM </w:t>
      </w:r>
      <w:r w:rsidR="00180D7D">
        <w:rPr>
          <w:rFonts w:asciiTheme="minorHAnsi" w:eastAsiaTheme="minorHAnsi" w:hAnsiTheme="minorHAnsi"/>
          <w:color w:val="auto"/>
          <w:szCs w:val="24"/>
        </w:rPr>
        <w:t xml:space="preserve">proximate </w:t>
      </w:r>
      <w:r w:rsidR="00D714FA" w:rsidRPr="00D714FA">
        <w:rPr>
          <w:rFonts w:asciiTheme="minorHAnsi" w:eastAsiaTheme="minorHAnsi" w:hAnsiTheme="minorHAnsi"/>
          <w:color w:val="auto"/>
          <w:szCs w:val="24"/>
        </w:rPr>
        <w:t xml:space="preserve">to separation </w:t>
      </w:r>
      <w:r w:rsidR="00AB5263">
        <w:rPr>
          <w:rFonts w:asciiTheme="minorHAnsi" w:eastAsiaTheme="minorHAnsi" w:hAnsiTheme="minorHAnsi"/>
          <w:color w:val="auto"/>
          <w:szCs w:val="24"/>
        </w:rPr>
        <w:t>i</w:t>
      </w:r>
      <w:r w:rsidR="00D714FA">
        <w:rPr>
          <w:rFonts w:asciiTheme="minorHAnsi" w:hAnsiTheme="minorHAnsi"/>
          <w:color w:val="auto"/>
          <w:szCs w:val="24"/>
        </w:rPr>
        <w:t xml:space="preserve">ndicated the </w:t>
      </w:r>
      <w:r w:rsidR="00AB5263">
        <w:rPr>
          <w:rFonts w:asciiTheme="minorHAnsi" w:hAnsiTheme="minorHAnsi"/>
          <w:color w:val="auto"/>
          <w:szCs w:val="24"/>
        </w:rPr>
        <w:t xml:space="preserve">right </w:t>
      </w:r>
      <w:r w:rsidR="00D714FA">
        <w:rPr>
          <w:rFonts w:asciiTheme="minorHAnsi" w:hAnsiTheme="minorHAnsi"/>
          <w:color w:val="auto"/>
          <w:szCs w:val="24"/>
        </w:rPr>
        <w:t xml:space="preserve">shoulder ROM was </w:t>
      </w:r>
      <w:r w:rsidR="00180D7D">
        <w:rPr>
          <w:rFonts w:asciiTheme="minorHAnsi" w:hAnsiTheme="minorHAnsi"/>
          <w:color w:val="auto"/>
          <w:szCs w:val="24"/>
        </w:rPr>
        <w:t>greater than</w:t>
      </w:r>
      <w:r w:rsidR="00D714FA">
        <w:rPr>
          <w:rFonts w:asciiTheme="minorHAnsi" w:hAnsiTheme="minorHAnsi"/>
          <w:color w:val="auto"/>
          <w:szCs w:val="24"/>
        </w:rPr>
        <w:t xml:space="preserve"> “25° </w:t>
      </w:r>
      <w:r w:rsidR="00D714FA" w:rsidRPr="00D714FA">
        <w:rPr>
          <w:rFonts w:asciiTheme="minorHAnsi" w:hAnsiTheme="minorHAnsi"/>
          <w:color w:val="auto"/>
          <w:szCs w:val="24"/>
        </w:rPr>
        <w:t>from side</w:t>
      </w:r>
      <w:r w:rsidR="00180D7D">
        <w:rPr>
          <w:rFonts w:asciiTheme="minorHAnsi" w:hAnsiTheme="minorHAnsi"/>
          <w:color w:val="auto"/>
          <w:szCs w:val="24"/>
        </w:rPr>
        <w:t>” and</w:t>
      </w:r>
      <w:r w:rsidR="00D714FA">
        <w:rPr>
          <w:rFonts w:asciiTheme="minorHAnsi" w:hAnsiTheme="minorHAnsi"/>
          <w:color w:val="auto"/>
          <w:szCs w:val="24"/>
        </w:rPr>
        <w:t xml:space="preserve"> </w:t>
      </w:r>
      <w:r w:rsidR="000C271A">
        <w:rPr>
          <w:rFonts w:asciiTheme="minorHAnsi" w:hAnsiTheme="minorHAnsi"/>
          <w:color w:val="auto"/>
          <w:szCs w:val="24"/>
        </w:rPr>
        <w:t xml:space="preserve">closest to </w:t>
      </w:r>
      <w:r w:rsidR="00D714FA">
        <w:rPr>
          <w:rFonts w:asciiTheme="minorHAnsi" w:hAnsiTheme="minorHAnsi"/>
          <w:color w:val="auto"/>
          <w:szCs w:val="24"/>
        </w:rPr>
        <w:t>“M</w:t>
      </w:r>
      <w:r w:rsidR="00D714FA" w:rsidRPr="00D714FA">
        <w:rPr>
          <w:rFonts w:asciiTheme="minorHAnsi" w:hAnsiTheme="minorHAnsi"/>
          <w:color w:val="auto"/>
          <w:szCs w:val="24"/>
        </w:rPr>
        <w:t>idway between side and shoulder level</w:t>
      </w:r>
      <w:r w:rsidR="00D714FA">
        <w:rPr>
          <w:rFonts w:asciiTheme="minorHAnsi" w:hAnsiTheme="minorHAnsi"/>
          <w:color w:val="auto"/>
          <w:szCs w:val="24"/>
        </w:rPr>
        <w:t xml:space="preserve">.”  </w:t>
      </w:r>
      <w:r w:rsidR="00D714FA" w:rsidRPr="00D714FA">
        <w:rPr>
          <w:rFonts w:asciiTheme="minorHAnsi" w:hAnsiTheme="minorHAnsi"/>
          <w:color w:val="auto"/>
          <w:szCs w:val="24"/>
        </w:rPr>
        <w:t xml:space="preserve">After due deliberation, </w:t>
      </w:r>
      <w:r w:rsidR="00D714FA" w:rsidRPr="00D714FA">
        <w:rPr>
          <w:rFonts w:asciiTheme="minorHAnsi" w:hAnsiTheme="minorHAnsi"/>
          <w:color w:val="auto"/>
          <w:szCs w:val="24"/>
        </w:rPr>
        <w:lastRenderedPageBreak/>
        <w:t xml:space="preserve">the Board agreed that a permanent </w:t>
      </w:r>
      <w:r w:rsidR="00D714FA">
        <w:rPr>
          <w:rFonts w:asciiTheme="minorHAnsi" w:hAnsiTheme="minorHAnsi"/>
          <w:color w:val="auto"/>
          <w:szCs w:val="24"/>
        </w:rPr>
        <w:t>right shoulder</w:t>
      </w:r>
      <w:r w:rsidR="00D714FA" w:rsidRPr="00D714FA">
        <w:rPr>
          <w:rFonts w:asciiTheme="minorHAnsi" w:hAnsiTheme="minorHAnsi"/>
          <w:color w:val="auto"/>
          <w:szCs w:val="24"/>
        </w:rPr>
        <w:t xml:space="preserve"> rating of </w:t>
      </w:r>
      <w:r w:rsidR="00180D7D">
        <w:rPr>
          <w:rFonts w:asciiTheme="minorHAnsi" w:hAnsiTheme="minorHAnsi"/>
          <w:color w:val="auto"/>
          <w:szCs w:val="24"/>
        </w:rPr>
        <w:t>2</w:t>
      </w:r>
      <w:r w:rsidR="00D714FA" w:rsidRPr="00D714FA">
        <w:rPr>
          <w:rFonts w:asciiTheme="minorHAnsi" w:hAnsiTheme="minorHAnsi"/>
          <w:color w:val="auto"/>
          <w:szCs w:val="24"/>
        </w:rPr>
        <w:t xml:space="preserve">0% </w:t>
      </w:r>
      <w:r w:rsidR="00D714FA" w:rsidRPr="00AB5263">
        <w:rPr>
          <w:rFonts w:asciiTheme="minorHAnsi" w:hAnsiTheme="minorHAnsi"/>
          <w:color w:val="auto"/>
          <w:szCs w:val="24"/>
        </w:rPr>
        <w:t xml:space="preserve">coded 5201 </w:t>
      </w:r>
      <w:r w:rsidR="00AB5263" w:rsidRPr="00AB5263">
        <w:rPr>
          <w:rFonts w:asciiTheme="minorHAnsi" w:hAnsiTheme="minorHAnsi"/>
          <w:color w:val="auto"/>
          <w:szCs w:val="24"/>
        </w:rPr>
        <w:t xml:space="preserve">IAW </w:t>
      </w:r>
      <w:r w:rsidR="00AB5263" w:rsidRPr="00AB5263">
        <w:rPr>
          <w:rFonts w:asciiTheme="minorHAnsi" w:eastAsiaTheme="minorHAnsi" w:hAnsiTheme="minorHAnsi"/>
          <w:color w:val="auto"/>
          <w:szCs w:val="24"/>
        </w:rPr>
        <w:t xml:space="preserve">§4.71a </w:t>
      </w:r>
      <w:r w:rsidR="00D714FA" w:rsidRPr="00AB5263">
        <w:rPr>
          <w:rFonts w:asciiTheme="minorHAnsi" w:hAnsiTheme="minorHAnsi"/>
          <w:color w:val="auto"/>
          <w:szCs w:val="24"/>
        </w:rPr>
        <w:t>is the most</w:t>
      </w:r>
      <w:r w:rsidR="00D714FA" w:rsidRPr="00D714FA">
        <w:rPr>
          <w:rFonts w:asciiTheme="minorHAnsi" w:hAnsiTheme="minorHAnsi"/>
          <w:color w:val="auto"/>
          <w:szCs w:val="24"/>
        </w:rPr>
        <w:t xml:space="preserve"> representative of impairment and a fair recommendation in this case.</w:t>
      </w:r>
      <w:r w:rsidR="00AB5263">
        <w:rPr>
          <w:rFonts w:asciiTheme="minorHAnsi" w:hAnsiTheme="minorHAnsi"/>
          <w:color w:val="auto"/>
          <w:szCs w:val="24"/>
        </w:rPr>
        <w:t xml:space="preserve">  </w:t>
      </w:r>
    </w:p>
    <w:p w:rsidR="00AB5263" w:rsidRDefault="00AB5263" w:rsidP="0085029E">
      <w:pPr>
        <w:tabs>
          <w:tab w:val="left" w:pos="288"/>
          <w:tab w:val="left" w:pos="4752"/>
        </w:tabs>
        <w:spacing w:line="240" w:lineRule="exact"/>
        <w:rPr>
          <w:rFonts w:asciiTheme="minorHAnsi" w:hAnsiTheme="minorHAnsi"/>
          <w:color w:val="auto"/>
          <w:szCs w:val="24"/>
          <w:highlight w:val="yellow"/>
        </w:rPr>
      </w:pPr>
    </w:p>
    <w:p w:rsidR="005D6C2E" w:rsidRDefault="00180D7D" w:rsidP="0085029E">
      <w:pPr>
        <w:tabs>
          <w:tab w:val="left" w:pos="288"/>
          <w:tab w:val="left" w:pos="4752"/>
        </w:tabs>
        <w:spacing w:line="240" w:lineRule="exact"/>
        <w:rPr>
          <w:rFonts w:asciiTheme="minorHAnsi" w:hAnsiTheme="minorHAnsi"/>
          <w:color w:val="auto"/>
          <w:szCs w:val="24"/>
          <w:highlight w:val="yellow"/>
        </w:rPr>
      </w:pPr>
      <w:r>
        <w:rPr>
          <w:rFonts w:asciiTheme="minorHAnsi" w:hAnsiTheme="minorHAnsi"/>
          <w:color w:val="auto"/>
          <w:szCs w:val="24"/>
          <w:u w:val="single"/>
        </w:rPr>
        <w:t xml:space="preserve">Other DA </w:t>
      </w:r>
      <w:r w:rsidR="00084ABB">
        <w:rPr>
          <w:rFonts w:asciiTheme="minorHAnsi" w:hAnsiTheme="minorHAnsi"/>
          <w:color w:val="auto"/>
          <w:szCs w:val="24"/>
          <w:u w:val="single"/>
        </w:rPr>
        <w:t xml:space="preserve">Form </w:t>
      </w:r>
      <w:r>
        <w:rPr>
          <w:rFonts w:asciiTheme="minorHAnsi" w:hAnsiTheme="minorHAnsi"/>
          <w:color w:val="auto"/>
          <w:szCs w:val="24"/>
          <w:u w:val="single"/>
        </w:rPr>
        <w:t>3947 Condition</w:t>
      </w:r>
      <w:r w:rsidRPr="00A027B5">
        <w:rPr>
          <w:rFonts w:asciiTheme="minorHAnsi" w:hAnsiTheme="minorHAnsi"/>
          <w:color w:val="auto"/>
          <w:szCs w:val="24"/>
          <w:u w:val="single"/>
        </w:rPr>
        <w:t xml:space="preserve"> </w:t>
      </w:r>
      <w:r>
        <w:rPr>
          <w:rFonts w:asciiTheme="minorHAnsi" w:hAnsiTheme="minorHAnsi"/>
          <w:color w:val="auto"/>
          <w:szCs w:val="24"/>
          <w:u w:val="single"/>
        </w:rPr>
        <w:t>(</w:t>
      </w:r>
      <w:r w:rsidR="005D6C2E" w:rsidRPr="005D6C2E">
        <w:rPr>
          <w:rFonts w:asciiTheme="minorHAnsi" w:hAnsiTheme="minorHAnsi"/>
          <w:color w:val="auto"/>
          <w:szCs w:val="24"/>
          <w:u w:val="single"/>
        </w:rPr>
        <w:t>Anxiety Disorder</w:t>
      </w:r>
      <w:r>
        <w:rPr>
          <w:rFonts w:asciiTheme="minorHAnsi" w:hAnsiTheme="minorHAnsi"/>
          <w:color w:val="auto"/>
          <w:szCs w:val="24"/>
          <w:u w:val="single"/>
        </w:rPr>
        <w:t>)</w:t>
      </w:r>
      <w:r w:rsidR="005D6C2E" w:rsidRPr="005D6C2E">
        <w:rPr>
          <w:rFonts w:asciiTheme="minorHAnsi" w:hAnsiTheme="minorHAnsi"/>
          <w:color w:val="auto"/>
          <w:szCs w:val="24"/>
        </w:rPr>
        <w:t xml:space="preserve">.  </w:t>
      </w:r>
      <w:r w:rsidR="00E13600">
        <w:rPr>
          <w:rFonts w:asciiTheme="minorHAnsi" w:hAnsiTheme="minorHAnsi"/>
          <w:color w:val="auto"/>
          <w:szCs w:val="24"/>
        </w:rPr>
        <w:t xml:space="preserve">There was a psychiatric addendum indicating the CI was initially diagnosed with adjustment disorder with anxiety due to his IED exposure.  </w:t>
      </w:r>
      <w:r w:rsidR="008549A8">
        <w:rPr>
          <w:rFonts w:asciiTheme="minorHAnsi" w:hAnsiTheme="minorHAnsi"/>
          <w:color w:val="auto"/>
          <w:szCs w:val="24"/>
        </w:rPr>
        <w:t xml:space="preserve">The diagnosis was changed </w:t>
      </w:r>
      <w:r w:rsidR="000C271A">
        <w:rPr>
          <w:rFonts w:asciiTheme="minorHAnsi" w:hAnsiTheme="minorHAnsi"/>
          <w:color w:val="auto"/>
          <w:szCs w:val="24"/>
        </w:rPr>
        <w:t xml:space="preserve">to </w:t>
      </w:r>
      <w:r w:rsidR="00084ABB">
        <w:rPr>
          <w:rFonts w:asciiTheme="minorHAnsi" w:hAnsiTheme="minorHAnsi"/>
          <w:color w:val="auto"/>
          <w:szCs w:val="24"/>
        </w:rPr>
        <w:t>An</w:t>
      </w:r>
      <w:r w:rsidR="000C271A">
        <w:rPr>
          <w:rFonts w:asciiTheme="minorHAnsi" w:hAnsiTheme="minorHAnsi"/>
          <w:color w:val="auto"/>
          <w:szCs w:val="24"/>
        </w:rPr>
        <w:t>xiety</w:t>
      </w:r>
      <w:r w:rsidR="008549A8">
        <w:rPr>
          <w:rFonts w:asciiTheme="minorHAnsi" w:hAnsiTheme="minorHAnsi"/>
          <w:color w:val="auto"/>
          <w:szCs w:val="24"/>
        </w:rPr>
        <w:t xml:space="preserve"> </w:t>
      </w:r>
      <w:r w:rsidR="00084ABB">
        <w:rPr>
          <w:rFonts w:asciiTheme="minorHAnsi" w:hAnsiTheme="minorHAnsi"/>
          <w:color w:val="auto"/>
          <w:szCs w:val="24"/>
        </w:rPr>
        <w:t>D</w:t>
      </w:r>
      <w:r w:rsidR="008549A8">
        <w:rPr>
          <w:rFonts w:asciiTheme="minorHAnsi" w:hAnsiTheme="minorHAnsi"/>
          <w:color w:val="auto"/>
          <w:szCs w:val="24"/>
        </w:rPr>
        <w:t>isorder and t</w:t>
      </w:r>
      <w:r w:rsidR="00E13600">
        <w:rPr>
          <w:rFonts w:asciiTheme="minorHAnsi" w:hAnsiTheme="minorHAnsi"/>
          <w:color w:val="auto"/>
          <w:szCs w:val="24"/>
        </w:rPr>
        <w:t>he CI underwent several group sessions and medical management was ongoing.  The examiner stated “</w:t>
      </w:r>
      <w:r w:rsidR="00E13600" w:rsidRPr="00E13600">
        <w:rPr>
          <w:rFonts w:asciiTheme="minorHAnsi" w:hAnsiTheme="minorHAnsi"/>
          <w:color w:val="auto"/>
          <w:szCs w:val="24"/>
        </w:rPr>
        <w:t>He is reporting resolution of his initial symptoms on the current</w:t>
      </w:r>
      <w:r w:rsidR="00E13600">
        <w:rPr>
          <w:rFonts w:asciiTheme="minorHAnsi" w:hAnsiTheme="minorHAnsi"/>
          <w:color w:val="auto"/>
          <w:szCs w:val="24"/>
        </w:rPr>
        <w:t xml:space="preserve"> </w:t>
      </w:r>
      <w:r w:rsidR="008549A8">
        <w:rPr>
          <w:rFonts w:asciiTheme="minorHAnsi" w:hAnsiTheme="minorHAnsi"/>
          <w:color w:val="auto"/>
          <w:szCs w:val="24"/>
        </w:rPr>
        <w:t>medications,</w:t>
      </w:r>
      <w:r w:rsidR="00E13600">
        <w:rPr>
          <w:rFonts w:asciiTheme="minorHAnsi" w:hAnsiTheme="minorHAnsi"/>
          <w:color w:val="auto"/>
          <w:szCs w:val="24"/>
        </w:rPr>
        <w:t xml:space="preserve">” </w:t>
      </w:r>
      <w:r w:rsidR="008549A8">
        <w:rPr>
          <w:rFonts w:asciiTheme="minorHAnsi" w:hAnsiTheme="minorHAnsi"/>
          <w:color w:val="auto"/>
          <w:szCs w:val="24"/>
        </w:rPr>
        <w:t>a</w:t>
      </w:r>
      <w:r w:rsidR="00E13600">
        <w:rPr>
          <w:rFonts w:asciiTheme="minorHAnsi" w:hAnsiTheme="minorHAnsi"/>
          <w:color w:val="auto"/>
          <w:szCs w:val="24"/>
        </w:rPr>
        <w:t xml:space="preserve">nd indicated </w:t>
      </w:r>
      <w:r w:rsidR="008549A8">
        <w:rPr>
          <w:rFonts w:asciiTheme="minorHAnsi" w:hAnsiTheme="minorHAnsi"/>
          <w:color w:val="auto"/>
          <w:szCs w:val="24"/>
        </w:rPr>
        <w:t>that the CI</w:t>
      </w:r>
      <w:r w:rsidR="00E13600">
        <w:rPr>
          <w:rFonts w:asciiTheme="minorHAnsi" w:hAnsiTheme="minorHAnsi"/>
          <w:color w:val="auto"/>
          <w:szCs w:val="24"/>
        </w:rPr>
        <w:t xml:space="preserve"> met AR 40-501 standards and had an S-1 profile.  There was no mention in the Commander’s statement related to any mental health condition.  VA examination 20071108 indicated a diagnosis of Post-Traumatic Stress Disorder (PTSD).  The CI was fully employed for the last 15 months and had minor symptoms on medication. There was a dis</w:t>
      </w:r>
      <w:r w:rsidR="00BE5996">
        <w:rPr>
          <w:rFonts w:asciiTheme="minorHAnsi" w:hAnsiTheme="minorHAnsi"/>
          <w:color w:val="auto"/>
          <w:szCs w:val="24"/>
        </w:rPr>
        <w:t>parity</w:t>
      </w:r>
      <w:r w:rsidR="00E13600">
        <w:rPr>
          <w:rFonts w:asciiTheme="minorHAnsi" w:hAnsiTheme="minorHAnsi"/>
          <w:color w:val="auto"/>
          <w:szCs w:val="24"/>
        </w:rPr>
        <w:t xml:space="preserve"> between the bulk of the exam narrative and the summary indicating global functioning in the very serious range (GAF=40) and a statement of “</w:t>
      </w:r>
      <w:r w:rsidR="00E13600" w:rsidRPr="00E13600">
        <w:rPr>
          <w:rFonts w:asciiTheme="minorHAnsi" w:hAnsiTheme="minorHAnsi"/>
          <w:color w:val="auto"/>
          <w:szCs w:val="24"/>
        </w:rPr>
        <w:t>This pt. is having almost constant severe symptoms and is in need</w:t>
      </w:r>
      <w:r w:rsidR="00E13600">
        <w:rPr>
          <w:rFonts w:asciiTheme="minorHAnsi" w:hAnsiTheme="minorHAnsi"/>
          <w:color w:val="auto"/>
          <w:szCs w:val="24"/>
        </w:rPr>
        <w:t xml:space="preserve"> </w:t>
      </w:r>
      <w:r w:rsidR="00E13600" w:rsidRPr="00E13600">
        <w:rPr>
          <w:rFonts w:asciiTheme="minorHAnsi" w:hAnsiTheme="minorHAnsi"/>
          <w:color w:val="auto"/>
          <w:szCs w:val="24"/>
        </w:rPr>
        <w:t>of intensive treatment.</w:t>
      </w:r>
      <w:r w:rsidR="00E13600">
        <w:rPr>
          <w:rFonts w:asciiTheme="minorHAnsi" w:hAnsiTheme="minorHAnsi"/>
          <w:color w:val="auto"/>
          <w:szCs w:val="24"/>
        </w:rPr>
        <w:t>”  The VA rated this exam at 10%</w:t>
      </w:r>
      <w:r w:rsidR="008549A8">
        <w:rPr>
          <w:rFonts w:asciiTheme="minorHAnsi" w:hAnsiTheme="minorHAnsi"/>
          <w:color w:val="auto"/>
          <w:szCs w:val="24"/>
        </w:rPr>
        <w:t xml:space="preserve">.  There is no indication that any mental health symptoms rose to the level of being unfitting at the time of separation.  </w:t>
      </w:r>
      <w:r w:rsidR="005D6C2E" w:rsidRPr="005D6C2E">
        <w:rPr>
          <w:rFonts w:asciiTheme="minorHAnsi" w:hAnsiTheme="minorHAnsi"/>
          <w:color w:val="auto"/>
          <w:szCs w:val="24"/>
        </w:rPr>
        <w:t>All evidence considered</w:t>
      </w:r>
      <w:proofErr w:type="gramStart"/>
      <w:r w:rsidR="005D6C2E" w:rsidRPr="005D6C2E">
        <w:rPr>
          <w:rFonts w:asciiTheme="minorHAnsi" w:hAnsiTheme="minorHAnsi"/>
          <w:color w:val="auto"/>
          <w:szCs w:val="24"/>
        </w:rPr>
        <w:t>,</w:t>
      </w:r>
      <w:proofErr w:type="gramEnd"/>
      <w:r w:rsidR="005D6C2E" w:rsidRPr="005D6C2E">
        <w:rPr>
          <w:rFonts w:asciiTheme="minorHAnsi" w:hAnsiTheme="minorHAnsi"/>
          <w:color w:val="auto"/>
          <w:szCs w:val="24"/>
        </w:rPr>
        <w:t xml:space="preserve"> there is not reasonable doubt in the CI’s favor supporting </w:t>
      </w:r>
      <w:proofErr w:type="spellStart"/>
      <w:r w:rsidR="005D6C2E" w:rsidRPr="005D6C2E">
        <w:rPr>
          <w:rFonts w:asciiTheme="minorHAnsi" w:hAnsiTheme="minorHAnsi"/>
          <w:color w:val="auto"/>
          <w:szCs w:val="24"/>
        </w:rPr>
        <w:t>recharacterization</w:t>
      </w:r>
      <w:proofErr w:type="spellEnd"/>
      <w:r w:rsidR="005D6C2E" w:rsidRPr="005D6C2E">
        <w:rPr>
          <w:rFonts w:asciiTheme="minorHAnsi" w:hAnsiTheme="minorHAnsi"/>
          <w:color w:val="auto"/>
          <w:szCs w:val="24"/>
        </w:rPr>
        <w:t xml:space="preserve"> of the PEB fitness adjudication for the </w:t>
      </w:r>
      <w:r w:rsidR="00084ABB">
        <w:rPr>
          <w:rFonts w:asciiTheme="minorHAnsi" w:hAnsiTheme="minorHAnsi"/>
          <w:color w:val="auto"/>
          <w:szCs w:val="24"/>
        </w:rPr>
        <w:t>Anxiety D</w:t>
      </w:r>
      <w:r w:rsidR="005D6C2E">
        <w:rPr>
          <w:rFonts w:asciiTheme="minorHAnsi" w:hAnsiTheme="minorHAnsi"/>
          <w:color w:val="auto"/>
          <w:szCs w:val="24"/>
        </w:rPr>
        <w:t>isorder</w:t>
      </w:r>
      <w:r w:rsidR="005D6C2E" w:rsidRPr="005D6C2E">
        <w:rPr>
          <w:rFonts w:asciiTheme="minorHAnsi" w:hAnsiTheme="minorHAnsi"/>
          <w:color w:val="auto"/>
          <w:szCs w:val="24"/>
        </w:rPr>
        <w:t xml:space="preserve"> condition.</w:t>
      </w:r>
    </w:p>
    <w:p w:rsidR="005D6C2E" w:rsidRDefault="005D6C2E" w:rsidP="0085029E">
      <w:pPr>
        <w:tabs>
          <w:tab w:val="left" w:pos="288"/>
          <w:tab w:val="left" w:pos="4752"/>
        </w:tabs>
        <w:spacing w:line="240" w:lineRule="exact"/>
        <w:rPr>
          <w:rFonts w:asciiTheme="minorHAnsi" w:hAnsiTheme="minorHAnsi"/>
          <w:color w:val="auto"/>
          <w:szCs w:val="24"/>
          <w:highlight w:val="yellow"/>
        </w:rPr>
      </w:pPr>
    </w:p>
    <w:p w:rsidR="000C271A" w:rsidRDefault="00AB5263" w:rsidP="00AB73BA">
      <w:pPr>
        <w:tabs>
          <w:tab w:val="left" w:pos="288"/>
          <w:tab w:val="left" w:pos="4752"/>
        </w:tabs>
        <w:spacing w:line="240" w:lineRule="exact"/>
        <w:rPr>
          <w:rFonts w:asciiTheme="minorHAnsi" w:hAnsiTheme="minorHAnsi"/>
          <w:color w:val="auto"/>
          <w:szCs w:val="24"/>
        </w:rPr>
      </w:pPr>
      <w:r w:rsidRPr="00A027B5">
        <w:rPr>
          <w:rFonts w:asciiTheme="minorHAnsi" w:hAnsiTheme="minorHAnsi"/>
          <w:color w:val="auto"/>
          <w:szCs w:val="24"/>
          <w:u w:val="single"/>
        </w:rPr>
        <w:t>Other Conditions (</w:t>
      </w:r>
      <w:r w:rsidR="000C271A">
        <w:rPr>
          <w:rFonts w:asciiTheme="minorHAnsi" w:hAnsiTheme="minorHAnsi"/>
          <w:color w:val="auto"/>
          <w:szCs w:val="24"/>
          <w:u w:val="single"/>
        </w:rPr>
        <w:t xml:space="preserve">Lower Back, </w:t>
      </w:r>
      <w:r w:rsidR="00114D2D" w:rsidRPr="00114D2D">
        <w:rPr>
          <w:rFonts w:asciiTheme="minorHAnsi" w:hAnsiTheme="minorHAnsi"/>
          <w:color w:val="auto"/>
          <w:szCs w:val="24"/>
          <w:u w:val="single"/>
        </w:rPr>
        <w:t xml:space="preserve">Right </w:t>
      </w:r>
      <w:r w:rsidR="00114D2D">
        <w:rPr>
          <w:rFonts w:asciiTheme="minorHAnsi" w:hAnsiTheme="minorHAnsi"/>
          <w:color w:val="auto"/>
          <w:szCs w:val="24"/>
          <w:u w:val="single"/>
        </w:rPr>
        <w:t>U</w:t>
      </w:r>
      <w:r w:rsidR="00114D2D" w:rsidRPr="00114D2D">
        <w:rPr>
          <w:rFonts w:asciiTheme="minorHAnsi" w:hAnsiTheme="minorHAnsi"/>
          <w:color w:val="auto"/>
          <w:szCs w:val="24"/>
          <w:u w:val="single"/>
        </w:rPr>
        <w:t xml:space="preserve">pper Arm Muscle Injury </w:t>
      </w:r>
      <w:r w:rsidR="00114D2D">
        <w:rPr>
          <w:rFonts w:asciiTheme="minorHAnsi" w:hAnsiTheme="minorHAnsi"/>
          <w:color w:val="auto"/>
          <w:szCs w:val="24"/>
          <w:u w:val="single"/>
        </w:rPr>
        <w:t>[</w:t>
      </w:r>
      <w:r w:rsidR="00114D2D" w:rsidRPr="00114D2D">
        <w:rPr>
          <w:rFonts w:asciiTheme="minorHAnsi" w:hAnsiTheme="minorHAnsi"/>
          <w:color w:val="auto"/>
          <w:szCs w:val="24"/>
          <w:u w:val="single"/>
        </w:rPr>
        <w:t>Right</w:t>
      </w:r>
      <w:r w:rsidR="00114D2D" w:rsidRPr="000C271A">
        <w:rPr>
          <w:rFonts w:asciiTheme="minorHAnsi" w:hAnsiTheme="minorHAnsi"/>
          <w:color w:val="auto"/>
          <w:szCs w:val="24"/>
          <w:u w:val="single"/>
        </w:rPr>
        <w:t xml:space="preserve"> Elbow and Right Arm Nerves</w:t>
      </w:r>
      <w:r w:rsidR="00114D2D">
        <w:rPr>
          <w:rFonts w:asciiTheme="minorHAnsi" w:hAnsiTheme="minorHAnsi"/>
          <w:color w:val="auto"/>
          <w:szCs w:val="24"/>
          <w:u w:val="single"/>
        </w:rPr>
        <w:t>]</w:t>
      </w:r>
      <w:r w:rsidRPr="00A027B5">
        <w:rPr>
          <w:rFonts w:asciiTheme="minorHAnsi" w:hAnsiTheme="minorHAnsi"/>
          <w:color w:val="auto"/>
          <w:szCs w:val="24"/>
          <w:u w:val="single"/>
        </w:rPr>
        <w:t>)</w:t>
      </w:r>
      <w:r w:rsidRPr="00A027B5">
        <w:rPr>
          <w:rFonts w:asciiTheme="minorHAnsi" w:hAnsiTheme="minorHAnsi"/>
          <w:color w:val="auto"/>
          <w:szCs w:val="24"/>
        </w:rPr>
        <w:t xml:space="preserve">.  </w:t>
      </w:r>
      <w:r w:rsidR="000C271A">
        <w:rPr>
          <w:rFonts w:asciiTheme="minorHAnsi" w:eastAsiaTheme="minorHAnsi" w:hAnsiTheme="minorHAnsi"/>
          <w:color w:val="auto"/>
          <w:szCs w:val="24"/>
        </w:rPr>
        <w:t xml:space="preserve">The lower back condition was not noted in the Commanders statement or profile as interfering with duty performance.  There was a NARSUM MEB Addendum specific to the lower back condition demonstrating pain limited flexion to 85°/combined 185°.  Spasm and tenderness were noted with normal gait.  Motor and neurologic exams were normal.  Imaging demonstrated non-specific degenerative changes and disc bulges without frank disc </w:t>
      </w:r>
      <w:proofErr w:type="spellStart"/>
      <w:r w:rsidR="000C271A">
        <w:rPr>
          <w:rFonts w:asciiTheme="minorHAnsi" w:eastAsiaTheme="minorHAnsi" w:hAnsiTheme="minorHAnsi"/>
          <w:color w:val="auto"/>
          <w:szCs w:val="24"/>
        </w:rPr>
        <w:t>herniation</w:t>
      </w:r>
      <w:proofErr w:type="spellEnd"/>
      <w:r w:rsidR="000C271A">
        <w:rPr>
          <w:rFonts w:asciiTheme="minorHAnsi" w:eastAsiaTheme="minorHAnsi" w:hAnsiTheme="minorHAnsi"/>
          <w:color w:val="auto"/>
          <w:szCs w:val="24"/>
        </w:rPr>
        <w:t xml:space="preserve">.  The VA exam demonstrated minimal decreased ROM of the back.  </w:t>
      </w:r>
      <w:r w:rsidR="000C271A" w:rsidRPr="005D6C2E">
        <w:rPr>
          <w:rFonts w:asciiTheme="minorHAnsi" w:eastAsiaTheme="minorHAnsi" w:hAnsiTheme="minorHAnsi"/>
          <w:color w:val="auto"/>
          <w:szCs w:val="24"/>
        </w:rPr>
        <w:t>All evidence considered</w:t>
      </w:r>
      <w:proofErr w:type="gramStart"/>
      <w:r w:rsidR="000C271A" w:rsidRPr="005D6C2E">
        <w:rPr>
          <w:rFonts w:asciiTheme="minorHAnsi" w:eastAsiaTheme="minorHAnsi" w:hAnsiTheme="minorHAnsi"/>
          <w:color w:val="auto"/>
          <w:szCs w:val="24"/>
        </w:rPr>
        <w:t>,</w:t>
      </w:r>
      <w:proofErr w:type="gramEnd"/>
      <w:r w:rsidR="000C271A" w:rsidRPr="005D6C2E">
        <w:rPr>
          <w:rFonts w:asciiTheme="minorHAnsi" w:eastAsiaTheme="minorHAnsi" w:hAnsiTheme="minorHAnsi"/>
          <w:color w:val="auto"/>
          <w:szCs w:val="24"/>
        </w:rPr>
        <w:t xml:space="preserve"> there is not reasonable doubt in the CI’s favor supporting addition of </w:t>
      </w:r>
      <w:r w:rsidR="000C271A">
        <w:rPr>
          <w:rFonts w:asciiTheme="minorHAnsi" w:eastAsiaTheme="minorHAnsi" w:hAnsiTheme="minorHAnsi"/>
          <w:color w:val="auto"/>
          <w:szCs w:val="24"/>
        </w:rPr>
        <w:t>the lower back</w:t>
      </w:r>
      <w:r w:rsidR="000C271A" w:rsidRPr="005D6C2E">
        <w:rPr>
          <w:rFonts w:asciiTheme="minorHAnsi" w:eastAsiaTheme="minorHAnsi" w:hAnsiTheme="minorHAnsi"/>
          <w:color w:val="auto"/>
          <w:szCs w:val="24"/>
        </w:rPr>
        <w:t xml:space="preserve"> as unfitting condition for separation rating.</w:t>
      </w:r>
      <w:r w:rsidR="000C271A">
        <w:rPr>
          <w:rFonts w:asciiTheme="minorHAnsi" w:eastAsiaTheme="minorHAnsi" w:hAnsiTheme="minorHAnsi"/>
          <w:color w:val="auto"/>
          <w:szCs w:val="24"/>
        </w:rPr>
        <w:t xml:space="preserve">  </w:t>
      </w:r>
    </w:p>
    <w:p w:rsidR="000C271A" w:rsidRDefault="000C271A" w:rsidP="00AB73BA">
      <w:pPr>
        <w:tabs>
          <w:tab w:val="left" w:pos="288"/>
          <w:tab w:val="left" w:pos="4752"/>
        </w:tabs>
        <w:spacing w:line="240" w:lineRule="exact"/>
        <w:rPr>
          <w:rFonts w:asciiTheme="minorHAnsi" w:hAnsiTheme="minorHAnsi"/>
          <w:color w:val="auto"/>
          <w:szCs w:val="24"/>
        </w:rPr>
      </w:pPr>
    </w:p>
    <w:p w:rsidR="0099421F" w:rsidRPr="00A027B5" w:rsidRDefault="00114D2D" w:rsidP="00084ABB">
      <w:pPr>
        <w:tabs>
          <w:tab w:val="left" w:pos="0"/>
          <w:tab w:val="left" w:pos="4752"/>
        </w:tabs>
        <w:spacing w:line="240" w:lineRule="exact"/>
        <w:rPr>
          <w:rFonts w:asciiTheme="minorHAnsi" w:hAnsiTheme="minorHAnsi"/>
          <w:color w:val="auto"/>
          <w:szCs w:val="24"/>
        </w:rPr>
      </w:pPr>
      <w:r w:rsidRPr="00114D2D">
        <w:rPr>
          <w:rFonts w:asciiTheme="minorHAnsi" w:hAnsiTheme="minorHAnsi"/>
          <w:color w:val="auto"/>
          <w:szCs w:val="24"/>
          <w:u w:val="single"/>
        </w:rPr>
        <w:t xml:space="preserve">Right </w:t>
      </w:r>
      <w:r w:rsidRPr="00970256">
        <w:rPr>
          <w:rFonts w:asciiTheme="minorHAnsi" w:hAnsiTheme="minorHAnsi"/>
          <w:color w:val="auto"/>
          <w:szCs w:val="24"/>
          <w:u w:val="single"/>
        </w:rPr>
        <w:t xml:space="preserve">Upper Arm Muscle </w:t>
      </w:r>
      <w:r w:rsidR="003214B3">
        <w:rPr>
          <w:rFonts w:asciiTheme="minorHAnsi" w:hAnsiTheme="minorHAnsi"/>
          <w:color w:val="auto"/>
          <w:szCs w:val="24"/>
          <w:u w:val="single"/>
        </w:rPr>
        <w:t xml:space="preserve">Condition </w:t>
      </w:r>
      <w:r w:rsidRPr="00970256">
        <w:rPr>
          <w:rFonts w:asciiTheme="minorHAnsi" w:hAnsiTheme="minorHAnsi"/>
          <w:color w:val="auto"/>
          <w:szCs w:val="24"/>
          <w:u w:val="single"/>
        </w:rPr>
        <w:t>(</w:t>
      </w:r>
      <w:r w:rsidR="009D6FFC">
        <w:rPr>
          <w:rFonts w:asciiTheme="minorHAnsi" w:hAnsiTheme="minorHAnsi"/>
          <w:color w:val="auto"/>
          <w:szCs w:val="24"/>
          <w:u w:val="single"/>
        </w:rPr>
        <w:t xml:space="preserve">Shrapnel Wound, </w:t>
      </w:r>
      <w:r w:rsidR="000C271A" w:rsidRPr="00970256">
        <w:rPr>
          <w:rFonts w:asciiTheme="minorHAnsi" w:hAnsiTheme="minorHAnsi"/>
          <w:color w:val="auto"/>
          <w:szCs w:val="24"/>
          <w:u w:val="single"/>
        </w:rPr>
        <w:t>Right Elbow and Right Arm Nerves</w:t>
      </w:r>
      <w:r w:rsidRPr="00970256">
        <w:rPr>
          <w:rFonts w:asciiTheme="minorHAnsi" w:hAnsiTheme="minorHAnsi"/>
          <w:color w:val="auto"/>
          <w:szCs w:val="24"/>
          <w:u w:val="single"/>
        </w:rPr>
        <w:t>)</w:t>
      </w:r>
      <w:r w:rsidR="000C271A" w:rsidRPr="00970256">
        <w:rPr>
          <w:rFonts w:asciiTheme="minorHAnsi" w:hAnsiTheme="minorHAnsi"/>
          <w:color w:val="auto"/>
          <w:szCs w:val="24"/>
        </w:rPr>
        <w:t xml:space="preserve">:  The CI’s initial right </w:t>
      </w:r>
      <w:r w:rsidRPr="00970256">
        <w:rPr>
          <w:rFonts w:asciiTheme="minorHAnsi" w:hAnsiTheme="minorHAnsi"/>
          <w:color w:val="auto"/>
          <w:szCs w:val="24"/>
        </w:rPr>
        <w:t xml:space="preserve">upper extremity </w:t>
      </w:r>
      <w:r w:rsidR="000C271A" w:rsidRPr="00970256">
        <w:rPr>
          <w:rFonts w:asciiTheme="minorHAnsi" w:hAnsiTheme="minorHAnsi"/>
          <w:color w:val="auto"/>
          <w:szCs w:val="24"/>
        </w:rPr>
        <w:t xml:space="preserve">injury was a penetrating shrapnel </w:t>
      </w:r>
      <w:r w:rsidRPr="00970256">
        <w:rPr>
          <w:rFonts w:asciiTheme="minorHAnsi" w:hAnsiTheme="minorHAnsi"/>
          <w:color w:val="auto"/>
          <w:szCs w:val="24"/>
        </w:rPr>
        <w:t>wound</w:t>
      </w:r>
      <w:r w:rsidR="000C271A" w:rsidRPr="00970256">
        <w:rPr>
          <w:rFonts w:asciiTheme="minorHAnsi" w:hAnsiTheme="minorHAnsi"/>
          <w:color w:val="auto"/>
          <w:szCs w:val="24"/>
        </w:rPr>
        <w:t xml:space="preserve"> to </w:t>
      </w:r>
      <w:r w:rsidRPr="00970256">
        <w:rPr>
          <w:rFonts w:asciiTheme="minorHAnsi" w:hAnsiTheme="minorHAnsi"/>
          <w:color w:val="auto"/>
          <w:szCs w:val="24"/>
        </w:rPr>
        <w:t xml:space="preserve">the </w:t>
      </w:r>
      <w:r w:rsidR="000C271A" w:rsidRPr="00970256">
        <w:rPr>
          <w:rFonts w:asciiTheme="minorHAnsi" w:hAnsiTheme="minorHAnsi"/>
          <w:color w:val="auto"/>
          <w:szCs w:val="24"/>
        </w:rPr>
        <w:t>upper arm with separate entry and exit wounds</w:t>
      </w:r>
      <w:r w:rsidRPr="00970256">
        <w:rPr>
          <w:rFonts w:asciiTheme="minorHAnsi" w:hAnsiTheme="minorHAnsi"/>
          <w:color w:val="auto"/>
          <w:szCs w:val="24"/>
        </w:rPr>
        <w:t xml:space="preserve"> due to an IED</w:t>
      </w:r>
      <w:r w:rsidR="000C271A" w:rsidRPr="00970256">
        <w:rPr>
          <w:rFonts w:asciiTheme="minorHAnsi" w:hAnsiTheme="minorHAnsi"/>
          <w:color w:val="auto"/>
          <w:szCs w:val="24"/>
        </w:rPr>
        <w:t>.  The CI underwent debridement of his wounds and was treated for a short-term infection of the wound area</w:t>
      </w:r>
      <w:r w:rsidR="009D6FFC">
        <w:rPr>
          <w:rFonts w:asciiTheme="minorHAnsi" w:hAnsiTheme="minorHAnsi"/>
          <w:color w:val="auto"/>
          <w:szCs w:val="24"/>
        </w:rPr>
        <w:t>s</w:t>
      </w:r>
      <w:r w:rsidR="000C271A" w:rsidRPr="00970256">
        <w:rPr>
          <w:rFonts w:asciiTheme="minorHAnsi" w:hAnsiTheme="minorHAnsi"/>
          <w:color w:val="auto"/>
          <w:szCs w:val="24"/>
        </w:rPr>
        <w:t xml:space="preserve">.  Imaging demonstrated slight degenerative changes in the shoulder and retained small shrapnel in the upper arm.  </w:t>
      </w:r>
      <w:r w:rsidRPr="00970256">
        <w:rPr>
          <w:rFonts w:asciiTheme="minorHAnsi" w:hAnsiTheme="minorHAnsi"/>
          <w:color w:val="auto"/>
          <w:szCs w:val="24"/>
        </w:rPr>
        <w:t>The treatment of this muscle wound</w:t>
      </w:r>
      <w:r w:rsidR="00A43C58">
        <w:rPr>
          <w:rFonts w:asciiTheme="minorHAnsi" w:hAnsiTheme="minorHAnsi"/>
          <w:color w:val="auto"/>
          <w:szCs w:val="24"/>
        </w:rPr>
        <w:t>,</w:t>
      </w:r>
      <w:r w:rsidRPr="00970256">
        <w:rPr>
          <w:rFonts w:asciiTheme="minorHAnsi" w:hAnsiTheme="minorHAnsi"/>
          <w:color w:val="auto"/>
          <w:szCs w:val="24"/>
        </w:rPr>
        <w:t xml:space="preserve"> including immobilization, was adjudged to have led to </w:t>
      </w:r>
      <w:r w:rsidR="00A43C58">
        <w:rPr>
          <w:rFonts w:asciiTheme="minorHAnsi" w:hAnsiTheme="minorHAnsi"/>
          <w:color w:val="auto"/>
          <w:szCs w:val="24"/>
        </w:rPr>
        <w:t>the CI’s primary unfitting conditions of</w:t>
      </w:r>
      <w:r w:rsidRPr="00970256">
        <w:rPr>
          <w:rFonts w:asciiTheme="minorHAnsi" w:hAnsiTheme="minorHAnsi"/>
          <w:color w:val="auto"/>
          <w:szCs w:val="24"/>
        </w:rPr>
        <w:t xml:space="preserve"> </w:t>
      </w:r>
      <w:r w:rsidR="00970256" w:rsidRPr="00970256">
        <w:rPr>
          <w:rFonts w:asciiTheme="minorHAnsi" w:hAnsiTheme="minorHAnsi"/>
          <w:color w:val="auto"/>
          <w:szCs w:val="24"/>
        </w:rPr>
        <w:t xml:space="preserve">“Right Shoulder Flexion Contracture and Adhesive </w:t>
      </w:r>
      <w:proofErr w:type="spellStart"/>
      <w:r w:rsidR="00970256" w:rsidRPr="00970256">
        <w:rPr>
          <w:rFonts w:asciiTheme="minorHAnsi" w:hAnsiTheme="minorHAnsi"/>
          <w:color w:val="auto"/>
          <w:szCs w:val="24"/>
        </w:rPr>
        <w:t>Capsulitis</w:t>
      </w:r>
      <w:proofErr w:type="spellEnd"/>
      <w:r w:rsidRPr="00970256">
        <w:rPr>
          <w:rFonts w:asciiTheme="minorHAnsi" w:hAnsiTheme="minorHAnsi"/>
          <w:color w:val="auto"/>
          <w:szCs w:val="24"/>
        </w:rPr>
        <w:t>.</w:t>
      </w:r>
      <w:r w:rsidR="00970256" w:rsidRPr="00970256">
        <w:rPr>
          <w:rFonts w:asciiTheme="minorHAnsi" w:hAnsiTheme="minorHAnsi"/>
          <w:color w:val="auto"/>
          <w:szCs w:val="24"/>
        </w:rPr>
        <w:t>”  The treatment record and NARSUM detail there w</w:t>
      </w:r>
      <w:r w:rsidR="00970256">
        <w:rPr>
          <w:rFonts w:asciiTheme="minorHAnsi" w:hAnsiTheme="minorHAnsi"/>
          <w:color w:val="auto"/>
          <w:szCs w:val="24"/>
        </w:rPr>
        <w:t>as generalized disability to the right upper extremity beyon</w:t>
      </w:r>
      <w:r w:rsidR="00D24E24">
        <w:rPr>
          <w:rFonts w:asciiTheme="minorHAnsi" w:hAnsiTheme="minorHAnsi"/>
          <w:color w:val="auto"/>
          <w:szCs w:val="24"/>
        </w:rPr>
        <w:t xml:space="preserve">d </w:t>
      </w:r>
      <w:r w:rsidR="00970256">
        <w:rPr>
          <w:rFonts w:asciiTheme="minorHAnsi" w:hAnsiTheme="minorHAnsi"/>
          <w:color w:val="auto"/>
          <w:szCs w:val="24"/>
        </w:rPr>
        <w:t>the shoulder joint</w:t>
      </w:r>
      <w:r w:rsidR="00A43C58">
        <w:rPr>
          <w:rFonts w:asciiTheme="minorHAnsi" w:hAnsiTheme="minorHAnsi"/>
          <w:color w:val="auto"/>
          <w:szCs w:val="24"/>
        </w:rPr>
        <w:t xml:space="preserve"> and “right shoulder flexion contracture</w:t>
      </w:r>
      <w:r w:rsidR="006E4849">
        <w:rPr>
          <w:rFonts w:asciiTheme="minorHAnsi" w:hAnsiTheme="minorHAnsi"/>
          <w:color w:val="auto"/>
          <w:szCs w:val="24"/>
        </w:rPr>
        <w:t>.</w:t>
      </w:r>
      <w:r w:rsidR="00A43C58">
        <w:rPr>
          <w:rFonts w:asciiTheme="minorHAnsi" w:hAnsiTheme="minorHAnsi"/>
          <w:color w:val="auto"/>
          <w:szCs w:val="24"/>
        </w:rPr>
        <w:t>”</w:t>
      </w:r>
      <w:r w:rsidR="00970256">
        <w:rPr>
          <w:rFonts w:asciiTheme="minorHAnsi" w:hAnsiTheme="minorHAnsi"/>
          <w:color w:val="auto"/>
          <w:szCs w:val="24"/>
        </w:rPr>
        <w:t xml:space="preserve">  The Commander’s statement specifically mentions the right elbow</w:t>
      </w:r>
      <w:r w:rsidR="00D24E24">
        <w:rPr>
          <w:rFonts w:asciiTheme="minorHAnsi" w:hAnsiTheme="minorHAnsi"/>
          <w:color w:val="auto"/>
          <w:szCs w:val="24"/>
        </w:rPr>
        <w:t>: “</w:t>
      </w:r>
      <w:r w:rsidR="00D24E24" w:rsidRPr="00D24E24">
        <w:rPr>
          <w:rFonts w:asciiTheme="minorHAnsi" w:hAnsiTheme="minorHAnsi"/>
          <w:color w:val="auto"/>
          <w:szCs w:val="24"/>
        </w:rPr>
        <w:t>physically incapable of</w:t>
      </w:r>
      <w:r w:rsidR="00D24E24">
        <w:rPr>
          <w:rFonts w:asciiTheme="minorHAnsi" w:hAnsiTheme="minorHAnsi"/>
          <w:color w:val="auto"/>
          <w:szCs w:val="24"/>
        </w:rPr>
        <w:t xml:space="preserve"> </w:t>
      </w:r>
      <w:r w:rsidR="00D24E24" w:rsidRPr="00D24E24">
        <w:rPr>
          <w:rFonts w:asciiTheme="minorHAnsi" w:hAnsiTheme="minorHAnsi"/>
          <w:color w:val="auto"/>
          <w:szCs w:val="24"/>
        </w:rPr>
        <w:t xml:space="preserve">reasonably performing his duties as a 13B, Field Artillery </w:t>
      </w:r>
      <w:proofErr w:type="spellStart"/>
      <w:r w:rsidR="00D24E24" w:rsidRPr="00D24E24">
        <w:rPr>
          <w:rFonts w:asciiTheme="minorHAnsi" w:hAnsiTheme="minorHAnsi"/>
          <w:color w:val="auto"/>
          <w:szCs w:val="24"/>
        </w:rPr>
        <w:t>Cannoneer</w:t>
      </w:r>
      <w:proofErr w:type="spellEnd"/>
      <w:r w:rsidR="00D24E24" w:rsidRPr="00D24E24">
        <w:rPr>
          <w:rFonts w:asciiTheme="minorHAnsi" w:hAnsiTheme="minorHAnsi"/>
          <w:color w:val="auto"/>
          <w:szCs w:val="24"/>
        </w:rPr>
        <w:t>,</w:t>
      </w:r>
      <w:r w:rsidR="00D24E24">
        <w:rPr>
          <w:rFonts w:asciiTheme="minorHAnsi" w:hAnsiTheme="minorHAnsi"/>
          <w:color w:val="auto"/>
          <w:szCs w:val="24"/>
        </w:rPr>
        <w:t xml:space="preserve"> </w:t>
      </w:r>
      <w:r w:rsidR="00D24E24" w:rsidRPr="00D24E24">
        <w:rPr>
          <w:rFonts w:asciiTheme="minorHAnsi" w:hAnsiTheme="minorHAnsi"/>
          <w:color w:val="auto"/>
          <w:szCs w:val="24"/>
        </w:rPr>
        <w:t>due to his immobile shoulder and elbow.</w:t>
      </w:r>
      <w:r w:rsidR="00D24E24">
        <w:rPr>
          <w:rFonts w:asciiTheme="minorHAnsi" w:hAnsiTheme="minorHAnsi"/>
          <w:color w:val="auto"/>
          <w:szCs w:val="24"/>
        </w:rPr>
        <w:t xml:space="preserve">” </w:t>
      </w:r>
      <w:r w:rsidR="00970256">
        <w:rPr>
          <w:rFonts w:asciiTheme="minorHAnsi" w:hAnsiTheme="minorHAnsi"/>
          <w:color w:val="auto"/>
          <w:szCs w:val="24"/>
        </w:rPr>
        <w:t xml:space="preserve"> </w:t>
      </w:r>
      <w:r w:rsidR="00A43C58">
        <w:rPr>
          <w:rFonts w:asciiTheme="minorHAnsi" w:eastAsiaTheme="minorHAnsi" w:hAnsiTheme="minorHAnsi"/>
          <w:color w:val="auto"/>
          <w:szCs w:val="24"/>
        </w:rPr>
        <w:t xml:space="preserve">The U-3 profile mentioned only the shoulder, </w:t>
      </w:r>
      <w:r w:rsidR="003214B3">
        <w:rPr>
          <w:rFonts w:asciiTheme="minorHAnsi" w:eastAsiaTheme="minorHAnsi" w:hAnsiTheme="minorHAnsi"/>
          <w:color w:val="auto"/>
          <w:szCs w:val="24"/>
        </w:rPr>
        <w:t>and</w:t>
      </w:r>
      <w:r w:rsidR="003214B3" w:rsidRPr="003214B3">
        <w:rPr>
          <w:rFonts w:asciiTheme="minorHAnsi" w:hAnsiTheme="minorHAnsi"/>
          <w:color w:val="auto"/>
          <w:szCs w:val="24"/>
        </w:rPr>
        <w:t xml:space="preserve"> could have provided shelter for limitations from the </w:t>
      </w:r>
      <w:r w:rsidR="003214B3">
        <w:rPr>
          <w:rFonts w:asciiTheme="minorHAnsi" w:hAnsiTheme="minorHAnsi"/>
          <w:color w:val="auto"/>
          <w:szCs w:val="24"/>
        </w:rPr>
        <w:t>right upper arm muscle</w:t>
      </w:r>
      <w:r w:rsidR="003214B3" w:rsidRPr="003214B3">
        <w:rPr>
          <w:rFonts w:asciiTheme="minorHAnsi" w:hAnsiTheme="minorHAnsi"/>
          <w:color w:val="auto"/>
          <w:szCs w:val="24"/>
        </w:rPr>
        <w:t xml:space="preserve"> condition.</w:t>
      </w:r>
      <w:r w:rsidR="003214B3">
        <w:rPr>
          <w:rFonts w:asciiTheme="minorHAnsi" w:hAnsiTheme="minorHAnsi"/>
          <w:color w:val="auto"/>
          <w:szCs w:val="24"/>
        </w:rPr>
        <w:t xml:space="preserve">  </w:t>
      </w:r>
      <w:r w:rsidR="00D24E24">
        <w:rPr>
          <w:rFonts w:asciiTheme="minorHAnsi" w:hAnsiTheme="minorHAnsi"/>
          <w:color w:val="auto"/>
          <w:szCs w:val="24"/>
        </w:rPr>
        <w:t xml:space="preserve">Evaluation on </w:t>
      </w:r>
      <w:r w:rsidR="00D24E24" w:rsidRPr="00A027B5">
        <w:rPr>
          <w:rFonts w:asciiTheme="minorHAnsi" w:eastAsiaTheme="minorHAnsi" w:hAnsiTheme="minorHAnsi"/>
          <w:color w:val="auto"/>
          <w:szCs w:val="24"/>
        </w:rPr>
        <w:t>20060511</w:t>
      </w:r>
      <w:r w:rsidR="00D24E24">
        <w:rPr>
          <w:rFonts w:asciiTheme="minorHAnsi" w:eastAsiaTheme="minorHAnsi" w:hAnsiTheme="minorHAnsi"/>
          <w:color w:val="auto"/>
          <w:szCs w:val="24"/>
        </w:rPr>
        <w:t xml:space="preserve"> noted “sensory exam abnormalities noted in only the </w:t>
      </w:r>
      <w:proofErr w:type="spellStart"/>
      <w:r w:rsidR="00D24E24">
        <w:rPr>
          <w:rFonts w:asciiTheme="minorHAnsi" w:eastAsiaTheme="minorHAnsi" w:hAnsiTheme="minorHAnsi"/>
          <w:color w:val="auto"/>
          <w:szCs w:val="24"/>
        </w:rPr>
        <w:t>ulnar</w:t>
      </w:r>
      <w:proofErr w:type="spellEnd"/>
      <w:r w:rsidR="00D24E24">
        <w:rPr>
          <w:rFonts w:asciiTheme="minorHAnsi" w:eastAsiaTheme="minorHAnsi" w:hAnsiTheme="minorHAnsi"/>
          <w:color w:val="auto"/>
          <w:szCs w:val="24"/>
        </w:rPr>
        <w:t xml:space="preserve"> </w:t>
      </w:r>
      <w:r w:rsidR="00D24E24" w:rsidRPr="000247E7">
        <w:rPr>
          <w:rFonts w:asciiTheme="minorHAnsi" w:eastAsiaTheme="minorHAnsi" w:hAnsiTheme="minorHAnsi"/>
          <w:color w:val="auto"/>
          <w:szCs w:val="24"/>
        </w:rPr>
        <w:t>distribution of the right upper ext</w:t>
      </w:r>
      <w:r w:rsidR="006B292E" w:rsidRPr="000247E7">
        <w:rPr>
          <w:rFonts w:asciiTheme="minorHAnsi" w:eastAsiaTheme="minorHAnsi" w:hAnsiTheme="minorHAnsi"/>
          <w:color w:val="auto"/>
          <w:szCs w:val="24"/>
        </w:rPr>
        <w:t>remity</w:t>
      </w:r>
      <w:r w:rsidR="00D24E24" w:rsidRPr="000247E7">
        <w:rPr>
          <w:rFonts w:asciiTheme="minorHAnsi" w:eastAsiaTheme="minorHAnsi" w:hAnsiTheme="minorHAnsi"/>
          <w:color w:val="auto"/>
          <w:szCs w:val="24"/>
        </w:rPr>
        <w:t>”</w:t>
      </w:r>
      <w:r w:rsidR="006B292E" w:rsidRPr="000247E7">
        <w:rPr>
          <w:rFonts w:asciiTheme="minorHAnsi" w:eastAsiaTheme="minorHAnsi" w:hAnsiTheme="minorHAnsi"/>
          <w:color w:val="auto"/>
          <w:szCs w:val="24"/>
        </w:rPr>
        <w:t>;</w:t>
      </w:r>
      <w:r w:rsidR="00D24E24" w:rsidRPr="000247E7">
        <w:rPr>
          <w:rFonts w:asciiTheme="minorHAnsi" w:eastAsiaTheme="minorHAnsi" w:hAnsiTheme="minorHAnsi"/>
          <w:color w:val="auto"/>
          <w:szCs w:val="24"/>
        </w:rPr>
        <w:t xml:space="preserve"> </w:t>
      </w:r>
      <w:r w:rsidR="000247E7" w:rsidRPr="000247E7">
        <w:rPr>
          <w:rFonts w:asciiTheme="minorHAnsi" w:eastAsiaTheme="minorHAnsi" w:hAnsiTheme="minorHAnsi"/>
          <w:color w:val="auto"/>
          <w:szCs w:val="24"/>
        </w:rPr>
        <w:t>and that the CI was unable to tolerate formal strength testing “due to apprehension, guarding, and complaint of pain with most</w:t>
      </w:r>
      <w:r w:rsidR="000247E7">
        <w:rPr>
          <w:rFonts w:asciiTheme="minorHAnsi" w:eastAsiaTheme="minorHAnsi" w:hAnsiTheme="minorHAnsi"/>
          <w:color w:val="auto"/>
          <w:szCs w:val="24"/>
        </w:rPr>
        <w:t xml:space="preserve"> right upper extremity activity</w:t>
      </w:r>
      <w:r w:rsidR="000247E7" w:rsidRPr="000247E7">
        <w:rPr>
          <w:rFonts w:asciiTheme="minorHAnsi" w:eastAsiaTheme="minorHAnsi" w:hAnsiTheme="minorHAnsi"/>
          <w:color w:val="auto"/>
          <w:szCs w:val="24"/>
        </w:rPr>
        <w:t>”</w:t>
      </w:r>
      <w:r w:rsidR="000247E7">
        <w:rPr>
          <w:rFonts w:asciiTheme="minorHAnsi" w:eastAsiaTheme="minorHAnsi" w:hAnsiTheme="minorHAnsi"/>
          <w:color w:val="auto"/>
          <w:szCs w:val="24"/>
        </w:rPr>
        <w:t>; right e</w:t>
      </w:r>
      <w:r w:rsidR="006B292E">
        <w:rPr>
          <w:rFonts w:asciiTheme="minorHAnsi" w:eastAsiaTheme="minorHAnsi" w:hAnsiTheme="minorHAnsi"/>
          <w:color w:val="auto"/>
          <w:szCs w:val="24"/>
        </w:rPr>
        <w:t>lbow ROM was lacking 35° of extension.  The NARSUM also detailed lack of right elbow full extension: “</w:t>
      </w:r>
      <w:r w:rsidR="006B292E" w:rsidRPr="006B292E">
        <w:rPr>
          <w:rFonts w:asciiTheme="minorHAnsi" w:eastAsiaTheme="minorHAnsi" w:hAnsiTheme="minorHAnsi"/>
          <w:color w:val="auto"/>
          <w:szCs w:val="24"/>
        </w:rPr>
        <w:t>Physical examination shows that the patient holds his right elbow</w:t>
      </w:r>
      <w:r w:rsidR="006B292E">
        <w:rPr>
          <w:rFonts w:asciiTheme="minorHAnsi" w:eastAsiaTheme="minorHAnsi" w:hAnsiTheme="minorHAnsi"/>
          <w:color w:val="auto"/>
          <w:szCs w:val="24"/>
        </w:rPr>
        <w:t xml:space="preserve"> </w:t>
      </w:r>
      <w:r w:rsidR="006B292E" w:rsidRPr="006B292E">
        <w:rPr>
          <w:rFonts w:asciiTheme="minorHAnsi" w:eastAsiaTheme="minorHAnsi" w:hAnsiTheme="minorHAnsi"/>
          <w:color w:val="auto"/>
          <w:szCs w:val="24"/>
        </w:rPr>
        <w:t>in a somewhat</w:t>
      </w:r>
      <w:r w:rsidR="006B292E">
        <w:rPr>
          <w:rFonts w:asciiTheme="minorHAnsi" w:eastAsiaTheme="minorHAnsi" w:hAnsiTheme="minorHAnsi"/>
          <w:color w:val="auto"/>
          <w:szCs w:val="24"/>
        </w:rPr>
        <w:t xml:space="preserve"> </w:t>
      </w:r>
      <w:r w:rsidR="006B292E" w:rsidRPr="006B292E">
        <w:rPr>
          <w:rFonts w:asciiTheme="minorHAnsi" w:eastAsiaTheme="minorHAnsi" w:hAnsiTheme="minorHAnsi"/>
          <w:color w:val="auto"/>
          <w:szCs w:val="24"/>
        </w:rPr>
        <w:t>flexed position. He does not allow it to relax and fully extend.</w:t>
      </w:r>
      <w:r w:rsidR="006B292E">
        <w:rPr>
          <w:rFonts w:asciiTheme="minorHAnsi" w:eastAsiaTheme="minorHAnsi" w:hAnsiTheme="minorHAnsi"/>
          <w:color w:val="auto"/>
          <w:szCs w:val="24"/>
        </w:rPr>
        <w:t xml:space="preserve">” Limited </w:t>
      </w:r>
      <w:r w:rsidR="000247E7">
        <w:rPr>
          <w:rFonts w:asciiTheme="minorHAnsi" w:eastAsiaTheme="minorHAnsi" w:hAnsiTheme="minorHAnsi"/>
          <w:color w:val="auto"/>
          <w:szCs w:val="24"/>
        </w:rPr>
        <w:t xml:space="preserve">right </w:t>
      </w:r>
      <w:r w:rsidR="006B292E">
        <w:rPr>
          <w:rFonts w:asciiTheme="minorHAnsi" w:eastAsiaTheme="minorHAnsi" w:hAnsiTheme="minorHAnsi"/>
          <w:color w:val="auto"/>
          <w:szCs w:val="24"/>
        </w:rPr>
        <w:t>elbow ROM (lacking 15° of extension) and “neurovascular exam is intact in the right hand.”  F</w:t>
      </w:r>
      <w:r w:rsidR="00D24E24">
        <w:rPr>
          <w:rFonts w:asciiTheme="minorHAnsi" w:eastAsiaTheme="minorHAnsi" w:hAnsiTheme="minorHAnsi"/>
          <w:color w:val="auto"/>
          <w:szCs w:val="24"/>
        </w:rPr>
        <w:t xml:space="preserve">ormal </w:t>
      </w:r>
      <w:proofErr w:type="spellStart"/>
      <w:r w:rsidR="00D24E24">
        <w:rPr>
          <w:rFonts w:asciiTheme="minorHAnsi" w:eastAsiaTheme="minorHAnsi" w:hAnsiTheme="minorHAnsi"/>
          <w:color w:val="auto"/>
          <w:szCs w:val="24"/>
        </w:rPr>
        <w:t>electrodiagnostic</w:t>
      </w:r>
      <w:proofErr w:type="spellEnd"/>
      <w:r w:rsidR="00D24E24">
        <w:rPr>
          <w:rFonts w:asciiTheme="minorHAnsi" w:eastAsiaTheme="minorHAnsi" w:hAnsiTheme="minorHAnsi"/>
          <w:color w:val="auto"/>
          <w:szCs w:val="24"/>
        </w:rPr>
        <w:t xml:space="preserve"> testing was </w:t>
      </w:r>
      <w:r w:rsidR="006B292E">
        <w:rPr>
          <w:rFonts w:asciiTheme="minorHAnsi" w:eastAsiaTheme="minorHAnsi" w:hAnsiTheme="minorHAnsi"/>
          <w:color w:val="auto"/>
          <w:szCs w:val="24"/>
        </w:rPr>
        <w:t xml:space="preserve">noted as </w:t>
      </w:r>
      <w:r w:rsidR="00D24E24">
        <w:rPr>
          <w:rFonts w:asciiTheme="minorHAnsi" w:eastAsiaTheme="minorHAnsi" w:hAnsiTheme="minorHAnsi"/>
          <w:color w:val="auto"/>
          <w:szCs w:val="24"/>
        </w:rPr>
        <w:t xml:space="preserve">non-specific.  </w:t>
      </w:r>
      <w:r w:rsidR="006B292E">
        <w:rPr>
          <w:rFonts w:asciiTheme="minorHAnsi" w:eastAsiaTheme="minorHAnsi" w:hAnsiTheme="minorHAnsi"/>
          <w:color w:val="auto"/>
          <w:szCs w:val="24"/>
        </w:rPr>
        <w:t xml:space="preserve">Imaging of the elbow joint showed no </w:t>
      </w:r>
      <w:r w:rsidR="006B292E" w:rsidRPr="000247E7">
        <w:rPr>
          <w:rFonts w:asciiTheme="minorHAnsi" w:eastAsiaTheme="minorHAnsi" w:hAnsiTheme="minorHAnsi"/>
          <w:color w:val="auto"/>
          <w:szCs w:val="24"/>
        </w:rPr>
        <w:t xml:space="preserve">pathology.  </w:t>
      </w:r>
      <w:r w:rsidR="000247E7" w:rsidRPr="000247E7">
        <w:rPr>
          <w:rFonts w:asciiTheme="minorHAnsi" w:hAnsiTheme="minorHAnsi"/>
          <w:color w:val="auto"/>
          <w:szCs w:val="24"/>
        </w:rPr>
        <w:t xml:space="preserve">Exam did not demonstrate muscle loss, but there were no formal measurements and formal strength testing could not be accomplished due to pain.  </w:t>
      </w:r>
      <w:r w:rsidR="006B292E" w:rsidRPr="000247E7">
        <w:rPr>
          <w:rFonts w:asciiTheme="minorHAnsi" w:eastAsiaTheme="minorHAnsi" w:hAnsiTheme="minorHAnsi"/>
          <w:color w:val="auto"/>
          <w:szCs w:val="24"/>
        </w:rPr>
        <w:t xml:space="preserve">IAW §4.56 Evaluation of muscle disabilities, the CI was noted to have </w:t>
      </w:r>
      <w:r w:rsidR="00A43C58" w:rsidRPr="000247E7">
        <w:rPr>
          <w:rFonts w:asciiTheme="minorHAnsi" w:eastAsiaTheme="minorHAnsi" w:hAnsiTheme="minorHAnsi"/>
          <w:color w:val="auto"/>
          <w:szCs w:val="24"/>
        </w:rPr>
        <w:t>had a through and through wound with a short track from shrapnel</w:t>
      </w:r>
      <w:r w:rsidR="00A43C58">
        <w:rPr>
          <w:rFonts w:asciiTheme="minorHAnsi" w:eastAsiaTheme="minorHAnsi" w:hAnsiTheme="minorHAnsi"/>
          <w:color w:val="auto"/>
          <w:szCs w:val="24"/>
        </w:rPr>
        <w:t xml:space="preserve">, debridement, short-term infection, </w:t>
      </w:r>
      <w:r w:rsidR="006E4849" w:rsidRPr="006E4849">
        <w:rPr>
          <w:rFonts w:asciiTheme="minorHAnsi" w:eastAsiaTheme="minorHAnsi" w:hAnsiTheme="minorHAnsi"/>
          <w:color w:val="auto"/>
          <w:szCs w:val="24"/>
        </w:rPr>
        <w:t>loss of power</w:t>
      </w:r>
      <w:r w:rsidR="006E4849">
        <w:rPr>
          <w:rFonts w:asciiTheme="minorHAnsi" w:eastAsiaTheme="minorHAnsi" w:hAnsiTheme="minorHAnsi"/>
          <w:color w:val="auto"/>
          <w:szCs w:val="24"/>
        </w:rPr>
        <w:t xml:space="preserve"> due to pain</w:t>
      </w:r>
      <w:r w:rsidR="006E4849" w:rsidRPr="006E4849">
        <w:rPr>
          <w:rFonts w:asciiTheme="minorHAnsi" w:eastAsiaTheme="minorHAnsi" w:hAnsiTheme="minorHAnsi"/>
          <w:color w:val="auto"/>
          <w:szCs w:val="24"/>
        </w:rPr>
        <w:t>,</w:t>
      </w:r>
      <w:r w:rsidR="006E4849">
        <w:rPr>
          <w:rFonts w:asciiTheme="minorHAnsi" w:eastAsiaTheme="minorHAnsi" w:hAnsiTheme="minorHAnsi"/>
          <w:color w:val="auto"/>
          <w:szCs w:val="24"/>
        </w:rPr>
        <w:t xml:space="preserve"> with </w:t>
      </w:r>
      <w:r w:rsidR="00A43C58">
        <w:rPr>
          <w:rFonts w:asciiTheme="minorHAnsi" w:eastAsiaTheme="minorHAnsi" w:hAnsiTheme="minorHAnsi"/>
          <w:color w:val="auto"/>
          <w:szCs w:val="24"/>
        </w:rPr>
        <w:lastRenderedPageBreak/>
        <w:t xml:space="preserve">entrance and exit scars </w:t>
      </w:r>
      <w:r w:rsidR="006E4849">
        <w:rPr>
          <w:rFonts w:asciiTheme="minorHAnsi" w:eastAsiaTheme="minorHAnsi" w:hAnsiTheme="minorHAnsi"/>
          <w:color w:val="auto"/>
          <w:szCs w:val="24"/>
        </w:rPr>
        <w:t xml:space="preserve">in the Group V and VI muscles.  </w:t>
      </w:r>
      <w:r w:rsidR="006E4849" w:rsidRPr="006E4849">
        <w:rPr>
          <w:rFonts w:asciiTheme="minorHAnsi" w:hAnsiTheme="minorHAnsi"/>
          <w:color w:val="auto"/>
          <w:szCs w:val="24"/>
        </w:rPr>
        <w:t>The VA radiographs of 20071004 showed “</w:t>
      </w:r>
      <w:r w:rsidR="006E4849" w:rsidRPr="006E4849">
        <w:rPr>
          <w:rFonts w:asciiTheme="minorHAnsi" w:eastAsiaTheme="minorHAnsi" w:hAnsiTheme="minorHAnsi"/>
          <w:color w:val="auto"/>
          <w:szCs w:val="24"/>
        </w:rPr>
        <w:t>small ballistic fragments in the soft tissues of the right arm. Osseous structures are normal.”</w:t>
      </w:r>
      <w:r w:rsidR="006E4849">
        <w:rPr>
          <w:rFonts w:asciiTheme="minorHAnsi" w:eastAsiaTheme="minorHAnsi" w:hAnsiTheme="minorHAnsi"/>
          <w:color w:val="auto"/>
          <w:szCs w:val="24"/>
        </w:rPr>
        <w:t xml:space="preserve">  Exam of 20071108 demonstrated right </w:t>
      </w:r>
      <w:proofErr w:type="spellStart"/>
      <w:r w:rsidR="006E4849">
        <w:rPr>
          <w:rFonts w:asciiTheme="minorHAnsi" w:eastAsiaTheme="minorHAnsi" w:hAnsiTheme="minorHAnsi"/>
          <w:color w:val="auto"/>
          <w:szCs w:val="24"/>
        </w:rPr>
        <w:t>ulnar</w:t>
      </w:r>
      <w:proofErr w:type="spellEnd"/>
      <w:r w:rsidR="006E4849">
        <w:rPr>
          <w:rFonts w:asciiTheme="minorHAnsi" w:eastAsiaTheme="minorHAnsi" w:hAnsiTheme="minorHAnsi"/>
          <w:color w:val="auto"/>
          <w:szCs w:val="24"/>
        </w:rPr>
        <w:t xml:space="preserve"> sensory abnormality, severely limited ROM of the elbow (in addition to the shoulder) and pain on almost all motion of the right arm, elbow and hand.  </w:t>
      </w:r>
      <w:r w:rsidR="000247E7">
        <w:rPr>
          <w:rFonts w:asciiTheme="minorHAnsi" w:eastAsiaTheme="minorHAnsi" w:hAnsiTheme="minorHAnsi"/>
          <w:color w:val="auto"/>
          <w:szCs w:val="24"/>
        </w:rPr>
        <w:t>The VA described moderate muscle injury of the right upper extremity on their rating in 2009, but included that disability in the maximal shoulder rating of 30%</w:t>
      </w:r>
      <w:r w:rsidR="009D6FFC">
        <w:rPr>
          <w:rFonts w:asciiTheme="minorHAnsi" w:eastAsiaTheme="minorHAnsi" w:hAnsiTheme="minorHAnsi"/>
          <w:color w:val="auto"/>
          <w:szCs w:val="24"/>
        </w:rPr>
        <w:t>, and a separate neuropathy rating of 8515 at 10%</w:t>
      </w:r>
      <w:r w:rsidR="000247E7">
        <w:rPr>
          <w:rFonts w:asciiTheme="minorHAnsi" w:eastAsiaTheme="minorHAnsi" w:hAnsiTheme="minorHAnsi"/>
          <w:color w:val="auto"/>
          <w:szCs w:val="24"/>
        </w:rPr>
        <w:t xml:space="preserve">.  </w:t>
      </w:r>
      <w:r w:rsidR="009A78A3">
        <w:rPr>
          <w:rFonts w:asciiTheme="minorHAnsi" w:eastAsiaTheme="minorHAnsi" w:hAnsiTheme="minorHAnsi"/>
          <w:color w:val="auto"/>
          <w:szCs w:val="24"/>
        </w:rPr>
        <w:t xml:space="preserve">The Board determined that the CI’s right upper extremity disability did not meet the level of complete loss of function.  The Board determined that including all of the right upper extremity disability solely under 5201 (Arm limitation) at a higher than 20% rating determined by ROM limitations was not IAW the </w:t>
      </w:r>
      <w:r w:rsidR="00A00E75">
        <w:rPr>
          <w:rFonts w:asciiTheme="minorHAnsi" w:eastAsiaTheme="minorHAnsi" w:hAnsiTheme="minorHAnsi"/>
          <w:color w:val="auto"/>
          <w:szCs w:val="24"/>
        </w:rPr>
        <w:t>Veterans Administration Schedule for Rating Disabilities (</w:t>
      </w:r>
      <w:r w:rsidR="009A78A3">
        <w:rPr>
          <w:rFonts w:asciiTheme="minorHAnsi" w:eastAsiaTheme="minorHAnsi" w:hAnsiTheme="minorHAnsi"/>
          <w:color w:val="auto"/>
          <w:szCs w:val="24"/>
        </w:rPr>
        <w:t>VASRD</w:t>
      </w:r>
      <w:r w:rsidR="00A00E75">
        <w:rPr>
          <w:rFonts w:asciiTheme="minorHAnsi" w:eastAsiaTheme="minorHAnsi" w:hAnsiTheme="minorHAnsi"/>
          <w:color w:val="auto"/>
          <w:szCs w:val="24"/>
        </w:rPr>
        <w:t>)</w:t>
      </w:r>
      <w:r w:rsidR="009A78A3">
        <w:rPr>
          <w:rFonts w:asciiTheme="minorHAnsi" w:eastAsiaTheme="minorHAnsi" w:hAnsiTheme="minorHAnsi"/>
          <w:color w:val="auto"/>
          <w:szCs w:val="24"/>
        </w:rPr>
        <w:t xml:space="preserve">.  Given the Commander’s statement regarding the elbow and shoulder, the initial shrapnel wound, minor </w:t>
      </w:r>
      <w:proofErr w:type="spellStart"/>
      <w:r w:rsidR="009A78A3">
        <w:rPr>
          <w:rFonts w:asciiTheme="minorHAnsi" w:eastAsiaTheme="minorHAnsi" w:hAnsiTheme="minorHAnsi"/>
          <w:color w:val="auto"/>
          <w:szCs w:val="24"/>
        </w:rPr>
        <w:t>ulnar</w:t>
      </w:r>
      <w:proofErr w:type="spellEnd"/>
      <w:r w:rsidR="009A78A3">
        <w:rPr>
          <w:rFonts w:asciiTheme="minorHAnsi" w:eastAsiaTheme="minorHAnsi" w:hAnsiTheme="minorHAnsi"/>
          <w:color w:val="auto"/>
          <w:szCs w:val="24"/>
        </w:rPr>
        <w:t xml:space="preserve"> sensory abnormality, and limitation to elbow extension, the Board determined that the shoulder ROM coding did not fully describe the level of disability of the CI’s right upper extremity that was the principle determinant of unfitness.  </w:t>
      </w:r>
      <w:r w:rsidR="000247E7">
        <w:rPr>
          <w:rFonts w:asciiTheme="minorHAnsi" w:eastAsiaTheme="minorHAnsi" w:hAnsiTheme="minorHAnsi"/>
          <w:color w:val="auto"/>
          <w:szCs w:val="24"/>
        </w:rPr>
        <w:t xml:space="preserve">The Board deliberated if right upper extremity muscle </w:t>
      </w:r>
      <w:r w:rsidR="009A78A3">
        <w:rPr>
          <w:rFonts w:asciiTheme="minorHAnsi" w:eastAsiaTheme="minorHAnsi" w:hAnsiTheme="minorHAnsi"/>
          <w:color w:val="auto"/>
          <w:szCs w:val="24"/>
        </w:rPr>
        <w:t>disability/</w:t>
      </w:r>
      <w:r w:rsidR="000247E7">
        <w:rPr>
          <w:rFonts w:asciiTheme="minorHAnsi" w:eastAsiaTheme="minorHAnsi" w:hAnsiTheme="minorHAnsi"/>
          <w:color w:val="auto"/>
          <w:szCs w:val="24"/>
        </w:rPr>
        <w:t xml:space="preserve">coding was considered part of the original PEB rating </w:t>
      </w:r>
      <w:r w:rsidR="009A78A3">
        <w:rPr>
          <w:rFonts w:asciiTheme="minorHAnsi" w:eastAsiaTheme="minorHAnsi" w:hAnsiTheme="minorHAnsi"/>
          <w:color w:val="auto"/>
          <w:szCs w:val="24"/>
        </w:rPr>
        <w:t>for “</w:t>
      </w:r>
      <w:r w:rsidR="009A78A3" w:rsidRPr="005139DE">
        <w:rPr>
          <w:rFonts w:asciiTheme="minorHAnsi" w:hAnsiTheme="minorHAnsi"/>
          <w:color w:val="auto"/>
          <w:szCs w:val="24"/>
        </w:rPr>
        <w:t>Right Shoulder Flexion Contracture</w:t>
      </w:r>
      <w:r w:rsidR="003214B3">
        <w:rPr>
          <w:rFonts w:asciiTheme="minorHAnsi" w:hAnsiTheme="minorHAnsi"/>
          <w:color w:val="auto"/>
          <w:szCs w:val="24"/>
        </w:rPr>
        <w:t>,</w:t>
      </w:r>
      <w:r w:rsidR="009A78A3">
        <w:rPr>
          <w:rFonts w:asciiTheme="minorHAnsi" w:hAnsiTheme="minorHAnsi"/>
          <w:color w:val="auto"/>
          <w:szCs w:val="24"/>
        </w:rPr>
        <w:t>” but determined that regardless, the additional disability of the right upper arm due to muscle injury should be added as an unfitting condition</w:t>
      </w:r>
      <w:r w:rsidR="003214B3">
        <w:rPr>
          <w:rFonts w:asciiTheme="minorHAnsi" w:hAnsiTheme="minorHAnsi"/>
          <w:color w:val="auto"/>
          <w:szCs w:val="24"/>
        </w:rPr>
        <w:t xml:space="preserve">.  </w:t>
      </w:r>
      <w:r w:rsidR="003214B3" w:rsidRPr="003214B3">
        <w:rPr>
          <w:rFonts w:asciiTheme="minorHAnsi" w:eastAsiaTheme="minorHAnsi" w:hAnsiTheme="minorHAnsi"/>
          <w:color w:val="auto"/>
          <w:szCs w:val="24"/>
        </w:rPr>
        <w:t xml:space="preserve">IAW VASRD §4.3, reasonable doubt is resolved in favor of the CI for recommending </w:t>
      </w:r>
      <w:r w:rsidR="003214B3">
        <w:rPr>
          <w:rFonts w:asciiTheme="minorHAnsi" w:eastAsiaTheme="minorHAnsi" w:hAnsiTheme="minorHAnsi"/>
          <w:color w:val="auto"/>
          <w:szCs w:val="24"/>
        </w:rPr>
        <w:t>right upper arm muscle injury</w:t>
      </w:r>
      <w:r w:rsidR="003214B3" w:rsidRPr="003214B3">
        <w:rPr>
          <w:rFonts w:asciiTheme="minorHAnsi" w:eastAsiaTheme="minorHAnsi" w:hAnsiTheme="minorHAnsi"/>
          <w:color w:val="auto"/>
          <w:szCs w:val="24"/>
        </w:rPr>
        <w:t xml:space="preserve"> as an additionally unfitting condition by the Board.  It is appropriately coded </w:t>
      </w:r>
      <w:r w:rsidR="009D6FFC">
        <w:rPr>
          <w:rFonts w:asciiTheme="minorHAnsi" w:eastAsiaTheme="minorHAnsi" w:hAnsiTheme="minorHAnsi"/>
          <w:color w:val="auto"/>
          <w:szCs w:val="24"/>
        </w:rPr>
        <w:t>5305</w:t>
      </w:r>
      <w:r w:rsidR="003214B3" w:rsidRPr="003214B3">
        <w:rPr>
          <w:rFonts w:asciiTheme="minorHAnsi" w:eastAsiaTheme="minorHAnsi" w:hAnsiTheme="minorHAnsi"/>
          <w:color w:val="auto"/>
          <w:szCs w:val="24"/>
        </w:rPr>
        <w:t xml:space="preserve"> and meets the criteria for the </w:t>
      </w:r>
      <w:r w:rsidR="009D6FFC">
        <w:rPr>
          <w:rFonts w:asciiTheme="minorHAnsi" w:eastAsiaTheme="minorHAnsi" w:hAnsiTheme="minorHAnsi"/>
          <w:color w:val="auto"/>
          <w:szCs w:val="24"/>
        </w:rPr>
        <w:t>1</w:t>
      </w:r>
      <w:r w:rsidR="003214B3" w:rsidRPr="003214B3">
        <w:rPr>
          <w:rFonts w:asciiTheme="minorHAnsi" w:eastAsiaTheme="minorHAnsi" w:hAnsiTheme="minorHAnsi"/>
          <w:color w:val="auto"/>
          <w:szCs w:val="24"/>
        </w:rPr>
        <w:t xml:space="preserve">0% </w:t>
      </w:r>
      <w:r w:rsidR="009D6FFC">
        <w:rPr>
          <w:rFonts w:asciiTheme="minorHAnsi" w:eastAsiaTheme="minorHAnsi" w:hAnsiTheme="minorHAnsi"/>
          <w:color w:val="auto"/>
          <w:szCs w:val="24"/>
        </w:rPr>
        <w:t xml:space="preserve">(moderate) </w:t>
      </w:r>
      <w:r w:rsidR="003214B3" w:rsidRPr="003214B3">
        <w:rPr>
          <w:rFonts w:asciiTheme="minorHAnsi" w:eastAsiaTheme="minorHAnsi" w:hAnsiTheme="minorHAnsi"/>
          <w:color w:val="auto"/>
          <w:szCs w:val="24"/>
        </w:rPr>
        <w:t xml:space="preserve">rating.  </w:t>
      </w:r>
      <w:r w:rsidR="009D6FFC">
        <w:rPr>
          <w:rFonts w:asciiTheme="minorHAnsi" w:eastAsiaTheme="minorHAnsi" w:hAnsiTheme="minorHAnsi"/>
          <w:color w:val="auto"/>
          <w:szCs w:val="24"/>
        </w:rPr>
        <w:t xml:space="preserve">Right hand neuropathy was the only other </w:t>
      </w:r>
      <w:r w:rsidR="0024174E" w:rsidRPr="00A027B5">
        <w:rPr>
          <w:rFonts w:asciiTheme="minorHAnsi" w:eastAsiaTheme="minorHAnsi" w:hAnsiTheme="minorHAnsi"/>
          <w:color w:val="auto"/>
          <w:szCs w:val="24"/>
        </w:rPr>
        <w:t xml:space="preserve">service connected </w:t>
      </w:r>
      <w:r w:rsidR="00A00E75">
        <w:rPr>
          <w:rFonts w:asciiTheme="minorHAnsi" w:eastAsiaTheme="minorHAnsi" w:hAnsiTheme="minorHAnsi"/>
          <w:color w:val="auto"/>
          <w:szCs w:val="24"/>
        </w:rPr>
        <w:t xml:space="preserve">condition </w:t>
      </w:r>
      <w:r w:rsidR="0024174E" w:rsidRPr="00A027B5">
        <w:rPr>
          <w:rFonts w:asciiTheme="minorHAnsi" w:eastAsiaTheme="minorHAnsi" w:hAnsiTheme="minorHAnsi"/>
          <w:color w:val="auto"/>
          <w:szCs w:val="24"/>
        </w:rPr>
        <w:t>with a compensable rating by the VA within twelve months of separation</w:t>
      </w:r>
      <w:r w:rsidR="009D6FFC">
        <w:rPr>
          <w:rFonts w:asciiTheme="minorHAnsi" w:eastAsiaTheme="minorHAnsi" w:hAnsiTheme="minorHAnsi"/>
          <w:color w:val="auto"/>
          <w:szCs w:val="24"/>
        </w:rPr>
        <w:t>, and that condition is included in the above right arm muscle condition</w:t>
      </w:r>
      <w:r w:rsidR="0024174E" w:rsidRPr="00A027B5">
        <w:rPr>
          <w:rFonts w:asciiTheme="minorHAnsi" w:eastAsiaTheme="minorHAnsi" w:hAnsiTheme="minorHAnsi"/>
          <w:color w:val="auto"/>
          <w:szCs w:val="24"/>
        </w:rPr>
        <w:t xml:space="preserve">. </w:t>
      </w:r>
      <w:r w:rsidR="008549A8">
        <w:rPr>
          <w:rFonts w:asciiTheme="minorHAnsi" w:eastAsiaTheme="minorHAnsi" w:hAnsiTheme="minorHAnsi"/>
          <w:color w:val="auto"/>
          <w:szCs w:val="24"/>
        </w:rPr>
        <w:t xml:space="preserve"> </w:t>
      </w:r>
      <w:r w:rsidR="0099421F" w:rsidRPr="00A027B5">
        <w:rPr>
          <w:rFonts w:asciiTheme="minorHAnsi" w:hAnsiTheme="minorHAnsi"/>
          <w:color w:val="auto"/>
          <w:szCs w:val="24"/>
        </w:rPr>
        <w:t>There are therefore no additional conditions in this case appropriate for Board recommendation as additionally unfitting for separation rating.</w:t>
      </w:r>
    </w:p>
    <w:p w:rsidR="00A90D55" w:rsidRPr="003A3917" w:rsidRDefault="008B5D31" w:rsidP="00875F2D">
      <w:pPr>
        <w:tabs>
          <w:tab w:val="left" w:pos="288"/>
          <w:tab w:val="left" w:pos="4752"/>
        </w:tabs>
        <w:spacing w:line="240" w:lineRule="exact"/>
        <w:jc w:val="both"/>
        <w:rPr>
          <w:rFonts w:asciiTheme="minorHAnsi" w:hAnsiTheme="minorHAnsi"/>
          <w:color w:val="auto"/>
        </w:rPr>
      </w:pPr>
      <w:r w:rsidRPr="003A3917">
        <w:rPr>
          <w:rFonts w:asciiTheme="minorHAnsi" w:hAnsiTheme="minorHAnsi"/>
          <w:color w:val="auto"/>
          <w:u w:val="single"/>
        </w:rPr>
        <w:t>_______________________________</w:t>
      </w:r>
      <w:r w:rsidR="003A3917" w:rsidRPr="003A3917">
        <w:rPr>
          <w:rFonts w:asciiTheme="minorHAnsi" w:hAnsiTheme="minorHAnsi"/>
          <w:color w:val="auto"/>
          <w:u w:val="single"/>
        </w:rPr>
        <w:t>_____________________</w:t>
      </w:r>
      <w:r w:rsidRPr="003A3917">
        <w:rPr>
          <w:rFonts w:asciiTheme="minorHAnsi" w:hAnsiTheme="minorHAnsi"/>
          <w:color w:val="auto"/>
          <w:u w:val="single"/>
        </w:rPr>
        <w:t>__________________________</w:t>
      </w:r>
    </w:p>
    <w:p w:rsidR="00A90D55" w:rsidRPr="003A3917" w:rsidRDefault="00A90D55" w:rsidP="00875F2D">
      <w:pPr>
        <w:tabs>
          <w:tab w:val="left" w:pos="288"/>
          <w:tab w:val="left" w:pos="4752"/>
        </w:tabs>
        <w:spacing w:line="240" w:lineRule="exact"/>
        <w:jc w:val="both"/>
        <w:rPr>
          <w:rFonts w:asciiTheme="minorHAnsi" w:hAnsiTheme="minorHAnsi"/>
          <w:color w:val="auto"/>
        </w:rPr>
      </w:pPr>
    </w:p>
    <w:p w:rsidR="00337351" w:rsidRPr="00A027B5" w:rsidRDefault="00C56FC8" w:rsidP="00337351">
      <w:pPr>
        <w:spacing w:line="240" w:lineRule="exact"/>
        <w:rPr>
          <w:rFonts w:asciiTheme="minorHAnsi" w:hAnsiTheme="minorHAnsi"/>
          <w:color w:val="auto"/>
          <w:szCs w:val="24"/>
        </w:rPr>
      </w:pPr>
      <w:r w:rsidRPr="00A027B5">
        <w:rPr>
          <w:rFonts w:asciiTheme="minorHAnsi" w:hAnsiTheme="minorHAnsi"/>
          <w:color w:val="auto"/>
          <w:szCs w:val="24"/>
          <w:u w:val="single"/>
        </w:rPr>
        <w:t>BOARD FINDINGS</w:t>
      </w:r>
      <w:r w:rsidRPr="00A027B5">
        <w:rPr>
          <w:rFonts w:asciiTheme="minorHAnsi" w:hAnsiTheme="minorHAnsi"/>
          <w:color w:val="auto"/>
          <w:szCs w:val="24"/>
        </w:rPr>
        <w:t>:</w:t>
      </w:r>
      <w:r w:rsidRPr="00A027B5">
        <w:rPr>
          <w:rFonts w:asciiTheme="minorHAnsi" w:eastAsiaTheme="minorHAnsi" w:hAnsiTheme="minorHAnsi"/>
          <w:color w:val="auto"/>
          <w:szCs w:val="24"/>
        </w:rPr>
        <w:t xml:space="preserve">  IAW </w:t>
      </w:r>
      <w:proofErr w:type="spellStart"/>
      <w:r w:rsidRPr="00A027B5">
        <w:rPr>
          <w:rFonts w:asciiTheme="minorHAnsi" w:eastAsiaTheme="minorHAnsi" w:hAnsiTheme="minorHAnsi"/>
          <w:color w:val="auto"/>
          <w:szCs w:val="24"/>
        </w:rPr>
        <w:t>DoDI</w:t>
      </w:r>
      <w:proofErr w:type="spellEnd"/>
      <w:r w:rsidRPr="00A027B5">
        <w:rPr>
          <w:rFonts w:asciiTheme="minorHAnsi" w:eastAsiaTheme="minorHAnsi" w:hAnsiTheme="minorHAnsi"/>
          <w:color w:val="auto"/>
          <w:szCs w:val="24"/>
        </w:rPr>
        <w:t xml:space="preserve"> 6040.44, provisions of </w:t>
      </w:r>
      <w:proofErr w:type="spellStart"/>
      <w:r w:rsidRPr="00A027B5">
        <w:rPr>
          <w:rFonts w:asciiTheme="minorHAnsi" w:eastAsiaTheme="minorHAnsi" w:hAnsiTheme="minorHAnsi"/>
          <w:color w:val="auto"/>
          <w:szCs w:val="24"/>
        </w:rPr>
        <w:t>DoD</w:t>
      </w:r>
      <w:proofErr w:type="spellEnd"/>
      <w:r w:rsidRPr="00A027B5">
        <w:rPr>
          <w:rFonts w:asciiTheme="minorHAnsi" w:eastAsiaTheme="minorHAnsi" w:hAnsiTheme="minorHAnsi"/>
          <w:color w:val="auto"/>
          <w:szCs w:val="24"/>
        </w:rPr>
        <w:t xml:space="preserve"> or Military Department regulations or guidelines relied upon by the PEB will not be considered by the Board to the extent they were inconsistent with the VASRD in effect at the time of the adjudication. </w:t>
      </w:r>
      <w:r w:rsidR="001D68CF" w:rsidRPr="00A027B5">
        <w:rPr>
          <w:rFonts w:asciiTheme="minorHAnsi" w:eastAsiaTheme="minorHAnsi" w:hAnsiTheme="minorHAnsi"/>
          <w:color w:val="auto"/>
          <w:szCs w:val="24"/>
        </w:rPr>
        <w:t xml:space="preserve"> </w:t>
      </w:r>
      <w:r w:rsidRPr="00A027B5">
        <w:rPr>
          <w:rFonts w:asciiTheme="minorHAnsi" w:eastAsiaTheme="minorHAnsi" w:hAnsiTheme="minorHAnsi"/>
          <w:color w:val="auto"/>
          <w:szCs w:val="24"/>
        </w:rPr>
        <w:t xml:space="preserve">As discussed above, PEB reliance on the USAPDA pain policy for rating </w:t>
      </w:r>
      <w:r w:rsidR="00356178">
        <w:rPr>
          <w:rFonts w:asciiTheme="minorHAnsi" w:eastAsiaTheme="minorHAnsi" w:hAnsiTheme="minorHAnsi"/>
          <w:color w:val="auto"/>
          <w:szCs w:val="24"/>
        </w:rPr>
        <w:t>the right shoulder condition</w:t>
      </w:r>
      <w:r w:rsidRPr="00A027B5">
        <w:rPr>
          <w:rFonts w:asciiTheme="minorHAnsi" w:eastAsiaTheme="minorHAnsi" w:hAnsiTheme="minorHAnsi"/>
          <w:color w:val="auto"/>
          <w:szCs w:val="24"/>
        </w:rPr>
        <w:t xml:space="preserve"> was operant in this case and the condition was adjudicated independently of that policy by the Board. </w:t>
      </w:r>
      <w:r w:rsidR="008549A8">
        <w:rPr>
          <w:rFonts w:asciiTheme="minorHAnsi" w:eastAsiaTheme="minorHAnsi" w:hAnsiTheme="minorHAnsi"/>
          <w:color w:val="auto"/>
          <w:szCs w:val="24"/>
        </w:rPr>
        <w:t xml:space="preserve"> </w:t>
      </w:r>
      <w:r w:rsidRPr="00A027B5">
        <w:rPr>
          <w:rFonts w:asciiTheme="minorHAnsi" w:eastAsiaTheme="minorHAnsi" w:hAnsiTheme="minorHAnsi"/>
          <w:color w:val="auto"/>
          <w:szCs w:val="24"/>
        </w:rPr>
        <w:t xml:space="preserve">In the matter of the </w:t>
      </w:r>
      <w:r w:rsidR="00356178">
        <w:rPr>
          <w:rFonts w:asciiTheme="minorHAnsi" w:eastAsiaTheme="minorHAnsi" w:hAnsiTheme="minorHAnsi"/>
          <w:color w:val="auto"/>
          <w:szCs w:val="24"/>
        </w:rPr>
        <w:t>right shoulder</w:t>
      </w:r>
      <w:r w:rsidRPr="00A027B5">
        <w:rPr>
          <w:rFonts w:asciiTheme="minorHAnsi" w:eastAsiaTheme="minorHAnsi" w:hAnsiTheme="minorHAnsi"/>
          <w:color w:val="auto"/>
          <w:szCs w:val="24"/>
        </w:rPr>
        <w:t xml:space="preserve"> condition, the Board </w:t>
      </w:r>
      <w:r w:rsidRPr="00C87429">
        <w:rPr>
          <w:rFonts w:asciiTheme="minorHAnsi" w:eastAsiaTheme="minorHAnsi" w:hAnsiTheme="minorHAnsi"/>
          <w:color w:val="auto"/>
          <w:szCs w:val="24"/>
        </w:rPr>
        <w:t xml:space="preserve">unanimously recommends a rating of </w:t>
      </w:r>
      <w:r w:rsidR="00C87429" w:rsidRPr="00C87429">
        <w:rPr>
          <w:rFonts w:asciiTheme="minorHAnsi" w:eastAsiaTheme="minorHAnsi" w:hAnsiTheme="minorHAnsi"/>
          <w:color w:val="auto"/>
          <w:szCs w:val="24"/>
        </w:rPr>
        <w:t>2</w:t>
      </w:r>
      <w:r w:rsidRPr="00C87429">
        <w:rPr>
          <w:rFonts w:asciiTheme="minorHAnsi" w:eastAsiaTheme="minorHAnsi" w:hAnsiTheme="minorHAnsi"/>
          <w:color w:val="auto"/>
          <w:szCs w:val="24"/>
        </w:rPr>
        <w:t>0%</w:t>
      </w:r>
      <w:r w:rsidRPr="00A027B5">
        <w:rPr>
          <w:rFonts w:asciiTheme="minorHAnsi" w:eastAsiaTheme="minorHAnsi" w:hAnsiTheme="minorHAnsi"/>
          <w:color w:val="auto"/>
          <w:szCs w:val="24"/>
        </w:rPr>
        <w:t xml:space="preserve"> coded </w:t>
      </w:r>
      <w:r w:rsidR="00356178">
        <w:rPr>
          <w:rFonts w:asciiTheme="minorHAnsi" w:eastAsiaTheme="minorHAnsi" w:hAnsiTheme="minorHAnsi"/>
          <w:color w:val="auto"/>
          <w:szCs w:val="24"/>
        </w:rPr>
        <w:t>5201</w:t>
      </w:r>
      <w:r w:rsidRPr="00A027B5">
        <w:rPr>
          <w:rFonts w:asciiTheme="minorHAnsi" w:eastAsiaTheme="minorHAnsi" w:hAnsiTheme="minorHAnsi"/>
          <w:color w:val="auto"/>
          <w:szCs w:val="24"/>
        </w:rPr>
        <w:t xml:space="preserve"> </w:t>
      </w:r>
      <w:r w:rsidRPr="00A027B5">
        <w:rPr>
          <w:rFonts w:asciiTheme="minorHAnsi" w:hAnsiTheme="minorHAnsi"/>
          <w:color w:val="auto"/>
          <w:szCs w:val="24"/>
        </w:rPr>
        <w:t xml:space="preserve">IAW </w:t>
      </w:r>
      <w:r w:rsidRPr="00356178">
        <w:rPr>
          <w:rFonts w:asciiTheme="minorHAnsi" w:hAnsiTheme="minorHAnsi"/>
          <w:color w:val="auto"/>
          <w:szCs w:val="24"/>
        </w:rPr>
        <w:t>VASRD §</w:t>
      </w:r>
      <w:r w:rsidR="00F76D01" w:rsidRPr="00356178">
        <w:rPr>
          <w:rFonts w:asciiTheme="minorHAnsi" w:hAnsiTheme="minorHAnsi"/>
          <w:color w:val="auto"/>
          <w:szCs w:val="24"/>
        </w:rPr>
        <w:t>4.71a</w:t>
      </w:r>
      <w:r w:rsidRPr="00356178">
        <w:rPr>
          <w:rFonts w:asciiTheme="minorHAnsi" w:hAnsiTheme="minorHAnsi"/>
          <w:color w:val="auto"/>
          <w:szCs w:val="24"/>
        </w:rPr>
        <w:t>.</w:t>
      </w:r>
      <w:r w:rsidRPr="00A027B5">
        <w:rPr>
          <w:rFonts w:asciiTheme="minorHAnsi" w:hAnsiTheme="minorHAnsi"/>
          <w:color w:val="auto"/>
          <w:szCs w:val="24"/>
        </w:rPr>
        <w:t xml:space="preserve">  </w:t>
      </w:r>
      <w:r w:rsidR="00C87429" w:rsidRPr="00A027B5">
        <w:rPr>
          <w:rFonts w:asciiTheme="minorHAnsi" w:eastAsiaTheme="minorHAnsi" w:hAnsiTheme="minorHAnsi"/>
          <w:color w:val="auto"/>
          <w:szCs w:val="24"/>
        </w:rPr>
        <w:t>In the matter of the</w:t>
      </w:r>
      <w:r w:rsidR="00C87429">
        <w:rPr>
          <w:rFonts w:asciiTheme="minorHAnsi" w:eastAsiaTheme="minorHAnsi" w:hAnsiTheme="minorHAnsi"/>
          <w:color w:val="auto"/>
          <w:szCs w:val="24"/>
        </w:rPr>
        <w:t xml:space="preserve"> right arm </w:t>
      </w:r>
      <w:r w:rsidR="009D6FFC">
        <w:rPr>
          <w:rFonts w:asciiTheme="minorHAnsi" w:eastAsiaTheme="minorHAnsi" w:hAnsiTheme="minorHAnsi"/>
          <w:color w:val="auto"/>
          <w:szCs w:val="24"/>
        </w:rPr>
        <w:t>muscle condition (</w:t>
      </w:r>
      <w:r w:rsidR="00C87429">
        <w:rPr>
          <w:rFonts w:asciiTheme="minorHAnsi" w:eastAsiaTheme="minorHAnsi" w:hAnsiTheme="minorHAnsi"/>
          <w:color w:val="auto"/>
          <w:szCs w:val="24"/>
        </w:rPr>
        <w:t>residuals from shrapnel wound</w:t>
      </w:r>
      <w:r w:rsidR="009D6FFC">
        <w:rPr>
          <w:rFonts w:asciiTheme="minorHAnsi" w:eastAsiaTheme="minorHAnsi" w:hAnsiTheme="minorHAnsi"/>
          <w:color w:val="auto"/>
          <w:szCs w:val="24"/>
        </w:rPr>
        <w:t>)</w:t>
      </w:r>
      <w:r w:rsidR="00C87429">
        <w:rPr>
          <w:rFonts w:asciiTheme="minorHAnsi" w:eastAsiaTheme="minorHAnsi" w:hAnsiTheme="minorHAnsi"/>
          <w:color w:val="auto"/>
          <w:szCs w:val="24"/>
        </w:rPr>
        <w:t xml:space="preserve">, the </w:t>
      </w:r>
      <w:r w:rsidR="00C87429" w:rsidRPr="00A027B5">
        <w:rPr>
          <w:rFonts w:asciiTheme="minorHAnsi" w:eastAsiaTheme="minorHAnsi" w:hAnsiTheme="minorHAnsi"/>
          <w:color w:val="auto"/>
          <w:szCs w:val="24"/>
        </w:rPr>
        <w:t xml:space="preserve">Board </w:t>
      </w:r>
      <w:r w:rsidR="00C87429" w:rsidRPr="00C87429">
        <w:rPr>
          <w:rFonts w:asciiTheme="minorHAnsi" w:eastAsiaTheme="minorHAnsi" w:hAnsiTheme="minorHAnsi"/>
          <w:color w:val="auto"/>
          <w:szCs w:val="24"/>
        </w:rPr>
        <w:t xml:space="preserve">unanimously recommends </w:t>
      </w:r>
      <w:r w:rsidR="00C87429">
        <w:rPr>
          <w:rFonts w:asciiTheme="minorHAnsi" w:eastAsiaTheme="minorHAnsi" w:hAnsiTheme="minorHAnsi"/>
          <w:color w:val="auto"/>
          <w:szCs w:val="24"/>
        </w:rPr>
        <w:t xml:space="preserve">it be added as additionally unfitting condition with </w:t>
      </w:r>
      <w:r w:rsidR="00C87429" w:rsidRPr="00C87429">
        <w:rPr>
          <w:rFonts w:asciiTheme="minorHAnsi" w:eastAsiaTheme="minorHAnsi" w:hAnsiTheme="minorHAnsi"/>
          <w:color w:val="auto"/>
          <w:szCs w:val="24"/>
        </w:rPr>
        <w:t xml:space="preserve">a rating of </w:t>
      </w:r>
      <w:r w:rsidR="00C87429">
        <w:rPr>
          <w:rFonts w:asciiTheme="minorHAnsi" w:eastAsiaTheme="minorHAnsi" w:hAnsiTheme="minorHAnsi"/>
          <w:color w:val="auto"/>
          <w:szCs w:val="24"/>
        </w:rPr>
        <w:t>1</w:t>
      </w:r>
      <w:r w:rsidR="00C87429" w:rsidRPr="00C87429">
        <w:rPr>
          <w:rFonts w:asciiTheme="minorHAnsi" w:eastAsiaTheme="minorHAnsi" w:hAnsiTheme="minorHAnsi"/>
          <w:color w:val="auto"/>
          <w:szCs w:val="24"/>
        </w:rPr>
        <w:t>0%</w:t>
      </w:r>
      <w:r w:rsidR="00C87429" w:rsidRPr="00A027B5">
        <w:rPr>
          <w:rFonts w:asciiTheme="minorHAnsi" w:eastAsiaTheme="minorHAnsi" w:hAnsiTheme="minorHAnsi"/>
          <w:color w:val="auto"/>
          <w:szCs w:val="24"/>
        </w:rPr>
        <w:t xml:space="preserve"> coded </w:t>
      </w:r>
      <w:r w:rsidR="00C87429">
        <w:rPr>
          <w:rFonts w:asciiTheme="minorHAnsi" w:eastAsiaTheme="minorHAnsi" w:hAnsiTheme="minorHAnsi"/>
          <w:color w:val="auto"/>
          <w:szCs w:val="24"/>
        </w:rPr>
        <w:t>5305</w:t>
      </w:r>
      <w:r w:rsidR="00C87429" w:rsidRPr="00A027B5">
        <w:rPr>
          <w:rFonts w:asciiTheme="minorHAnsi" w:eastAsiaTheme="minorHAnsi" w:hAnsiTheme="minorHAnsi"/>
          <w:color w:val="auto"/>
          <w:szCs w:val="24"/>
        </w:rPr>
        <w:t xml:space="preserve"> </w:t>
      </w:r>
      <w:r w:rsidR="00C87429" w:rsidRPr="00A027B5">
        <w:rPr>
          <w:rFonts w:asciiTheme="minorHAnsi" w:hAnsiTheme="minorHAnsi"/>
          <w:color w:val="auto"/>
          <w:szCs w:val="24"/>
        </w:rPr>
        <w:t xml:space="preserve">IAW </w:t>
      </w:r>
      <w:r w:rsidR="00C87429" w:rsidRPr="00356178">
        <w:rPr>
          <w:rFonts w:asciiTheme="minorHAnsi" w:hAnsiTheme="minorHAnsi"/>
          <w:color w:val="auto"/>
          <w:szCs w:val="24"/>
        </w:rPr>
        <w:t>VASRD §4.</w:t>
      </w:r>
      <w:r w:rsidR="00C87429">
        <w:rPr>
          <w:rFonts w:asciiTheme="minorHAnsi" w:hAnsiTheme="minorHAnsi"/>
          <w:color w:val="auto"/>
          <w:szCs w:val="24"/>
        </w:rPr>
        <w:t xml:space="preserve">55 and </w:t>
      </w:r>
      <w:r w:rsidR="00C87429" w:rsidRPr="00356178">
        <w:rPr>
          <w:rFonts w:asciiTheme="minorHAnsi" w:hAnsiTheme="minorHAnsi"/>
          <w:color w:val="auto"/>
          <w:szCs w:val="24"/>
        </w:rPr>
        <w:t>§4.</w:t>
      </w:r>
      <w:r w:rsidR="00C87429">
        <w:rPr>
          <w:rFonts w:asciiTheme="minorHAnsi" w:hAnsiTheme="minorHAnsi"/>
          <w:color w:val="auto"/>
          <w:szCs w:val="24"/>
        </w:rPr>
        <w:t>56</w:t>
      </w:r>
      <w:r w:rsidR="00C87429" w:rsidRPr="00356178">
        <w:rPr>
          <w:rFonts w:asciiTheme="minorHAnsi" w:hAnsiTheme="minorHAnsi"/>
          <w:color w:val="auto"/>
          <w:szCs w:val="24"/>
        </w:rPr>
        <w:t>.</w:t>
      </w:r>
      <w:r w:rsidR="00C87429" w:rsidRPr="00A027B5">
        <w:rPr>
          <w:rFonts w:asciiTheme="minorHAnsi" w:hAnsiTheme="minorHAnsi"/>
          <w:color w:val="auto"/>
          <w:szCs w:val="24"/>
        </w:rPr>
        <w:t xml:space="preserve">  </w:t>
      </w:r>
      <w:r w:rsidRPr="00A027B5">
        <w:rPr>
          <w:rFonts w:asciiTheme="minorHAnsi" w:eastAsiaTheme="minorHAnsi" w:hAnsiTheme="minorHAnsi"/>
          <w:color w:val="auto"/>
          <w:szCs w:val="24"/>
        </w:rPr>
        <w:t xml:space="preserve">In the matter of the </w:t>
      </w:r>
      <w:r w:rsidR="008549A8">
        <w:rPr>
          <w:rFonts w:asciiTheme="minorHAnsi" w:eastAsiaTheme="minorHAnsi" w:hAnsiTheme="minorHAnsi"/>
          <w:color w:val="auto"/>
          <w:szCs w:val="24"/>
        </w:rPr>
        <w:t xml:space="preserve">Anxiety </w:t>
      </w:r>
      <w:r w:rsidR="00084ABB">
        <w:rPr>
          <w:rFonts w:asciiTheme="minorHAnsi" w:eastAsiaTheme="minorHAnsi" w:hAnsiTheme="minorHAnsi"/>
          <w:color w:val="auto"/>
          <w:szCs w:val="24"/>
        </w:rPr>
        <w:t>D</w:t>
      </w:r>
      <w:r w:rsidR="008549A8">
        <w:rPr>
          <w:rFonts w:asciiTheme="minorHAnsi" w:eastAsiaTheme="minorHAnsi" w:hAnsiTheme="minorHAnsi"/>
          <w:color w:val="auto"/>
          <w:szCs w:val="24"/>
        </w:rPr>
        <w:t>isorder</w:t>
      </w:r>
      <w:r w:rsidRPr="00A027B5">
        <w:rPr>
          <w:rFonts w:asciiTheme="minorHAnsi" w:eastAsiaTheme="minorHAnsi" w:hAnsiTheme="minorHAnsi"/>
          <w:color w:val="auto"/>
          <w:szCs w:val="24"/>
        </w:rPr>
        <w:t xml:space="preserve"> condition, the </w:t>
      </w:r>
      <w:r w:rsidRPr="00C87429">
        <w:rPr>
          <w:rFonts w:asciiTheme="minorHAnsi" w:eastAsiaTheme="minorHAnsi" w:hAnsiTheme="minorHAnsi"/>
          <w:color w:val="auto"/>
          <w:szCs w:val="24"/>
        </w:rPr>
        <w:t xml:space="preserve">Board unanimously recommends no </w:t>
      </w:r>
      <w:proofErr w:type="spellStart"/>
      <w:r w:rsidRPr="00C87429">
        <w:rPr>
          <w:rFonts w:asciiTheme="minorHAnsi" w:eastAsiaTheme="minorHAnsi" w:hAnsiTheme="minorHAnsi"/>
          <w:color w:val="auto"/>
          <w:szCs w:val="24"/>
        </w:rPr>
        <w:t>recharacterization</w:t>
      </w:r>
      <w:proofErr w:type="spellEnd"/>
      <w:r w:rsidRPr="00C87429">
        <w:rPr>
          <w:rFonts w:asciiTheme="minorHAnsi" w:eastAsiaTheme="minorHAnsi" w:hAnsiTheme="minorHAnsi"/>
          <w:color w:val="auto"/>
          <w:szCs w:val="24"/>
        </w:rPr>
        <w:t xml:space="preserve"> of the PEB adjudication as not unfitting.</w:t>
      </w:r>
      <w:r w:rsidR="008549A8" w:rsidRPr="00C87429">
        <w:rPr>
          <w:rFonts w:asciiTheme="minorHAnsi" w:hAnsiTheme="minorHAnsi"/>
          <w:color w:val="auto"/>
          <w:szCs w:val="24"/>
        </w:rPr>
        <w:t xml:space="preserve">  </w:t>
      </w:r>
      <w:r w:rsidR="00337351" w:rsidRPr="00C87429">
        <w:rPr>
          <w:rFonts w:asciiTheme="minorHAnsi" w:hAnsiTheme="minorHAnsi"/>
          <w:color w:val="auto"/>
          <w:szCs w:val="24"/>
        </w:rPr>
        <w:t xml:space="preserve">In the matter of the </w:t>
      </w:r>
      <w:r w:rsidR="008549A8" w:rsidRPr="00C87429">
        <w:rPr>
          <w:rFonts w:asciiTheme="minorHAnsi" w:hAnsiTheme="minorHAnsi"/>
          <w:color w:val="auto"/>
          <w:szCs w:val="24"/>
        </w:rPr>
        <w:t>Lower Back conditions</w:t>
      </w:r>
      <w:r w:rsidR="00337351" w:rsidRPr="00C87429">
        <w:rPr>
          <w:rFonts w:asciiTheme="minorHAnsi" w:hAnsiTheme="minorHAnsi"/>
          <w:color w:val="auto"/>
          <w:szCs w:val="24"/>
        </w:rPr>
        <w:t xml:space="preserve"> or any other medical conditions eligible for Board consideration</w:t>
      </w:r>
      <w:r w:rsidR="00180D7D">
        <w:rPr>
          <w:rFonts w:asciiTheme="minorHAnsi" w:hAnsiTheme="minorHAnsi"/>
          <w:color w:val="auto"/>
          <w:szCs w:val="24"/>
        </w:rPr>
        <w:t>, not specified above</w:t>
      </w:r>
      <w:r w:rsidR="00337351" w:rsidRPr="00C87429">
        <w:rPr>
          <w:rFonts w:asciiTheme="minorHAnsi" w:hAnsiTheme="minorHAnsi"/>
          <w:color w:val="auto"/>
          <w:szCs w:val="24"/>
        </w:rPr>
        <w:t>; the Board unanimously agrees that it cannot</w:t>
      </w:r>
      <w:r w:rsidR="00337351" w:rsidRPr="00C87429">
        <w:rPr>
          <w:rFonts w:asciiTheme="minorHAnsi" w:hAnsiTheme="minorHAnsi"/>
          <w:color w:val="000080"/>
          <w:szCs w:val="24"/>
        </w:rPr>
        <w:t xml:space="preserve"> </w:t>
      </w:r>
      <w:r w:rsidR="00337351" w:rsidRPr="00C87429">
        <w:rPr>
          <w:rFonts w:asciiTheme="minorHAnsi" w:hAnsiTheme="minorHAnsi"/>
          <w:color w:val="auto"/>
          <w:szCs w:val="24"/>
        </w:rPr>
        <w:t xml:space="preserve">recommend any </w:t>
      </w:r>
      <w:r w:rsidR="009D6FFC">
        <w:rPr>
          <w:rFonts w:asciiTheme="minorHAnsi" w:hAnsiTheme="minorHAnsi"/>
          <w:color w:val="auto"/>
          <w:szCs w:val="24"/>
        </w:rPr>
        <w:t xml:space="preserve">other </w:t>
      </w:r>
      <w:r w:rsidR="00337351" w:rsidRPr="00C87429">
        <w:rPr>
          <w:rFonts w:asciiTheme="minorHAnsi" w:hAnsiTheme="minorHAnsi"/>
          <w:color w:val="auto"/>
          <w:szCs w:val="24"/>
        </w:rPr>
        <w:t>findings of unfit for additional rating at separation.</w:t>
      </w:r>
    </w:p>
    <w:p w:rsidR="00FB593A" w:rsidRPr="003A3917" w:rsidRDefault="008B5D31" w:rsidP="00875F2D">
      <w:pPr>
        <w:tabs>
          <w:tab w:val="left" w:pos="288"/>
          <w:tab w:val="left" w:pos="4752"/>
        </w:tabs>
        <w:spacing w:line="240" w:lineRule="exact"/>
        <w:jc w:val="both"/>
        <w:rPr>
          <w:rFonts w:asciiTheme="minorHAnsi" w:hAnsiTheme="minorHAnsi"/>
          <w:color w:val="auto"/>
        </w:rPr>
      </w:pPr>
      <w:r w:rsidRPr="003A3917">
        <w:rPr>
          <w:rFonts w:asciiTheme="minorHAnsi" w:hAnsiTheme="minorHAnsi"/>
          <w:color w:val="auto"/>
          <w:u w:val="single"/>
        </w:rPr>
        <w:t>________________________________________</w:t>
      </w:r>
      <w:r w:rsidR="003A3917" w:rsidRPr="003A3917">
        <w:rPr>
          <w:rFonts w:asciiTheme="minorHAnsi" w:hAnsiTheme="minorHAnsi"/>
          <w:color w:val="auto"/>
          <w:u w:val="single"/>
        </w:rPr>
        <w:t>__________________</w:t>
      </w:r>
      <w:r w:rsidRPr="003A3917">
        <w:rPr>
          <w:rFonts w:asciiTheme="minorHAnsi" w:hAnsiTheme="minorHAnsi"/>
          <w:color w:val="auto"/>
          <w:u w:val="single"/>
        </w:rPr>
        <w:t>____________________</w:t>
      </w:r>
    </w:p>
    <w:p w:rsidR="00FB593A" w:rsidRPr="003A3917" w:rsidRDefault="00FB593A" w:rsidP="00875F2D">
      <w:pPr>
        <w:tabs>
          <w:tab w:val="left" w:pos="288"/>
          <w:tab w:val="left" w:pos="4752"/>
        </w:tabs>
        <w:spacing w:line="240" w:lineRule="exact"/>
        <w:jc w:val="both"/>
        <w:rPr>
          <w:rFonts w:asciiTheme="minorHAnsi" w:hAnsiTheme="minorHAnsi"/>
          <w:color w:val="auto"/>
        </w:rPr>
      </w:pPr>
    </w:p>
    <w:p w:rsidR="001040D3" w:rsidRDefault="001040D3">
      <w:pPr>
        <w:rPr>
          <w:rFonts w:asciiTheme="minorHAnsi" w:hAnsiTheme="minorHAnsi"/>
          <w:color w:val="auto"/>
          <w:szCs w:val="24"/>
          <w:u w:val="single"/>
        </w:rPr>
      </w:pPr>
      <w:r>
        <w:rPr>
          <w:rFonts w:asciiTheme="minorHAnsi" w:hAnsiTheme="minorHAnsi"/>
          <w:color w:val="auto"/>
          <w:szCs w:val="24"/>
          <w:u w:val="single"/>
        </w:rPr>
        <w:br w:type="page"/>
      </w:r>
    </w:p>
    <w:p w:rsidR="00FB593A" w:rsidRPr="00A027B5" w:rsidRDefault="00C56FC8" w:rsidP="00135385">
      <w:pPr>
        <w:tabs>
          <w:tab w:val="left" w:pos="288"/>
          <w:tab w:val="left" w:pos="4752"/>
        </w:tabs>
        <w:spacing w:line="240" w:lineRule="exact"/>
        <w:jc w:val="both"/>
        <w:rPr>
          <w:rFonts w:asciiTheme="minorHAnsi" w:hAnsiTheme="minorHAnsi"/>
          <w:color w:val="000080"/>
        </w:rPr>
      </w:pPr>
      <w:r w:rsidRPr="003A3917">
        <w:rPr>
          <w:rFonts w:asciiTheme="minorHAnsi" w:hAnsiTheme="minorHAnsi"/>
          <w:color w:val="auto"/>
          <w:szCs w:val="24"/>
          <w:u w:val="single"/>
        </w:rPr>
        <w:lastRenderedPageBreak/>
        <w:t>RECOMMENDATION</w:t>
      </w:r>
      <w:r w:rsidRPr="00A027B5">
        <w:rPr>
          <w:rFonts w:asciiTheme="minorHAnsi" w:hAnsiTheme="minorHAnsi"/>
          <w:color w:val="auto"/>
          <w:szCs w:val="24"/>
        </w:rPr>
        <w:t>:</w:t>
      </w:r>
      <w:r w:rsidRPr="00A027B5">
        <w:rPr>
          <w:rFonts w:asciiTheme="minorHAnsi" w:hAnsiTheme="minorHAnsi"/>
          <w:color w:val="000080"/>
          <w:szCs w:val="24"/>
        </w:rPr>
        <w:t xml:space="preserve"> </w:t>
      </w:r>
      <w:r w:rsidRPr="00A027B5">
        <w:rPr>
          <w:rFonts w:asciiTheme="minorHAnsi" w:hAnsiTheme="minorHAnsi"/>
          <w:color w:val="auto"/>
          <w:szCs w:val="24"/>
        </w:rPr>
        <w:t xml:space="preserve">The Board recommends that the CI’s prior determination be modified as follows and that the discharge with severance pay be </w:t>
      </w:r>
      <w:proofErr w:type="spellStart"/>
      <w:r w:rsidRPr="00A027B5">
        <w:rPr>
          <w:rFonts w:asciiTheme="minorHAnsi" w:hAnsiTheme="minorHAnsi"/>
          <w:color w:val="auto"/>
          <w:szCs w:val="24"/>
        </w:rPr>
        <w:t>recharacterized</w:t>
      </w:r>
      <w:proofErr w:type="spellEnd"/>
      <w:r w:rsidRPr="00A027B5">
        <w:rPr>
          <w:rFonts w:asciiTheme="minorHAnsi" w:hAnsiTheme="minorHAnsi"/>
          <w:color w:val="auto"/>
          <w:szCs w:val="24"/>
        </w:rPr>
        <w:t xml:space="preserve"> to reflect permanent disability retirement, effective as of the date of his prior medical separation.</w:t>
      </w:r>
    </w:p>
    <w:p w:rsidR="004101B2" w:rsidRPr="003A3917" w:rsidRDefault="004101B2" w:rsidP="004101B2">
      <w:pPr>
        <w:tabs>
          <w:tab w:val="left" w:pos="288"/>
          <w:tab w:val="left" w:pos="4752"/>
        </w:tabs>
        <w:spacing w:line="240" w:lineRule="exact"/>
        <w:jc w:val="both"/>
        <w:rPr>
          <w:rFonts w:asciiTheme="minorHAnsi" w:hAnsiTheme="minorHAnsi"/>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0"/>
        <w:gridCol w:w="1710"/>
        <w:gridCol w:w="1170"/>
      </w:tblGrid>
      <w:tr w:rsidR="00A95BBA" w:rsidRPr="003A3917" w:rsidTr="003A3917">
        <w:trPr>
          <w:trHeight w:val="287"/>
        </w:trPr>
        <w:tc>
          <w:tcPr>
            <w:tcW w:w="6480" w:type="dxa"/>
            <w:shd w:val="clear" w:color="auto" w:fill="D9D9D9" w:themeFill="background1" w:themeFillShade="D9"/>
          </w:tcPr>
          <w:p w:rsidR="00A95BBA" w:rsidRPr="003A3917" w:rsidRDefault="00A95BBA" w:rsidP="00AE6115">
            <w:pPr>
              <w:tabs>
                <w:tab w:val="left" w:pos="288"/>
                <w:tab w:val="left" w:pos="4752"/>
              </w:tabs>
              <w:spacing w:before="40" w:line="240" w:lineRule="exact"/>
              <w:jc w:val="center"/>
              <w:rPr>
                <w:rFonts w:asciiTheme="minorHAnsi" w:hAnsiTheme="minorHAnsi"/>
                <w:b/>
                <w:color w:val="auto"/>
                <w:szCs w:val="24"/>
              </w:rPr>
            </w:pPr>
            <w:r w:rsidRPr="003A3917">
              <w:rPr>
                <w:rFonts w:asciiTheme="minorHAnsi" w:hAnsiTheme="minorHAnsi"/>
                <w:b/>
                <w:color w:val="auto"/>
                <w:szCs w:val="24"/>
              </w:rPr>
              <w:t>UNFITTING CONDITION</w:t>
            </w:r>
          </w:p>
        </w:tc>
        <w:tc>
          <w:tcPr>
            <w:tcW w:w="1710" w:type="dxa"/>
            <w:shd w:val="clear" w:color="auto" w:fill="D9D9D9" w:themeFill="background1" w:themeFillShade="D9"/>
          </w:tcPr>
          <w:p w:rsidR="00A95BBA" w:rsidRPr="003A3917" w:rsidRDefault="00A95BBA" w:rsidP="00AE6115">
            <w:pPr>
              <w:tabs>
                <w:tab w:val="left" w:pos="288"/>
                <w:tab w:val="left" w:pos="4752"/>
              </w:tabs>
              <w:spacing w:before="40" w:line="240" w:lineRule="exact"/>
              <w:jc w:val="center"/>
              <w:rPr>
                <w:rFonts w:asciiTheme="minorHAnsi" w:hAnsiTheme="minorHAnsi"/>
                <w:b/>
                <w:color w:val="auto"/>
                <w:szCs w:val="24"/>
              </w:rPr>
            </w:pPr>
            <w:r w:rsidRPr="003A3917">
              <w:rPr>
                <w:rFonts w:asciiTheme="minorHAnsi" w:hAnsiTheme="minorHAnsi"/>
                <w:b/>
                <w:color w:val="auto"/>
                <w:szCs w:val="24"/>
              </w:rPr>
              <w:t>VASRD CODE</w:t>
            </w:r>
          </w:p>
        </w:tc>
        <w:tc>
          <w:tcPr>
            <w:tcW w:w="1170" w:type="dxa"/>
            <w:shd w:val="clear" w:color="auto" w:fill="D9D9D9" w:themeFill="background1" w:themeFillShade="D9"/>
          </w:tcPr>
          <w:p w:rsidR="00A95BBA" w:rsidRPr="003A3917" w:rsidRDefault="00A95BBA" w:rsidP="00AE6115">
            <w:pPr>
              <w:tabs>
                <w:tab w:val="left" w:pos="288"/>
                <w:tab w:val="left" w:pos="4752"/>
              </w:tabs>
              <w:spacing w:before="40" w:line="240" w:lineRule="exact"/>
              <w:jc w:val="center"/>
              <w:rPr>
                <w:rFonts w:asciiTheme="minorHAnsi" w:hAnsiTheme="minorHAnsi"/>
                <w:b/>
                <w:color w:val="auto"/>
                <w:szCs w:val="24"/>
              </w:rPr>
            </w:pPr>
            <w:r w:rsidRPr="003A3917">
              <w:rPr>
                <w:rFonts w:asciiTheme="minorHAnsi" w:hAnsiTheme="minorHAnsi"/>
                <w:b/>
                <w:color w:val="auto"/>
                <w:szCs w:val="24"/>
              </w:rPr>
              <w:t>RATING</w:t>
            </w:r>
          </w:p>
        </w:tc>
      </w:tr>
      <w:tr w:rsidR="00A95BBA" w:rsidRPr="003A3917" w:rsidTr="00AE6115">
        <w:tc>
          <w:tcPr>
            <w:tcW w:w="6480" w:type="dxa"/>
          </w:tcPr>
          <w:p w:rsidR="00A95BBA" w:rsidRPr="003A3917" w:rsidRDefault="001B218D" w:rsidP="001B218D">
            <w:pPr>
              <w:tabs>
                <w:tab w:val="left" w:pos="288"/>
                <w:tab w:val="left" w:pos="4752"/>
              </w:tabs>
              <w:spacing w:before="20" w:after="20" w:line="240" w:lineRule="exact"/>
              <w:jc w:val="center"/>
              <w:rPr>
                <w:rFonts w:asciiTheme="minorHAnsi" w:hAnsiTheme="minorHAnsi"/>
                <w:color w:val="auto"/>
                <w:szCs w:val="24"/>
              </w:rPr>
            </w:pPr>
            <w:r w:rsidRPr="001B218D">
              <w:rPr>
                <w:rFonts w:asciiTheme="minorHAnsi" w:hAnsiTheme="minorHAnsi"/>
                <w:color w:val="auto"/>
                <w:szCs w:val="24"/>
              </w:rPr>
              <w:t xml:space="preserve">Right Shoulder Flexion Contracture and Adhesive </w:t>
            </w:r>
            <w:proofErr w:type="spellStart"/>
            <w:r w:rsidRPr="001B218D">
              <w:rPr>
                <w:rFonts w:asciiTheme="minorHAnsi" w:hAnsiTheme="minorHAnsi"/>
                <w:color w:val="auto"/>
                <w:szCs w:val="24"/>
              </w:rPr>
              <w:t>Capsulitis</w:t>
            </w:r>
            <w:proofErr w:type="spellEnd"/>
          </w:p>
        </w:tc>
        <w:tc>
          <w:tcPr>
            <w:tcW w:w="1710" w:type="dxa"/>
          </w:tcPr>
          <w:p w:rsidR="00A95BBA" w:rsidRPr="003A3917" w:rsidRDefault="001B218D" w:rsidP="003A7FF8">
            <w:pPr>
              <w:tabs>
                <w:tab w:val="left" w:pos="288"/>
                <w:tab w:val="left" w:pos="4752"/>
              </w:tabs>
              <w:spacing w:before="20" w:after="20" w:line="240" w:lineRule="exact"/>
              <w:jc w:val="center"/>
              <w:rPr>
                <w:rFonts w:asciiTheme="minorHAnsi" w:hAnsiTheme="minorHAnsi"/>
                <w:color w:val="auto"/>
                <w:szCs w:val="24"/>
              </w:rPr>
            </w:pPr>
            <w:r>
              <w:rPr>
                <w:rFonts w:asciiTheme="minorHAnsi" w:hAnsiTheme="minorHAnsi"/>
                <w:color w:val="auto"/>
                <w:szCs w:val="24"/>
              </w:rPr>
              <w:t>5201</w:t>
            </w:r>
          </w:p>
        </w:tc>
        <w:tc>
          <w:tcPr>
            <w:tcW w:w="1170" w:type="dxa"/>
          </w:tcPr>
          <w:p w:rsidR="00A95BBA" w:rsidRPr="003A3917" w:rsidRDefault="00C87429" w:rsidP="003A7FF8">
            <w:pPr>
              <w:tabs>
                <w:tab w:val="left" w:pos="288"/>
                <w:tab w:val="left" w:pos="4752"/>
              </w:tabs>
              <w:spacing w:before="20" w:after="20" w:line="240" w:lineRule="exact"/>
              <w:jc w:val="center"/>
              <w:rPr>
                <w:rFonts w:asciiTheme="minorHAnsi" w:hAnsiTheme="minorHAnsi"/>
                <w:color w:val="auto"/>
                <w:szCs w:val="24"/>
              </w:rPr>
            </w:pPr>
            <w:r>
              <w:rPr>
                <w:rFonts w:asciiTheme="minorHAnsi" w:hAnsiTheme="minorHAnsi"/>
                <w:color w:val="auto"/>
                <w:szCs w:val="24"/>
              </w:rPr>
              <w:t>2</w:t>
            </w:r>
            <w:r w:rsidR="00A95BBA" w:rsidRPr="003A3917">
              <w:rPr>
                <w:rFonts w:asciiTheme="minorHAnsi" w:hAnsiTheme="minorHAnsi"/>
                <w:color w:val="auto"/>
                <w:szCs w:val="24"/>
              </w:rPr>
              <w:t>0%</w:t>
            </w:r>
          </w:p>
        </w:tc>
      </w:tr>
      <w:tr w:rsidR="00C87429" w:rsidRPr="003A3917" w:rsidTr="00AE6115">
        <w:tc>
          <w:tcPr>
            <w:tcW w:w="6480" w:type="dxa"/>
          </w:tcPr>
          <w:p w:rsidR="00C87429" w:rsidRPr="001B218D" w:rsidRDefault="00C87429" w:rsidP="001B218D">
            <w:pPr>
              <w:tabs>
                <w:tab w:val="left" w:pos="288"/>
                <w:tab w:val="left" w:pos="4752"/>
              </w:tabs>
              <w:spacing w:before="20" w:after="20" w:line="240" w:lineRule="exact"/>
              <w:jc w:val="center"/>
              <w:rPr>
                <w:rFonts w:asciiTheme="minorHAnsi" w:hAnsiTheme="minorHAnsi"/>
                <w:color w:val="auto"/>
                <w:szCs w:val="24"/>
              </w:rPr>
            </w:pPr>
            <w:r>
              <w:rPr>
                <w:rFonts w:asciiTheme="minorHAnsi" w:hAnsiTheme="minorHAnsi"/>
                <w:color w:val="auto"/>
                <w:szCs w:val="24"/>
              </w:rPr>
              <w:t>Muscle Injury, Group VI, Moderate</w:t>
            </w:r>
          </w:p>
        </w:tc>
        <w:tc>
          <w:tcPr>
            <w:tcW w:w="1710" w:type="dxa"/>
          </w:tcPr>
          <w:p w:rsidR="00C87429" w:rsidRDefault="00C87429" w:rsidP="00C87429">
            <w:pPr>
              <w:tabs>
                <w:tab w:val="left" w:pos="288"/>
                <w:tab w:val="left" w:pos="4752"/>
              </w:tabs>
              <w:spacing w:before="20" w:after="20" w:line="240" w:lineRule="exact"/>
              <w:jc w:val="center"/>
              <w:rPr>
                <w:rFonts w:asciiTheme="minorHAnsi" w:hAnsiTheme="minorHAnsi"/>
                <w:color w:val="auto"/>
                <w:szCs w:val="24"/>
              </w:rPr>
            </w:pPr>
            <w:r>
              <w:rPr>
                <w:rFonts w:asciiTheme="minorHAnsi" w:hAnsiTheme="minorHAnsi"/>
                <w:color w:val="auto"/>
                <w:szCs w:val="24"/>
              </w:rPr>
              <w:t>5305</w:t>
            </w:r>
          </w:p>
        </w:tc>
        <w:tc>
          <w:tcPr>
            <w:tcW w:w="1170" w:type="dxa"/>
          </w:tcPr>
          <w:p w:rsidR="00C87429" w:rsidRDefault="00C87429" w:rsidP="003A7FF8">
            <w:pPr>
              <w:tabs>
                <w:tab w:val="left" w:pos="288"/>
                <w:tab w:val="left" w:pos="4752"/>
              </w:tabs>
              <w:spacing w:before="20" w:after="20" w:line="240" w:lineRule="exact"/>
              <w:jc w:val="center"/>
              <w:rPr>
                <w:rFonts w:asciiTheme="minorHAnsi" w:hAnsiTheme="minorHAnsi"/>
                <w:color w:val="auto"/>
                <w:szCs w:val="24"/>
              </w:rPr>
            </w:pPr>
            <w:r>
              <w:rPr>
                <w:rFonts w:asciiTheme="minorHAnsi" w:hAnsiTheme="minorHAnsi"/>
                <w:color w:val="auto"/>
                <w:szCs w:val="24"/>
              </w:rPr>
              <w:t>10%</w:t>
            </w:r>
          </w:p>
        </w:tc>
      </w:tr>
      <w:tr w:rsidR="00A95BBA" w:rsidRPr="003A3917" w:rsidTr="00AE6115">
        <w:tblPrEx>
          <w:tblLook w:val="0000"/>
        </w:tblPrEx>
        <w:trPr>
          <w:gridBefore w:val="1"/>
          <w:wBefore w:w="6480" w:type="dxa"/>
          <w:trHeight w:val="287"/>
        </w:trPr>
        <w:tc>
          <w:tcPr>
            <w:tcW w:w="1710" w:type="dxa"/>
            <w:tcBorders>
              <w:left w:val="single" w:sz="4" w:space="0" w:color="auto"/>
              <w:bottom w:val="single" w:sz="4" w:space="0" w:color="000000"/>
            </w:tcBorders>
            <w:shd w:val="clear" w:color="auto" w:fill="D9D9D9" w:themeFill="background1" w:themeFillShade="D9"/>
          </w:tcPr>
          <w:p w:rsidR="00A95BBA" w:rsidRPr="003A3917" w:rsidRDefault="00356178" w:rsidP="00AE6115">
            <w:pPr>
              <w:tabs>
                <w:tab w:val="left" w:pos="288"/>
                <w:tab w:val="left" w:pos="4752"/>
              </w:tabs>
              <w:spacing w:before="40" w:line="240" w:lineRule="exact"/>
              <w:jc w:val="center"/>
              <w:rPr>
                <w:rFonts w:asciiTheme="minorHAnsi" w:hAnsiTheme="minorHAnsi"/>
                <w:b/>
                <w:color w:val="auto"/>
                <w:szCs w:val="24"/>
              </w:rPr>
            </w:pPr>
            <w:r w:rsidRPr="00356178">
              <w:rPr>
                <w:rFonts w:asciiTheme="minorHAnsi" w:hAnsiTheme="minorHAnsi"/>
                <w:b/>
                <w:color w:val="auto"/>
                <w:szCs w:val="24"/>
              </w:rPr>
              <w:t>COMBINED</w:t>
            </w:r>
          </w:p>
        </w:tc>
        <w:tc>
          <w:tcPr>
            <w:tcW w:w="1170" w:type="dxa"/>
            <w:tcBorders>
              <w:bottom w:val="single" w:sz="4" w:space="0" w:color="000000"/>
            </w:tcBorders>
            <w:shd w:val="clear" w:color="auto" w:fill="D9D9D9" w:themeFill="background1" w:themeFillShade="D9"/>
          </w:tcPr>
          <w:p w:rsidR="00A95BBA" w:rsidRPr="003A3917" w:rsidRDefault="001B218D" w:rsidP="00AE6115">
            <w:pPr>
              <w:tabs>
                <w:tab w:val="left" w:pos="288"/>
                <w:tab w:val="left" w:pos="4752"/>
              </w:tabs>
              <w:spacing w:before="40" w:line="240" w:lineRule="exact"/>
              <w:jc w:val="center"/>
              <w:rPr>
                <w:rFonts w:asciiTheme="minorHAnsi" w:hAnsiTheme="minorHAnsi"/>
                <w:b/>
                <w:color w:val="auto"/>
                <w:szCs w:val="24"/>
              </w:rPr>
            </w:pPr>
            <w:r>
              <w:rPr>
                <w:rFonts w:asciiTheme="minorHAnsi" w:hAnsiTheme="minorHAnsi"/>
                <w:b/>
                <w:color w:val="auto"/>
                <w:szCs w:val="24"/>
              </w:rPr>
              <w:t>30%</w:t>
            </w:r>
          </w:p>
        </w:tc>
      </w:tr>
    </w:tbl>
    <w:p w:rsidR="00D91DA6" w:rsidRDefault="00D91DA6" w:rsidP="00875F2D">
      <w:pPr>
        <w:pBdr>
          <w:bottom w:val="single" w:sz="12" w:space="1" w:color="auto"/>
        </w:pBdr>
        <w:tabs>
          <w:tab w:val="left" w:pos="288"/>
          <w:tab w:val="left" w:pos="4752"/>
        </w:tabs>
        <w:spacing w:line="240" w:lineRule="exact"/>
        <w:jc w:val="both"/>
        <w:rPr>
          <w:rFonts w:asciiTheme="minorHAnsi" w:hAnsiTheme="minorHAnsi"/>
          <w:color w:val="auto"/>
          <w:u w:val="single"/>
        </w:rPr>
      </w:pPr>
    </w:p>
    <w:p w:rsidR="00180D7D" w:rsidRPr="003A3917" w:rsidRDefault="00180D7D" w:rsidP="00875F2D">
      <w:pPr>
        <w:tabs>
          <w:tab w:val="left" w:pos="288"/>
          <w:tab w:val="left" w:pos="4752"/>
        </w:tabs>
        <w:spacing w:line="240" w:lineRule="exact"/>
        <w:jc w:val="both"/>
        <w:rPr>
          <w:rFonts w:asciiTheme="minorHAnsi" w:hAnsiTheme="minorHAnsi"/>
          <w:color w:val="auto"/>
        </w:rPr>
      </w:pPr>
    </w:p>
    <w:p w:rsidR="00D91DA6" w:rsidRPr="003A3917" w:rsidRDefault="00114F20" w:rsidP="00875F2D">
      <w:pPr>
        <w:tabs>
          <w:tab w:val="left" w:pos="288"/>
          <w:tab w:val="left" w:pos="4752"/>
        </w:tabs>
        <w:spacing w:line="240" w:lineRule="exact"/>
        <w:jc w:val="both"/>
        <w:rPr>
          <w:rFonts w:asciiTheme="minorHAnsi" w:hAnsiTheme="minorHAnsi"/>
          <w:color w:val="auto"/>
        </w:rPr>
      </w:pPr>
      <w:r w:rsidRPr="003A3917">
        <w:rPr>
          <w:rFonts w:asciiTheme="minorHAnsi" w:hAnsiTheme="minorHAnsi"/>
          <w:color w:val="auto"/>
        </w:rPr>
        <w:t>The following documentary evidence was considered:</w:t>
      </w:r>
    </w:p>
    <w:p w:rsidR="00114F20" w:rsidRPr="003A3917" w:rsidRDefault="00114F20" w:rsidP="00875F2D">
      <w:pPr>
        <w:tabs>
          <w:tab w:val="left" w:pos="288"/>
          <w:tab w:val="left" w:pos="4752"/>
        </w:tabs>
        <w:spacing w:line="240" w:lineRule="exact"/>
        <w:jc w:val="both"/>
        <w:rPr>
          <w:rFonts w:asciiTheme="minorHAnsi" w:hAnsiTheme="minorHAnsi"/>
          <w:color w:val="auto"/>
        </w:rPr>
      </w:pPr>
    </w:p>
    <w:p w:rsidR="00114F20" w:rsidRPr="00A027B5" w:rsidRDefault="0051146C" w:rsidP="00875F2D">
      <w:pPr>
        <w:tabs>
          <w:tab w:val="left" w:pos="288"/>
          <w:tab w:val="left" w:pos="4752"/>
        </w:tabs>
        <w:spacing w:line="240" w:lineRule="exact"/>
        <w:jc w:val="both"/>
        <w:rPr>
          <w:rFonts w:asciiTheme="minorHAnsi" w:hAnsiTheme="minorHAnsi"/>
          <w:color w:val="auto"/>
        </w:rPr>
      </w:pPr>
      <w:r w:rsidRPr="003A3917">
        <w:rPr>
          <w:rFonts w:asciiTheme="minorHAnsi" w:hAnsiTheme="minorHAnsi"/>
          <w:color w:val="auto"/>
        </w:rPr>
        <w:t xml:space="preserve">Exhibit A.  DD Form </w:t>
      </w:r>
      <w:proofErr w:type="gramStart"/>
      <w:r w:rsidRPr="003A3917">
        <w:rPr>
          <w:rFonts w:asciiTheme="minorHAnsi" w:hAnsiTheme="minorHAnsi"/>
          <w:color w:val="auto"/>
        </w:rPr>
        <w:t>294,</w:t>
      </w:r>
      <w:proofErr w:type="gramEnd"/>
      <w:r w:rsidRPr="003A3917">
        <w:rPr>
          <w:rFonts w:asciiTheme="minorHAnsi" w:hAnsiTheme="minorHAnsi"/>
          <w:color w:val="auto"/>
        </w:rPr>
        <w:t xml:space="preserve"> dated</w:t>
      </w:r>
      <w:r w:rsidRPr="00A027B5">
        <w:rPr>
          <w:rFonts w:asciiTheme="minorHAnsi" w:hAnsiTheme="minorHAnsi"/>
          <w:color w:val="auto"/>
        </w:rPr>
        <w:t xml:space="preserve"> </w:t>
      </w:r>
      <w:r w:rsidR="0019273F" w:rsidRPr="00A027B5">
        <w:rPr>
          <w:rFonts w:asciiTheme="minorHAnsi" w:hAnsiTheme="minorHAnsi"/>
          <w:color w:val="auto"/>
        </w:rPr>
        <w:t>2009</w:t>
      </w:r>
      <w:r w:rsidR="00422276" w:rsidRPr="00A027B5">
        <w:rPr>
          <w:rFonts w:asciiTheme="minorHAnsi" w:hAnsiTheme="minorHAnsi"/>
          <w:color w:val="auto"/>
        </w:rPr>
        <w:t xml:space="preserve">0120, </w:t>
      </w:r>
      <w:r w:rsidR="00114F20" w:rsidRPr="00A027B5">
        <w:rPr>
          <w:rFonts w:asciiTheme="minorHAnsi" w:hAnsiTheme="minorHAnsi"/>
          <w:color w:val="auto"/>
        </w:rPr>
        <w:t>w/</w:t>
      </w:r>
      <w:proofErr w:type="spellStart"/>
      <w:r w:rsidR="00114F20" w:rsidRPr="00A027B5">
        <w:rPr>
          <w:rFonts w:asciiTheme="minorHAnsi" w:hAnsiTheme="minorHAnsi"/>
          <w:color w:val="auto"/>
        </w:rPr>
        <w:t>atchs</w:t>
      </w:r>
      <w:proofErr w:type="spellEnd"/>
      <w:r w:rsidR="00114F20" w:rsidRPr="00A027B5">
        <w:rPr>
          <w:rFonts w:asciiTheme="minorHAnsi" w:hAnsiTheme="minorHAnsi"/>
          <w:color w:val="auto"/>
        </w:rPr>
        <w:t>.</w:t>
      </w:r>
    </w:p>
    <w:p w:rsidR="00114F20" w:rsidRPr="00A027B5" w:rsidRDefault="00114F20" w:rsidP="00875F2D">
      <w:pPr>
        <w:tabs>
          <w:tab w:val="left" w:pos="288"/>
          <w:tab w:val="left" w:pos="4752"/>
        </w:tabs>
        <w:spacing w:line="240" w:lineRule="exact"/>
        <w:jc w:val="both"/>
        <w:rPr>
          <w:rFonts w:asciiTheme="minorHAnsi" w:hAnsiTheme="minorHAnsi"/>
          <w:color w:val="auto"/>
        </w:rPr>
      </w:pPr>
      <w:r w:rsidRPr="00A027B5">
        <w:rPr>
          <w:rFonts w:asciiTheme="minorHAnsi" w:hAnsiTheme="minorHAnsi"/>
          <w:color w:val="auto"/>
        </w:rPr>
        <w:t xml:space="preserve">Exhibit B.  </w:t>
      </w:r>
      <w:proofErr w:type="gramStart"/>
      <w:r w:rsidRPr="00A027B5">
        <w:rPr>
          <w:rFonts w:asciiTheme="minorHAnsi" w:hAnsiTheme="minorHAnsi"/>
          <w:color w:val="auto"/>
        </w:rPr>
        <w:t>Service Treatment Record.</w:t>
      </w:r>
      <w:proofErr w:type="gramEnd"/>
    </w:p>
    <w:p w:rsidR="00114F20" w:rsidRPr="00A027B5" w:rsidRDefault="00114F20" w:rsidP="00875F2D">
      <w:pPr>
        <w:tabs>
          <w:tab w:val="left" w:pos="288"/>
          <w:tab w:val="left" w:pos="4752"/>
        </w:tabs>
        <w:spacing w:line="240" w:lineRule="exact"/>
        <w:jc w:val="both"/>
        <w:rPr>
          <w:rFonts w:asciiTheme="minorHAnsi" w:hAnsiTheme="minorHAnsi"/>
          <w:color w:val="auto"/>
        </w:rPr>
      </w:pPr>
      <w:r w:rsidRPr="00A027B5">
        <w:rPr>
          <w:rFonts w:asciiTheme="minorHAnsi" w:hAnsiTheme="minorHAnsi"/>
          <w:color w:val="auto"/>
        </w:rPr>
        <w:t xml:space="preserve">Exhibit C.  </w:t>
      </w:r>
      <w:proofErr w:type="gramStart"/>
      <w:r w:rsidRPr="00A027B5">
        <w:rPr>
          <w:rFonts w:asciiTheme="minorHAnsi" w:hAnsiTheme="minorHAnsi"/>
          <w:color w:val="auto"/>
        </w:rPr>
        <w:t>Department of Veterans</w:t>
      </w:r>
      <w:r w:rsidR="00385D6F" w:rsidRPr="00A027B5">
        <w:rPr>
          <w:rFonts w:asciiTheme="minorHAnsi" w:hAnsiTheme="minorHAnsi"/>
          <w:color w:val="auto"/>
        </w:rPr>
        <w:t>'</w:t>
      </w:r>
      <w:r w:rsidRPr="00A027B5">
        <w:rPr>
          <w:rFonts w:asciiTheme="minorHAnsi" w:hAnsiTheme="minorHAnsi"/>
          <w:color w:val="auto"/>
        </w:rPr>
        <w:t xml:space="preserve"> Affairs Treatment Record.</w:t>
      </w:r>
      <w:proofErr w:type="gramEnd"/>
    </w:p>
    <w:p w:rsidR="008F662C" w:rsidRDefault="008F662C">
      <w:pPr>
        <w:rPr>
          <w:rFonts w:asciiTheme="minorHAnsi" w:hAnsiTheme="minorHAnsi"/>
          <w:color w:val="auto"/>
        </w:rPr>
      </w:pPr>
      <w:r>
        <w:rPr>
          <w:rFonts w:asciiTheme="minorHAnsi" w:hAnsiTheme="minorHAnsi"/>
          <w:color w:val="auto"/>
        </w:rPr>
        <w:br w:type="page"/>
      </w:r>
    </w:p>
    <w:p w:rsidR="008F662C" w:rsidRDefault="008F662C" w:rsidP="008F662C">
      <w:pPr>
        <w:pStyle w:val="Default"/>
        <w:framePr w:w="13080" w:wrap="auto" w:vAnchor="page" w:hAnchor="page" w:x="1" w:y="1"/>
      </w:pPr>
      <w:r>
        <w:rPr>
          <w:noProof/>
        </w:rPr>
        <w:lastRenderedPageBreak/>
        <w:drawing>
          <wp:inline distT="0" distB="0" distL="0" distR="0">
            <wp:extent cx="7800340" cy="100342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00340" cy="10034270"/>
                    </a:xfrm>
                    <a:prstGeom prst="rect">
                      <a:avLst/>
                    </a:prstGeom>
                    <a:noFill/>
                    <a:ln w="9525">
                      <a:noFill/>
                      <a:miter lim="800000"/>
                      <a:headEnd/>
                      <a:tailEnd/>
                    </a:ln>
                  </pic:spPr>
                </pic:pic>
              </a:graphicData>
            </a:graphic>
          </wp:inline>
        </w:drawing>
      </w:r>
    </w:p>
    <w:p w:rsidR="00D91DA6" w:rsidRPr="00A027B5" w:rsidRDefault="00D91DA6" w:rsidP="00875F2D">
      <w:pPr>
        <w:tabs>
          <w:tab w:val="left" w:pos="288"/>
          <w:tab w:val="left" w:pos="4752"/>
        </w:tabs>
        <w:spacing w:line="240" w:lineRule="exact"/>
        <w:jc w:val="both"/>
        <w:rPr>
          <w:rFonts w:asciiTheme="minorHAnsi" w:hAnsiTheme="minorHAnsi"/>
          <w:color w:val="auto"/>
        </w:rPr>
      </w:pPr>
    </w:p>
    <w:p w:rsidR="00114F20" w:rsidRPr="00A027B5" w:rsidRDefault="00114F20" w:rsidP="00C87429">
      <w:pPr>
        <w:tabs>
          <w:tab w:val="left" w:pos="288"/>
          <w:tab w:val="left" w:pos="4320"/>
          <w:tab w:val="left" w:pos="4410"/>
          <w:tab w:val="left" w:pos="4752"/>
          <w:tab w:val="left" w:pos="4860"/>
          <w:tab w:val="left" w:pos="5040"/>
        </w:tabs>
        <w:spacing w:line="240" w:lineRule="exact"/>
        <w:jc w:val="both"/>
        <w:rPr>
          <w:rFonts w:asciiTheme="minorHAnsi" w:hAnsiTheme="minorHAnsi"/>
          <w:color w:val="auto"/>
        </w:rPr>
      </w:pPr>
    </w:p>
    <w:p w:rsidR="00114F20" w:rsidRPr="00A027B5" w:rsidRDefault="00114F20" w:rsidP="00C87429">
      <w:pPr>
        <w:tabs>
          <w:tab w:val="left" w:pos="288"/>
          <w:tab w:val="left" w:pos="4320"/>
          <w:tab w:val="left" w:pos="4410"/>
          <w:tab w:val="left" w:pos="4752"/>
          <w:tab w:val="left" w:pos="4860"/>
          <w:tab w:val="left" w:pos="5040"/>
        </w:tabs>
        <w:spacing w:line="240" w:lineRule="exact"/>
        <w:jc w:val="both"/>
        <w:rPr>
          <w:rFonts w:asciiTheme="minorHAnsi" w:hAnsiTheme="minorHAnsi"/>
          <w:color w:val="auto"/>
        </w:rPr>
      </w:pPr>
    </w:p>
    <w:p w:rsidR="00114F20" w:rsidRPr="00A027B5" w:rsidRDefault="00114F20" w:rsidP="00C87429">
      <w:pPr>
        <w:tabs>
          <w:tab w:val="left" w:pos="288"/>
          <w:tab w:val="left" w:pos="4320"/>
          <w:tab w:val="left" w:pos="4410"/>
          <w:tab w:val="left" w:pos="4752"/>
          <w:tab w:val="left" w:pos="4860"/>
          <w:tab w:val="left" w:pos="5040"/>
        </w:tabs>
        <w:spacing w:line="240" w:lineRule="exact"/>
        <w:jc w:val="both"/>
        <w:rPr>
          <w:rFonts w:asciiTheme="minorHAnsi" w:hAnsiTheme="minorHAnsi"/>
          <w:color w:val="auto"/>
        </w:rPr>
      </w:pPr>
    </w:p>
    <w:p w:rsidR="00B70ADC" w:rsidRPr="009D6FFC" w:rsidRDefault="00C87429" w:rsidP="009B57D7">
      <w:pPr>
        <w:tabs>
          <w:tab w:val="left" w:pos="288"/>
          <w:tab w:val="left" w:pos="4320"/>
          <w:tab w:val="left" w:pos="4410"/>
          <w:tab w:val="left" w:pos="4770"/>
          <w:tab w:val="left" w:pos="4860"/>
          <w:tab w:val="left" w:pos="5040"/>
        </w:tabs>
        <w:spacing w:line="240" w:lineRule="exact"/>
        <w:jc w:val="both"/>
        <w:rPr>
          <w:rFonts w:asciiTheme="minorHAnsi" w:hAnsiTheme="minorHAnsi"/>
          <w:color w:val="auto"/>
        </w:rPr>
      </w:pP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sidR="009D6FFC">
        <w:rPr>
          <w:rFonts w:asciiTheme="minorHAnsi" w:hAnsiTheme="minorHAnsi"/>
          <w:color w:val="auto"/>
        </w:rPr>
        <w:t xml:space="preserve"> </w:t>
      </w:r>
    </w:p>
    <w:sectPr w:rsidR="00B70ADC" w:rsidRPr="009D6FFC" w:rsidSect="006418C9">
      <w:footerReference w:type="even" r:id="rId8"/>
      <w:footerReference w:type="default" r:id="rId9"/>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FF" w:rsidRDefault="003B0DFF">
      <w:r>
        <w:separator/>
      </w:r>
    </w:p>
  </w:endnote>
  <w:endnote w:type="continuationSeparator" w:id="0">
    <w:p w:rsidR="003B0DFF" w:rsidRDefault="003B0DFF">
      <w:r>
        <w:continuationSeparator/>
      </w:r>
    </w:p>
  </w:endnote>
</w:endnotes>
</file>

<file path=word/fontTable.xml><?xml version="1.0" encoding="utf-8"?>
<w:fonts xmlns:r="http://schemas.openxmlformats.org/officeDocument/2006/relationships" xmlns:w="http://schemas.openxmlformats.org/wordprocessingml/2006/main">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92" w:rsidRDefault="00CF2F90">
    <w:pPr>
      <w:pStyle w:val="Footer"/>
      <w:framePr w:wrap="around" w:vAnchor="text" w:hAnchor="margin" w:xAlign="center" w:y="1"/>
      <w:rPr>
        <w:rStyle w:val="PageNumber"/>
      </w:rPr>
    </w:pPr>
    <w:r>
      <w:rPr>
        <w:rStyle w:val="PageNumber"/>
      </w:rPr>
      <w:fldChar w:fldCharType="begin"/>
    </w:r>
    <w:r w:rsidR="00F42492">
      <w:rPr>
        <w:rStyle w:val="PageNumber"/>
      </w:rPr>
      <w:instrText xml:space="preserve">PAGE  </w:instrText>
    </w:r>
    <w:r>
      <w:rPr>
        <w:rStyle w:val="PageNumber"/>
      </w:rPr>
      <w:fldChar w:fldCharType="separate"/>
    </w:r>
    <w:r w:rsidR="00F42492">
      <w:rPr>
        <w:rStyle w:val="PageNumber"/>
        <w:noProof/>
      </w:rPr>
      <w:t>2</w:t>
    </w:r>
    <w:r>
      <w:rPr>
        <w:rStyle w:val="PageNumber"/>
      </w:rPr>
      <w:fldChar w:fldCharType="end"/>
    </w:r>
  </w:p>
  <w:p w:rsidR="00F42492" w:rsidRDefault="00F42492" w:rsidP="002B0749">
    <w:pPr>
      <w:pStyle w:val="Footer"/>
      <w:jc w:val="right"/>
    </w:pPr>
    <w:r>
      <w:tab/>
    </w:r>
    <w:r>
      <w:tab/>
    </w:r>
    <w:r w:rsidRPr="001D3186">
      <w:rPr>
        <w:caps/>
        <w:color w:val="000080"/>
      </w:rPr>
      <w:t>PD09</w:t>
    </w:r>
    <w:r>
      <w:rPr>
        <w:caps/>
        <w:color w:val="000080"/>
      </w:rPr>
      <w:t>00</w:t>
    </w:r>
    <w:r w:rsidRPr="001D3186">
      <w:rPr>
        <w:caps/>
        <w:color w:val="00008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92" w:rsidRDefault="00CF2F90">
    <w:pPr>
      <w:pStyle w:val="Footer"/>
      <w:framePr w:wrap="around" w:vAnchor="text" w:hAnchor="margin" w:xAlign="center" w:y="1"/>
      <w:rPr>
        <w:rStyle w:val="PageNumber"/>
      </w:rPr>
    </w:pPr>
    <w:r>
      <w:rPr>
        <w:rStyle w:val="PageNumber"/>
      </w:rPr>
      <w:fldChar w:fldCharType="begin"/>
    </w:r>
    <w:r w:rsidR="00F42492">
      <w:rPr>
        <w:rStyle w:val="PageNumber"/>
      </w:rPr>
      <w:instrText xml:space="preserve">PAGE  </w:instrText>
    </w:r>
    <w:r>
      <w:rPr>
        <w:rStyle w:val="PageNumber"/>
      </w:rPr>
      <w:fldChar w:fldCharType="separate"/>
    </w:r>
    <w:r w:rsidR="008F662C">
      <w:rPr>
        <w:rStyle w:val="PageNumber"/>
        <w:noProof/>
      </w:rPr>
      <w:t>6</w:t>
    </w:r>
    <w:r>
      <w:rPr>
        <w:rStyle w:val="PageNumber"/>
      </w:rPr>
      <w:fldChar w:fldCharType="end"/>
    </w:r>
  </w:p>
  <w:p w:rsidR="00F42492" w:rsidRDefault="00F42492" w:rsidP="002B0749">
    <w:pPr>
      <w:pStyle w:val="Footer"/>
      <w:jc w:val="right"/>
    </w:pPr>
    <w:r>
      <w:tab/>
    </w:r>
    <w:r>
      <w:tab/>
    </w:r>
    <w:r w:rsidRPr="001D3186">
      <w:rPr>
        <w:caps/>
        <w:color w:val="000080"/>
      </w:rPr>
      <w:t>PD09</w:t>
    </w:r>
    <w:r>
      <w:rPr>
        <w:caps/>
        <w:color w:val="000080"/>
      </w:rPr>
      <w:t>00036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FF" w:rsidRDefault="003B0DFF">
      <w:r>
        <w:separator/>
      </w:r>
    </w:p>
  </w:footnote>
  <w:footnote w:type="continuationSeparator" w:id="0">
    <w:p w:rsidR="003B0DFF" w:rsidRDefault="003B0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506881"/>
  </w:hdrShapeDefaults>
  <w:footnotePr>
    <w:numRestart w:val="eachSect"/>
    <w:footnote w:id="-1"/>
    <w:footnote w:id="0"/>
  </w:footnotePr>
  <w:endnotePr>
    <w:endnote w:id="-1"/>
    <w:endnote w:id="0"/>
  </w:endnotePr>
  <w:compat/>
  <w:rsids>
    <w:rsidRoot w:val="001C28D1"/>
    <w:rsid w:val="000020A6"/>
    <w:rsid w:val="000059FA"/>
    <w:rsid w:val="00006F87"/>
    <w:rsid w:val="00010ABA"/>
    <w:rsid w:val="00012428"/>
    <w:rsid w:val="00013417"/>
    <w:rsid w:val="000145C2"/>
    <w:rsid w:val="0001473F"/>
    <w:rsid w:val="00023D43"/>
    <w:rsid w:val="000247E7"/>
    <w:rsid w:val="00030FE9"/>
    <w:rsid w:val="00032E07"/>
    <w:rsid w:val="000332CA"/>
    <w:rsid w:val="0003374E"/>
    <w:rsid w:val="000344E6"/>
    <w:rsid w:val="00035C3A"/>
    <w:rsid w:val="00036E4B"/>
    <w:rsid w:val="000379D0"/>
    <w:rsid w:val="00040FC4"/>
    <w:rsid w:val="000416F8"/>
    <w:rsid w:val="00051622"/>
    <w:rsid w:val="00052234"/>
    <w:rsid w:val="00053D7C"/>
    <w:rsid w:val="000577C9"/>
    <w:rsid w:val="00061485"/>
    <w:rsid w:val="0006431E"/>
    <w:rsid w:val="00072433"/>
    <w:rsid w:val="00075702"/>
    <w:rsid w:val="000775C2"/>
    <w:rsid w:val="000806AD"/>
    <w:rsid w:val="00082482"/>
    <w:rsid w:val="00084ABB"/>
    <w:rsid w:val="0008708B"/>
    <w:rsid w:val="00094E4F"/>
    <w:rsid w:val="000A2BCE"/>
    <w:rsid w:val="000A4074"/>
    <w:rsid w:val="000A41E3"/>
    <w:rsid w:val="000A4BBA"/>
    <w:rsid w:val="000A5071"/>
    <w:rsid w:val="000C06F6"/>
    <w:rsid w:val="000C271A"/>
    <w:rsid w:val="000C3C13"/>
    <w:rsid w:val="000C5813"/>
    <w:rsid w:val="000C7DE4"/>
    <w:rsid w:val="000D15E7"/>
    <w:rsid w:val="000D1A24"/>
    <w:rsid w:val="000D21C7"/>
    <w:rsid w:val="000D248A"/>
    <w:rsid w:val="000D43F9"/>
    <w:rsid w:val="000D4717"/>
    <w:rsid w:val="000D6457"/>
    <w:rsid w:val="000D7D55"/>
    <w:rsid w:val="000E0993"/>
    <w:rsid w:val="000E37E0"/>
    <w:rsid w:val="000F02BE"/>
    <w:rsid w:val="000F427B"/>
    <w:rsid w:val="001008C1"/>
    <w:rsid w:val="00103CCF"/>
    <w:rsid w:val="001040D3"/>
    <w:rsid w:val="0010417F"/>
    <w:rsid w:val="001042D2"/>
    <w:rsid w:val="0010530E"/>
    <w:rsid w:val="001103CD"/>
    <w:rsid w:val="00113667"/>
    <w:rsid w:val="00114D2D"/>
    <w:rsid w:val="00114F20"/>
    <w:rsid w:val="001219DF"/>
    <w:rsid w:val="001231DC"/>
    <w:rsid w:val="001272AE"/>
    <w:rsid w:val="001315DD"/>
    <w:rsid w:val="00135385"/>
    <w:rsid w:val="001364D1"/>
    <w:rsid w:val="00142EBA"/>
    <w:rsid w:val="001455C5"/>
    <w:rsid w:val="00150DCB"/>
    <w:rsid w:val="00153740"/>
    <w:rsid w:val="001541C5"/>
    <w:rsid w:val="0015623F"/>
    <w:rsid w:val="00156BA9"/>
    <w:rsid w:val="00166182"/>
    <w:rsid w:val="00177659"/>
    <w:rsid w:val="001779E5"/>
    <w:rsid w:val="00180D7D"/>
    <w:rsid w:val="00182A4C"/>
    <w:rsid w:val="00183F77"/>
    <w:rsid w:val="00185DA8"/>
    <w:rsid w:val="00185ECB"/>
    <w:rsid w:val="001870F0"/>
    <w:rsid w:val="0019273F"/>
    <w:rsid w:val="00193AD5"/>
    <w:rsid w:val="00194930"/>
    <w:rsid w:val="001A08CD"/>
    <w:rsid w:val="001A5320"/>
    <w:rsid w:val="001A5E62"/>
    <w:rsid w:val="001A6514"/>
    <w:rsid w:val="001A7538"/>
    <w:rsid w:val="001B0B1A"/>
    <w:rsid w:val="001B218D"/>
    <w:rsid w:val="001B4EC2"/>
    <w:rsid w:val="001B5B59"/>
    <w:rsid w:val="001B7C8C"/>
    <w:rsid w:val="001C181A"/>
    <w:rsid w:val="001C2053"/>
    <w:rsid w:val="001C28D1"/>
    <w:rsid w:val="001C5CFC"/>
    <w:rsid w:val="001C7418"/>
    <w:rsid w:val="001D0051"/>
    <w:rsid w:val="001D2224"/>
    <w:rsid w:val="001D68CF"/>
    <w:rsid w:val="001D6A8C"/>
    <w:rsid w:val="001D7A56"/>
    <w:rsid w:val="001E15C0"/>
    <w:rsid w:val="001E18E0"/>
    <w:rsid w:val="001E18E2"/>
    <w:rsid w:val="001E2A30"/>
    <w:rsid w:val="001F0CDA"/>
    <w:rsid w:val="00200AA0"/>
    <w:rsid w:val="00202736"/>
    <w:rsid w:val="00203652"/>
    <w:rsid w:val="002060B6"/>
    <w:rsid w:val="00216049"/>
    <w:rsid w:val="00217C09"/>
    <w:rsid w:val="00220F5C"/>
    <w:rsid w:val="00225196"/>
    <w:rsid w:val="00225CB4"/>
    <w:rsid w:val="0023049F"/>
    <w:rsid w:val="00232C9B"/>
    <w:rsid w:val="00232F09"/>
    <w:rsid w:val="002335D5"/>
    <w:rsid w:val="002338CA"/>
    <w:rsid w:val="00233FE5"/>
    <w:rsid w:val="0024174E"/>
    <w:rsid w:val="0024227D"/>
    <w:rsid w:val="00246860"/>
    <w:rsid w:val="00246DFF"/>
    <w:rsid w:val="00246E89"/>
    <w:rsid w:val="0025183C"/>
    <w:rsid w:val="002528EC"/>
    <w:rsid w:val="00255049"/>
    <w:rsid w:val="0025652E"/>
    <w:rsid w:val="00257DE5"/>
    <w:rsid w:val="00260531"/>
    <w:rsid w:val="0026318D"/>
    <w:rsid w:val="00270864"/>
    <w:rsid w:val="002712F7"/>
    <w:rsid w:val="0027159C"/>
    <w:rsid w:val="00274549"/>
    <w:rsid w:val="00274E46"/>
    <w:rsid w:val="00276C86"/>
    <w:rsid w:val="002810A4"/>
    <w:rsid w:val="00284A26"/>
    <w:rsid w:val="002905C6"/>
    <w:rsid w:val="002963D4"/>
    <w:rsid w:val="002A3237"/>
    <w:rsid w:val="002A685E"/>
    <w:rsid w:val="002A72C7"/>
    <w:rsid w:val="002B03B2"/>
    <w:rsid w:val="002B0749"/>
    <w:rsid w:val="002B2645"/>
    <w:rsid w:val="002C5F10"/>
    <w:rsid w:val="002C6E5B"/>
    <w:rsid w:val="002D18B4"/>
    <w:rsid w:val="002D231A"/>
    <w:rsid w:val="002E1877"/>
    <w:rsid w:val="002E1C31"/>
    <w:rsid w:val="002E333A"/>
    <w:rsid w:val="002E3474"/>
    <w:rsid w:val="002E400C"/>
    <w:rsid w:val="002E49C3"/>
    <w:rsid w:val="002E7570"/>
    <w:rsid w:val="002E764B"/>
    <w:rsid w:val="002F0E28"/>
    <w:rsid w:val="002F287E"/>
    <w:rsid w:val="002F2D63"/>
    <w:rsid w:val="002F7F81"/>
    <w:rsid w:val="00300A36"/>
    <w:rsid w:val="0030678B"/>
    <w:rsid w:val="00310CD7"/>
    <w:rsid w:val="0032136A"/>
    <w:rsid w:val="003214B3"/>
    <w:rsid w:val="00323E70"/>
    <w:rsid w:val="00325BA2"/>
    <w:rsid w:val="00325ED7"/>
    <w:rsid w:val="00326F7F"/>
    <w:rsid w:val="003320E8"/>
    <w:rsid w:val="0033555E"/>
    <w:rsid w:val="00336805"/>
    <w:rsid w:val="00337351"/>
    <w:rsid w:val="00341A54"/>
    <w:rsid w:val="0034669F"/>
    <w:rsid w:val="00351498"/>
    <w:rsid w:val="00352B22"/>
    <w:rsid w:val="00356178"/>
    <w:rsid w:val="003567DE"/>
    <w:rsid w:val="0036319E"/>
    <w:rsid w:val="003632A4"/>
    <w:rsid w:val="00363362"/>
    <w:rsid w:val="00370743"/>
    <w:rsid w:val="00370EF5"/>
    <w:rsid w:val="00372251"/>
    <w:rsid w:val="0037520D"/>
    <w:rsid w:val="0037628C"/>
    <w:rsid w:val="00376B81"/>
    <w:rsid w:val="00376BDB"/>
    <w:rsid w:val="00377BD2"/>
    <w:rsid w:val="003821E1"/>
    <w:rsid w:val="00384866"/>
    <w:rsid w:val="003857D4"/>
    <w:rsid w:val="00385D6F"/>
    <w:rsid w:val="00387095"/>
    <w:rsid w:val="00390092"/>
    <w:rsid w:val="00393651"/>
    <w:rsid w:val="003A107A"/>
    <w:rsid w:val="003A3917"/>
    <w:rsid w:val="003A41BA"/>
    <w:rsid w:val="003A6A99"/>
    <w:rsid w:val="003A7FF8"/>
    <w:rsid w:val="003B0DFF"/>
    <w:rsid w:val="003B1895"/>
    <w:rsid w:val="003B227A"/>
    <w:rsid w:val="003B5854"/>
    <w:rsid w:val="003B6764"/>
    <w:rsid w:val="003D2BA3"/>
    <w:rsid w:val="003D3C22"/>
    <w:rsid w:val="003D7089"/>
    <w:rsid w:val="003D7DDB"/>
    <w:rsid w:val="003E02C7"/>
    <w:rsid w:val="003E0543"/>
    <w:rsid w:val="003E0B5A"/>
    <w:rsid w:val="003E31E3"/>
    <w:rsid w:val="003E46D1"/>
    <w:rsid w:val="003F58B0"/>
    <w:rsid w:val="0040028A"/>
    <w:rsid w:val="004007E9"/>
    <w:rsid w:val="00401825"/>
    <w:rsid w:val="00401BBC"/>
    <w:rsid w:val="00403BFB"/>
    <w:rsid w:val="00404B45"/>
    <w:rsid w:val="00406CC5"/>
    <w:rsid w:val="004074A4"/>
    <w:rsid w:val="004101B2"/>
    <w:rsid w:val="004123D7"/>
    <w:rsid w:val="004172DB"/>
    <w:rsid w:val="00421485"/>
    <w:rsid w:val="00422015"/>
    <w:rsid w:val="00422276"/>
    <w:rsid w:val="00422B75"/>
    <w:rsid w:val="00433F36"/>
    <w:rsid w:val="0043503A"/>
    <w:rsid w:val="0044384F"/>
    <w:rsid w:val="00446018"/>
    <w:rsid w:val="004543BC"/>
    <w:rsid w:val="0045645D"/>
    <w:rsid w:val="004574C6"/>
    <w:rsid w:val="00457BCF"/>
    <w:rsid w:val="00457DCE"/>
    <w:rsid w:val="00460E3F"/>
    <w:rsid w:val="00467592"/>
    <w:rsid w:val="004718E7"/>
    <w:rsid w:val="004761CC"/>
    <w:rsid w:val="00480D4A"/>
    <w:rsid w:val="00481DA1"/>
    <w:rsid w:val="0049445D"/>
    <w:rsid w:val="00495350"/>
    <w:rsid w:val="00497156"/>
    <w:rsid w:val="004A24D2"/>
    <w:rsid w:val="004A4136"/>
    <w:rsid w:val="004A417B"/>
    <w:rsid w:val="004B03F3"/>
    <w:rsid w:val="004B2536"/>
    <w:rsid w:val="004B6AF3"/>
    <w:rsid w:val="004B715E"/>
    <w:rsid w:val="004B7169"/>
    <w:rsid w:val="004B79C9"/>
    <w:rsid w:val="004C5E33"/>
    <w:rsid w:val="004C6CDA"/>
    <w:rsid w:val="004D10D4"/>
    <w:rsid w:val="004D16BD"/>
    <w:rsid w:val="004D6F2B"/>
    <w:rsid w:val="004E0248"/>
    <w:rsid w:val="004E21A3"/>
    <w:rsid w:val="004E32EA"/>
    <w:rsid w:val="004E6E67"/>
    <w:rsid w:val="004F3222"/>
    <w:rsid w:val="004F3BFA"/>
    <w:rsid w:val="00510588"/>
    <w:rsid w:val="0051146C"/>
    <w:rsid w:val="005139DE"/>
    <w:rsid w:val="005222E7"/>
    <w:rsid w:val="00523E04"/>
    <w:rsid w:val="0052590B"/>
    <w:rsid w:val="00526591"/>
    <w:rsid w:val="00527178"/>
    <w:rsid w:val="005350A5"/>
    <w:rsid w:val="00536379"/>
    <w:rsid w:val="00537238"/>
    <w:rsid w:val="005400C5"/>
    <w:rsid w:val="00540BEF"/>
    <w:rsid w:val="00542C9A"/>
    <w:rsid w:val="005436C2"/>
    <w:rsid w:val="0054586A"/>
    <w:rsid w:val="0055288D"/>
    <w:rsid w:val="00553C7F"/>
    <w:rsid w:val="00555259"/>
    <w:rsid w:val="00560D57"/>
    <w:rsid w:val="00562A94"/>
    <w:rsid w:val="005710A9"/>
    <w:rsid w:val="00584E62"/>
    <w:rsid w:val="00593043"/>
    <w:rsid w:val="00595BF0"/>
    <w:rsid w:val="005A258C"/>
    <w:rsid w:val="005A3560"/>
    <w:rsid w:val="005A6C99"/>
    <w:rsid w:val="005B011A"/>
    <w:rsid w:val="005B1D8F"/>
    <w:rsid w:val="005B1E94"/>
    <w:rsid w:val="005B5B3D"/>
    <w:rsid w:val="005C14AA"/>
    <w:rsid w:val="005C3758"/>
    <w:rsid w:val="005C6ECF"/>
    <w:rsid w:val="005D6C2E"/>
    <w:rsid w:val="005E3064"/>
    <w:rsid w:val="005F1115"/>
    <w:rsid w:val="005F27F2"/>
    <w:rsid w:val="005F424D"/>
    <w:rsid w:val="00605AAB"/>
    <w:rsid w:val="00606BEB"/>
    <w:rsid w:val="0061014A"/>
    <w:rsid w:val="00613E26"/>
    <w:rsid w:val="00615641"/>
    <w:rsid w:val="006211D0"/>
    <w:rsid w:val="00624D0C"/>
    <w:rsid w:val="006307BA"/>
    <w:rsid w:val="006315BA"/>
    <w:rsid w:val="00634C4A"/>
    <w:rsid w:val="0063532E"/>
    <w:rsid w:val="00637BDC"/>
    <w:rsid w:val="006418C9"/>
    <w:rsid w:val="00642BD6"/>
    <w:rsid w:val="006441C5"/>
    <w:rsid w:val="00645046"/>
    <w:rsid w:val="00645EA2"/>
    <w:rsid w:val="006573F2"/>
    <w:rsid w:val="00662F08"/>
    <w:rsid w:val="00663589"/>
    <w:rsid w:val="00670DDC"/>
    <w:rsid w:val="00671EB4"/>
    <w:rsid w:val="0067443B"/>
    <w:rsid w:val="00684E2B"/>
    <w:rsid w:val="00690FDA"/>
    <w:rsid w:val="00693341"/>
    <w:rsid w:val="00694EEA"/>
    <w:rsid w:val="006955B4"/>
    <w:rsid w:val="00696476"/>
    <w:rsid w:val="006A10FA"/>
    <w:rsid w:val="006A40E6"/>
    <w:rsid w:val="006A5C07"/>
    <w:rsid w:val="006A6A4C"/>
    <w:rsid w:val="006A75FA"/>
    <w:rsid w:val="006B07D5"/>
    <w:rsid w:val="006B1309"/>
    <w:rsid w:val="006B292E"/>
    <w:rsid w:val="006B5923"/>
    <w:rsid w:val="006B67D9"/>
    <w:rsid w:val="006B6C14"/>
    <w:rsid w:val="006C1D6E"/>
    <w:rsid w:val="006C3A68"/>
    <w:rsid w:val="006C4C18"/>
    <w:rsid w:val="006C6AB1"/>
    <w:rsid w:val="006D2D39"/>
    <w:rsid w:val="006E06D1"/>
    <w:rsid w:val="006E1313"/>
    <w:rsid w:val="006E2DC8"/>
    <w:rsid w:val="006E4849"/>
    <w:rsid w:val="006E7356"/>
    <w:rsid w:val="006E77C8"/>
    <w:rsid w:val="006F149D"/>
    <w:rsid w:val="006F1A46"/>
    <w:rsid w:val="006F52C9"/>
    <w:rsid w:val="006F5A4E"/>
    <w:rsid w:val="00703B6C"/>
    <w:rsid w:val="00706482"/>
    <w:rsid w:val="00706BEF"/>
    <w:rsid w:val="007116BC"/>
    <w:rsid w:val="007165CE"/>
    <w:rsid w:val="00720968"/>
    <w:rsid w:val="00721D12"/>
    <w:rsid w:val="00721F8B"/>
    <w:rsid w:val="0073254D"/>
    <w:rsid w:val="00736A49"/>
    <w:rsid w:val="00743B71"/>
    <w:rsid w:val="00743C2D"/>
    <w:rsid w:val="00743E36"/>
    <w:rsid w:val="007446F7"/>
    <w:rsid w:val="00744EBB"/>
    <w:rsid w:val="00745B0A"/>
    <w:rsid w:val="007468AC"/>
    <w:rsid w:val="00746AE2"/>
    <w:rsid w:val="00750C82"/>
    <w:rsid w:val="0076100C"/>
    <w:rsid w:val="007651ED"/>
    <w:rsid w:val="00766C87"/>
    <w:rsid w:val="00774840"/>
    <w:rsid w:val="00781BD4"/>
    <w:rsid w:val="00784832"/>
    <w:rsid w:val="00785D77"/>
    <w:rsid w:val="00786111"/>
    <w:rsid w:val="0079104E"/>
    <w:rsid w:val="00791F1E"/>
    <w:rsid w:val="00794F3D"/>
    <w:rsid w:val="007968AC"/>
    <w:rsid w:val="007969AB"/>
    <w:rsid w:val="007A0B39"/>
    <w:rsid w:val="007A14A4"/>
    <w:rsid w:val="007A168F"/>
    <w:rsid w:val="007A28E4"/>
    <w:rsid w:val="007A3BB3"/>
    <w:rsid w:val="007A5AD1"/>
    <w:rsid w:val="007A5B7B"/>
    <w:rsid w:val="007B0A06"/>
    <w:rsid w:val="007B5C5C"/>
    <w:rsid w:val="007B7B37"/>
    <w:rsid w:val="007B7C41"/>
    <w:rsid w:val="007C433E"/>
    <w:rsid w:val="007C4DB1"/>
    <w:rsid w:val="007C6046"/>
    <w:rsid w:val="007D0292"/>
    <w:rsid w:val="007D21AC"/>
    <w:rsid w:val="007D568A"/>
    <w:rsid w:val="007D574E"/>
    <w:rsid w:val="007E2046"/>
    <w:rsid w:val="007E4FBB"/>
    <w:rsid w:val="007E55BF"/>
    <w:rsid w:val="007E71B1"/>
    <w:rsid w:val="007E7B4E"/>
    <w:rsid w:val="007F0CE2"/>
    <w:rsid w:val="007F0EFF"/>
    <w:rsid w:val="007F1375"/>
    <w:rsid w:val="00803850"/>
    <w:rsid w:val="00805AFD"/>
    <w:rsid w:val="00811D5B"/>
    <w:rsid w:val="00817713"/>
    <w:rsid w:val="008220F1"/>
    <w:rsid w:val="00827DB6"/>
    <w:rsid w:val="00830999"/>
    <w:rsid w:val="00830D5E"/>
    <w:rsid w:val="00830F69"/>
    <w:rsid w:val="00834458"/>
    <w:rsid w:val="00835841"/>
    <w:rsid w:val="00837465"/>
    <w:rsid w:val="00841243"/>
    <w:rsid w:val="00841457"/>
    <w:rsid w:val="0084374E"/>
    <w:rsid w:val="00844842"/>
    <w:rsid w:val="00844DD0"/>
    <w:rsid w:val="0085029E"/>
    <w:rsid w:val="0085206E"/>
    <w:rsid w:val="00852AD4"/>
    <w:rsid w:val="00852BA8"/>
    <w:rsid w:val="00853718"/>
    <w:rsid w:val="008541EF"/>
    <w:rsid w:val="008549A8"/>
    <w:rsid w:val="00856C86"/>
    <w:rsid w:val="00856FA4"/>
    <w:rsid w:val="0086162B"/>
    <w:rsid w:val="00865207"/>
    <w:rsid w:val="008656A7"/>
    <w:rsid w:val="00871262"/>
    <w:rsid w:val="00871D4E"/>
    <w:rsid w:val="00871E7B"/>
    <w:rsid w:val="00875B51"/>
    <w:rsid w:val="00875F2D"/>
    <w:rsid w:val="008764DC"/>
    <w:rsid w:val="00882CC2"/>
    <w:rsid w:val="00883930"/>
    <w:rsid w:val="00896535"/>
    <w:rsid w:val="00896683"/>
    <w:rsid w:val="008A63A9"/>
    <w:rsid w:val="008B04DB"/>
    <w:rsid w:val="008B27FD"/>
    <w:rsid w:val="008B3AF2"/>
    <w:rsid w:val="008B515D"/>
    <w:rsid w:val="008B5D31"/>
    <w:rsid w:val="008B6705"/>
    <w:rsid w:val="008C303B"/>
    <w:rsid w:val="008D11D1"/>
    <w:rsid w:val="008D795D"/>
    <w:rsid w:val="008D7B07"/>
    <w:rsid w:val="008E2D99"/>
    <w:rsid w:val="008E4A60"/>
    <w:rsid w:val="008F662C"/>
    <w:rsid w:val="009014E3"/>
    <w:rsid w:val="009026E8"/>
    <w:rsid w:val="00906057"/>
    <w:rsid w:val="00906EB7"/>
    <w:rsid w:val="009102BF"/>
    <w:rsid w:val="009115F2"/>
    <w:rsid w:val="00914ADB"/>
    <w:rsid w:val="00923B25"/>
    <w:rsid w:val="0092402E"/>
    <w:rsid w:val="00926FCB"/>
    <w:rsid w:val="00942645"/>
    <w:rsid w:val="00944737"/>
    <w:rsid w:val="00950A3A"/>
    <w:rsid w:val="0095340A"/>
    <w:rsid w:val="00954581"/>
    <w:rsid w:val="0095466C"/>
    <w:rsid w:val="00954E5B"/>
    <w:rsid w:val="009576BC"/>
    <w:rsid w:val="00960357"/>
    <w:rsid w:val="0096168C"/>
    <w:rsid w:val="00961840"/>
    <w:rsid w:val="00962F2D"/>
    <w:rsid w:val="009672CD"/>
    <w:rsid w:val="00970256"/>
    <w:rsid w:val="00972996"/>
    <w:rsid w:val="009732B8"/>
    <w:rsid w:val="00975C72"/>
    <w:rsid w:val="00976869"/>
    <w:rsid w:val="00977740"/>
    <w:rsid w:val="00977CB4"/>
    <w:rsid w:val="009809B8"/>
    <w:rsid w:val="00985099"/>
    <w:rsid w:val="0099421F"/>
    <w:rsid w:val="009A0DE3"/>
    <w:rsid w:val="009A1643"/>
    <w:rsid w:val="009A215A"/>
    <w:rsid w:val="009A4640"/>
    <w:rsid w:val="009A4F1B"/>
    <w:rsid w:val="009A66C5"/>
    <w:rsid w:val="009A78A3"/>
    <w:rsid w:val="009A79BA"/>
    <w:rsid w:val="009B1534"/>
    <w:rsid w:val="009B4A3B"/>
    <w:rsid w:val="009B57D7"/>
    <w:rsid w:val="009B69D3"/>
    <w:rsid w:val="009B7BA7"/>
    <w:rsid w:val="009C0938"/>
    <w:rsid w:val="009C22C8"/>
    <w:rsid w:val="009C3F82"/>
    <w:rsid w:val="009C72DD"/>
    <w:rsid w:val="009C7DF5"/>
    <w:rsid w:val="009D056C"/>
    <w:rsid w:val="009D060F"/>
    <w:rsid w:val="009D1ADE"/>
    <w:rsid w:val="009D6FFC"/>
    <w:rsid w:val="009D76A9"/>
    <w:rsid w:val="009E09D0"/>
    <w:rsid w:val="009E1283"/>
    <w:rsid w:val="009E3A7F"/>
    <w:rsid w:val="009E57B1"/>
    <w:rsid w:val="009F7809"/>
    <w:rsid w:val="009F7AF5"/>
    <w:rsid w:val="00A00D14"/>
    <w:rsid w:val="00A00E75"/>
    <w:rsid w:val="00A01408"/>
    <w:rsid w:val="00A02457"/>
    <w:rsid w:val="00A027B5"/>
    <w:rsid w:val="00A03190"/>
    <w:rsid w:val="00A0404B"/>
    <w:rsid w:val="00A07BDD"/>
    <w:rsid w:val="00A1105B"/>
    <w:rsid w:val="00A15B6B"/>
    <w:rsid w:val="00A15EB4"/>
    <w:rsid w:val="00A16876"/>
    <w:rsid w:val="00A200AA"/>
    <w:rsid w:val="00A2186F"/>
    <w:rsid w:val="00A21A04"/>
    <w:rsid w:val="00A2270B"/>
    <w:rsid w:val="00A23B89"/>
    <w:rsid w:val="00A2496E"/>
    <w:rsid w:val="00A258B7"/>
    <w:rsid w:val="00A32743"/>
    <w:rsid w:val="00A414A9"/>
    <w:rsid w:val="00A43C58"/>
    <w:rsid w:val="00A44D75"/>
    <w:rsid w:val="00A47CF1"/>
    <w:rsid w:val="00A50418"/>
    <w:rsid w:val="00A54A47"/>
    <w:rsid w:val="00A56D26"/>
    <w:rsid w:val="00A608FB"/>
    <w:rsid w:val="00A60D83"/>
    <w:rsid w:val="00A60F68"/>
    <w:rsid w:val="00A65C78"/>
    <w:rsid w:val="00A67CA6"/>
    <w:rsid w:val="00A70E7B"/>
    <w:rsid w:val="00A73B84"/>
    <w:rsid w:val="00A7411D"/>
    <w:rsid w:val="00A76094"/>
    <w:rsid w:val="00A768E2"/>
    <w:rsid w:val="00A82C52"/>
    <w:rsid w:val="00A86CB6"/>
    <w:rsid w:val="00A90D55"/>
    <w:rsid w:val="00A959E7"/>
    <w:rsid w:val="00A95BBA"/>
    <w:rsid w:val="00A961EE"/>
    <w:rsid w:val="00AA04B3"/>
    <w:rsid w:val="00AA493E"/>
    <w:rsid w:val="00AA73AF"/>
    <w:rsid w:val="00AB1754"/>
    <w:rsid w:val="00AB27DD"/>
    <w:rsid w:val="00AB5263"/>
    <w:rsid w:val="00AB73BA"/>
    <w:rsid w:val="00AC439D"/>
    <w:rsid w:val="00AC63AB"/>
    <w:rsid w:val="00AD067E"/>
    <w:rsid w:val="00AD68C5"/>
    <w:rsid w:val="00AE1273"/>
    <w:rsid w:val="00AE2D29"/>
    <w:rsid w:val="00AE4624"/>
    <w:rsid w:val="00AE5E14"/>
    <w:rsid w:val="00AE6115"/>
    <w:rsid w:val="00AF4FA5"/>
    <w:rsid w:val="00B14FAA"/>
    <w:rsid w:val="00B15D30"/>
    <w:rsid w:val="00B23436"/>
    <w:rsid w:val="00B30E2F"/>
    <w:rsid w:val="00B32179"/>
    <w:rsid w:val="00B331A9"/>
    <w:rsid w:val="00B40A3E"/>
    <w:rsid w:val="00B50227"/>
    <w:rsid w:val="00B522CD"/>
    <w:rsid w:val="00B55917"/>
    <w:rsid w:val="00B64DD6"/>
    <w:rsid w:val="00B70ADC"/>
    <w:rsid w:val="00B72303"/>
    <w:rsid w:val="00B74780"/>
    <w:rsid w:val="00B82277"/>
    <w:rsid w:val="00B91676"/>
    <w:rsid w:val="00B95833"/>
    <w:rsid w:val="00BA03CB"/>
    <w:rsid w:val="00BA2533"/>
    <w:rsid w:val="00BA2D98"/>
    <w:rsid w:val="00BA30D1"/>
    <w:rsid w:val="00BA4609"/>
    <w:rsid w:val="00BA5BE2"/>
    <w:rsid w:val="00BA7F46"/>
    <w:rsid w:val="00BB0A0A"/>
    <w:rsid w:val="00BB45B5"/>
    <w:rsid w:val="00BB6064"/>
    <w:rsid w:val="00BC09D1"/>
    <w:rsid w:val="00BC7232"/>
    <w:rsid w:val="00BD40AB"/>
    <w:rsid w:val="00BD6806"/>
    <w:rsid w:val="00BD7433"/>
    <w:rsid w:val="00BD7831"/>
    <w:rsid w:val="00BD7C10"/>
    <w:rsid w:val="00BE046F"/>
    <w:rsid w:val="00BE0DEB"/>
    <w:rsid w:val="00BE2FC1"/>
    <w:rsid w:val="00BE4277"/>
    <w:rsid w:val="00BE5996"/>
    <w:rsid w:val="00BE6365"/>
    <w:rsid w:val="00BF0B7F"/>
    <w:rsid w:val="00BF1BC3"/>
    <w:rsid w:val="00BF4720"/>
    <w:rsid w:val="00BF56E9"/>
    <w:rsid w:val="00C038EC"/>
    <w:rsid w:val="00C0442D"/>
    <w:rsid w:val="00C06109"/>
    <w:rsid w:val="00C13B34"/>
    <w:rsid w:val="00C13F26"/>
    <w:rsid w:val="00C1696F"/>
    <w:rsid w:val="00C16E9F"/>
    <w:rsid w:val="00C1713D"/>
    <w:rsid w:val="00C177F1"/>
    <w:rsid w:val="00C24341"/>
    <w:rsid w:val="00C25978"/>
    <w:rsid w:val="00C261C6"/>
    <w:rsid w:val="00C30A97"/>
    <w:rsid w:val="00C31DDC"/>
    <w:rsid w:val="00C34326"/>
    <w:rsid w:val="00C36201"/>
    <w:rsid w:val="00C368E8"/>
    <w:rsid w:val="00C36C3D"/>
    <w:rsid w:val="00C372C7"/>
    <w:rsid w:val="00C42443"/>
    <w:rsid w:val="00C42CBA"/>
    <w:rsid w:val="00C5019E"/>
    <w:rsid w:val="00C52D45"/>
    <w:rsid w:val="00C53E8A"/>
    <w:rsid w:val="00C54DF3"/>
    <w:rsid w:val="00C560A7"/>
    <w:rsid w:val="00C56D30"/>
    <w:rsid w:val="00C56FC8"/>
    <w:rsid w:val="00C60F23"/>
    <w:rsid w:val="00C62EB2"/>
    <w:rsid w:val="00C71BEC"/>
    <w:rsid w:val="00C74D3A"/>
    <w:rsid w:val="00C80511"/>
    <w:rsid w:val="00C826F5"/>
    <w:rsid w:val="00C83740"/>
    <w:rsid w:val="00C84AD1"/>
    <w:rsid w:val="00C85579"/>
    <w:rsid w:val="00C857D6"/>
    <w:rsid w:val="00C863E5"/>
    <w:rsid w:val="00C87429"/>
    <w:rsid w:val="00C931FC"/>
    <w:rsid w:val="00C932C5"/>
    <w:rsid w:val="00C9650E"/>
    <w:rsid w:val="00CA068D"/>
    <w:rsid w:val="00CA282D"/>
    <w:rsid w:val="00CA4670"/>
    <w:rsid w:val="00CA6B1A"/>
    <w:rsid w:val="00CB20DC"/>
    <w:rsid w:val="00CB23DC"/>
    <w:rsid w:val="00CB2487"/>
    <w:rsid w:val="00CB28E2"/>
    <w:rsid w:val="00CB7FF7"/>
    <w:rsid w:val="00CC0D0E"/>
    <w:rsid w:val="00CC19B3"/>
    <w:rsid w:val="00CC2044"/>
    <w:rsid w:val="00CC294F"/>
    <w:rsid w:val="00CC39D2"/>
    <w:rsid w:val="00CC5EE9"/>
    <w:rsid w:val="00CC69EC"/>
    <w:rsid w:val="00CD15BE"/>
    <w:rsid w:val="00CD32BD"/>
    <w:rsid w:val="00CD34C7"/>
    <w:rsid w:val="00CD5E6D"/>
    <w:rsid w:val="00CD63C8"/>
    <w:rsid w:val="00CD688C"/>
    <w:rsid w:val="00CF158D"/>
    <w:rsid w:val="00CF2F90"/>
    <w:rsid w:val="00CF4394"/>
    <w:rsid w:val="00D10577"/>
    <w:rsid w:val="00D1323B"/>
    <w:rsid w:val="00D14BAE"/>
    <w:rsid w:val="00D1648B"/>
    <w:rsid w:val="00D16819"/>
    <w:rsid w:val="00D20AC0"/>
    <w:rsid w:val="00D24E24"/>
    <w:rsid w:val="00D26873"/>
    <w:rsid w:val="00D31E68"/>
    <w:rsid w:val="00D336C8"/>
    <w:rsid w:val="00D339E8"/>
    <w:rsid w:val="00D40B1F"/>
    <w:rsid w:val="00D40D75"/>
    <w:rsid w:val="00D50C8C"/>
    <w:rsid w:val="00D52393"/>
    <w:rsid w:val="00D523E4"/>
    <w:rsid w:val="00D53F14"/>
    <w:rsid w:val="00D54BE4"/>
    <w:rsid w:val="00D60483"/>
    <w:rsid w:val="00D61ABB"/>
    <w:rsid w:val="00D63577"/>
    <w:rsid w:val="00D67FD7"/>
    <w:rsid w:val="00D714FA"/>
    <w:rsid w:val="00D74261"/>
    <w:rsid w:val="00D7441B"/>
    <w:rsid w:val="00D76AB2"/>
    <w:rsid w:val="00D80490"/>
    <w:rsid w:val="00D829AD"/>
    <w:rsid w:val="00D82EE2"/>
    <w:rsid w:val="00D8545C"/>
    <w:rsid w:val="00D87788"/>
    <w:rsid w:val="00D877C8"/>
    <w:rsid w:val="00D910C2"/>
    <w:rsid w:val="00D9168C"/>
    <w:rsid w:val="00D9189B"/>
    <w:rsid w:val="00D91DA6"/>
    <w:rsid w:val="00D9706F"/>
    <w:rsid w:val="00D972D4"/>
    <w:rsid w:val="00DA195B"/>
    <w:rsid w:val="00DA7FC0"/>
    <w:rsid w:val="00DB0015"/>
    <w:rsid w:val="00DB2AAD"/>
    <w:rsid w:val="00DB626D"/>
    <w:rsid w:val="00DB6365"/>
    <w:rsid w:val="00DC0BF1"/>
    <w:rsid w:val="00DC41C3"/>
    <w:rsid w:val="00DD3593"/>
    <w:rsid w:val="00DD5FA3"/>
    <w:rsid w:val="00DD6C16"/>
    <w:rsid w:val="00DE0C67"/>
    <w:rsid w:val="00DE4436"/>
    <w:rsid w:val="00DE6952"/>
    <w:rsid w:val="00DE7E74"/>
    <w:rsid w:val="00E00A69"/>
    <w:rsid w:val="00E017F0"/>
    <w:rsid w:val="00E01A0E"/>
    <w:rsid w:val="00E041E4"/>
    <w:rsid w:val="00E103C8"/>
    <w:rsid w:val="00E1085B"/>
    <w:rsid w:val="00E13600"/>
    <w:rsid w:val="00E14581"/>
    <w:rsid w:val="00E15539"/>
    <w:rsid w:val="00E16541"/>
    <w:rsid w:val="00E2536E"/>
    <w:rsid w:val="00E2632B"/>
    <w:rsid w:val="00E322F7"/>
    <w:rsid w:val="00E3369B"/>
    <w:rsid w:val="00E36D76"/>
    <w:rsid w:val="00E405EA"/>
    <w:rsid w:val="00E408B7"/>
    <w:rsid w:val="00E42789"/>
    <w:rsid w:val="00E43F59"/>
    <w:rsid w:val="00E464F0"/>
    <w:rsid w:val="00E50BEB"/>
    <w:rsid w:val="00E6092F"/>
    <w:rsid w:val="00E629DA"/>
    <w:rsid w:val="00E67FAC"/>
    <w:rsid w:val="00E7200B"/>
    <w:rsid w:val="00E738CB"/>
    <w:rsid w:val="00E73C88"/>
    <w:rsid w:val="00E74437"/>
    <w:rsid w:val="00E81C3E"/>
    <w:rsid w:val="00E82B6D"/>
    <w:rsid w:val="00E908D0"/>
    <w:rsid w:val="00E92188"/>
    <w:rsid w:val="00EA1177"/>
    <w:rsid w:val="00EA118B"/>
    <w:rsid w:val="00EA11B6"/>
    <w:rsid w:val="00EA2181"/>
    <w:rsid w:val="00EA2DD8"/>
    <w:rsid w:val="00EA4475"/>
    <w:rsid w:val="00EA681F"/>
    <w:rsid w:val="00EB3823"/>
    <w:rsid w:val="00EB47D8"/>
    <w:rsid w:val="00EB57D3"/>
    <w:rsid w:val="00EB679F"/>
    <w:rsid w:val="00EB76E4"/>
    <w:rsid w:val="00EC0E65"/>
    <w:rsid w:val="00EC2938"/>
    <w:rsid w:val="00EC50C9"/>
    <w:rsid w:val="00EC5BB2"/>
    <w:rsid w:val="00ED664B"/>
    <w:rsid w:val="00EE0B44"/>
    <w:rsid w:val="00EE6FE0"/>
    <w:rsid w:val="00EE704A"/>
    <w:rsid w:val="00EF26C1"/>
    <w:rsid w:val="00EF4C74"/>
    <w:rsid w:val="00EF5268"/>
    <w:rsid w:val="00EF608E"/>
    <w:rsid w:val="00F0044B"/>
    <w:rsid w:val="00F041B5"/>
    <w:rsid w:val="00F04957"/>
    <w:rsid w:val="00F05807"/>
    <w:rsid w:val="00F07052"/>
    <w:rsid w:val="00F0706C"/>
    <w:rsid w:val="00F11EBE"/>
    <w:rsid w:val="00F130D0"/>
    <w:rsid w:val="00F14933"/>
    <w:rsid w:val="00F1516A"/>
    <w:rsid w:val="00F22A26"/>
    <w:rsid w:val="00F24072"/>
    <w:rsid w:val="00F26432"/>
    <w:rsid w:val="00F3197A"/>
    <w:rsid w:val="00F32139"/>
    <w:rsid w:val="00F33D56"/>
    <w:rsid w:val="00F34E08"/>
    <w:rsid w:val="00F41D91"/>
    <w:rsid w:val="00F42363"/>
    <w:rsid w:val="00F42492"/>
    <w:rsid w:val="00F46964"/>
    <w:rsid w:val="00F46F9A"/>
    <w:rsid w:val="00F5126A"/>
    <w:rsid w:val="00F6636A"/>
    <w:rsid w:val="00F67E31"/>
    <w:rsid w:val="00F718A8"/>
    <w:rsid w:val="00F72183"/>
    <w:rsid w:val="00F76D01"/>
    <w:rsid w:val="00F81C35"/>
    <w:rsid w:val="00F82981"/>
    <w:rsid w:val="00F8311F"/>
    <w:rsid w:val="00F83248"/>
    <w:rsid w:val="00F83376"/>
    <w:rsid w:val="00F853AE"/>
    <w:rsid w:val="00F93DCC"/>
    <w:rsid w:val="00F9435D"/>
    <w:rsid w:val="00FB593A"/>
    <w:rsid w:val="00FB6410"/>
    <w:rsid w:val="00FB6E82"/>
    <w:rsid w:val="00FC1C99"/>
    <w:rsid w:val="00FC2A13"/>
    <w:rsid w:val="00FC4284"/>
    <w:rsid w:val="00FC4576"/>
    <w:rsid w:val="00FC7DBC"/>
    <w:rsid w:val="00FD076A"/>
    <w:rsid w:val="00FD0AA0"/>
    <w:rsid w:val="00FD1D5A"/>
    <w:rsid w:val="00FD5059"/>
    <w:rsid w:val="00FD554D"/>
    <w:rsid w:val="00FF0FF7"/>
    <w:rsid w:val="00FF1438"/>
    <w:rsid w:val="00FF3A38"/>
    <w:rsid w:val="00FF3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6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C2"/>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paragraph" w:customStyle="1" w:styleId="Default">
    <w:name w:val="Default"/>
    <w:rsid w:val="008F662C"/>
    <w:pPr>
      <w:widowControl w:val="0"/>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39513790">
      <w:bodyDiv w:val="1"/>
      <w:marLeft w:val="0"/>
      <w:marRight w:val="0"/>
      <w:marTop w:val="0"/>
      <w:marBottom w:val="0"/>
      <w:divBdr>
        <w:top w:val="none" w:sz="0" w:space="0" w:color="auto"/>
        <w:left w:val="none" w:sz="0" w:space="0" w:color="auto"/>
        <w:bottom w:val="none" w:sz="0" w:space="0" w:color="auto"/>
        <w:right w:val="none" w:sz="0" w:space="0" w:color="auto"/>
      </w:divBdr>
    </w:div>
    <w:div w:id="638998791">
      <w:bodyDiv w:val="1"/>
      <w:marLeft w:val="0"/>
      <w:marRight w:val="0"/>
      <w:marTop w:val="0"/>
      <w:marBottom w:val="0"/>
      <w:divBdr>
        <w:top w:val="none" w:sz="0" w:space="0" w:color="auto"/>
        <w:left w:val="none" w:sz="0" w:space="0" w:color="auto"/>
        <w:bottom w:val="none" w:sz="0" w:space="0" w:color="auto"/>
        <w:right w:val="none" w:sz="0" w:space="0" w:color="auto"/>
      </w:divBdr>
    </w:div>
    <w:div w:id="1291279704">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476E-2C18-44AE-84E4-9988B31A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2301</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JAMEILL.BARKSDALE</cp:lastModifiedBy>
  <cp:revision>4</cp:revision>
  <cp:lastPrinted>2010-08-23T18:37:00Z</cp:lastPrinted>
  <dcterms:created xsi:type="dcterms:W3CDTF">2012-01-11T15:13:00Z</dcterms:created>
  <dcterms:modified xsi:type="dcterms:W3CDTF">2012-01-11T18:54:00Z</dcterms:modified>
</cp:coreProperties>
</file>