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4F68E8" w:rsidRPr="008C1017" w:rsidRDefault="004F68E8" w:rsidP="004F68E8">
      <w:pPr>
        <w:tabs>
          <w:tab w:val="left" w:pos="288"/>
          <w:tab w:val="left" w:pos="4752"/>
        </w:tabs>
        <w:spacing w:line="240" w:lineRule="exact"/>
        <w:jc w:val="both"/>
        <w:rPr>
          <w:color w:val="000080"/>
        </w:rPr>
      </w:pPr>
      <w:r w:rsidRPr="008C1017">
        <w:rPr>
          <w:color w:val="000080"/>
        </w:rPr>
        <w:t>NAME:</w:t>
      </w:r>
      <w:r w:rsidRPr="008C1017">
        <w:rPr>
          <w:color w:val="000080"/>
        </w:rPr>
        <w:tab/>
      </w:r>
      <w:r w:rsidRPr="008C1017">
        <w:rPr>
          <w:color w:val="000080"/>
        </w:rPr>
        <w:tab/>
        <w:t xml:space="preserve">BRANCH OF SERVICE: </w:t>
      </w:r>
      <w:r w:rsidR="00DC1811">
        <w:rPr>
          <w:color w:val="000080"/>
        </w:rPr>
        <w:t>ARMY</w:t>
      </w:r>
      <w:r w:rsidRPr="008C1017">
        <w:rPr>
          <w:color w:val="000080"/>
        </w:rPr>
        <w:t xml:space="preserve"> </w:t>
      </w:r>
    </w:p>
    <w:p w:rsidR="00AB384B" w:rsidRDefault="004F68E8" w:rsidP="004F68E8">
      <w:pPr>
        <w:tabs>
          <w:tab w:val="left" w:pos="288"/>
          <w:tab w:val="left" w:pos="4752"/>
        </w:tabs>
        <w:spacing w:line="240" w:lineRule="exact"/>
        <w:jc w:val="both"/>
        <w:rPr>
          <w:color w:val="000080"/>
        </w:rPr>
      </w:pPr>
      <w:r>
        <w:rPr>
          <w:color w:val="000080"/>
        </w:rPr>
        <w:t>CASE NUMBER:  PD0900033</w:t>
      </w:r>
      <w:r w:rsidRPr="008C1017">
        <w:rPr>
          <w:color w:val="000080"/>
        </w:rPr>
        <w:tab/>
      </w:r>
      <w:r w:rsidRPr="008C1017">
        <w:rPr>
          <w:color w:val="000080"/>
        </w:rPr>
        <w:tab/>
        <w:t>BOARD DATE: 2010</w:t>
      </w:r>
      <w:r w:rsidR="00DC1811">
        <w:rPr>
          <w:color w:val="000080"/>
        </w:rPr>
        <w:t>0429</w:t>
      </w:r>
    </w:p>
    <w:p w:rsidR="00540BEF" w:rsidRDefault="004F68E8" w:rsidP="004F68E8">
      <w:pPr>
        <w:tabs>
          <w:tab w:val="left" w:pos="288"/>
          <w:tab w:val="left" w:pos="4752"/>
        </w:tabs>
        <w:spacing w:line="240" w:lineRule="exact"/>
        <w:jc w:val="both"/>
        <w:rPr>
          <w:color w:val="000080"/>
        </w:rPr>
      </w:pPr>
      <w:r w:rsidRPr="008C1017">
        <w:rPr>
          <w:color w:val="000080"/>
        </w:rPr>
        <w:t>SEPARATION DATE:</w:t>
      </w:r>
      <w:r>
        <w:rPr>
          <w:color w:val="000080"/>
        </w:rPr>
        <w:t xml:space="preserve"> 20060705</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8B04DB" w:rsidRPr="00F67635" w:rsidRDefault="002C6E5B" w:rsidP="00F67635">
      <w:pPr>
        <w:tabs>
          <w:tab w:val="left" w:pos="288"/>
          <w:tab w:val="left" w:pos="4752"/>
        </w:tabs>
        <w:spacing w:line="240" w:lineRule="exact"/>
        <w:jc w:val="both"/>
        <w:rPr>
          <w:color w:val="000080"/>
        </w:rPr>
      </w:pPr>
      <w:r w:rsidRPr="00F67635">
        <w:rPr>
          <w:color w:val="000080"/>
          <w:u w:val="single"/>
        </w:rPr>
        <w:t>SUMMARY OF CASE</w:t>
      </w:r>
      <w:r w:rsidRPr="00F67635">
        <w:rPr>
          <w:color w:val="000080"/>
        </w:rPr>
        <w:t xml:space="preserve">:  This covered individual (CI) was </w:t>
      </w:r>
      <w:r w:rsidR="00E322F7" w:rsidRPr="00F67635">
        <w:rPr>
          <w:color w:val="000080"/>
        </w:rPr>
        <w:t xml:space="preserve">an active duty </w:t>
      </w:r>
      <w:r w:rsidR="00DC1811" w:rsidRPr="00F67635">
        <w:rPr>
          <w:color w:val="000080"/>
        </w:rPr>
        <w:t>SGT</w:t>
      </w:r>
      <w:r w:rsidR="00AB384B">
        <w:rPr>
          <w:color w:val="000080"/>
        </w:rPr>
        <w:t>/</w:t>
      </w:r>
      <w:r w:rsidR="00DC1811" w:rsidRPr="00F67635">
        <w:rPr>
          <w:color w:val="000080"/>
        </w:rPr>
        <w:t>Petroleum Supply Specialist</w:t>
      </w:r>
      <w:r w:rsidR="00E322F7" w:rsidRPr="00F67635">
        <w:rPr>
          <w:color w:val="000080"/>
        </w:rPr>
        <w:t xml:space="preserve"> </w:t>
      </w:r>
      <w:r w:rsidRPr="00F67635">
        <w:rPr>
          <w:color w:val="000080"/>
        </w:rPr>
        <w:t>medically separated from the Army</w:t>
      </w:r>
      <w:r w:rsidR="00DC1811" w:rsidRPr="00F67635">
        <w:rPr>
          <w:color w:val="000080"/>
        </w:rPr>
        <w:t xml:space="preserve"> in 2006</w:t>
      </w:r>
      <w:r w:rsidRPr="00F67635">
        <w:rPr>
          <w:color w:val="000080"/>
        </w:rPr>
        <w:t xml:space="preserve"> after </w:t>
      </w:r>
      <w:r w:rsidR="00DC1811" w:rsidRPr="00F67635">
        <w:rPr>
          <w:color w:val="000080"/>
        </w:rPr>
        <w:t>6</w:t>
      </w:r>
      <w:r w:rsidRPr="00F67635">
        <w:rPr>
          <w:color w:val="000080"/>
        </w:rPr>
        <w:t xml:space="preserve"> yea</w:t>
      </w:r>
      <w:r w:rsidR="00DC1811" w:rsidRPr="00F67635">
        <w:rPr>
          <w:color w:val="000080"/>
        </w:rPr>
        <w:t>rs of service.  The medical base</w:t>
      </w:r>
      <w:r w:rsidRPr="00F67635">
        <w:rPr>
          <w:color w:val="000080"/>
        </w:rPr>
        <w:t xml:space="preserve">s for the separation </w:t>
      </w:r>
      <w:r w:rsidR="00DC1811" w:rsidRPr="00F67635">
        <w:rPr>
          <w:color w:val="000080"/>
        </w:rPr>
        <w:t xml:space="preserve">were a back condition and a bilateral knee condition.  </w:t>
      </w:r>
      <w:r w:rsidR="00217E53" w:rsidRPr="00F67635">
        <w:rPr>
          <w:color w:val="000080"/>
        </w:rPr>
        <w:t xml:space="preserve">He </w:t>
      </w:r>
      <w:r w:rsidR="00914186" w:rsidRPr="00F67635">
        <w:rPr>
          <w:color w:val="000080"/>
        </w:rPr>
        <w:t>had a history</w:t>
      </w:r>
      <w:r w:rsidR="00217E53" w:rsidRPr="00F67635">
        <w:rPr>
          <w:color w:val="000080"/>
        </w:rPr>
        <w:t xml:space="preserve"> of low back </w:t>
      </w:r>
      <w:r w:rsidR="00914186" w:rsidRPr="00F67635">
        <w:rPr>
          <w:color w:val="000080"/>
        </w:rPr>
        <w:t xml:space="preserve">pain associated with lifting and other requirements of his </w:t>
      </w:r>
      <w:r w:rsidR="00AB384B">
        <w:rPr>
          <w:color w:val="000080"/>
        </w:rPr>
        <w:t>military occupational specialty (</w:t>
      </w:r>
      <w:r w:rsidR="00914186" w:rsidRPr="00F67635">
        <w:rPr>
          <w:color w:val="000080"/>
        </w:rPr>
        <w:t>MOS</w:t>
      </w:r>
      <w:r w:rsidR="00AB384B">
        <w:rPr>
          <w:color w:val="000080"/>
        </w:rPr>
        <w:t>)</w:t>
      </w:r>
      <w:r w:rsidR="00914186" w:rsidRPr="00F67635">
        <w:rPr>
          <w:color w:val="000080"/>
        </w:rPr>
        <w:t xml:space="preserve"> dating to</w:t>
      </w:r>
      <w:r w:rsidR="00217E53" w:rsidRPr="00F67635">
        <w:rPr>
          <w:color w:val="000080"/>
        </w:rPr>
        <w:t xml:space="preserve"> 2002.  He suffered exacerbations of the condition with various strain inj</w:t>
      </w:r>
      <w:r w:rsidR="009B1748" w:rsidRPr="00F67635">
        <w:rPr>
          <w:color w:val="000080"/>
        </w:rPr>
        <w:t xml:space="preserve">uries as his career progressed.  These were </w:t>
      </w:r>
      <w:r w:rsidR="00217E53" w:rsidRPr="00F67635">
        <w:rPr>
          <w:color w:val="000080"/>
        </w:rPr>
        <w:t xml:space="preserve">managed with periodic medications, routine conservative measures and temporary profiles.  In 2005 a </w:t>
      </w:r>
      <w:r w:rsidR="00AB384B" w:rsidRPr="00AB384B">
        <w:rPr>
          <w:color w:val="000080"/>
        </w:rPr>
        <w:t xml:space="preserve">Magnetic Resonance Imaging </w:t>
      </w:r>
      <w:r w:rsidR="00AB384B">
        <w:rPr>
          <w:color w:val="000080"/>
        </w:rPr>
        <w:t>(</w:t>
      </w:r>
      <w:r w:rsidR="00217E53" w:rsidRPr="00F67635">
        <w:rPr>
          <w:color w:val="000080"/>
        </w:rPr>
        <w:t>MRI</w:t>
      </w:r>
      <w:r w:rsidR="00AB384B">
        <w:rPr>
          <w:color w:val="000080"/>
        </w:rPr>
        <w:t>)</w:t>
      </w:r>
      <w:r w:rsidR="00217E53" w:rsidRPr="00F67635">
        <w:rPr>
          <w:color w:val="000080"/>
        </w:rPr>
        <w:t xml:space="preserve"> demonstrated two level disc </w:t>
      </w:r>
      <w:proofErr w:type="gramStart"/>
      <w:r w:rsidR="00217E53" w:rsidRPr="00F67635">
        <w:rPr>
          <w:color w:val="000080"/>
        </w:rPr>
        <w:t>disease</w:t>
      </w:r>
      <w:proofErr w:type="gramEnd"/>
      <w:r w:rsidR="00217E53" w:rsidRPr="00F67635">
        <w:rPr>
          <w:color w:val="000080"/>
        </w:rPr>
        <w:t xml:space="preserve"> (L4/5, L5/S1) and he underwent a trial of physical therapy and epidural injections.  </w:t>
      </w:r>
      <w:r w:rsidR="00615FE4" w:rsidRPr="00F67635">
        <w:rPr>
          <w:color w:val="000080"/>
        </w:rPr>
        <w:t xml:space="preserve">He did not respond adequately to </w:t>
      </w:r>
      <w:r w:rsidR="009B1748" w:rsidRPr="00F67635">
        <w:rPr>
          <w:color w:val="000080"/>
        </w:rPr>
        <w:t>meet the physical</w:t>
      </w:r>
      <w:r w:rsidR="00615FE4" w:rsidRPr="00F67635">
        <w:rPr>
          <w:color w:val="000080"/>
        </w:rPr>
        <w:t xml:space="preserve"> requirements of his MOS</w:t>
      </w:r>
      <w:r w:rsidR="009B1748" w:rsidRPr="00F67635">
        <w:rPr>
          <w:color w:val="000080"/>
        </w:rPr>
        <w:t xml:space="preserve"> or participate in the </w:t>
      </w:r>
      <w:r w:rsidR="00AB384B">
        <w:rPr>
          <w:color w:val="000080"/>
        </w:rPr>
        <w:t>Army Physical Fitness Test (</w:t>
      </w:r>
      <w:r w:rsidR="009B1748" w:rsidRPr="00F67635">
        <w:rPr>
          <w:color w:val="000080"/>
        </w:rPr>
        <w:t>APFT</w:t>
      </w:r>
      <w:r w:rsidR="00AB384B">
        <w:rPr>
          <w:color w:val="000080"/>
        </w:rPr>
        <w:t>)</w:t>
      </w:r>
      <w:r w:rsidR="00615FE4" w:rsidRPr="00F67635">
        <w:rPr>
          <w:color w:val="000080"/>
        </w:rPr>
        <w:t xml:space="preserve">.  </w:t>
      </w:r>
      <w:r w:rsidR="00217E53" w:rsidRPr="00F67635">
        <w:rPr>
          <w:color w:val="000080"/>
        </w:rPr>
        <w:t xml:space="preserve">Surgical options were discussed, but </w:t>
      </w:r>
      <w:r w:rsidR="009B1748" w:rsidRPr="00F67635">
        <w:rPr>
          <w:color w:val="000080"/>
        </w:rPr>
        <w:t>t</w:t>
      </w:r>
      <w:r w:rsidR="00914186" w:rsidRPr="00F67635">
        <w:rPr>
          <w:color w:val="000080"/>
        </w:rPr>
        <w:t>he</w:t>
      </w:r>
      <w:r w:rsidR="00217E53" w:rsidRPr="00F67635">
        <w:rPr>
          <w:color w:val="000080"/>
        </w:rPr>
        <w:t xml:space="preserve"> </w:t>
      </w:r>
      <w:r w:rsidR="009B1748" w:rsidRPr="00F67635">
        <w:rPr>
          <w:color w:val="000080"/>
        </w:rPr>
        <w:t xml:space="preserve">CI </w:t>
      </w:r>
      <w:r w:rsidR="00217E53" w:rsidRPr="00F67635">
        <w:rPr>
          <w:color w:val="000080"/>
        </w:rPr>
        <w:t xml:space="preserve">opted out (reasonably so) </w:t>
      </w:r>
      <w:r w:rsidR="00914186" w:rsidRPr="00F67635">
        <w:rPr>
          <w:color w:val="000080"/>
        </w:rPr>
        <w:t>since the benefits were not certain</w:t>
      </w:r>
      <w:r w:rsidR="0088595C" w:rsidRPr="00F67635">
        <w:rPr>
          <w:color w:val="000080"/>
        </w:rPr>
        <w:t xml:space="preserve">.  He was placed on a permanent L3 profile and underwent a </w:t>
      </w:r>
      <w:r w:rsidR="00AB384B">
        <w:rPr>
          <w:color w:val="000080"/>
        </w:rPr>
        <w:t>Medical Evaluation Board (</w:t>
      </w:r>
      <w:r w:rsidR="0088595C" w:rsidRPr="00F67635">
        <w:rPr>
          <w:color w:val="000080"/>
        </w:rPr>
        <w:t>MEB</w:t>
      </w:r>
      <w:r w:rsidR="00AB384B">
        <w:rPr>
          <w:color w:val="000080"/>
        </w:rPr>
        <w:t>)</w:t>
      </w:r>
      <w:r w:rsidR="0088595C" w:rsidRPr="00F67635">
        <w:rPr>
          <w:color w:val="000080"/>
        </w:rPr>
        <w:t xml:space="preserve">.  There are conflicting histories in the </w:t>
      </w:r>
      <w:r w:rsidR="00AB384B">
        <w:rPr>
          <w:color w:val="000080"/>
        </w:rPr>
        <w:t>narrative summary (</w:t>
      </w:r>
      <w:r w:rsidR="0088595C" w:rsidRPr="00F67635">
        <w:rPr>
          <w:color w:val="000080"/>
        </w:rPr>
        <w:t>NARSUM</w:t>
      </w:r>
      <w:r w:rsidR="00AB384B">
        <w:rPr>
          <w:color w:val="000080"/>
        </w:rPr>
        <w:t>)</w:t>
      </w:r>
      <w:r w:rsidR="0088595C" w:rsidRPr="00F67635">
        <w:rPr>
          <w:color w:val="000080"/>
        </w:rPr>
        <w:t xml:space="preserve">, orthopedic notes and VA examination regarding the onset and circumstances of his bilateral knee pain.  Contusion type injuries are described in the NARSUM and strain mechanisms vs. </w:t>
      </w:r>
      <w:proofErr w:type="gramStart"/>
      <w:r w:rsidR="0088595C" w:rsidRPr="00F67635">
        <w:rPr>
          <w:color w:val="000080"/>
        </w:rPr>
        <w:t>spontaneous</w:t>
      </w:r>
      <w:proofErr w:type="gramEnd"/>
      <w:r w:rsidR="0088595C" w:rsidRPr="00F67635">
        <w:rPr>
          <w:color w:val="000080"/>
        </w:rPr>
        <w:t xml:space="preserve"> onset are reflected in</w:t>
      </w:r>
      <w:r w:rsidR="00914186" w:rsidRPr="00F67635">
        <w:rPr>
          <w:color w:val="000080"/>
        </w:rPr>
        <w:t xml:space="preserve"> the other evaluations.  There a</w:t>
      </w:r>
      <w:r w:rsidR="0088595C" w:rsidRPr="00F67635">
        <w:rPr>
          <w:color w:val="000080"/>
        </w:rPr>
        <w:t>re no records of u</w:t>
      </w:r>
      <w:r w:rsidR="00615FE4" w:rsidRPr="00F67635">
        <w:rPr>
          <w:color w:val="000080"/>
        </w:rPr>
        <w:t>nilateral knee pain or injury.  The first t</w:t>
      </w:r>
      <w:r w:rsidR="00914186" w:rsidRPr="00F67635">
        <w:rPr>
          <w:color w:val="000080"/>
        </w:rPr>
        <w:t>emporary profile for his knees wa</w:t>
      </w:r>
      <w:r w:rsidR="00AB384B">
        <w:rPr>
          <w:color w:val="000080"/>
        </w:rPr>
        <w:t>s Jun</w:t>
      </w:r>
      <w:r w:rsidR="00615FE4" w:rsidRPr="00F67635">
        <w:rPr>
          <w:color w:val="000080"/>
        </w:rPr>
        <w:t xml:space="preserve"> 2005.</w:t>
      </w:r>
      <w:r w:rsidR="005D1B60" w:rsidRPr="00F67635">
        <w:rPr>
          <w:color w:val="000080"/>
        </w:rPr>
        <w:t xml:space="preserve">  X</w:t>
      </w:r>
      <w:r w:rsidR="00615FE4" w:rsidRPr="00F67635">
        <w:rPr>
          <w:color w:val="000080"/>
        </w:rPr>
        <w:t>-rays of both knees were norm</w:t>
      </w:r>
      <w:r w:rsidR="00AB384B">
        <w:rPr>
          <w:color w:val="000080"/>
        </w:rPr>
        <w:t>al.  An MRI of the left knee Sep</w:t>
      </w:r>
      <w:r w:rsidR="00615FE4" w:rsidRPr="00F67635">
        <w:rPr>
          <w:color w:val="000080"/>
        </w:rPr>
        <w:t xml:space="preserve"> 2005 revealed some incidental edema-type findings, but no </w:t>
      </w:r>
      <w:proofErr w:type="spellStart"/>
      <w:r w:rsidR="00615FE4" w:rsidRPr="00F67635">
        <w:rPr>
          <w:color w:val="000080"/>
        </w:rPr>
        <w:t>ligamental</w:t>
      </w:r>
      <w:proofErr w:type="spellEnd"/>
      <w:r w:rsidR="00615FE4" w:rsidRPr="00F67635">
        <w:rPr>
          <w:color w:val="000080"/>
        </w:rPr>
        <w:t xml:space="preserve">, cartilaginous or other significant </w:t>
      </w:r>
      <w:r w:rsidR="005D1B60" w:rsidRPr="00F67635">
        <w:rPr>
          <w:color w:val="000080"/>
        </w:rPr>
        <w:t>pathologies</w:t>
      </w:r>
      <w:r w:rsidR="00615FE4" w:rsidRPr="00F67635">
        <w:rPr>
          <w:color w:val="000080"/>
        </w:rPr>
        <w:t>.</w:t>
      </w:r>
      <w:r w:rsidR="005D1B60" w:rsidRPr="00F67635">
        <w:rPr>
          <w:color w:val="000080"/>
        </w:rPr>
        <w:t xml:space="preserve">  </w:t>
      </w:r>
      <w:r w:rsidR="00520ED2" w:rsidRPr="00F67635">
        <w:rPr>
          <w:color w:val="000080"/>
        </w:rPr>
        <w:t>The</w:t>
      </w:r>
      <w:r w:rsidR="005D1B60" w:rsidRPr="00F67635">
        <w:rPr>
          <w:color w:val="000080"/>
        </w:rPr>
        <w:t xml:space="preserve"> knee condition</w:t>
      </w:r>
      <w:r w:rsidR="00520ED2" w:rsidRPr="00F67635">
        <w:rPr>
          <w:color w:val="000080"/>
        </w:rPr>
        <w:t xml:space="preserve"> failed to improve adequately with </w:t>
      </w:r>
      <w:r w:rsidR="005D1B60" w:rsidRPr="00F67635">
        <w:rPr>
          <w:color w:val="000080"/>
        </w:rPr>
        <w:t>conservative measures</w:t>
      </w:r>
      <w:r w:rsidR="00520ED2" w:rsidRPr="00F67635">
        <w:rPr>
          <w:color w:val="000080"/>
        </w:rPr>
        <w:t>.  It</w:t>
      </w:r>
      <w:r w:rsidR="005D1B60" w:rsidRPr="00F67635">
        <w:rPr>
          <w:color w:val="000080"/>
        </w:rPr>
        <w:t xml:space="preserve"> was added to </w:t>
      </w:r>
      <w:r w:rsidR="001B3D3D">
        <w:rPr>
          <w:color w:val="000080"/>
        </w:rPr>
        <w:t>permanent profile prior to separation</w:t>
      </w:r>
      <w:r w:rsidR="005D1B60" w:rsidRPr="00F67635">
        <w:rPr>
          <w:color w:val="000080"/>
        </w:rPr>
        <w:t xml:space="preserve">, although it </w:t>
      </w:r>
      <w:r w:rsidR="001F7022" w:rsidRPr="00F67635">
        <w:rPr>
          <w:color w:val="000080"/>
        </w:rPr>
        <w:t xml:space="preserve">was </w:t>
      </w:r>
      <w:r w:rsidR="001B3D3D">
        <w:rPr>
          <w:color w:val="000080"/>
        </w:rPr>
        <w:t>no</w:t>
      </w:r>
      <w:r w:rsidR="001F7022" w:rsidRPr="00F67635">
        <w:rPr>
          <w:color w:val="000080"/>
        </w:rPr>
        <w:t>t noted in the Commander’s statement</w:t>
      </w:r>
      <w:r w:rsidR="005D1B60" w:rsidRPr="00F67635">
        <w:rPr>
          <w:color w:val="000080"/>
        </w:rPr>
        <w:t>.</w:t>
      </w:r>
      <w:r w:rsidR="00520ED2" w:rsidRPr="00F67635">
        <w:rPr>
          <w:color w:val="000080"/>
        </w:rPr>
        <w:t xml:space="preserve">  The back and bilateral knee condition</w:t>
      </w:r>
      <w:r w:rsidR="00ED2500" w:rsidRPr="00F67635">
        <w:rPr>
          <w:color w:val="000080"/>
        </w:rPr>
        <w:t>s</w:t>
      </w:r>
      <w:r w:rsidR="00520ED2" w:rsidRPr="00F67635">
        <w:rPr>
          <w:color w:val="000080"/>
        </w:rPr>
        <w:t xml:space="preserve"> were referred to the </w:t>
      </w:r>
      <w:r w:rsidR="00AB384B">
        <w:rPr>
          <w:color w:val="000080"/>
        </w:rPr>
        <w:t>Physical Evaluation Board (</w:t>
      </w:r>
      <w:r w:rsidR="00520ED2" w:rsidRPr="00F67635">
        <w:rPr>
          <w:color w:val="000080"/>
        </w:rPr>
        <w:t>PEB</w:t>
      </w:r>
      <w:r w:rsidR="00AB384B">
        <w:rPr>
          <w:color w:val="000080"/>
        </w:rPr>
        <w:t>)</w:t>
      </w:r>
      <w:r w:rsidR="00520ED2" w:rsidRPr="00F67635">
        <w:rPr>
          <w:color w:val="000080"/>
        </w:rPr>
        <w:t xml:space="preserve"> as medically unacceptable IAW AR 40-501.   </w:t>
      </w:r>
      <w:r w:rsidR="00ED2500" w:rsidRPr="00F67635">
        <w:rPr>
          <w:color w:val="000080"/>
        </w:rPr>
        <w:t>No other conditions appeared on the MEB’s DA</w:t>
      </w:r>
      <w:r w:rsidR="00AB384B">
        <w:rPr>
          <w:color w:val="000080"/>
        </w:rPr>
        <w:t xml:space="preserve"> Form </w:t>
      </w:r>
      <w:r w:rsidR="00ED2500" w:rsidRPr="00F67635">
        <w:rPr>
          <w:color w:val="000080"/>
        </w:rPr>
        <w:t xml:space="preserve">3947 submission.  Other conditions included in the NARSUM and </w:t>
      </w:r>
      <w:r w:rsidR="00AB384B">
        <w:rPr>
          <w:color w:val="000080"/>
        </w:rPr>
        <w:t>Disability Evaluation System (</w:t>
      </w:r>
      <w:r w:rsidR="00ED2500" w:rsidRPr="00F67635">
        <w:rPr>
          <w:color w:val="000080"/>
        </w:rPr>
        <w:t>DES</w:t>
      </w:r>
      <w:r w:rsidR="00AB384B">
        <w:rPr>
          <w:color w:val="000080"/>
        </w:rPr>
        <w:t>)</w:t>
      </w:r>
      <w:r w:rsidR="00ED2500" w:rsidRPr="00F67635">
        <w:rPr>
          <w:color w:val="000080"/>
        </w:rPr>
        <w:t xml:space="preserve"> packet are discussed below.  The PEB found the CI unfit </w:t>
      </w:r>
      <w:r w:rsidR="00914186" w:rsidRPr="00F67635">
        <w:rPr>
          <w:color w:val="000080"/>
        </w:rPr>
        <w:t xml:space="preserve">for </w:t>
      </w:r>
      <w:r w:rsidR="00ED2500" w:rsidRPr="00F67635">
        <w:rPr>
          <w:color w:val="000080"/>
        </w:rPr>
        <w:t>both conditions, rated 10% each, and he was medically separated with a combined disability rating of 20%.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3E0B5A" w:rsidRPr="00B71837" w:rsidRDefault="002C6E5B" w:rsidP="00F67635">
      <w:pPr>
        <w:tabs>
          <w:tab w:val="left" w:pos="288"/>
          <w:tab w:val="left" w:pos="4752"/>
        </w:tabs>
        <w:spacing w:line="240" w:lineRule="exact"/>
        <w:jc w:val="both"/>
        <w:rPr>
          <w:rFonts w:ascii="Calibri" w:hAnsi="Calibri"/>
          <w:color w:val="auto"/>
          <w:szCs w:val="24"/>
        </w:rPr>
      </w:pPr>
      <w:r w:rsidRPr="00F67635">
        <w:rPr>
          <w:color w:val="000080"/>
          <w:u w:val="single"/>
        </w:rPr>
        <w:t>CI CONTENTION</w:t>
      </w:r>
      <w:r w:rsidRPr="00F67635">
        <w:rPr>
          <w:color w:val="000080"/>
        </w:rPr>
        <w:t xml:space="preserve">:  The CI </w:t>
      </w:r>
      <w:r w:rsidR="00896535" w:rsidRPr="00F67635">
        <w:rPr>
          <w:color w:val="000080"/>
        </w:rPr>
        <w:t>elaborates no specific contentions regarding rating or coding and mentions no additionally contended conditions.</w:t>
      </w:r>
      <w:r w:rsidR="003E0B5A">
        <w:rPr>
          <w:rFonts w:ascii="Calibri" w:hAnsi="Calibri"/>
          <w:color w:val="auto"/>
          <w:szCs w:val="24"/>
        </w:rPr>
        <w:t xml:space="preserve"> </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Pr="00F67635" w:rsidRDefault="002C6E5B" w:rsidP="00875F2D">
      <w:pPr>
        <w:tabs>
          <w:tab w:val="left" w:pos="288"/>
          <w:tab w:val="left" w:pos="4752"/>
        </w:tabs>
        <w:spacing w:line="240" w:lineRule="exact"/>
        <w:jc w:val="both"/>
        <w:rPr>
          <w:color w:val="000080"/>
        </w:rPr>
      </w:pPr>
      <w:r w:rsidRPr="00F67635">
        <w:rPr>
          <w:color w:val="000080"/>
          <w:u w:val="single"/>
        </w:rPr>
        <w:lastRenderedPageBreak/>
        <w:t>RATING COMPARISON</w:t>
      </w:r>
      <w:r w:rsidRPr="00F67635">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2160"/>
        <w:gridCol w:w="1080"/>
        <w:gridCol w:w="810"/>
        <w:gridCol w:w="2340"/>
        <w:gridCol w:w="1080"/>
        <w:gridCol w:w="810"/>
        <w:gridCol w:w="990"/>
      </w:tblGrid>
      <w:tr w:rsidR="00684E2B" w:rsidRPr="002A685E" w:rsidTr="001008C1">
        <w:trPr>
          <w:trHeight w:val="233"/>
        </w:trPr>
        <w:tc>
          <w:tcPr>
            <w:tcW w:w="4050" w:type="dxa"/>
            <w:gridSpan w:val="3"/>
            <w:tcBorders>
              <w:right w:val="thinThickThinSmallGap" w:sz="24" w:space="0" w:color="auto"/>
            </w:tcBorders>
            <w:shd w:val="clear" w:color="auto" w:fill="C6D9F1" w:themeFill="text2" w:themeFillTint="33"/>
          </w:tcPr>
          <w:p w:rsidR="00684E2B" w:rsidRPr="002A685E" w:rsidRDefault="00684E2B" w:rsidP="00110E72">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Service PEB</w:t>
            </w:r>
            <w:r w:rsidR="002B2645" w:rsidRPr="002A685E">
              <w:rPr>
                <w:rFonts w:cs="Times New Roman"/>
                <w:b/>
                <w:color w:val="002060"/>
                <w:sz w:val="20"/>
                <w:szCs w:val="20"/>
              </w:rPr>
              <w:t xml:space="preserve"> – Dated </w:t>
            </w:r>
            <w:r w:rsidR="00110E72">
              <w:rPr>
                <w:rFonts w:cs="Times New Roman"/>
                <w:b/>
                <w:color w:val="002060"/>
                <w:sz w:val="20"/>
                <w:szCs w:val="20"/>
              </w:rPr>
              <w:t>20060404</w:t>
            </w:r>
          </w:p>
        </w:tc>
        <w:tc>
          <w:tcPr>
            <w:tcW w:w="5220" w:type="dxa"/>
            <w:gridSpan w:val="4"/>
            <w:tcBorders>
              <w:left w:val="thinThickThinSmallGap" w:sz="24" w:space="0" w:color="auto"/>
            </w:tcBorders>
            <w:shd w:val="clear" w:color="auto" w:fill="C6D9F1" w:themeFill="text2" w:themeFillTint="33"/>
          </w:tcPr>
          <w:p w:rsidR="00684E2B" w:rsidRPr="002A685E" w:rsidRDefault="00684E2B" w:rsidP="00E20A5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sidR="00E20A53">
              <w:rPr>
                <w:rFonts w:cs="Times New Roman"/>
                <w:b/>
                <w:color w:val="002060"/>
                <w:sz w:val="20"/>
                <w:szCs w:val="20"/>
              </w:rPr>
              <w:t>Pre-</w:t>
            </w:r>
            <w:r w:rsidRPr="002A685E">
              <w:rPr>
                <w:rFonts w:cs="Times New Roman"/>
                <w:b/>
                <w:color w:val="002060"/>
                <w:sz w:val="20"/>
                <w:szCs w:val="20"/>
              </w:rPr>
              <w:t>Separation)</w:t>
            </w:r>
            <w:r w:rsidR="000C3C13" w:rsidRPr="002A685E">
              <w:rPr>
                <w:rFonts w:cs="Times New Roman"/>
                <w:b/>
                <w:color w:val="002060"/>
                <w:sz w:val="20"/>
                <w:szCs w:val="20"/>
              </w:rPr>
              <w:t xml:space="preserve"> – All Effective </w:t>
            </w:r>
            <w:r w:rsidR="00E20A53">
              <w:rPr>
                <w:rFonts w:cs="Times New Roman"/>
                <w:b/>
                <w:color w:val="002060"/>
                <w:sz w:val="20"/>
                <w:szCs w:val="20"/>
              </w:rPr>
              <w:t>20060706</w:t>
            </w:r>
          </w:p>
        </w:tc>
      </w:tr>
      <w:tr w:rsidR="002B2645" w:rsidRPr="002A685E" w:rsidTr="00C27C75">
        <w:trPr>
          <w:trHeight w:val="233"/>
        </w:trPr>
        <w:tc>
          <w:tcPr>
            <w:tcW w:w="216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108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340" w:type="dxa"/>
            <w:tcBorders>
              <w:left w:val="thinThickThinSmallGap" w:sz="24" w:space="0" w:color="auto"/>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108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110E72" w:rsidRPr="002A685E" w:rsidTr="00C27C75">
        <w:trPr>
          <w:trHeight w:val="152"/>
        </w:trPr>
        <w:tc>
          <w:tcPr>
            <w:tcW w:w="2160" w:type="dxa"/>
            <w:shd w:val="clear" w:color="auto" w:fill="FFFFFF" w:themeFill="background1"/>
          </w:tcPr>
          <w:p w:rsidR="00110E72" w:rsidRPr="00C27C75" w:rsidRDefault="00110E72" w:rsidP="00C27C75">
            <w:pPr>
              <w:pStyle w:val="ListParagraph"/>
              <w:spacing w:after="0" w:line="240" w:lineRule="auto"/>
              <w:ind w:left="0"/>
              <w:rPr>
                <w:rFonts w:cs="Times New Roman"/>
                <w:color w:val="002060"/>
                <w:sz w:val="18"/>
                <w:szCs w:val="18"/>
              </w:rPr>
            </w:pPr>
            <w:r w:rsidRPr="00C27C75">
              <w:rPr>
                <w:rFonts w:cs="Times New Roman"/>
                <w:color w:val="002060"/>
                <w:sz w:val="18"/>
                <w:szCs w:val="18"/>
              </w:rPr>
              <w:t>Chronic Lumbar Pain …</w:t>
            </w:r>
          </w:p>
        </w:tc>
        <w:tc>
          <w:tcPr>
            <w:tcW w:w="1080" w:type="dxa"/>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5237</w:t>
            </w:r>
          </w:p>
        </w:tc>
        <w:tc>
          <w:tcPr>
            <w:tcW w:w="810" w:type="dxa"/>
            <w:tcBorders>
              <w:right w:val="thinThickThinSmallGap" w:sz="24" w:space="0" w:color="auto"/>
            </w:tcBorders>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10%</w:t>
            </w:r>
          </w:p>
        </w:tc>
        <w:tc>
          <w:tcPr>
            <w:tcW w:w="2340" w:type="dxa"/>
            <w:tcBorders>
              <w:left w:val="thinThickThinSmallGap" w:sz="24" w:space="0" w:color="auto"/>
              <w:right w:val="single" w:sz="4" w:space="0" w:color="auto"/>
            </w:tcBorders>
            <w:shd w:val="clear" w:color="auto" w:fill="FFFFFF" w:themeFill="background1"/>
          </w:tcPr>
          <w:p w:rsidR="00110E72" w:rsidRPr="00C27C75" w:rsidRDefault="00110E72" w:rsidP="00C27C75">
            <w:pPr>
              <w:pStyle w:val="ListParagraph"/>
              <w:spacing w:after="0" w:line="240" w:lineRule="auto"/>
              <w:ind w:left="0"/>
              <w:rPr>
                <w:rFonts w:cs="Times New Roman"/>
                <w:color w:val="002060"/>
                <w:sz w:val="18"/>
                <w:szCs w:val="18"/>
              </w:rPr>
            </w:pPr>
            <w:r w:rsidRPr="00C27C75">
              <w:rPr>
                <w:rFonts w:cs="Times New Roman"/>
                <w:color w:val="002060"/>
                <w:sz w:val="18"/>
                <w:szCs w:val="18"/>
              </w:rPr>
              <w:t xml:space="preserve">DDD, Lumbar Spine </w:t>
            </w:r>
          </w:p>
        </w:tc>
        <w:tc>
          <w:tcPr>
            <w:tcW w:w="1080" w:type="dxa"/>
            <w:tcBorders>
              <w:left w:val="single" w:sz="4" w:space="0" w:color="auto"/>
            </w:tcBorders>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5242-5010</w:t>
            </w:r>
          </w:p>
        </w:tc>
        <w:tc>
          <w:tcPr>
            <w:tcW w:w="810" w:type="dxa"/>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10%</w:t>
            </w:r>
          </w:p>
        </w:tc>
        <w:tc>
          <w:tcPr>
            <w:tcW w:w="990" w:type="dxa"/>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20060531</w:t>
            </w:r>
          </w:p>
        </w:tc>
      </w:tr>
      <w:tr w:rsidR="00110E72" w:rsidRPr="002A685E" w:rsidTr="00C27C75">
        <w:trPr>
          <w:trHeight w:val="221"/>
        </w:trPr>
        <w:tc>
          <w:tcPr>
            <w:tcW w:w="2160" w:type="dxa"/>
            <w:vMerge w:val="restart"/>
            <w:shd w:val="clear" w:color="auto" w:fill="FFFFFF" w:themeFill="background1"/>
          </w:tcPr>
          <w:p w:rsidR="00110E72" w:rsidRPr="00C27C75" w:rsidRDefault="00110E72" w:rsidP="00C27C75">
            <w:pPr>
              <w:pStyle w:val="ListParagraph"/>
              <w:spacing w:after="0" w:line="240" w:lineRule="auto"/>
              <w:ind w:left="0"/>
              <w:rPr>
                <w:rFonts w:cs="Times New Roman"/>
                <w:color w:val="002060"/>
                <w:sz w:val="18"/>
                <w:szCs w:val="18"/>
              </w:rPr>
            </w:pPr>
            <w:r w:rsidRPr="00C27C75">
              <w:rPr>
                <w:rFonts w:cs="Times New Roman"/>
                <w:color w:val="002060"/>
                <w:sz w:val="18"/>
                <w:szCs w:val="18"/>
              </w:rPr>
              <w:t>Bilateral Knee Pain …</w:t>
            </w:r>
          </w:p>
        </w:tc>
        <w:tc>
          <w:tcPr>
            <w:tcW w:w="1080" w:type="dxa"/>
            <w:vMerge w:val="restart"/>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5099-5003</w:t>
            </w:r>
          </w:p>
        </w:tc>
        <w:tc>
          <w:tcPr>
            <w:tcW w:w="810" w:type="dxa"/>
            <w:vMerge w:val="restart"/>
            <w:tcBorders>
              <w:right w:val="thinThickThinSmallGap" w:sz="24" w:space="0" w:color="auto"/>
            </w:tcBorders>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10%</w:t>
            </w:r>
          </w:p>
        </w:tc>
        <w:tc>
          <w:tcPr>
            <w:tcW w:w="2340" w:type="dxa"/>
            <w:tcBorders>
              <w:left w:val="thinThickThinSmallGap" w:sz="24" w:space="0" w:color="auto"/>
              <w:bottom w:val="single" w:sz="4" w:space="0" w:color="auto"/>
              <w:right w:val="single" w:sz="4" w:space="0" w:color="auto"/>
            </w:tcBorders>
            <w:shd w:val="clear" w:color="auto" w:fill="FFFFFF" w:themeFill="background1"/>
          </w:tcPr>
          <w:p w:rsidR="00110E72" w:rsidRPr="00C27C75" w:rsidRDefault="00110E72" w:rsidP="00C27C75">
            <w:pPr>
              <w:pStyle w:val="ListParagraph"/>
              <w:spacing w:after="0" w:line="240" w:lineRule="auto"/>
              <w:ind w:left="0"/>
              <w:rPr>
                <w:rFonts w:cs="Times New Roman"/>
                <w:color w:val="002060"/>
                <w:sz w:val="18"/>
                <w:szCs w:val="18"/>
              </w:rPr>
            </w:pPr>
            <w:r w:rsidRPr="00C27C75">
              <w:rPr>
                <w:rFonts w:cs="Times New Roman"/>
                <w:color w:val="002060"/>
                <w:sz w:val="18"/>
                <w:szCs w:val="18"/>
              </w:rPr>
              <w:t>Right Knee Strain</w:t>
            </w:r>
          </w:p>
        </w:tc>
        <w:tc>
          <w:tcPr>
            <w:tcW w:w="1080" w:type="dxa"/>
            <w:tcBorders>
              <w:left w:val="single" w:sz="4" w:space="0" w:color="auto"/>
              <w:bottom w:val="single" w:sz="4" w:space="0" w:color="auto"/>
            </w:tcBorders>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5099-5024</w:t>
            </w:r>
          </w:p>
        </w:tc>
        <w:tc>
          <w:tcPr>
            <w:tcW w:w="810" w:type="dxa"/>
            <w:tcBorders>
              <w:bottom w:val="single" w:sz="4" w:space="0" w:color="auto"/>
            </w:tcBorders>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10%</w:t>
            </w:r>
          </w:p>
        </w:tc>
        <w:tc>
          <w:tcPr>
            <w:tcW w:w="990" w:type="dxa"/>
            <w:tcBorders>
              <w:bottom w:val="single" w:sz="4" w:space="0" w:color="auto"/>
            </w:tcBorders>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20060531</w:t>
            </w:r>
          </w:p>
        </w:tc>
      </w:tr>
      <w:tr w:rsidR="00110E72" w:rsidRPr="002A685E" w:rsidTr="00C27C75">
        <w:trPr>
          <w:trHeight w:val="215"/>
        </w:trPr>
        <w:tc>
          <w:tcPr>
            <w:tcW w:w="2160" w:type="dxa"/>
            <w:vMerge/>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p>
        </w:tc>
        <w:tc>
          <w:tcPr>
            <w:tcW w:w="1080" w:type="dxa"/>
            <w:vMerge/>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p>
        </w:tc>
        <w:tc>
          <w:tcPr>
            <w:tcW w:w="810" w:type="dxa"/>
            <w:vMerge/>
            <w:tcBorders>
              <w:right w:val="thinThickThinSmallGap" w:sz="24" w:space="0" w:color="auto"/>
            </w:tcBorders>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p>
        </w:tc>
        <w:tc>
          <w:tcPr>
            <w:tcW w:w="2340" w:type="dxa"/>
            <w:tcBorders>
              <w:top w:val="single" w:sz="4" w:space="0" w:color="auto"/>
              <w:left w:val="thinThickThinSmallGap" w:sz="24" w:space="0" w:color="auto"/>
              <w:right w:val="single" w:sz="4" w:space="0" w:color="auto"/>
            </w:tcBorders>
            <w:shd w:val="clear" w:color="auto" w:fill="FFFFFF" w:themeFill="background1"/>
          </w:tcPr>
          <w:p w:rsidR="00110E72" w:rsidRPr="00C27C75" w:rsidRDefault="00110E72" w:rsidP="00C27C75">
            <w:pPr>
              <w:pStyle w:val="ListParagraph"/>
              <w:spacing w:after="0" w:line="240" w:lineRule="auto"/>
              <w:ind w:left="0"/>
              <w:rPr>
                <w:rFonts w:cs="Times New Roman"/>
                <w:color w:val="002060"/>
                <w:sz w:val="18"/>
                <w:szCs w:val="18"/>
              </w:rPr>
            </w:pPr>
            <w:r w:rsidRPr="00C27C75">
              <w:rPr>
                <w:rFonts w:cs="Times New Roman"/>
                <w:color w:val="002060"/>
                <w:sz w:val="18"/>
                <w:szCs w:val="18"/>
              </w:rPr>
              <w:t>Left Knee Strain</w:t>
            </w:r>
          </w:p>
        </w:tc>
        <w:tc>
          <w:tcPr>
            <w:tcW w:w="1080" w:type="dxa"/>
            <w:tcBorders>
              <w:top w:val="single" w:sz="4" w:space="0" w:color="auto"/>
              <w:left w:val="single" w:sz="4" w:space="0" w:color="auto"/>
            </w:tcBorders>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5099-5024</w:t>
            </w:r>
          </w:p>
        </w:tc>
        <w:tc>
          <w:tcPr>
            <w:tcW w:w="810" w:type="dxa"/>
            <w:tcBorders>
              <w:top w:val="single" w:sz="4" w:space="0" w:color="auto"/>
            </w:tcBorders>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10%</w:t>
            </w:r>
          </w:p>
        </w:tc>
        <w:tc>
          <w:tcPr>
            <w:tcW w:w="990" w:type="dxa"/>
            <w:tcBorders>
              <w:top w:val="single" w:sz="4" w:space="0" w:color="auto"/>
            </w:tcBorders>
            <w:shd w:val="clear" w:color="auto" w:fill="FFFFFF" w:themeFill="background1"/>
          </w:tcPr>
          <w:p w:rsidR="00110E72" w:rsidRPr="00C27C75" w:rsidRDefault="00110E72" w:rsidP="00C27C75">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20060531</w:t>
            </w:r>
          </w:p>
        </w:tc>
      </w:tr>
      <w:tr w:rsidR="00C27C75" w:rsidRPr="002A685E" w:rsidTr="00E20A53">
        <w:trPr>
          <w:trHeight w:val="143"/>
        </w:trPr>
        <w:tc>
          <w:tcPr>
            <w:tcW w:w="4050" w:type="dxa"/>
            <w:gridSpan w:val="3"/>
            <w:vMerge w:val="restart"/>
            <w:tcBorders>
              <w:right w:val="thinThickThinSmallGap" w:sz="24" w:space="0" w:color="auto"/>
            </w:tcBorders>
            <w:shd w:val="clear" w:color="auto" w:fill="FFFFFF" w:themeFill="background1"/>
          </w:tcPr>
          <w:p w:rsidR="00C27C75" w:rsidRPr="00C27C75" w:rsidRDefault="00C27C75" w:rsidP="00F37554">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 xml:space="preserve">↓No Additional DA </w:t>
            </w:r>
            <w:r w:rsidR="00AB384B">
              <w:rPr>
                <w:rFonts w:cs="Times New Roman"/>
                <w:color w:val="002060"/>
                <w:sz w:val="18"/>
                <w:szCs w:val="18"/>
              </w:rPr>
              <w:t xml:space="preserve">Form </w:t>
            </w:r>
            <w:r w:rsidRPr="00C27C75">
              <w:rPr>
                <w:rFonts w:cs="Times New Roman"/>
                <w:color w:val="002060"/>
                <w:sz w:val="18"/>
                <w:szCs w:val="18"/>
              </w:rPr>
              <w:t>3947 Entries.↓</w:t>
            </w:r>
          </w:p>
          <w:p w:rsidR="00C27C75" w:rsidRPr="00C27C75" w:rsidRDefault="00C27C75" w:rsidP="00F37554">
            <w:pPr>
              <w:pStyle w:val="ListParagraph"/>
              <w:ind w:left="0"/>
              <w:jc w:val="center"/>
              <w:rPr>
                <w:rFonts w:cs="Times New Roman"/>
                <w:color w:val="002060"/>
                <w:sz w:val="18"/>
                <w:szCs w:val="18"/>
              </w:rPr>
            </w:pPr>
          </w:p>
        </w:tc>
        <w:tc>
          <w:tcPr>
            <w:tcW w:w="2340" w:type="dxa"/>
            <w:tcBorders>
              <w:left w:val="thinThickThinSmallGap" w:sz="24" w:space="0" w:color="auto"/>
            </w:tcBorders>
            <w:shd w:val="clear" w:color="auto" w:fill="FFFFFF" w:themeFill="background1"/>
          </w:tcPr>
          <w:p w:rsidR="00C27C75" w:rsidRPr="00C27C75" w:rsidRDefault="00C27C75" w:rsidP="00C27C75">
            <w:pPr>
              <w:pStyle w:val="ListParagraph"/>
              <w:spacing w:after="0" w:line="240" w:lineRule="auto"/>
              <w:ind w:left="0"/>
              <w:rPr>
                <w:rFonts w:cs="Times New Roman"/>
                <w:color w:val="002060"/>
                <w:sz w:val="18"/>
                <w:szCs w:val="18"/>
              </w:rPr>
            </w:pPr>
            <w:r w:rsidRPr="00C27C75">
              <w:rPr>
                <w:rFonts w:cs="Times New Roman"/>
                <w:color w:val="002060"/>
                <w:sz w:val="18"/>
                <w:szCs w:val="18"/>
              </w:rPr>
              <w:t>Recurring Left Ankle Strain</w:t>
            </w:r>
          </w:p>
        </w:tc>
        <w:tc>
          <w:tcPr>
            <w:tcW w:w="1080" w:type="dxa"/>
            <w:shd w:val="clear" w:color="auto" w:fill="FFFFFF" w:themeFill="background1"/>
          </w:tcPr>
          <w:p w:rsidR="00C27C75" w:rsidRPr="00C27C75" w:rsidRDefault="00C27C75" w:rsidP="00FA1EAF">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5099-5024</w:t>
            </w:r>
          </w:p>
        </w:tc>
        <w:tc>
          <w:tcPr>
            <w:tcW w:w="810" w:type="dxa"/>
            <w:shd w:val="clear" w:color="auto" w:fill="FFFFFF" w:themeFill="background1"/>
          </w:tcPr>
          <w:p w:rsidR="00C27C75" w:rsidRPr="00C27C75" w:rsidRDefault="00C27C75" w:rsidP="00FA1EAF">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10%</w:t>
            </w:r>
          </w:p>
        </w:tc>
        <w:tc>
          <w:tcPr>
            <w:tcW w:w="990" w:type="dxa"/>
            <w:shd w:val="clear" w:color="auto" w:fill="FFFFFF" w:themeFill="background1"/>
          </w:tcPr>
          <w:p w:rsidR="00C27C75" w:rsidRPr="00C27C75" w:rsidRDefault="00C27C75" w:rsidP="00FA1EAF">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20060531</w:t>
            </w:r>
          </w:p>
        </w:tc>
      </w:tr>
      <w:tr w:rsidR="00C27C75" w:rsidRPr="002A685E" w:rsidTr="00E20A53">
        <w:trPr>
          <w:trHeight w:val="143"/>
        </w:trPr>
        <w:tc>
          <w:tcPr>
            <w:tcW w:w="4050" w:type="dxa"/>
            <w:gridSpan w:val="3"/>
            <w:vMerge/>
            <w:tcBorders>
              <w:right w:val="thinThickThinSmallGap" w:sz="24" w:space="0" w:color="auto"/>
            </w:tcBorders>
            <w:shd w:val="clear" w:color="auto" w:fill="FFFFFF" w:themeFill="background1"/>
          </w:tcPr>
          <w:p w:rsidR="00C27C75" w:rsidRPr="00C27C75" w:rsidRDefault="00C27C75" w:rsidP="00F37554">
            <w:pPr>
              <w:pStyle w:val="ListParagraph"/>
              <w:ind w:left="0"/>
              <w:jc w:val="center"/>
              <w:rPr>
                <w:rFonts w:cs="Times New Roman"/>
                <w:color w:val="002060"/>
                <w:sz w:val="18"/>
                <w:szCs w:val="18"/>
              </w:rPr>
            </w:pPr>
          </w:p>
        </w:tc>
        <w:tc>
          <w:tcPr>
            <w:tcW w:w="2340" w:type="dxa"/>
            <w:tcBorders>
              <w:left w:val="thinThickThinSmallGap" w:sz="24" w:space="0" w:color="auto"/>
            </w:tcBorders>
            <w:shd w:val="clear" w:color="auto" w:fill="FFFFFF" w:themeFill="background1"/>
          </w:tcPr>
          <w:p w:rsidR="00C27C75" w:rsidRPr="00C27C75" w:rsidRDefault="00C27C75" w:rsidP="00C27C75">
            <w:pPr>
              <w:pStyle w:val="ListParagraph"/>
              <w:spacing w:after="0" w:line="240" w:lineRule="auto"/>
              <w:ind w:left="0"/>
              <w:rPr>
                <w:rFonts w:cs="Times New Roman"/>
                <w:color w:val="002060"/>
                <w:sz w:val="18"/>
                <w:szCs w:val="18"/>
              </w:rPr>
            </w:pPr>
            <w:r w:rsidRPr="00C27C75">
              <w:rPr>
                <w:rFonts w:cs="Times New Roman"/>
                <w:color w:val="002060"/>
                <w:sz w:val="18"/>
                <w:szCs w:val="18"/>
              </w:rPr>
              <w:t>Recurring Right Ankle Strain</w:t>
            </w:r>
          </w:p>
        </w:tc>
        <w:tc>
          <w:tcPr>
            <w:tcW w:w="1080" w:type="dxa"/>
            <w:shd w:val="clear" w:color="auto" w:fill="FFFFFF" w:themeFill="background1"/>
          </w:tcPr>
          <w:p w:rsidR="00C27C75" w:rsidRPr="00C27C75" w:rsidRDefault="00C27C75" w:rsidP="00FA1EAF">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5099-5024</w:t>
            </w:r>
          </w:p>
        </w:tc>
        <w:tc>
          <w:tcPr>
            <w:tcW w:w="810" w:type="dxa"/>
            <w:shd w:val="clear" w:color="auto" w:fill="FFFFFF" w:themeFill="background1"/>
          </w:tcPr>
          <w:p w:rsidR="00C27C75" w:rsidRPr="00C27C75" w:rsidRDefault="00C27C75" w:rsidP="00FA1EAF">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10%</w:t>
            </w:r>
          </w:p>
        </w:tc>
        <w:tc>
          <w:tcPr>
            <w:tcW w:w="990" w:type="dxa"/>
            <w:shd w:val="clear" w:color="auto" w:fill="FFFFFF" w:themeFill="background1"/>
          </w:tcPr>
          <w:p w:rsidR="00C27C75" w:rsidRPr="00C27C75" w:rsidRDefault="00C27C75" w:rsidP="00FA1EAF">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20060531</w:t>
            </w:r>
          </w:p>
        </w:tc>
      </w:tr>
      <w:tr w:rsidR="00C27C75" w:rsidRPr="002A685E" w:rsidTr="00E20A53">
        <w:trPr>
          <w:trHeight w:val="143"/>
        </w:trPr>
        <w:tc>
          <w:tcPr>
            <w:tcW w:w="4050" w:type="dxa"/>
            <w:gridSpan w:val="3"/>
            <w:vMerge/>
            <w:tcBorders>
              <w:right w:val="thinThickThinSmallGap" w:sz="24" w:space="0" w:color="auto"/>
            </w:tcBorders>
            <w:shd w:val="clear" w:color="auto" w:fill="FFFFFF" w:themeFill="background1"/>
          </w:tcPr>
          <w:p w:rsidR="00C27C75" w:rsidRPr="00C27C75" w:rsidRDefault="00C27C75" w:rsidP="00F37554">
            <w:pPr>
              <w:pStyle w:val="ListParagraph"/>
              <w:ind w:left="0"/>
              <w:jc w:val="center"/>
              <w:rPr>
                <w:rFonts w:cs="Times New Roman"/>
                <w:color w:val="002060"/>
                <w:sz w:val="18"/>
                <w:szCs w:val="18"/>
              </w:rPr>
            </w:pPr>
          </w:p>
        </w:tc>
        <w:tc>
          <w:tcPr>
            <w:tcW w:w="2340" w:type="dxa"/>
            <w:tcBorders>
              <w:left w:val="thinThickThinSmallGap" w:sz="24" w:space="0" w:color="auto"/>
            </w:tcBorders>
            <w:shd w:val="clear" w:color="auto" w:fill="FFFFFF" w:themeFill="background1"/>
          </w:tcPr>
          <w:p w:rsidR="00C27C75" w:rsidRPr="00C27C75" w:rsidRDefault="00C27C75" w:rsidP="00C27C75">
            <w:pPr>
              <w:pStyle w:val="ListParagraph"/>
              <w:spacing w:after="0" w:line="240" w:lineRule="auto"/>
              <w:ind w:left="0"/>
              <w:rPr>
                <w:rFonts w:cs="Times New Roman"/>
                <w:color w:val="002060"/>
                <w:sz w:val="18"/>
                <w:szCs w:val="18"/>
              </w:rPr>
            </w:pPr>
            <w:r w:rsidRPr="00C27C75">
              <w:rPr>
                <w:rFonts w:cs="Times New Roman"/>
                <w:color w:val="002060"/>
                <w:sz w:val="18"/>
                <w:szCs w:val="18"/>
              </w:rPr>
              <w:t>Hypertension</w:t>
            </w:r>
          </w:p>
        </w:tc>
        <w:tc>
          <w:tcPr>
            <w:tcW w:w="1080" w:type="dxa"/>
            <w:shd w:val="clear" w:color="auto" w:fill="FFFFFF" w:themeFill="background1"/>
          </w:tcPr>
          <w:p w:rsidR="00C27C75" w:rsidRPr="00C27C75" w:rsidRDefault="00C27C75" w:rsidP="00FA1EAF">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7101</w:t>
            </w:r>
          </w:p>
        </w:tc>
        <w:tc>
          <w:tcPr>
            <w:tcW w:w="810" w:type="dxa"/>
            <w:shd w:val="clear" w:color="auto" w:fill="FFFFFF" w:themeFill="background1"/>
          </w:tcPr>
          <w:p w:rsidR="00C27C75" w:rsidRPr="00C27C75" w:rsidRDefault="00C27C75" w:rsidP="00FA1EAF">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10%</w:t>
            </w:r>
          </w:p>
        </w:tc>
        <w:tc>
          <w:tcPr>
            <w:tcW w:w="990" w:type="dxa"/>
            <w:shd w:val="clear" w:color="auto" w:fill="FFFFFF" w:themeFill="background1"/>
          </w:tcPr>
          <w:p w:rsidR="00C27C75" w:rsidRPr="00C27C75" w:rsidRDefault="00C27C75" w:rsidP="00FA1EAF">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20060531</w:t>
            </w:r>
          </w:p>
        </w:tc>
      </w:tr>
      <w:tr w:rsidR="00C27C75" w:rsidRPr="002A685E" w:rsidTr="001008C1">
        <w:trPr>
          <w:trHeight w:val="197"/>
        </w:trPr>
        <w:tc>
          <w:tcPr>
            <w:tcW w:w="4050" w:type="dxa"/>
            <w:gridSpan w:val="3"/>
            <w:vMerge/>
            <w:tcBorders>
              <w:right w:val="thinThickThinSmallGap" w:sz="24" w:space="0" w:color="auto"/>
            </w:tcBorders>
            <w:shd w:val="clear" w:color="auto" w:fill="FFFFFF" w:themeFill="background1"/>
          </w:tcPr>
          <w:p w:rsidR="00C27C75" w:rsidRPr="00C27C75" w:rsidRDefault="00C27C75" w:rsidP="00F37554">
            <w:pPr>
              <w:pStyle w:val="ListParagraph"/>
              <w:spacing w:after="0" w:line="240" w:lineRule="auto"/>
              <w:ind w:left="0"/>
              <w:jc w:val="center"/>
              <w:rPr>
                <w:rFonts w:cs="Times New Roman"/>
                <w:color w:val="002060"/>
                <w:sz w:val="18"/>
                <w:szCs w:val="18"/>
              </w:rPr>
            </w:pPr>
          </w:p>
        </w:tc>
        <w:tc>
          <w:tcPr>
            <w:tcW w:w="4230" w:type="dxa"/>
            <w:gridSpan w:val="3"/>
            <w:tcBorders>
              <w:left w:val="thinThickThinSmallGap" w:sz="24" w:space="0" w:color="auto"/>
            </w:tcBorders>
            <w:shd w:val="clear" w:color="auto" w:fill="FFFFFF" w:themeFill="background1"/>
          </w:tcPr>
          <w:p w:rsidR="00C27C75" w:rsidRPr="00FD0AA0" w:rsidRDefault="00C27C75" w:rsidP="00C27C75">
            <w:pPr>
              <w:pStyle w:val="ListParagraph"/>
              <w:spacing w:after="0" w:line="240" w:lineRule="auto"/>
              <w:ind w:left="0"/>
              <w:jc w:val="center"/>
              <w:rPr>
                <w:rFonts w:cs="Times New Roman"/>
                <w:color w:val="002060"/>
                <w:sz w:val="18"/>
                <w:szCs w:val="18"/>
              </w:rPr>
            </w:pPr>
            <w:r>
              <w:rPr>
                <w:rFonts w:cs="Times New Roman"/>
                <w:color w:val="002060"/>
                <w:sz w:val="18"/>
                <w:szCs w:val="18"/>
              </w:rPr>
              <w:t>Non-PEB X 4 (0% Each)</w:t>
            </w:r>
          </w:p>
        </w:tc>
        <w:tc>
          <w:tcPr>
            <w:tcW w:w="990" w:type="dxa"/>
            <w:shd w:val="clear" w:color="auto" w:fill="FFFFFF" w:themeFill="background1"/>
          </w:tcPr>
          <w:p w:rsidR="00C27C75" w:rsidRPr="00FD0AA0" w:rsidRDefault="00C27C75" w:rsidP="00F37554">
            <w:pPr>
              <w:pStyle w:val="ListParagraph"/>
              <w:spacing w:after="0" w:line="240" w:lineRule="auto"/>
              <w:ind w:left="0"/>
              <w:jc w:val="center"/>
              <w:rPr>
                <w:rFonts w:cs="Times New Roman"/>
                <w:color w:val="002060"/>
                <w:sz w:val="18"/>
                <w:szCs w:val="18"/>
              </w:rPr>
            </w:pPr>
            <w:r w:rsidRPr="00C27C75">
              <w:rPr>
                <w:rFonts w:cs="Times New Roman"/>
                <w:color w:val="002060"/>
                <w:sz w:val="18"/>
                <w:szCs w:val="18"/>
              </w:rPr>
              <w:t>20060531</w:t>
            </w:r>
          </w:p>
        </w:tc>
      </w:tr>
      <w:tr w:rsidR="00E20A53" w:rsidRPr="002A685E" w:rsidTr="001008C1">
        <w:trPr>
          <w:trHeight w:val="242"/>
        </w:trPr>
        <w:tc>
          <w:tcPr>
            <w:tcW w:w="4050" w:type="dxa"/>
            <w:gridSpan w:val="3"/>
            <w:tcBorders>
              <w:right w:val="thinThickThinSmallGap" w:sz="24" w:space="0" w:color="auto"/>
            </w:tcBorders>
            <w:shd w:val="clear" w:color="auto" w:fill="C6D9F1" w:themeFill="text2" w:themeFillTint="33"/>
          </w:tcPr>
          <w:p w:rsidR="00E20A53" w:rsidRPr="002A685E" w:rsidRDefault="00E20A53"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sidR="00C27C75">
              <w:rPr>
                <w:rFonts w:cs="Times New Roman"/>
                <w:b/>
                <w:color w:val="002060"/>
                <w:sz w:val="20"/>
                <w:szCs w:val="20"/>
              </w:rPr>
              <w:t>2</w:t>
            </w:r>
            <w:r w:rsidRPr="002A685E">
              <w:rPr>
                <w:rFonts w:cs="Times New Roman"/>
                <w:b/>
                <w:color w:val="002060"/>
                <w:sz w:val="20"/>
                <w:szCs w:val="20"/>
              </w:rPr>
              <w:t>0%</w:t>
            </w:r>
          </w:p>
        </w:tc>
        <w:tc>
          <w:tcPr>
            <w:tcW w:w="5220" w:type="dxa"/>
            <w:gridSpan w:val="4"/>
            <w:tcBorders>
              <w:left w:val="thinThickThinSmallGap" w:sz="24" w:space="0" w:color="auto"/>
            </w:tcBorders>
            <w:shd w:val="clear" w:color="auto" w:fill="C6D9F1" w:themeFill="text2" w:themeFillTint="33"/>
          </w:tcPr>
          <w:p w:rsidR="00E20A53" w:rsidRPr="002A685E" w:rsidRDefault="00E20A53" w:rsidP="00C27C75">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w:t>
            </w:r>
            <w:r w:rsidRPr="002A685E">
              <w:rPr>
                <w:rFonts w:cs="Times New Roman"/>
                <w:b/>
                <w:i/>
                <w:color w:val="002060"/>
                <w:sz w:val="20"/>
                <w:szCs w:val="20"/>
              </w:rPr>
              <w:t xml:space="preserve">Includes </w:t>
            </w:r>
            <w:r w:rsidR="00C27C75">
              <w:rPr>
                <w:rFonts w:cs="Times New Roman"/>
                <w:b/>
                <w:i/>
                <w:color w:val="002060"/>
                <w:sz w:val="20"/>
                <w:szCs w:val="20"/>
              </w:rPr>
              <w:t>BLF</w:t>
            </w:r>
            <w:r w:rsidRPr="002A685E">
              <w:rPr>
                <w:rFonts w:cs="Times New Roman"/>
                <w:b/>
                <w:color w:val="002060"/>
                <w:sz w:val="20"/>
                <w:szCs w:val="20"/>
              </w:rPr>
              <w:t xml:space="preserve">): </w:t>
            </w:r>
            <w:r w:rsidR="00C27C75">
              <w:rPr>
                <w:rFonts w:cs="Times New Roman"/>
                <w:b/>
                <w:color w:val="002060"/>
                <w:sz w:val="20"/>
                <w:szCs w:val="20"/>
              </w:rPr>
              <w:t>5</w:t>
            </w:r>
            <w:r w:rsidRPr="002A685E">
              <w:rPr>
                <w:rFonts w:cs="Times New Roman"/>
                <w:b/>
                <w:color w:val="002060"/>
                <w:sz w:val="20"/>
                <w:szCs w:val="20"/>
              </w:rPr>
              <w:t xml:space="preserve">0%                                                                         </w:t>
            </w:r>
            <w:r w:rsidRPr="002A685E">
              <w:rPr>
                <w:rFonts w:cs="Times New Roman"/>
                <w:color w:val="00206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B384B" w:rsidRDefault="00AB384B" w:rsidP="00F67635">
      <w:pPr>
        <w:tabs>
          <w:tab w:val="left" w:pos="288"/>
          <w:tab w:val="left" w:pos="4752"/>
        </w:tabs>
        <w:spacing w:line="240" w:lineRule="exact"/>
        <w:jc w:val="both"/>
        <w:rPr>
          <w:color w:val="000080"/>
          <w:u w:val="single"/>
        </w:rPr>
      </w:pPr>
    </w:p>
    <w:p w:rsidR="002C6E5B" w:rsidRPr="00F67635" w:rsidRDefault="002C6E5B" w:rsidP="00F67635">
      <w:pPr>
        <w:tabs>
          <w:tab w:val="left" w:pos="288"/>
          <w:tab w:val="left" w:pos="4752"/>
        </w:tabs>
        <w:spacing w:line="240" w:lineRule="exact"/>
        <w:jc w:val="both"/>
        <w:rPr>
          <w:color w:val="000080"/>
        </w:rPr>
      </w:pPr>
      <w:r w:rsidRPr="00F67635">
        <w:rPr>
          <w:color w:val="000080"/>
          <w:u w:val="single"/>
        </w:rPr>
        <w:t>ANALYSIS SUMMARY</w:t>
      </w:r>
      <w:r w:rsidRPr="00F67635">
        <w:rPr>
          <w:color w:val="000080"/>
        </w:rPr>
        <w:t>:</w:t>
      </w:r>
    </w:p>
    <w:p w:rsidR="002C6E5B" w:rsidRPr="00F67635" w:rsidRDefault="002C6E5B" w:rsidP="002C6E5B">
      <w:pPr>
        <w:tabs>
          <w:tab w:val="left" w:pos="288"/>
          <w:tab w:val="left" w:pos="4752"/>
        </w:tabs>
        <w:spacing w:line="240" w:lineRule="exact"/>
        <w:jc w:val="both"/>
        <w:rPr>
          <w:color w:val="000080"/>
        </w:rPr>
      </w:pPr>
    </w:p>
    <w:p w:rsidR="00594573" w:rsidRPr="00F67635" w:rsidRDefault="00926FCB" w:rsidP="00F67635">
      <w:pPr>
        <w:tabs>
          <w:tab w:val="left" w:pos="288"/>
          <w:tab w:val="left" w:pos="4752"/>
        </w:tabs>
        <w:spacing w:line="240" w:lineRule="exact"/>
        <w:jc w:val="both"/>
        <w:rPr>
          <w:color w:val="000080"/>
        </w:rPr>
      </w:pPr>
      <w:r w:rsidRPr="00F67635">
        <w:rPr>
          <w:color w:val="000080"/>
        </w:rPr>
        <w:t>Back</w:t>
      </w:r>
      <w:r w:rsidR="002C6E5B" w:rsidRPr="00F67635">
        <w:rPr>
          <w:color w:val="000080"/>
        </w:rPr>
        <w:t xml:space="preserve"> Condition.  </w:t>
      </w:r>
      <w:r w:rsidR="00594573" w:rsidRPr="00F67635">
        <w:rPr>
          <w:color w:val="000080"/>
        </w:rPr>
        <w:t xml:space="preserve">There </w:t>
      </w:r>
      <w:r w:rsidR="00914186" w:rsidRPr="00F67635">
        <w:rPr>
          <w:color w:val="000080"/>
        </w:rPr>
        <w:t>a</w:t>
      </w:r>
      <w:r w:rsidR="00594573" w:rsidRPr="00F67635">
        <w:rPr>
          <w:color w:val="000080"/>
        </w:rPr>
        <w:t xml:space="preserve">re three range-of-motion (ROM) evaluations in evidence on which the Board may base its </w:t>
      </w:r>
      <w:r w:rsidR="00AB384B">
        <w:rPr>
          <w:color w:val="000080"/>
        </w:rPr>
        <w:t>Veterans Administration Schedule for Rating Disabilities (</w:t>
      </w:r>
      <w:r w:rsidR="00594573" w:rsidRPr="00F67635">
        <w:rPr>
          <w:color w:val="000080"/>
        </w:rPr>
        <w:t>VASRD</w:t>
      </w:r>
      <w:r w:rsidR="00AB384B">
        <w:rPr>
          <w:color w:val="000080"/>
        </w:rPr>
        <w:t>)</w:t>
      </w:r>
      <w:r w:rsidR="00594573" w:rsidRPr="00F67635">
        <w:rPr>
          <w:color w:val="000080"/>
        </w:rPr>
        <w:t xml:space="preserve"> §4.71a rating recommendation.  There was a physical therapy (PT)</w:t>
      </w:r>
      <w:r w:rsidR="00812B85" w:rsidRPr="00F67635">
        <w:rPr>
          <w:color w:val="000080"/>
        </w:rPr>
        <w:t xml:space="preserve"> goniometric examination performed for MEB purpose</w:t>
      </w:r>
      <w:r w:rsidR="00914186" w:rsidRPr="00F67635">
        <w:rPr>
          <w:color w:val="000080"/>
        </w:rPr>
        <w:t xml:space="preserve">s and </w:t>
      </w:r>
      <w:r w:rsidR="00812B85" w:rsidRPr="00F67635">
        <w:rPr>
          <w:color w:val="000080"/>
        </w:rPr>
        <w:t xml:space="preserve">preceding </w:t>
      </w:r>
      <w:r w:rsidR="00914186" w:rsidRPr="00F67635">
        <w:rPr>
          <w:color w:val="000080"/>
        </w:rPr>
        <w:t>measurements</w:t>
      </w:r>
      <w:r w:rsidR="00976477" w:rsidRPr="00F67635">
        <w:rPr>
          <w:color w:val="000080"/>
        </w:rPr>
        <w:t xml:space="preserve"> done by a P.A.</w:t>
      </w:r>
      <w:r w:rsidR="00AB384B">
        <w:rPr>
          <w:color w:val="000080"/>
        </w:rPr>
        <w:t xml:space="preserve"> (physician’s assistant)</w:t>
      </w:r>
      <w:r w:rsidR="00976477" w:rsidRPr="00F67635">
        <w:rPr>
          <w:color w:val="000080"/>
        </w:rPr>
        <w:t xml:space="preserve"> in the orthopedic clinic (</w:t>
      </w:r>
      <w:r w:rsidR="00914186" w:rsidRPr="00F67635">
        <w:rPr>
          <w:color w:val="000080"/>
        </w:rPr>
        <w:t>use of a</w:t>
      </w:r>
      <w:r w:rsidR="00976477" w:rsidRPr="00F67635">
        <w:rPr>
          <w:color w:val="000080"/>
        </w:rPr>
        <w:t xml:space="preserve"> </w:t>
      </w:r>
      <w:proofErr w:type="spellStart"/>
      <w:r w:rsidR="00976477" w:rsidRPr="00F67635">
        <w:rPr>
          <w:color w:val="000080"/>
        </w:rPr>
        <w:t>goniometer</w:t>
      </w:r>
      <w:proofErr w:type="spellEnd"/>
      <w:r w:rsidR="00914186" w:rsidRPr="00F67635">
        <w:rPr>
          <w:color w:val="000080"/>
        </w:rPr>
        <w:t xml:space="preserve"> was not specified</w:t>
      </w:r>
      <w:r w:rsidR="00976477" w:rsidRPr="00F67635">
        <w:rPr>
          <w:color w:val="000080"/>
        </w:rPr>
        <w:t>).  The VA rating goniometric examination was performed closest to separation, at 2 months prior</w:t>
      </w:r>
      <w:r w:rsidR="00914186" w:rsidRPr="00F67635">
        <w:rPr>
          <w:color w:val="000080"/>
        </w:rPr>
        <w:t>.</w:t>
      </w:r>
      <w:r w:rsidR="00976477" w:rsidRPr="00F67635">
        <w:rPr>
          <w:color w:val="000080"/>
        </w:rPr>
        <w:t xml:space="preserve"> </w:t>
      </w:r>
      <w:r w:rsidR="00914186" w:rsidRPr="00F67635">
        <w:rPr>
          <w:color w:val="000080"/>
        </w:rPr>
        <w:t>The MEB PT exam was performed 11 months prior to separation</w:t>
      </w:r>
      <w:r w:rsidR="00976477" w:rsidRPr="00F67635">
        <w:rPr>
          <w:color w:val="000080"/>
        </w:rPr>
        <w:t>.  All three of these exams are summarized in the chart below.</w:t>
      </w:r>
    </w:p>
    <w:p w:rsidR="00560D57" w:rsidRDefault="00560D57" w:rsidP="002C6E5B">
      <w:pPr>
        <w:tabs>
          <w:tab w:val="left" w:pos="288"/>
          <w:tab w:val="left" w:pos="4752"/>
        </w:tabs>
        <w:spacing w:line="240" w:lineRule="exact"/>
        <w:rPr>
          <w:rFonts w:asciiTheme="minorHAnsi" w:hAnsiTheme="minorHAnsi"/>
          <w:color w:val="auto"/>
          <w:szCs w:val="24"/>
        </w:rPr>
      </w:pPr>
    </w:p>
    <w:tbl>
      <w:tblPr>
        <w:tblW w:w="7556" w:type="dxa"/>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1616"/>
        <w:gridCol w:w="1890"/>
        <w:gridCol w:w="1890"/>
      </w:tblGrid>
      <w:tr w:rsidR="00560D57" w:rsidRPr="007862B0" w:rsidTr="00976477">
        <w:tc>
          <w:tcPr>
            <w:tcW w:w="2160" w:type="dxa"/>
            <w:shd w:val="clear" w:color="auto" w:fill="C6D9F1" w:themeFill="text2" w:themeFillTint="33"/>
          </w:tcPr>
          <w:p w:rsidR="00560D57" w:rsidRPr="00F81C35" w:rsidRDefault="00560D57" w:rsidP="00164E08">
            <w:pPr>
              <w:pStyle w:val="ListParagraph"/>
              <w:spacing w:after="0" w:line="240" w:lineRule="exact"/>
              <w:ind w:left="0"/>
              <w:jc w:val="center"/>
              <w:rPr>
                <w:rFonts w:ascii="Calibri" w:eastAsia="Calibri" w:hAnsi="Calibri" w:cs="Times New Roman"/>
                <w:color w:val="002060"/>
              </w:rPr>
            </w:pPr>
            <w:proofErr w:type="spellStart"/>
            <w:r w:rsidRPr="00F81C35">
              <w:rPr>
                <w:rFonts w:ascii="Calibri" w:eastAsia="Calibri" w:hAnsi="Calibri" w:cs="Times New Roman"/>
                <w:color w:val="002060"/>
              </w:rPr>
              <w:t>Thoracolumbar</w:t>
            </w:r>
            <w:proofErr w:type="spellEnd"/>
            <w:r w:rsidRPr="00F81C35">
              <w:rPr>
                <w:rFonts w:ascii="Calibri" w:eastAsia="Calibri" w:hAnsi="Calibri" w:cs="Times New Roman"/>
                <w:color w:val="002060"/>
              </w:rPr>
              <w:t xml:space="preserve"> ROM</w:t>
            </w:r>
          </w:p>
        </w:tc>
        <w:tc>
          <w:tcPr>
            <w:tcW w:w="1616" w:type="dxa"/>
            <w:shd w:val="clear" w:color="auto" w:fill="C6D9F1" w:themeFill="text2" w:themeFillTint="33"/>
          </w:tcPr>
          <w:p w:rsidR="00560D57" w:rsidRPr="00F81C35" w:rsidRDefault="00812B85" w:rsidP="007A52A0">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Ortho</w:t>
            </w:r>
            <w:r w:rsidR="00560D57" w:rsidRPr="00F81C35">
              <w:rPr>
                <w:rFonts w:ascii="Calibri" w:eastAsia="Calibri" w:hAnsi="Calibri" w:cs="Times New Roman"/>
                <w:color w:val="002060"/>
              </w:rPr>
              <w:t xml:space="preserve"> – </w:t>
            </w:r>
            <w:r w:rsidR="007A52A0">
              <w:rPr>
                <w:rFonts w:ascii="Calibri" w:eastAsia="Calibri" w:hAnsi="Calibri" w:cs="Times New Roman"/>
                <w:color w:val="002060"/>
              </w:rPr>
              <w:t>4/7/05</w:t>
            </w:r>
          </w:p>
        </w:tc>
        <w:tc>
          <w:tcPr>
            <w:tcW w:w="1890" w:type="dxa"/>
            <w:shd w:val="clear" w:color="auto" w:fill="C6D9F1" w:themeFill="text2" w:themeFillTint="33"/>
          </w:tcPr>
          <w:p w:rsidR="00560D57" w:rsidRPr="00F81C35" w:rsidRDefault="00560D57" w:rsidP="007A52A0">
            <w:pPr>
              <w:pStyle w:val="ListParagraph"/>
              <w:spacing w:after="0" w:line="240" w:lineRule="exact"/>
              <w:ind w:left="0"/>
              <w:jc w:val="center"/>
              <w:rPr>
                <w:rFonts w:ascii="Calibri" w:eastAsia="Calibri" w:hAnsi="Calibri" w:cs="Times New Roman"/>
                <w:color w:val="002060"/>
              </w:rPr>
            </w:pPr>
            <w:r w:rsidRPr="00F81C35">
              <w:rPr>
                <w:rFonts w:ascii="Calibri" w:eastAsia="Calibri" w:hAnsi="Calibri" w:cs="Times New Roman"/>
                <w:color w:val="002060"/>
              </w:rPr>
              <w:t>MEB</w:t>
            </w:r>
            <w:r w:rsidR="00594573">
              <w:rPr>
                <w:rFonts w:ascii="Calibri" w:eastAsia="Calibri" w:hAnsi="Calibri" w:cs="Times New Roman"/>
                <w:color w:val="002060"/>
              </w:rPr>
              <w:t xml:space="preserve"> PT</w:t>
            </w:r>
            <w:r w:rsidRPr="00F81C35">
              <w:rPr>
                <w:rFonts w:ascii="Calibri" w:eastAsia="Calibri" w:hAnsi="Calibri" w:cs="Times New Roman"/>
                <w:color w:val="002060"/>
              </w:rPr>
              <w:t xml:space="preserve"> </w:t>
            </w:r>
            <w:r w:rsidR="007A52A0">
              <w:rPr>
                <w:rFonts w:ascii="Calibri" w:eastAsia="Calibri" w:hAnsi="Calibri" w:cs="Times New Roman"/>
                <w:color w:val="002060"/>
              </w:rPr>
              <w:t>–</w:t>
            </w:r>
            <w:r w:rsidRPr="00F81C35">
              <w:rPr>
                <w:rFonts w:ascii="Calibri" w:eastAsia="Calibri" w:hAnsi="Calibri" w:cs="Times New Roman"/>
                <w:color w:val="002060"/>
              </w:rPr>
              <w:t xml:space="preserve"> </w:t>
            </w:r>
            <w:r w:rsidR="007A52A0">
              <w:rPr>
                <w:rFonts w:ascii="Calibri" w:eastAsia="Calibri" w:hAnsi="Calibri" w:cs="Times New Roman"/>
                <w:color w:val="002060"/>
              </w:rPr>
              <w:t>8/2/05</w:t>
            </w:r>
          </w:p>
        </w:tc>
        <w:tc>
          <w:tcPr>
            <w:tcW w:w="1890" w:type="dxa"/>
            <w:shd w:val="clear" w:color="auto" w:fill="C6D9F1" w:themeFill="text2" w:themeFillTint="33"/>
          </w:tcPr>
          <w:p w:rsidR="00560D57" w:rsidRPr="00F81C35" w:rsidRDefault="00560D57" w:rsidP="007A52A0">
            <w:pPr>
              <w:pStyle w:val="ListParagraph"/>
              <w:spacing w:after="0" w:line="240" w:lineRule="exact"/>
              <w:ind w:left="0"/>
              <w:jc w:val="center"/>
              <w:rPr>
                <w:rFonts w:ascii="Calibri" w:hAnsi="Calibri"/>
                <w:color w:val="002060"/>
              </w:rPr>
            </w:pPr>
            <w:r w:rsidRPr="00F81C35">
              <w:rPr>
                <w:rFonts w:ascii="Calibri" w:eastAsia="Calibri" w:hAnsi="Calibri" w:cs="Times New Roman"/>
                <w:color w:val="002060"/>
              </w:rPr>
              <w:t>VA</w:t>
            </w:r>
            <w:r w:rsidRPr="00F81C35">
              <w:rPr>
                <w:rFonts w:ascii="Calibri" w:hAnsi="Calibri"/>
                <w:color w:val="002060"/>
              </w:rPr>
              <w:t xml:space="preserve"> C&amp;P </w:t>
            </w:r>
            <w:r w:rsidR="007A52A0">
              <w:rPr>
                <w:rFonts w:ascii="Calibri" w:hAnsi="Calibri"/>
                <w:color w:val="002060"/>
              </w:rPr>
              <w:t>–</w:t>
            </w:r>
            <w:r w:rsidRPr="00F81C35">
              <w:rPr>
                <w:rFonts w:ascii="Calibri" w:hAnsi="Calibri"/>
                <w:color w:val="002060"/>
              </w:rPr>
              <w:t xml:space="preserve"> </w:t>
            </w:r>
            <w:r w:rsidR="007A52A0">
              <w:rPr>
                <w:rFonts w:ascii="Calibri" w:eastAsia="Calibri" w:hAnsi="Calibri" w:cs="Times New Roman"/>
                <w:color w:val="002060"/>
              </w:rPr>
              <w:t>5/31/06</w:t>
            </w:r>
          </w:p>
        </w:tc>
      </w:tr>
      <w:tr w:rsidR="00560D57" w:rsidRPr="00140096" w:rsidTr="00976477">
        <w:tc>
          <w:tcPr>
            <w:tcW w:w="2160" w:type="dxa"/>
          </w:tcPr>
          <w:p w:rsidR="00560D57" w:rsidRPr="00F81C35" w:rsidRDefault="00560D57" w:rsidP="00164E08">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Flexion</w:t>
            </w:r>
          </w:p>
        </w:tc>
        <w:tc>
          <w:tcPr>
            <w:tcW w:w="1616" w:type="dxa"/>
          </w:tcPr>
          <w:p w:rsidR="00560D57" w:rsidRPr="00F81C35" w:rsidRDefault="007A52A0"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9</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⁰</w:t>
            </w:r>
          </w:p>
        </w:tc>
        <w:tc>
          <w:tcPr>
            <w:tcW w:w="1890" w:type="dxa"/>
          </w:tcPr>
          <w:p w:rsidR="00560D57" w:rsidRPr="00F81C35" w:rsidRDefault="007A52A0"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7</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⁰</w:t>
            </w:r>
          </w:p>
        </w:tc>
        <w:tc>
          <w:tcPr>
            <w:tcW w:w="1890" w:type="dxa"/>
          </w:tcPr>
          <w:p w:rsidR="00560D57" w:rsidRPr="00F81C35" w:rsidRDefault="007A52A0"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9</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⁰</w:t>
            </w:r>
          </w:p>
        </w:tc>
      </w:tr>
      <w:tr w:rsidR="00560D57" w:rsidRPr="00D340CE" w:rsidTr="00976477">
        <w:tc>
          <w:tcPr>
            <w:tcW w:w="2160" w:type="dxa"/>
          </w:tcPr>
          <w:p w:rsidR="00560D57" w:rsidRPr="00F81C35" w:rsidRDefault="00560D57" w:rsidP="00164E08">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Combined</w:t>
            </w:r>
          </w:p>
        </w:tc>
        <w:tc>
          <w:tcPr>
            <w:tcW w:w="1616" w:type="dxa"/>
          </w:tcPr>
          <w:p w:rsidR="00560D57" w:rsidRPr="00F81C35" w:rsidRDefault="007A52A0"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23</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⁰</w:t>
            </w:r>
          </w:p>
        </w:tc>
        <w:tc>
          <w:tcPr>
            <w:tcW w:w="1890" w:type="dxa"/>
          </w:tcPr>
          <w:p w:rsidR="00560D57" w:rsidRPr="00F81C35" w:rsidRDefault="007A52A0" w:rsidP="00560D5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23</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 xml:space="preserve">⁰ </w:t>
            </w:r>
          </w:p>
        </w:tc>
        <w:tc>
          <w:tcPr>
            <w:tcW w:w="1890" w:type="dxa"/>
          </w:tcPr>
          <w:p w:rsidR="00560D57" w:rsidRPr="00F81C35" w:rsidRDefault="007A52A0"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24</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⁰</w:t>
            </w:r>
          </w:p>
        </w:tc>
      </w:tr>
      <w:tr w:rsidR="00194930" w:rsidRPr="004E0248" w:rsidTr="00976477">
        <w:tc>
          <w:tcPr>
            <w:tcW w:w="2160" w:type="dxa"/>
          </w:tcPr>
          <w:p w:rsidR="00194930" w:rsidRPr="00F81C35" w:rsidRDefault="00194930" w:rsidP="004E0248">
            <w:pPr>
              <w:tabs>
                <w:tab w:val="left" w:pos="288"/>
                <w:tab w:val="left" w:pos="4752"/>
              </w:tabs>
              <w:spacing w:line="240" w:lineRule="exact"/>
              <w:rPr>
                <w:rFonts w:asciiTheme="minorHAnsi" w:eastAsiaTheme="minorHAnsi" w:hAnsiTheme="minorHAnsi"/>
                <w:color w:val="002060"/>
                <w:sz w:val="22"/>
                <w:szCs w:val="22"/>
              </w:rPr>
            </w:pPr>
            <w:r w:rsidRPr="00F81C35">
              <w:rPr>
                <w:rFonts w:asciiTheme="minorHAnsi" w:eastAsiaTheme="minorHAnsi" w:hAnsiTheme="minorHAnsi"/>
                <w:color w:val="002060"/>
                <w:sz w:val="22"/>
                <w:szCs w:val="22"/>
              </w:rPr>
              <w:t>§4.71a Rating</w:t>
            </w:r>
          </w:p>
        </w:tc>
        <w:tc>
          <w:tcPr>
            <w:tcW w:w="1616" w:type="dxa"/>
          </w:tcPr>
          <w:p w:rsidR="00194930" w:rsidRPr="00F81C35" w:rsidRDefault="007A52A0"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1</w:t>
            </w:r>
            <w:r w:rsidR="00384866" w:rsidRPr="00F81C35">
              <w:rPr>
                <w:rFonts w:asciiTheme="minorHAnsi" w:eastAsiaTheme="minorHAnsi" w:hAnsiTheme="minorHAnsi"/>
                <w:color w:val="002060"/>
                <w:sz w:val="22"/>
                <w:szCs w:val="22"/>
              </w:rPr>
              <w:t>0</w:t>
            </w:r>
            <w:r w:rsidR="00194930" w:rsidRPr="00F81C35">
              <w:rPr>
                <w:rFonts w:asciiTheme="minorHAnsi" w:eastAsiaTheme="minorHAnsi" w:hAnsiTheme="minorHAnsi"/>
                <w:color w:val="002060"/>
                <w:sz w:val="22"/>
                <w:szCs w:val="22"/>
              </w:rPr>
              <w:t>%</w:t>
            </w:r>
          </w:p>
        </w:tc>
        <w:tc>
          <w:tcPr>
            <w:tcW w:w="1890" w:type="dxa"/>
          </w:tcPr>
          <w:p w:rsidR="00194930" w:rsidRPr="00F81C35" w:rsidRDefault="007A52A0"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1</w:t>
            </w:r>
            <w:r w:rsidR="00194930" w:rsidRPr="00F81C35">
              <w:rPr>
                <w:rFonts w:asciiTheme="minorHAnsi" w:eastAsiaTheme="minorHAnsi" w:hAnsiTheme="minorHAnsi"/>
                <w:color w:val="002060"/>
                <w:sz w:val="22"/>
                <w:szCs w:val="22"/>
              </w:rPr>
              <w:t>0%</w:t>
            </w:r>
          </w:p>
        </w:tc>
        <w:tc>
          <w:tcPr>
            <w:tcW w:w="1890" w:type="dxa"/>
          </w:tcPr>
          <w:p w:rsidR="00194930" w:rsidRPr="00F81C35" w:rsidRDefault="007A52A0"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1</w:t>
            </w:r>
            <w:r w:rsidR="00194930" w:rsidRPr="00F81C35">
              <w:rPr>
                <w:rFonts w:asciiTheme="minorHAnsi" w:eastAsiaTheme="minorHAnsi" w:hAnsiTheme="minorHAnsi"/>
                <w:color w:val="002060"/>
                <w:sz w:val="22"/>
                <w:szCs w:val="22"/>
              </w:rPr>
              <w:t>0%</w:t>
            </w:r>
          </w:p>
        </w:tc>
      </w:tr>
    </w:tbl>
    <w:p w:rsidR="00560D57" w:rsidRDefault="00560D57" w:rsidP="002C6E5B">
      <w:pPr>
        <w:tabs>
          <w:tab w:val="left" w:pos="288"/>
          <w:tab w:val="left" w:pos="4752"/>
        </w:tabs>
        <w:spacing w:line="240" w:lineRule="exact"/>
        <w:rPr>
          <w:rFonts w:asciiTheme="minorHAnsi" w:eastAsiaTheme="minorHAnsi" w:hAnsiTheme="minorHAnsi"/>
          <w:color w:val="auto"/>
          <w:szCs w:val="24"/>
        </w:rPr>
      </w:pPr>
    </w:p>
    <w:p w:rsidR="00742752" w:rsidRPr="00F67635" w:rsidRDefault="00976477" w:rsidP="00F67635">
      <w:pPr>
        <w:tabs>
          <w:tab w:val="left" w:pos="288"/>
          <w:tab w:val="left" w:pos="4752"/>
        </w:tabs>
        <w:spacing w:line="240" w:lineRule="exact"/>
        <w:jc w:val="both"/>
        <w:rPr>
          <w:color w:val="000080"/>
        </w:rPr>
      </w:pPr>
      <w:r w:rsidRPr="00F67635">
        <w:rPr>
          <w:color w:val="000080"/>
        </w:rPr>
        <w:t>The NARSUM examination specified minimal tenderness</w:t>
      </w:r>
      <w:r w:rsidR="000366CD" w:rsidRPr="00F67635">
        <w:rPr>
          <w:color w:val="000080"/>
        </w:rPr>
        <w:t xml:space="preserve">; the </w:t>
      </w:r>
      <w:r w:rsidR="009B1748" w:rsidRPr="00F67635">
        <w:rPr>
          <w:color w:val="000080"/>
        </w:rPr>
        <w:t>VA examiner found no tenderness</w:t>
      </w:r>
      <w:r w:rsidR="000366CD" w:rsidRPr="00F67635">
        <w:rPr>
          <w:color w:val="000080"/>
        </w:rPr>
        <w:t xml:space="preserve">.  There was no spasm, </w:t>
      </w:r>
      <w:proofErr w:type="spellStart"/>
      <w:r w:rsidR="000366CD" w:rsidRPr="00F67635">
        <w:rPr>
          <w:color w:val="000080"/>
        </w:rPr>
        <w:t>antalgic</w:t>
      </w:r>
      <w:proofErr w:type="spellEnd"/>
      <w:r w:rsidR="000366CD" w:rsidRPr="00F67635">
        <w:rPr>
          <w:color w:val="000080"/>
        </w:rPr>
        <w:t xml:space="preserve"> gait or abnormal contour noted on </w:t>
      </w:r>
      <w:r w:rsidR="00FC7360" w:rsidRPr="00F67635">
        <w:rPr>
          <w:color w:val="000080"/>
        </w:rPr>
        <w:t>any</w:t>
      </w:r>
      <w:r w:rsidR="000366CD" w:rsidRPr="00F67635">
        <w:rPr>
          <w:color w:val="000080"/>
        </w:rPr>
        <w:t xml:space="preserve"> exam.  The PEB and VA chose different coding options for the condition, but this did not bear on rating.  The PEB’s DA </w:t>
      </w:r>
      <w:r w:rsidR="00AB384B">
        <w:rPr>
          <w:color w:val="000080"/>
        </w:rPr>
        <w:t xml:space="preserve">Form </w:t>
      </w:r>
      <w:r w:rsidR="000366CD" w:rsidRPr="00F67635">
        <w:rPr>
          <w:color w:val="000080"/>
        </w:rPr>
        <w:t xml:space="preserve">199 reflected application of the </w:t>
      </w:r>
      <w:r w:rsidR="00AB384B">
        <w:rPr>
          <w:color w:val="000080"/>
        </w:rPr>
        <w:t>US Army Physical Disability Agency (</w:t>
      </w:r>
      <w:r w:rsidR="000366CD" w:rsidRPr="00F67635">
        <w:rPr>
          <w:color w:val="000080"/>
        </w:rPr>
        <w:t>USAPDA</w:t>
      </w:r>
      <w:r w:rsidR="00AB384B">
        <w:rPr>
          <w:color w:val="000080"/>
        </w:rPr>
        <w:t>)</w:t>
      </w:r>
      <w:r w:rsidR="000366CD" w:rsidRPr="00F67635">
        <w:rPr>
          <w:color w:val="000080"/>
        </w:rPr>
        <w:t xml:space="preserve"> pain policy for rating, but its 10% determination was consistent with §4.71a standards.  It is apparent that there is no foundation for a Board rating recommendation </w:t>
      </w:r>
      <w:r w:rsidR="00742752" w:rsidRPr="00F67635">
        <w:rPr>
          <w:color w:val="000080"/>
        </w:rPr>
        <w:t>higher than the 10% applied by the PEB.  The PEB code is acceptable.  All evidence considered</w:t>
      </w:r>
      <w:proofErr w:type="gramStart"/>
      <w:r w:rsidR="00742752" w:rsidRPr="00F67635">
        <w:rPr>
          <w:color w:val="000080"/>
        </w:rPr>
        <w:t>,</w:t>
      </w:r>
      <w:proofErr w:type="gramEnd"/>
      <w:r w:rsidR="00742752" w:rsidRPr="00F67635">
        <w:rPr>
          <w:color w:val="000080"/>
        </w:rPr>
        <w:t xml:space="preserve"> there is not reasonable doubt in the CI’s favor supporting </w:t>
      </w:r>
      <w:proofErr w:type="spellStart"/>
      <w:r w:rsidR="00742752" w:rsidRPr="00F67635">
        <w:rPr>
          <w:color w:val="000080"/>
        </w:rPr>
        <w:t>recharacterization</w:t>
      </w:r>
      <w:proofErr w:type="spellEnd"/>
      <w:r w:rsidR="00742752" w:rsidRPr="00F67635">
        <w:rPr>
          <w:color w:val="000080"/>
        </w:rPr>
        <w:t xml:space="preserve"> of the PEB adjudication for the lumbar condition.</w:t>
      </w:r>
    </w:p>
    <w:p w:rsidR="00976477" w:rsidRPr="00F67635" w:rsidRDefault="00976477" w:rsidP="00F67635">
      <w:pPr>
        <w:tabs>
          <w:tab w:val="left" w:pos="288"/>
          <w:tab w:val="left" w:pos="4752"/>
        </w:tabs>
        <w:spacing w:line="240" w:lineRule="exact"/>
        <w:jc w:val="both"/>
        <w:rPr>
          <w:color w:val="000080"/>
        </w:rPr>
      </w:pPr>
    </w:p>
    <w:p w:rsidR="007A52A0" w:rsidRPr="00F67635" w:rsidRDefault="00742752" w:rsidP="00F67635">
      <w:pPr>
        <w:tabs>
          <w:tab w:val="left" w:pos="288"/>
          <w:tab w:val="left" w:pos="4752"/>
        </w:tabs>
        <w:spacing w:line="240" w:lineRule="exact"/>
        <w:jc w:val="both"/>
        <w:rPr>
          <w:color w:val="000080"/>
        </w:rPr>
      </w:pPr>
      <w:proofErr w:type="gramStart"/>
      <w:r w:rsidRPr="00F67635">
        <w:rPr>
          <w:color w:val="000080"/>
          <w:u w:val="single"/>
        </w:rPr>
        <w:t>Knee Condition</w:t>
      </w:r>
      <w:r w:rsidRPr="00F67635">
        <w:rPr>
          <w:color w:val="000080"/>
        </w:rPr>
        <w:t>.</w:t>
      </w:r>
      <w:proofErr w:type="gramEnd"/>
      <w:r w:rsidRPr="00F67635">
        <w:rPr>
          <w:color w:val="000080"/>
        </w:rPr>
        <w:t xml:space="preserve">  The conspicuous issue with the PEB adjudication of the knee condition </w:t>
      </w:r>
      <w:r w:rsidR="00EF4092" w:rsidRPr="00F67635">
        <w:rPr>
          <w:color w:val="000080"/>
        </w:rPr>
        <w:t>i</w:t>
      </w:r>
      <w:r w:rsidRPr="00F67635">
        <w:rPr>
          <w:color w:val="000080"/>
        </w:rPr>
        <w:t>s the combined cod</w:t>
      </w:r>
      <w:r w:rsidR="00EF4092" w:rsidRPr="00F67635">
        <w:rPr>
          <w:color w:val="000080"/>
        </w:rPr>
        <w:t>e</w:t>
      </w:r>
      <w:r w:rsidRPr="00F67635">
        <w:rPr>
          <w:color w:val="000080"/>
        </w:rPr>
        <w:t xml:space="preserve"> for a single rating</w:t>
      </w:r>
      <w:r w:rsidR="00EF4092" w:rsidRPr="00F67635">
        <w:rPr>
          <w:color w:val="000080"/>
        </w:rPr>
        <w:t>, contrasting with the VA approach which achieved separate 10% ratings</w:t>
      </w:r>
      <w:r w:rsidRPr="00F67635">
        <w:rPr>
          <w:color w:val="000080"/>
        </w:rPr>
        <w:t xml:space="preserve">.  </w:t>
      </w:r>
      <w:r w:rsidR="00EF4092" w:rsidRPr="00F67635">
        <w:rPr>
          <w:color w:val="000080"/>
        </w:rPr>
        <w:t xml:space="preserve">Although the DA </w:t>
      </w:r>
      <w:r w:rsidR="00AB384B">
        <w:rPr>
          <w:color w:val="000080"/>
        </w:rPr>
        <w:t xml:space="preserve">Form </w:t>
      </w:r>
      <w:r w:rsidR="00EF4092" w:rsidRPr="00F67635">
        <w:rPr>
          <w:color w:val="000080"/>
        </w:rPr>
        <w:t xml:space="preserve">199 provided for application of the USAPDA pain policy </w:t>
      </w:r>
      <w:r w:rsidR="00175E10" w:rsidRPr="00F67635">
        <w:rPr>
          <w:color w:val="000080"/>
        </w:rPr>
        <w:t>to</w:t>
      </w:r>
      <w:r w:rsidR="00EF4092" w:rsidRPr="00F67635">
        <w:rPr>
          <w:color w:val="000080"/>
        </w:rPr>
        <w:t xml:space="preserve"> rating</w:t>
      </w:r>
      <w:r w:rsidR="00175E10" w:rsidRPr="00F67635">
        <w:rPr>
          <w:color w:val="000080"/>
        </w:rPr>
        <w:t xml:space="preserve">, it does not reflect application of AR 635-40 to justify combined coding.  The </w:t>
      </w:r>
      <w:r w:rsidR="00175E10" w:rsidRPr="00F67635">
        <w:rPr>
          <w:color w:val="000080"/>
        </w:rPr>
        <w:lastRenderedPageBreak/>
        <w:t xml:space="preserve">analogous rating to 5003 as two major joints is IAW VASRD §4.71a.  Since degenerative changes were not verified by imaging, the 5099 prefix was appropriate.  Commonly with PEB combined ratings such as this, the VASRD §4.59 provision for separate ratings based on painful motion is </w:t>
      </w:r>
      <w:r w:rsidR="00C177E1" w:rsidRPr="00F67635">
        <w:rPr>
          <w:color w:val="000080"/>
        </w:rPr>
        <w:t>not applied</w:t>
      </w:r>
      <w:r w:rsidR="00175E10" w:rsidRPr="00F67635">
        <w:rPr>
          <w:color w:val="000080"/>
        </w:rPr>
        <w:t xml:space="preserve"> </w:t>
      </w:r>
      <w:r w:rsidR="00C177E1" w:rsidRPr="00F67635">
        <w:rPr>
          <w:color w:val="000080"/>
        </w:rPr>
        <w:t xml:space="preserve">based on </w:t>
      </w:r>
      <w:r w:rsidR="00FF1EDD" w:rsidRPr="00F67635">
        <w:rPr>
          <w:color w:val="000080"/>
        </w:rPr>
        <w:t>the pain policy</w:t>
      </w:r>
      <w:r w:rsidR="00175E10" w:rsidRPr="00F67635">
        <w:rPr>
          <w:color w:val="000080"/>
        </w:rPr>
        <w:t xml:space="preserve">.  That does not appear to be the case in this instance, however, since there is no </w:t>
      </w:r>
      <w:r w:rsidR="00FF1EDD" w:rsidRPr="00F67635">
        <w:rPr>
          <w:color w:val="000080"/>
        </w:rPr>
        <w:t xml:space="preserve">evidence of painful motion on the NARSUM examination.  Other than some patellar </w:t>
      </w:r>
      <w:proofErr w:type="spellStart"/>
      <w:r w:rsidR="00FF1EDD" w:rsidRPr="00F67635">
        <w:rPr>
          <w:color w:val="000080"/>
        </w:rPr>
        <w:t>crepitus</w:t>
      </w:r>
      <w:proofErr w:type="spellEnd"/>
      <w:r w:rsidR="00FF1EDD" w:rsidRPr="00F67635">
        <w:rPr>
          <w:color w:val="000080"/>
        </w:rPr>
        <w:t xml:space="preserve"> (grinding under the knee cap) and patellar glide (increased mobility of the knee cap)</w:t>
      </w:r>
      <w:r w:rsidR="00AB384B">
        <w:rPr>
          <w:color w:val="000080"/>
        </w:rPr>
        <w:t xml:space="preserve"> </w:t>
      </w:r>
      <w:r w:rsidR="001B3D3D">
        <w:rPr>
          <w:color w:val="000080"/>
        </w:rPr>
        <w:t>on the left knee, both</w:t>
      </w:r>
      <w:r w:rsidR="00FF1EDD" w:rsidRPr="00F67635">
        <w:rPr>
          <w:color w:val="000080"/>
        </w:rPr>
        <w:t xml:space="preserve"> knee examinations were normal.  Although the absence of painful motion was not specified, </w:t>
      </w:r>
      <w:r w:rsidR="00FC7360" w:rsidRPr="00F67635">
        <w:rPr>
          <w:color w:val="000080"/>
        </w:rPr>
        <w:t xml:space="preserve">a </w:t>
      </w:r>
      <w:r w:rsidR="00FF1EDD" w:rsidRPr="00F67635">
        <w:rPr>
          <w:color w:val="000080"/>
        </w:rPr>
        <w:t xml:space="preserve">comprehensive examination of the knees was documented with no indication that painful motion was implied or </w:t>
      </w:r>
      <w:r w:rsidR="00CA081A" w:rsidRPr="00F67635">
        <w:rPr>
          <w:color w:val="000080"/>
        </w:rPr>
        <w:t>suspect</w:t>
      </w:r>
      <w:r w:rsidR="00FF1EDD" w:rsidRPr="00F67635">
        <w:rPr>
          <w:color w:val="000080"/>
        </w:rPr>
        <w:t>.</w:t>
      </w:r>
      <w:r w:rsidR="00CA081A" w:rsidRPr="00F67635">
        <w:rPr>
          <w:color w:val="000080"/>
        </w:rPr>
        <w:t xml:space="preserve">  </w:t>
      </w:r>
      <w:r w:rsidR="00FC7360" w:rsidRPr="00F67635">
        <w:rPr>
          <w:color w:val="000080"/>
        </w:rPr>
        <w:t>Knee flexion was measured at 130° bilaterally by the MEB and 140° bilaterally by the VA.  Thus there is</w:t>
      </w:r>
      <w:r w:rsidR="00CA335B" w:rsidRPr="00F67635">
        <w:rPr>
          <w:color w:val="000080"/>
        </w:rPr>
        <w:t xml:space="preserve"> no compensable ROM impairment</w:t>
      </w:r>
      <w:r w:rsidR="00FC7360" w:rsidRPr="00F67635">
        <w:rPr>
          <w:color w:val="000080"/>
        </w:rPr>
        <w:t xml:space="preserve"> for either knee.  The MEB and VA evaluations documented the absence of mechanical instability, locking or frequent effusions.  Thus there is no route to </w:t>
      </w:r>
      <w:r w:rsidR="009B1748" w:rsidRPr="00F67635">
        <w:rPr>
          <w:color w:val="000080"/>
        </w:rPr>
        <w:t>a</w:t>
      </w:r>
      <w:r w:rsidR="001F6FA1" w:rsidRPr="00F67635">
        <w:rPr>
          <w:color w:val="000080"/>
        </w:rPr>
        <w:t xml:space="preserve"> </w:t>
      </w:r>
      <w:r w:rsidR="00FC7360" w:rsidRPr="00F67635">
        <w:rPr>
          <w:color w:val="000080"/>
        </w:rPr>
        <w:t>rating</w:t>
      </w:r>
      <w:r w:rsidR="009B1748" w:rsidRPr="00F67635">
        <w:rPr>
          <w:color w:val="000080"/>
        </w:rPr>
        <w:t xml:space="preserve"> </w:t>
      </w:r>
      <w:r w:rsidR="00AF7CAD" w:rsidRPr="00F67635">
        <w:rPr>
          <w:color w:val="000080"/>
        </w:rPr>
        <w:t>higher</w:t>
      </w:r>
      <w:r w:rsidR="009B1748" w:rsidRPr="00F67635">
        <w:rPr>
          <w:color w:val="000080"/>
        </w:rPr>
        <w:t xml:space="preserve"> than 10%</w:t>
      </w:r>
      <w:r w:rsidR="00FC7360" w:rsidRPr="00F67635">
        <w:rPr>
          <w:color w:val="000080"/>
        </w:rPr>
        <w:t xml:space="preserve"> </w:t>
      </w:r>
      <w:r w:rsidR="00AF7CAD" w:rsidRPr="00F67635">
        <w:rPr>
          <w:color w:val="000080"/>
        </w:rPr>
        <w:t>f</w:t>
      </w:r>
      <w:r w:rsidR="009B1748" w:rsidRPr="00F67635">
        <w:rPr>
          <w:color w:val="000080"/>
        </w:rPr>
        <w:t xml:space="preserve">or either knee </w:t>
      </w:r>
      <w:r w:rsidR="00FC7360" w:rsidRPr="00F67635">
        <w:rPr>
          <w:color w:val="000080"/>
        </w:rPr>
        <w:t xml:space="preserve">and no criterion for dual coding of </w:t>
      </w:r>
      <w:r w:rsidR="001F6FA1" w:rsidRPr="00F67635">
        <w:rPr>
          <w:color w:val="000080"/>
        </w:rPr>
        <w:t>either knee</w:t>
      </w:r>
      <w:r w:rsidR="00FC7360" w:rsidRPr="00F67635">
        <w:rPr>
          <w:color w:val="000080"/>
        </w:rPr>
        <w:t xml:space="preserve">.  </w:t>
      </w:r>
      <w:r w:rsidR="001F6FA1" w:rsidRPr="00F67635">
        <w:rPr>
          <w:color w:val="000080"/>
        </w:rPr>
        <w:t xml:space="preserve">The VA rating decision </w:t>
      </w:r>
      <w:r w:rsidR="009A3127" w:rsidRPr="00F67635">
        <w:rPr>
          <w:color w:val="000080"/>
        </w:rPr>
        <w:t xml:space="preserve">(VARD) </w:t>
      </w:r>
      <w:r w:rsidR="001F6FA1" w:rsidRPr="00F67635">
        <w:rPr>
          <w:color w:val="000080"/>
        </w:rPr>
        <w:t>implicated painful motion as the basis for its separate ratings, but the rationale is not grounded in the physical examination</w:t>
      </w:r>
      <w:r w:rsidR="00103BF7" w:rsidRPr="00F67635">
        <w:rPr>
          <w:color w:val="000080"/>
        </w:rPr>
        <w:t xml:space="preserve"> provided by the VA physician. </w:t>
      </w:r>
      <w:r w:rsidR="00AF7CAD" w:rsidRPr="00F67635">
        <w:rPr>
          <w:color w:val="000080"/>
        </w:rPr>
        <w:t>The VA knee exam</w:t>
      </w:r>
      <w:r w:rsidR="00103BF7" w:rsidRPr="00F67635">
        <w:rPr>
          <w:color w:val="000080"/>
        </w:rPr>
        <w:t xml:space="preserve"> is excerpted in its entirety below.</w:t>
      </w:r>
    </w:p>
    <w:p w:rsidR="0073254D" w:rsidRDefault="0073254D" w:rsidP="00694EEA">
      <w:pPr>
        <w:tabs>
          <w:tab w:val="left" w:pos="288"/>
          <w:tab w:val="left" w:pos="4752"/>
        </w:tabs>
        <w:spacing w:line="240" w:lineRule="exact"/>
        <w:rPr>
          <w:rFonts w:asciiTheme="minorHAnsi" w:hAnsiTheme="minorHAnsi"/>
          <w:color w:val="000080"/>
          <w:szCs w:val="24"/>
          <w:u w:val="single"/>
        </w:rPr>
      </w:pPr>
    </w:p>
    <w:p w:rsidR="00103BF7" w:rsidRPr="00F67635" w:rsidRDefault="00103BF7" w:rsidP="00F67635">
      <w:pPr>
        <w:tabs>
          <w:tab w:val="left" w:pos="288"/>
          <w:tab w:val="left" w:pos="4752"/>
        </w:tabs>
        <w:spacing w:line="240" w:lineRule="exact"/>
        <w:ind w:left="720" w:right="720"/>
        <w:jc w:val="both"/>
        <w:rPr>
          <w:color w:val="000080"/>
          <w:sz w:val="20"/>
        </w:rPr>
      </w:pPr>
      <w:r w:rsidRPr="00F67635">
        <w:rPr>
          <w:color w:val="000080"/>
          <w:sz w:val="20"/>
        </w:rPr>
        <w:t xml:space="preserve">The examination of the knee was normal, right and left. There is no edema, effusion, weakness, tenderness, redness, heat, abnormal movements, guarding, or </w:t>
      </w:r>
      <w:proofErr w:type="spellStart"/>
      <w:r w:rsidRPr="00F67635">
        <w:rPr>
          <w:color w:val="000080"/>
          <w:sz w:val="20"/>
        </w:rPr>
        <w:t>subluxation</w:t>
      </w:r>
      <w:proofErr w:type="spellEnd"/>
      <w:r w:rsidRPr="00F67635">
        <w:rPr>
          <w:color w:val="000080"/>
          <w:sz w:val="20"/>
        </w:rPr>
        <w:t>.  Range of motion of the knees joints is as follows: [ROM Chart</w:t>
      </w:r>
      <w:r w:rsidR="009A3127" w:rsidRPr="00F67635">
        <w:rPr>
          <w:color w:val="000080"/>
          <w:sz w:val="20"/>
        </w:rPr>
        <w:t xml:space="preserve"> not </w:t>
      </w:r>
      <w:r w:rsidR="00164B29" w:rsidRPr="00F67635">
        <w:rPr>
          <w:color w:val="000080"/>
          <w:sz w:val="20"/>
        </w:rPr>
        <w:t>reproduced.  Degree that pain occurs was left blank.]</w:t>
      </w:r>
      <w:r w:rsidRPr="00F67635">
        <w:rPr>
          <w:color w:val="000080"/>
          <w:sz w:val="20"/>
        </w:rPr>
        <w:t xml:space="preserve">  After repetitive use the joint function is not limited by pain, fatigue, weakness, lack of endurance or </w:t>
      </w:r>
      <w:proofErr w:type="spellStart"/>
      <w:r w:rsidRPr="00F67635">
        <w:rPr>
          <w:color w:val="000080"/>
          <w:sz w:val="20"/>
        </w:rPr>
        <w:t>incoordination</w:t>
      </w:r>
      <w:proofErr w:type="spellEnd"/>
      <w:r w:rsidRPr="00F67635">
        <w:rPr>
          <w:color w:val="000080"/>
          <w:sz w:val="20"/>
        </w:rPr>
        <w:t xml:space="preserve">.  The medial, lateral collateral ligaments were normal and </w:t>
      </w:r>
      <w:proofErr w:type="spellStart"/>
      <w:r w:rsidRPr="00F67635">
        <w:rPr>
          <w:color w:val="000080"/>
          <w:sz w:val="20"/>
        </w:rPr>
        <w:t>cruciate</w:t>
      </w:r>
      <w:proofErr w:type="spellEnd"/>
      <w:r w:rsidRPr="00F67635">
        <w:rPr>
          <w:color w:val="000080"/>
          <w:sz w:val="20"/>
        </w:rPr>
        <w:t xml:space="preserve"> ligament was normal.  There were no clicks.  Meniscus test was negative.  </w:t>
      </w:r>
      <w:proofErr w:type="spellStart"/>
      <w:r w:rsidRPr="00F67635">
        <w:rPr>
          <w:color w:val="000080"/>
          <w:sz w:val="20"/>
        </w:rPr>
        <w:t>Varus</w:t>
      </w:r>
      <w:proofErr w:type="spellEnd"/>
      <w:r w:rsidRPr="00F67635">
        <w:rPr>
          <w:color w:val="000080"/>
          <w:sz w:val="20"/>
        </w:rPr>
        <w:t xml:space="preserve">, </w:t>
      </w:r>
      <w:proofErr w:type="spellStart"/>
      <w:r w:rsidRPr="00F67635">
        <w:rPr>
          <w:color w:val="000080"/>
          <w:sz w:val="20"/>
        </w:rPr>
        <w:t>valgus</w:t>
      </w:r>
      <w:proofErr w:type="spellEnd"/>
      <w:r w:rsidRPr="00F67635">
        <w:rPr>
          <w:color w:val="000080"/>
          <w:sz w:val="20"/>
        </w:rPr>
        <w:t>, drawer and McMurray signs were all negative.</w:t>
      </w:r>
    </w:p>
    <w:p w:rsidR="00103BF7" w:rsidRDefault="00103BF7" w:rsidP="00103BF7">
      <w:pPr>
        <w:tabs>
          <w:tab w:val="left" w:pos="288"/>
          <w:tab w:val="left" w:pos="4752"/>
        </w:tabs>
        <w:spacing w:line="240" w:lineRule="exact"/>
        <w:rPr>
          <w:rFonts w:asciiTheme="minorHAnsi" w:hAnsiTheme="minorHAnsi"/>
          <w:color w:val="auto"/>
          <w:szCs w:val="24"/>
        </w:rPr>
      </w:pPr>
    </w:p>
    <w:p w:rsidR="00D0691D" w:rsidRPr="00F67635" w:rsidRDefault="002C7E3D" w:rsidP="00F67635">
      <w:pPr>
        <w:tabs>
          <w:tab w:val="left" w:pos="288"/>
          <w:tab w:val="left" w:pos="4752"/>
        </w:tabs>
        <w:spacing w:line="240" w:lineRule="exact"/>
        <w:jc w:val="both"/>
        <w:rPr>
          <w:color w:val="000080"/>
        </w:rPr>
      </w:pPr>
      <w:r w:rsidRPr="00F67635">
        <w:rPr>
          <w:color w:val="000080"/>
        </w:rPr>
        <w:t xml:space="preserve">The §4.71a exception to combined rating under 5003 specifies, ‘Limitation of motion must be objectively confirmed by findings such as swelling, muscle spasm, or satisfactory evidence of painful motion.’  These VASRD criteria are not </w:t>
      </w:r>
      <w:r w:rsidR="00A56A33" w:rsidRPr="00F67635">
        <w:rPr>
          <w:color w:val="000080"/>
        </w:rPr>
        <w:t xml:space="preserve">met in this exam.  </w:t>
      </w:r>
      <w:r w:rsidR="00164B29" w:rsidRPr="00F67635">
        <w:rPr>
          <w:color w:val="000080"/>
        </w:rPr>
        <w:t xml:space="preserve">The VARD in fact referenced the examiner’s </w:t>
      </w:r>
      <w:r w:rsidR="00AF7CAD" w:rsidRPr="00F67635">
        <w:rPr>
          <w:color w:val="000080"/>
        </w:rPr>
        <w:t xml:space="preserve">medical </w:t>
      </w:r>
      <w:r w:rsidR="00164B29" w:rsidRPr="00F67635">
        <w:rPr>
          <w:color w:val="000080"/>
        </w:rPr>
        <w:t xml:space="preserve">history of the </w:t>
      </w:r>
      <w:r w:rsidR="00AF7CAD" w:rsidRPr="00F67635">
        <w:rPr>
          <w:color w:val="000080"/>
        </w:rPr>
        <w:t xml:space="preserve">condition </w:t>
      </w:r>
      <w:r w:rsidR="00164B29" w:rsidRPr="00F67635">
        <w:rPr>
          <w:color w:val="000080"/>
        </w:rPr>
        <w:t>in support of a rating based on painful motion.  This rationale from the VARD which is identical for each knee states, ‘We have assigned an evaluation of 10 percent based on your VA examination, which shows that you reported weakness, stiffness, and swelling with standing for long periods of time or running. You also reported intermittent pain, about four times per month that travels to the calf.’  In context</w:t>
      </w:r>
      <w:r w:rsidRPr="00F67635">
        <w:rPr>
          <w:color w:val="000080"/>
        </w:rPr>
        <w:t xml:space="preserve"> the first sentence was derived from </w:t>
      </w:r>
      <w:r w:rsidR="00AF7CAD" w:rsidRPr="00F67635">
        <w:rPr>
          <w:color w:val="000080"/>
        </w:rPr>
        <w:t>a</w:t>
      </w:r>
      <w:r w:rsidRPr="00F67635">
        <w:rPr>
          <w:color w:val="000080"/>
        </w:rPr>
        <w:t xml:space="preserve"> description of symptoms </w:t>
      </w:r>
      <w:r w:rsidR="00AF7CAD" w:rsidRPr="00F67635">
        <w:rPr>
          <w:color w:val="000080"/>
        </w:rPr>
        <w:t>at</w:t>
      </w:r>
      <w:r w:rsidRPr="00F67635">
        <w:rPr>
          <w:color w:val="000080"/>
        </w:rPr>
        <w:t xml:space="preserve"> the onset </w:t>
      </w:r>
      <w:r w:rsidR="00C177E1" w:rsidRPr="00F67635">
        <w:rPr>
          <w:color w:val="000080"/>
        </w:rPr>
        <w:t>o</w:t>
      </w:r>
      <w:r w:rsidR="00AF7CAD" w:rsidRPr="00F67635">
        <w:rPr>
          <w:color w:val="000080"/>
        </w:rPr>
        <w:t>f</w:t>
      </w:r>
      <w:r w:rsidR="00C177E1" w:rsidRPr="00F67635">
        <w:rPr>
          <w:color w:val="000080"/>
        </w:rPr>
        <w:t xml:space="preserve"> </w:t>
      </w:r>
      <w:r w:rsidR="00AF7CAD" w:rsidRPr="00F67635">
        <w:rPr>
          <w:color w:val="000080"/>
        </w:rPr>
        <w:t>the condition</w:t>
      </w:r>
      <w:r w:rsidR="00C177E1" w:rsidRPr="00F67635">
        <w:rPr>
          <w:color w:val="000080"/>
        </w:rPr>
        <w:t xml:space="preserve"> after</w:t>
      </w:r>
      <w:r w:rsidRPr="00F67635">
        <w:rPr>
          <w:color w:val="000080"/>
        </w:rPr>
        <w:t xml:space="preserve"> running an obstacle course in 2004.  The real time symptoms were those in the second sentence reporting intermittent pain four times monthly.  </w:t>
      </w:r>
      <w:r w:rsidR="00A56A33" w:rsidRPr="00F67635">
        <w:rPr>
          <w:color w:val="000080"/>
        </w:rPr>
        <w:t>This</w:t>
      </w:r>
      <w:r w:rsidRPr="00F67635">
        <w:rPr>
          <w:color w:val="000080"/>
        </w:rPr>
        <w:t xml:space="preserve"> history of pain </w:t>
      </w:r>
      <w:r w:rsidR="00A56A33" w:rsidRPr="00F67635">
        <w:rPr>
          <w:color w:val="000080"/>
        </w:rPr>
        <w:t xml:space="preserve">does not support separate ratings under §4.59 (painful motion), or </w:t>
      </w:r>
      <w:r w:rsidR="00C177E1" w:rsidRPr="00F67635">
        <w:rPr>
          <w:color w:val="000080"/>
        </w:rPr>
        <w:t xml:space="preserve">under </w:t>
      </w:r>
      <w:r w:rsidR="00A56A33" w:rsidRPr="00F67635">
        <w:rPr>
          <w:color w:val="000080"/>
        </w:rPr>
        <w:t>the broader umbrella of §4.40 (functional loss).</w:t>
      </w:r>
      <w:r w:rsidR="007951D9" w:rsidRPr="00F67635">
        <w:rPr>
          <w:color w:val="000080"/>
        </w:rPr>
        <w:t xml:space="preserve">  MEB </w:t>
      </w:r>
      <w:r w:rsidR="007951D9" w:rsidRPr="00F67635">
        <w:rPr>
          <w:color w:val="000080"/>
        </w:rPr>
        <w:lastRenderedPageBreak/>
        <w:t xml:space="preserve">outpatient notes were scrutinized for other knee examinations justifying Board application of §4.59 to obtain separate ratings.  There were several cursory PT exams and two comprehensive orthopedic consultant exams.  None described tenderness, spasm or any </w:t>
      </w:r>
      <w:r w:rsidR="00AF7CAD" w:rsidRPr="00F67635">
        <w:rPr>
          <w:color w:val="000080"/>
        </w:rPr>
        <w:t>indications of painful joint motion</w:t>
      </w:r>
      <w:r w:rsidR="007951D9" w:rsidRPr="00F67635">
        <w:rPr>
          <w:color w:val="000080"/>
        </w:rPr>
        <w:t>.  The closest suggestion of painful motion to be found was in the MEB PT goniometric exam of the knees.  This specified pain as th</w:t>
      </w:r>
      <w:r w:rsidR="00D0691D" w:rsidRPr="00F67635">
        <w:rPr>
          <w:color w:val="000080"/>
        </w:rPr>
        <w:t>e end point of measurements.  This single entry (11 months prior to separation) was far outweighed by all of the other evidence just described, and the Board could not ascribe enough probative value to it as the basis for a recommendation based on painful motion.  All evidence considered</w:t>
      </w:r>
      <w:proofErr w:type="gramStart"/>
      <w:r w:rsidR="00D0691D" w:rsidRPr="00F67635">
        <w:rPr>
          <w:color w:val="000080"/>
        </w:rPr>
        <w:t>,</w:t>
      </w:r>
      <w:proofErr w:type="gramEnd"/>
      <w:r w:rsidR="00D0691D" w:rsidRPr="00F67635">
        <w:rPr>
          <w:color w:val="000080"/>
        </w:rPr>
        <w:t xml:space="preserve"> there is not reasonable doubt in the CI’s favor supporting </w:t>
      </w:r>
      <w:proofErr w:type="spellStart"/>
      <w:r w:rsidR="00D0691D" w:rsidRPr="00F67635">
        <w:rPr>
          <w:color w:val="000080"/>
        </w:rPr>
        <w:t>recharacterization</w:t>
      </w:r>
      <w:proofErr w:type="spellEnd"/>
      <w:r w:rsidR="00D0691D" w:rsidRPr="00F67635">
        <w:rPr>
          <w:color w:val="000080"/>
        </w:rPr>
        <w:t xml:space="preserve"> of the PEB adjudication for the bilateral knee condition.</w:t>
      </w:r>
    </w:p>
    <w:p w:rsidR="00164B29" w:rsidRPr="00F67635" w:rsidRDefault="00164B29" w:rsidP="00F67635">
      <w:pPr>
        <w:tabs>
          <w:tab w:val="left" w:pos="288"/>
          <w:tab w:val="left" w:pos="4752"/>
        </w:tabs>
        <w:spacing w:line="240" w:lineRule="exact"/>
        <w:jc w:val="both"/>
        <w:rPr>
          <w:color w:val="000080"/>
        </w:rPr>
      </w:pPr>
    </w:p>
    <w:p w:rsidR="001F7022" w:rsidRDefault="002C6E5B" w:rsidP="00F67635">
      <w:pPr>
        <w:tabs>
          <w:tab w:val="left" w:pos="288"/>
          <w:tab w:val="left" w:pos="4752"/>
        </w:tabs>
        <w:spacing w:line="240" w:lineRule="exact"/>
        <w:jc w:val="both"/>
        <w:rPr>
          <w:rFonts w:asciiTheme="minorHAnsi" w:hAnsiTheme="minorHAnsi"/>
          <w:color w:val="auto"/>
          <w:szCs w:val="24"/>
        </w:rPr>
      </w:pPr>
      <w:proofErr w:type="gramStart"/>
      <w:r w:rsidRPr="00F67635">
        <w:rPr>
          <w:color w:val="000080"/>
          <w:u w:val="single"/>
        </w:rPr>
        <w:t>Other Conditions</w:t>
      </w:r>
      <w:r w:rsidRPr="00F67635">
        <w:rPr>
          <w:color w:val="000080"/>
        </w:rPr>
        <w:t>.</w:t>
      </w:r>
      <w:proofErr w:type="gramEnd"/>
      <w:r w:rsidRPr="00F67635">
        <w:rPr>
          <w:color w:val="000080"/>
        </w:rPr>
        <w:t xml:space="preserve">  </w:t>
      </w:r>
      <w:r w:rsidR="00791426" w:rsidRPr="00F67635">
        <w:rPr>
          <w:color w:val="000080"/>
        </w:rPr>
        <w:t xml:space="preserve">The NARSUM identified </w:t>
      </w:r>
      <w:proofErr w:type="spellStart"/>
      <w:r w:rsidR="00791426" w:rsidRPr="00F67635">
        <w:rPr>
          <w:color w:val="000080"/>
        </w:rPr>
        <w:t>gastro</w:t>
      </w:r>
      <w:r w:rsidR="001F7022" w:rsidRPr="00F67635">
        <w:rPr>
          <w:color w:val="000080"/>
        </w:rPr>
        <w:t>e</w:t>
      </w:r>
      <w:r w:rsidR="00791426" w:rsidRPr="00F67635">
        <w:rPr>
          <w:color w:val="000080"/>
        </w:rPr>
        <w:t>sophageal</w:t>
      </w:r>
      <w:proofErr w:type="spellEnd"/>
      <w:r w:rsidR="00791426" w:rsidRPr="00F67635">
        <w:rPr>
          <w:color w:val="000080"/>
        </w:rPr>
        <w:t xml:space="preserve"> reflux disease (GERD), hypertension and migraine headache</w:t>
      </w:r>
      <w:r w:rsidR="00AF7CAD" w:rsidRPr="00F67635">
        <w:rPr>
          <w:color w:val="000080"/>
        </w:rPr>
        <w:t>s</w:t>
      </w:r>
      <w:r w:rsidR="00791426" w:rsidRPr="00F67635">
        <w:rPr>
          <w:color w:val="000080"/>
        </w:rPr>
        <w:t xml:space="preserve"> as co-existing medical conditions.  GERD was not coded or rated by the VA and the headache condition received a non-compensable rating.  All of these conditions were chronic and stable with no link to fitness.  A right wrist condition was identified by the CI on the MEB physical and was not service connected by the VA.  The profile was U1.  Other less specific complaints were noted by the CI on the physical, but are not relevant for Board consideration as additionally unfitting.</w:t>
      </w:r>
      <w:r w:rsidR="001F7022" w:rsidRPr="00F67635">
        <w:rPr>
          <w:color w:val="000080"/>
        </w:rPr>
        <w:t xml:space="preserve">  As noted in the summary, only the back condition was covered in the physical profile at separation or noted in the Commander’s statement.  Bilateral ankle conditions were rated 10% each by the VA at separation, but were not noted by the CI on the MEB physical or otherwise within the DES packet.  The Board does not have the authority under </w:t>
      </w:r>
      <w:proofErr w:type="spellStart"/>
      <w:r w:rsidR="001F7022" w:rsidRPr="00F67635">
        <w:rPr>
          <w:color w:val="000080"/>
        </w:rPr>
        <w:t>DoDI</w:t>
      </w:r>
      <w:proofErr w:type="spellEnd"/>
      <w:r w:rsidR="001F7022" w:rsidRPr="00F67635">
        <w:rPr>
          <w:color w:val="000080"/>
        </w:rPr>
        <w:t xml:space="preserve"> 6040.44 to render fitness or rating recommendations for any conditions not considered by the DES.  The ankle conditions and any contended conditions not covered above remain eligible for </w:t>
      </w:r>
      <w:r w:rsidR="00AB384B" w:rsidRPr="00AB384B">
        <w:rPr>
          <w:color w:val="000080"/>
        </w:rPr>
        <w:t xml:space="preserve">Army Board for Correction of Military Records </w:t>
      </w:r>
      <w:r w:rsidR="00AB384B">
        <w:rPr>
          <w:color w:val="000080"/>
        </w:rPr>
        <w:t>(</w:t>
      </w:r>
      <w:r w:rsidR="001F7022" w:rsidRPr="00F67635">
        <w:rPr>
          <w:color w:val="000080"/>
        </w:rPr>
        <w:t>ABMCR</w:t>
      </w:r>
      <w:r w:rsidR="00AB384B">
        <w:rPr>
          <w:color w:val="000080"/>
        </w:rPr>
        <w:t>)</w:t>
      </w:r>
      <w:r w:rsidR="001F7022" w:rsidRPr="00F67635">
        <w:rPr>
          <w:color w:val="000080"/>
        </w:rPr>
        <w:t xml:space="preserve"> consideration.  The Board, therefore, has no reasonable basis for recommending any additional unfitting conditions for separation rating.  </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8219D2" w:rsidRPr="00F67635" w:rsidRDefault="00C56FC8" w:rsidP="00F67635">
      <w:pPr>
        <w:tabs>
          <w:tab w:val="left" w:pos="288"/>
          <w:tab w:val="left" w:pos="4752"/>
        </w:tabs>
        <w:spacing w:line="240" w:lineRule="exact"/>
        <w:jc w:val="both"/>
        <w:rPr>
          <w:color w:val="000080"/>
        </w:rPr>
      </w:pPr>
      <w:r w:rsidRPr="00F67635">
        <w:rPr>
          <w:color w:val="000080"/>
          <w:u w:val="single"/>
        </w:rPr>
        <w:t>BOARD FINDINGS</w:t>
      </w:r>
      <w:r w:rsidRPr="00F67635">
        <w:rPr>
          <w:color w:val="000080"/>
        </w:rPr>
        <w:t xml:space="preserve">:  IAW </w:t>
      </w:r>
      <w:proofErr w:type="spellStart"/>
      <w:r w:rsidRPr="00F67635">
        <w:rPr>
          <w:color w:val="000080"/>
        </w:rPr>
        <w:t>DoDI</w:t>
      </w:r>
      <w:proofErr w:type="spellEnd"/>
      <w:r w:rsidRPr="00F67635">
        <w:rPr>
          <w:color w:val="000080"/>
        </w:rPr>
        <w:t xml:space="preserve"> 6040.44, provisions of </w:t>
      </w:r>
      <w:proofErr w:type="spellStart"/>
      <w:r w:rsidRPr="00F67635">
        <w:rPr>
          <w:color w:val="000080"/>
        </w:rPr>
        <w:t>DoD</w:t>
      </w:r>
      <w:proofErr w:type="spellEnd"/>
      <w:r w:rsidRPr="00F67635">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F67635">
        <w:rPr>
          <w:color w:val="000080"/>
        </w:rPr>
        <w:t xml:space="preserve"> </w:t>
      </w:r>
      <w:r w:rsidR="001F7022" w:rsidRPr="00F67635">
        <w:rPr>
          <w:color w:val="000080"/>
        </w:rPr>
        <w:t>As discussed above, PEB reliance on the USAPDA pain policy for rating the back and knee conditions was operant in this case and the conditions were adjudicated independently of that policy by the Board.</w:t>
      </w:r>
      <w:r w:rsidR="008219D2" w:rsidRPr="00F67635">
        <w:rPr>
          <w:color w:val="000080"/>
        </w:rPr>
        <w:t xml:space="preserve">  In the matter of the chronic lumbar condition and IAW VASRD §4.71a, the Board unanimously recommends no change in the PEB adjudication.  In the matter of the chronic bilateral knee condition and IAW VASRD §4.71a, the Board </w:t>
      </w:r>
      <w:r w:rsidR="00F67635" w:rsidRPr="00F67635">
        <w:rPr>
          <w:color w:val="000080"/>
        </w:rPr>
        <w:t>by a 2:1 vote</w:t>
      </w:r>
      <w:r w:rsidR="008219D2" w:rsidRPr="00F67635">
        <w:rPr>
          <w:color w:val="000080"/>
        </w:rPr>
        <w:t xml:space="preserve"> recommends no change in the PEB adjudication.  </w:t>
      </w:r>
      <w:r w:rsidR="00F67635" w:rsidRPr="00F67635">
        <w:rPr>
          <w:color w:val="000080"/>
        </w:rPr>
        <w:t xml:space="preserve">The single voter for dissent (who recommended separate 10% ratings for each knee) submitted the </w:t>
      </w:r>
      <w:proofErr w:type="spellStart"/>
      <w:r w:rsidR="00F67635" w:rsidRPr="00F67635">
        <w:rPr>
          <w:color w:val="000080"/>
        </w:rPr>
        <w:t>addended</w:t>
      </w:r>
      <w:proofErr w:type="spellEnd"/>
      <w:r w:rsidR="00F67635" w:rsidRPr="00F67635">
        <w:rPr>
          <w:color w:val="000080"/>
        </w:rPr>
        <w:t xml:space="preserve"> minority opinion.  </w:t>
      </w:r>
      <w:r w:rsidR="008219D2" w:rsidRPr="00F67635">
        <w:rPr>
          <w:color w:val="000080"/>
        </w:rPr>
        <w:t xml:space="preserve">In the matter of the </w:t>
      </w:r>
      <w:proofErr w:type="spellStart"/>
      <w:r w:rsidR="008219D2" w:rsidRPr="00F67635">
        <w:rPr>
          <w:color w:val="000080"/>
        </w:rPr>
        <w:t>gastroesophageal</w:t>
      </w:r>
      <w:proofErr w:type="spellEnd"/>
      <w:r w:rsidR="008219D2" w:rsidRPr="00F67635">
        <w:rPr>
          <w:color w:val="000080"/>
        </w:rPr>
        <w:t xml:space="preserve"> reflux </w:t>
      </w:r>
      <w:r w:rsidR="008219D2" w:rsidRPr="00F67635">
        <w:rPr>
          <w:color w:val="000080"/>
        </w:rPr>
        <w:lastRenderedPageBreak/>
        <w:t>disease, hypertension, migraine headache, right wrist condition or any other medical conditions eligible for Board consideration; the Board unanimously agrees that it cannot recommend any findings of unfit for additional rating at separation.</w:t>
      </w:r>
    </w:p>
    <w:p w:rsidR="001C120D" w:rsidRDefault="001C120D" w:rsidP="00F67635">
      <w:pPr>
        <w:tabs>
          <w:tab w:val="left" w:pos="288"/>
          <w:tab w:val="left" w:pos="4752"/>
        </w:tabs>
        <w:spacing w:line="240" w:lineRule="exact"/>
        <w:jc w:val="both"/>
        <w:rPr>
          <w:color w:val="000080"/>
          <w:u w:val="single"/>
        </w:rPr>
      </w:pPr>
    </w:p>
    <w:p w:rsidR="008219D2" w:rsidRPr="00F67635" w:rsidRDefault="00C56FC8" w:rsidP="00F67635">
      <w:pPr>
        <w:tabs>
          <w:tab w:val="left" w:pos="288"/>
          <w:tab w:val="left" w:pos="4752"/>
        </w:tabs>
        <w:spacing w:line="240" w:lineRule="exact"/>
        <w:jc w:val="both"/>
        <w:rPr>
          <w:color w:val="000080"/>
        </w:rPr>
      </w:pPr>
      <w:r w:rsidRPr="00F67635">
        <w:rPr>
          <w:color w:val="000080"/>
          <w:u w:val="single"/>
        </w:rPr>
        <w:t>RECOMMENDATION</w:t>
      </w:r>
      <w:r w:rsidRPr="00F67635">
        <w:rPr>
          <w:color w:val="000080"/>
        </w:rPr>
        <w:t xml:space="preserve">: </w:t>
      </w:r>
      <w:r w:rsidR="008219D2" w:rsidRPr="00F67635">
        <w:rPr>
          <w:color w:val="000080"/>
        </w:rPr>
        <w:t xml:space="preserve">The Board therefore recommends that there be no </w:t>
      </w:r>
      <w:proofErr w:type="spellStart"/>
      <w:r w:rsidR="008219D2" w:rsidRPr="00F67635">
        <w:rPr>
          <w:color w:val="000080"/>
        </w:rPr>
        <w:t>recharacterization</w:t>
      </w:r>
      <w:proofErr w:type="spellEnd"/>
      <w:r w:rsidR="008219D2" w:rsidRPr="00F67635">
        <w:rPr>
          <w:color w:val="000080"/>
        </w:rPr>
        <w:t xml:space="preserve"> of the CI’s disability and separation determination.</w:t>
      </w:r>
    </w:p>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1039BD">
        <w:rPr>
          <w:color w:val="000080"/>
        </w:rPr>
        <w:t>0114</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5F476C" w:rsidRDefault="005F476C">
      <w:pPr>
        <w:rPr>
          <w:color w:val="000080"/>
        </w:rPr>
      </w:pPr>
      <w:r>
        <w:rPr>
          <w:color w:val="000080"/>
        </w:rPr>
        <w:br w:type="page"/>
      </w:r>
    </w:p>
    <w:p w:rsidR="005F476C" w:rsidRDefault="005F476C" w:rsidP="005F476C">
      <w:pPr>
        <w:tabs>
          <w:tab w:val="left" w:pos="288"/>
          <w:tab w:val="left" w:pos="4752"/>
        </w:tabs>
        <w:spacing w:line="240" w:lineRule="exact"/>
        <w:jc w:val="both"/>
        <w:rPr>
          <w:color w:val="000080"/>
        </w:rPr>
      </w:pPr>
      <w:r w:rsidRPr="005F476C">
        <w:rPr>
          <w:color w:val="000080"/>
          <w:u w:val="single"/>
        </w:rPr>
        <w:lastRenderedPageBreak/>
        <w:t>MINORITY OPINION</w:t>
      </w:r>
      <w:r>
        <w:rPr>
          <w:color w:val="000080"/>
        </w:rPr>
        <w:t>:</w:t>
      </w:r>
    </w:p>
    <w:p w:rsidR="005F476C" w:rsidRDefault="005F476C" w:rsidP="005F476C">
      <w:pPr>
        <w:tabs>
          <w:tab w:val="left" w:pos="288"/>
          <w:tab w:val="left" w:pos="4752"/>
        </w:tabs>
        <w:spacing w:line="240" w:lineRule="exact"/>
        <w:jc w:val="both"/>
        <w:rPr>
          <w:color w:val="000080"/>
        </w:rPr>
      </w:pPr>
    </w:p>
    <w:p w:rsidR="005F476C" w:rsidRDefault="005F476C" w:rsidP="005F476C">
      <w:pPr>
        <w:tabs>
          <w:tab w:val="left" w:pos="288"/>
          <w:tab w:val="left" w:pos="4752"/>
        </w:tabs>
        <w:spacing w:line="240" w:lineRule="exact"/>
        <w:jc w:val="both"/>
        <w:rPr>
          <w:color w:val="000080"/>
        </w:rPr>
      </w:pPr>
      <w:r>
        <w:rPr>
          <w:color w:val="000080"/>
        </w:rPr>
        <w:t>The CI has a long history of ‘Knee Pain’</w:t>
      </w:r>
      <w:r w:rsidRPr="005F476C">
        <w:rPr>
          <w:color w:val="000080"/>
        </w:rPr>
        <w:t>.  The first doctor’s visit was to the TMC in June 2000. At that t</w:t>
      </w:r>
      <w:r>
        <w:rPr>
          <w:color w:val="000080"/>
        </w:rPr>
        <w:t>ime the CI complained that the ‘</w:t>
      </w:r>
      <w:r w:rsidRPr="005F476C">
        <w:rPr>
          <w:color w:val="000080"/>
        </w:rPr>
        <w:t>pain mainly start</w:t>
      </w:r>
      <w:r>
        <w:rPr>
          <w:color w:val="000080"/>
        </w:rPr>
        <w:t>s after marching and running PT’</w:t>
      </w:r>
      <w:r w:rsidRPr="005F476C">
        <w:rPr>
          <w:color w:val="000080"/>
        </w:rPr>
        <w:t xml:space="preserve">.  Over the 6 year course of his </w:t>
      </w:r>
      <w:r w:rsidR="001C120D">
        <w:rPr>
          <w:color w:val="000080"/>
        </w:rPr>
        <w:t>m</w:t>
      </w:r>
      <w:r w:rsidRPr="005F476C">
        <w:rPr>
          <w:color w:val="000080"/>
        </w:rPr>
        <w:t>ilitary career, the CI made doctor’s visits on 10 occasio</w:t>
      </w:r>
      <w:r>
        <w:rPr>
          <w:color w:val="000080"/>
        </w:rPr>
        <w:t xml:space="preserve">ns with the </w:t>
      </w:r>
      <w:r w:rsidR="001C120D">
        <w:rPr>
          <w:color w:val="000080"/>
        </w:rPr>
        <w:t>c</w:t>
      </w:r>
      <w:r>
        <w:rPr>
          <w:color w:val="000080"/>
        </w:rPr>
        <w:t xml:space="preserve">hief </w:t>
      </w:r>
      <w:r w:rsidR="001C120D">
        <w:rPr>
          <w:color w:val="000080"/>
        </w:rPr>
        <w:t>c</w:t>
      </w:r>
      <w:r>
        <w:rPr>
          <w:color w:val="000080"/>
        </w:rPr>
        <w:t>omplaint of ‘Knee Pain’</w:t>
      </w:r>
      <w:r w:rsidRPr="005F476C">
        <w:rPr>
          <w:color w:val="000080"/>
        </w:rPr>
        <w:t>.  On 19 Jul 01, knee pain; 2 Oct 01, knee pain; 8</w:t>
      </w:r>
      <w:r w:rsidR="001C120D">
        <w:rPr>
          <w:color w:val="000080"/>
        </w:rPr>
        <w:t> </w:t>
      </w:r>
      <w:r w:rsidRPr="005F476C">
        <w:rPr>
          <w:color w:val="000080"/>
        </w:rPr>
        <w:t>Apr 02</w:t>
      </w:r>
      <w:r>
        <w:rPr>
          <w:color w:val="000080"/>
        </w:rPr>
        <w:t>, knee pain; Jan 03, knee pain ‘fell on ice’</w:t>
      </w:r>
      <w:r w:rsidRPr="005F476C">
        <w:rPr>
          <w:color w:val="000080"/>
        </w:rPr>
        <w:t>; 27 Jun 03, knee pain Fell playing basketball; 4 Aug 04 knee pain; 17 Aug 04, knee pain; 29 Aug 05, knee pain; 26 Sep 05, knee pain.</w:t>
      </w:r>
    </w:p>
    <w:p w:rsidR="005F476C" w:rsidRPr="005F476C" w:rsidRDefault="005F476C" w:rsidP="005F476C">
      <w:pPr>
        <w:tabs>
          <w:tab w:val="left" w:pos="288"/>
          <w:tab w:val="left" w:pos="4752"/>
        </w:tabs>
        <w:spacing w:line="240" w:lineRule="exact"/>
        <w:jc w:val="both"/>
        <w:rPr>
          <w:color w:val="000080"/>
        </w:rPr>
      </w:pPr>
    </w:p>
    <w:p w:rsidR="005F476C" w:rsidRDefault="005F476C" w:rsidP="005F476C">
      <w:pPr>
        <w:tabs>
          <w:tab w:val="left" w:pos="288"/>
          <w:tab w:val="left" w:pos="4752"/>
        </w:tabs>
        <w:spacing w:line="240" w:lineRule="exact"/>
        <w:jc w:val="both"/>
        <w:rPr>
          <w:color w:val="000080"/>
        </w:rPr>
      </w:pPr>
      <w:r w:rsidRPr="005F476C">
        <w:rPr>
          <w:color w:val="000080"/>
        </w:rPr>
        <w:t xml:space="preserve">On the 29 Aug 05 visit the doctor annotated </w:t>
      </w:r>
      <w:r>
        <w:rPr>
          <w:color w:val="000080"/>
        </w:rPr>
        <w:t>‘</w:t>
      </w:r>
      <w:r w:rsidRPr="005F476C">
        <w:rPr>
          <w:color w:val="000080"/>
        </w:rPr>
        <w:t>right knee joint pain accompanied by a popping sound, knee joint swelling on the right, on the left the knee joint feels unstable, knee suddenly buckled on righ</w:t>
      </w:r>
      <w:r>
        <w:rPr>
          <w:color w:val="000080"/>
        </w:rPr>
        <w:t>t’</w:t>
      </w:r>
      <w:r w:rsidRPr="005F476C">
        <w:rPr>
          <w:color w:val="000080"/>
        </w:rPr>
        <w:t>.</w:t>
      </w:r>
    </w:p>
    <w:p w:rsidR="005F476C" w:rsidRPr="005F476C" w:rsidRDefault="005F476C" w:rsidP="005F476C">
      <w:pPr>
        <w:tabs>
          <w:tab w:val="left" w:pos="288"/>
          <w:tab w:val="left" w:pos="4752"/>
        </w:tabs>
        <w:spacing w:line="240" w:lineRule="exact"/>
        <w:jc w:val="both"/>
        <w:rPr>
          <w:color w:val="000080"/>
        </w:rPr>
      </w:pPr>
    </w:p>
    <w:p w:rsidR="005F476C" w:rsidRDefault="005F476C" w:rsidP="005F476C">
      <w:pPr>
        <w:tabs>
          <w:tab w:val="left" w:pos="288"/>
          <w:tab w:val="left" w:pos="4752"/>
        </w:tabs>
        <w:spacing w:line="240" w:lineRule="exact"/>
        <w:jc w:val="both"/>
        <w:rPr>
          <w:color w:val="000080"/>
        </w:rPr>
      </w:pPr>
      <w:r w:rsidRPr="005F476C">
        <w:rPr>
          <w:color w:val="000080"/>
        </w:rPr>
        <w:t>On 2</w:t>
      </w:r>
      <w:r>
        <w:rPr>
          <w:color w:val="000080"/>
        </w:rPr>
        <w:t>6 Sep 05 the MRI report noted, ‘</w:t>
      </w:r>
      <w:r w:rsidRPr="005F476C">
        <w:rPr>
          <w:color w:val="000080"/>
        </w:rPr>
        <w:t xml:space="preserve">The </w:t>
      </w:r>
      <w:proofErr w:type="spellStart"/>
      <w:r w:rsidRPr="005F476C">
        <w:rPr>
          <w:color w:val="000080"/>
        </w:rPr>
        <w:t>condylar</w:t>
      </w:r>
      <w:proofErr w:type="spellEnd"/>
      <w:r w:rsidRPr="005F476C">
        <w:rPr>
          <w:color w:val="000080"/>
        </w:rPr>
        <w:t xml:space="preserve"> surfaces are unremarkable. A small patchy area of increased signal intensity of T2 weighted images is present with the </w:t>
      </w:r>
      <w:proofErr w:type="spellStart"/>
      <w:r w:rsidRPr="005F476C">
        <w:rPr>
          <w:color w:val="000080"/>
        </w:rPr>
        <w:t>intercondylar</w:t>
      </w:r>
      <w:proofErr w:type="spellEnd"/>
      <w:r w:rsidRPr="005F476C">
        <w:rPr>
          <w:color w:val="000080"/>
        </w:rPr>
        <w:t xml:space="preserve"> portion of the distal femur surrounding the ACL insertion.  Again, the anterior </w:t>
      </w:r>
      <w:proofErr w:type="spellStart"/>
      <w:r w:rsidRPr="005F476C">
        <w:rPr>
          <w:color w:val="000080"/>
        </w:rPr>
        <w:t>cruciate</w:t>
      </w:r>
      <w:proofErr w:type="spellEnd"/>
      <w:r w:rsidRPr="005F476C">
        <w:rPr>
          <w:color w:val="000080"/>
        </w:rPr>
        <w:t xml:space="preserve"> ligament is intact. This may be the </w:t>
      </w:r>
      <w:proofErr w:type="spellStart"/>
      <w:r w:rsidRPr="005F476C">
        <w:rPr>
          <w:color w:val="000080"/>
        </w:rPr>
        <w:t>sequela</w:t>
      </w:r>
      <w:proofErr w:type="spellEnd"/>
      <w:r w:rsidRPr="005F476C">
        <w:rPr>
          <w:color w:val="000080"/>
        </w:rPr>
        <w:t xml:space="preserve"> of prior injury, direct contusion, or stress related changes. Mild amount of increased signal intensity is seen within the </w:t>
      </w:r>
      <w:proofErr w:type="spellStart"/>
      <w:r w:rsidRPr="005F476C">
        <w:rPr>
          <w:color w:val="000080"/>
        </w:rPr>
        <w:t>suprapatellar</w:t>
      </w:r>
      <w:proofErr w:type="spellEnd"/>
      <w:r w:rsidRPr="005F476C">
        <w:rPr>
          <w:color w:val="000080"/>
        </w:rPr>
        <w:t xml:space="preserve"> fat pad.  </w:t>
      </w:r>
      <w:proofErr w:type="gramStart"/>
      <w:r w:rsidRPr="005F476C">
        <w:rPr>
          <w:color w:val="000080"/>
        </w:rPr>
        <w:t xml:space="preserve">Mild edema involving the </w:t>
      </w:r>
      <w:proofErr w:type="spellStart"/>
      <w:r w:rsidRPr="005F476C">
        <w:rPr>
          <w:color w:val="000080"/>
        </w:rPr>
        <w:t>suprapatellar</w:t>
      </w:r>
      <w:proofErr w:type="spellEnd"/>
      <w:r w:rsidRPr="005F476C">
        <w:rPr>
          <w:color w:val="000080"/>
        </w:rPr>
        <w:t xml:space="preserve"> fat pad.</w:t>
      </w:r>
      <w:proofErr w:type="gramEnd"/>
      <w:r w:rsidRPr="005F476C">
        <w:rPr>
          <w:color w:val="000080"/>
        </w:rPr>
        <w:t xml:space="preserve">  This may support </w:t>
      </w:r>
      <w:proofErr w:type="spellStart"/>
      <w:r w:rsidRPr="005F476C">
        <w:rPr>
          <w:color w:val="000080"/>
        </w:rPr>
        <w:t>suprapatellar</w:t>
      </w:r>
      <w:proofErr w:type="spellEnd"/>
      <w:r w:rsidRPr="005F476C">
        <w:rPr>
          <w:color w:val="000080"/>
        </w:rPr>
        <w:t xml:space="preserve"> fat pad impingement</w:t>
      </w:r>
      <w:r>
        <w:rPr>
          <w:color w:val="000080"/>
        </w:rPr>
        <w:t>.’</w:t>
      </w:r>
    </w:p>
    <w:p w:rsidR="005F476C" w:rsidRPr="005F476C" w:rsidRDefault="005F476C" w:rsidP="005F476C">
      <w:pPr>
        <w:tabs>
          <w:tab w:val="left" w:pos="288"/>
          <w:tab w:val="left" w:pos="4752"/>
        </w:tabs>
        <w:spacing w:line="240" w:lineRule="exact"/>
        <w:jc w:val="both"/>
        <w:rPr>
          <w:color w:val="000080"/>
        </w:rPr>
      </w:pPr>
    </w:p>
    <w:p w:rsidR="005F476C" w:rsidRPr="005F476C" w:rsidRDefault="005F476C" w:rsidP="005F476C">
      <w:pPr>
        <w:tabs>
          <w:tab w:val="left" w:pos="288"/>
          <w:tab w:val="left" w:pos="4752"/>
        </w:tabs>
        <w:spacing w:line="240" w:lineRule="exact"/>
        <w:jc w:val="both"/>
        <w:rPr>
          <w:color w:val="000080"/>
        </w:rPr>
      </w:pPr>
      <w:r w:rsidRPr="005F476C">
        <w:rPr>
          <w:color w:val="000080"/>
        </w:rPr>
        <w:t>There is adequate supporting evidence and substantial reasonable doubt favoring the applicant for recommending separate joint ratings in this case. Based on the collective medical reports, I maintain that the fair recommendation is a lumbar rating of 10% coded 5242 plus separate 10% ratings for each knee coded 5099-5024.  This produces a combined disability rating of 30% and appropriately provides for medical retirement.</w:t>
      </w:r>
    </w:p>
    <w:p w:rsidR="00483E63" w:rsidRDefault="00483E63">
      <w:pPr>
        <w:rPr>
          <w:color w:val="000080"/>
        </w:rPr>
      </w:pPr>
      <w:r>
        <w:rPr>
          <w:color w:val="000080"/>
        </w:rPr>
        <w:br w:type="page"/>
      </w:r>
    </w:p>
    <w:p w:rsidR="00483E63" w:rsidRDefault="00483E63" w:rsidP="00483E63">
      <w:pPr>
        <w:pStyle w:val="Default"/>
        <w:framePr w:w="17055" w:wrap="auto" w:vAnchor="page" w:hAnchor="page" w:x="1" w:y="1"/>
      </w:pPr>
      <w:r>
        <w:rPr>
          <w:noProof/>
        </w:rPr>
        <w:lastRenderedPageBreak/>
        <w:drawing>
          <wp:inline distT="0" distB="0" distL="0" distR="0">
            <wp:extent cx="7801610" cy="1003300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1610" cy="10033000"/>
                    </a:xfrm>
                    <a:prstGeom prst="rect">
                      <a:avLst/>
                    </a:prstGeom>
                    <a:noFill/>
                    <a:ln w="9525">
                      <a:noFill/>
                      <a:miter lim="800000"/>
                      <a:headEnd/>
                      <a:tailEnd/>
                    </a:ln>
                  </pic:spPr>
                </pic:pic>
              </a:graphicData>
            </a:graphic>
          </wp:inline>
        </w:drawing>
      </w:r>
    </w:p>
    <w:p w:rsidR="00AA04B3" w:rsidRDefault="00AA04B3" w:rsidP="00875F2D">
      <w:pPr>
        <w:tabs>
          <w:tab w:val="left" w:pos="288"/>
          <w:tab w:val="left" w:pos="4320"/>
          <w:tab w:val="left" w:pos="4410"/>
          <w:tab w:val="left" w:pos="4770"/>
          <w:tab w:val="left" w:pos="4860"/>
          <w:tab w:val="left" w:pos="5040"/>
        </w:tabs>
        <w:spacing w:line="240" w:lineRule="exact"/>
        <w:jc w:val="both"/>
        <w:rPr>
          <w:color w:val="000080"/>
        </w:rPr>
      </w:pPr>
    </w:p>
    <w:sectPr w:rsidR="00AA04B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A19" w:rsidRDefault="00FC5A19">
      <w:r>
        <w:separator/>
      </w:r>
    </w:p>
  </w:endnote>
  <w:endnote w:type="continuationSeparator" w:id="0">
    <w:p w:rsidR="00FC5A19" w:rsidRDefault="00FC5A19">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8C1C0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8C1C0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483E63">
      <w:rPr>
        <w:rStyle w:val="PageNumber"/>
        <w:noProof/>
      </w:rPr>
      <w:t>6</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4F68E8">
      <w:rPr>
        <w:caps/>
        <w:color w:val="000080"/>
      </w:rPr>
      <w:t>033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A19" w:rsidRDefault="00FC5A19">
      <w:r>
        <w:separator/>
      </w:r>
    </w:p>
  </w:footnote>
  <w:footnote w:type="continuationSeparator" w:id="0">
    <w:p w:rsidR="00FC5A19" w:rsidRDefault="00FC5A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0385"/>
  </w:hdrShapeDefaults>
  <w:footnotePr>
    <w:numRestart w:val="eachSect"/>
    <w:footnote w:id="-1"/>
    <w:footnote w:id="0"/>
  </w:footnotePr>
  <w:endnotePr>
    <w:endnote w:id="-1"/>
    <w:endnote w:id="0"/>
  </w:endnotePr>
  <w:compat/>
  <w:rsids>
    <w:rsidRoot w:val="001C28D1"/>
    <w:rsid w:val="000059FA"/>
    <w:rsid w:val="00006F87"/>
    <w:rsid w:val="00010ABA"/>
    <w:rsid w:val="00013417"/>
    <w:rsid w:val="000145C2"/>
    <w:rsid w:val="0001473F"/>
    <w:rsid w:val="00023D43"/>
    <w:rsid w:val="00032E07"/>
    <w:rsid w:val="000332CA"/>
    <w:rsid w:val="0003374E"/>
    <w:rsid w:val="000344E6"/>
    <w:rsid w:val="00035C3A"/>
    <w:rsid w:val="000366CD"/>
    <w:rsid w:val="00036E4B"/>
    <w:rsid w:val="000379D0"/>
    <w:rsid w:val="00040FC4"/>
    <w:rsid w:val="000416F8"/>
    <w:rsid w:val="00051622"/>
    <w:rsid w:val="00052234"/>
    <w:rsid w:val="00053D7C"/>
    <w:rsid w:val="000577C9"/>
    <w:rsid w:val="0006431E"/>
    <w:rsid w:val="00072433"/>
    <w:rsid w:val="000775C2"/>
    <w:rsid w:val="000806AD"/>
    <w:rsid w:val="00082482"/>
    <w:rsid w:val="0008708B"/>
    <w:rsid w:val="00094E4F"/>
    <w:rsid w:val="000A2BCE"/>
    <w:rsid w:val="000A41E3"/>
    <w:rsid w:val="000A4BBA"/>
    <w:rsid w:val="000A5071"/>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427B"/>
    <w:rsid w:val="001008C1"/>
    <w:rsid w:val="001039BD"/>
    <w:rsid w:val="00103BF7"/>
    <w:rsid w:val="00103CCF"/>
    <w:rsid w:val="0010417F"/>
    <w:rsid w:val="001042D2"/>
    <w:rsid w:val="0010530E"/>
    <w:rsid w:val="001103CD"/>
    <w:rsid w:val="00110E72"/>
    <w:rsid w:val="00114F20"/>
    <w:rsid w:val="00117E52"/>
    <w:rsid w:val="001219DF"/>
    <w:rsid w:val="001231DC"/>
    <w:rsid w:val="001272AE"/>
    <w:rsid w:val="001315DD"/>
    <w:rsid w:val="00135385"/>
    <w:rsid w:val="001364D1"/>
    <w:rsid w:val="00142EBA"/>
    <w:rsid w:val="00153740"/>
    <w:rsid w:val="001541C5"/>
    <w:rsid w:val="0015623F"/>
    <w:rsid w:val="00161E0F"/>
    <w:rsid w:val="00164B29"/>
    <w:rsid w:val="00166182"/>
    <w:rsid w:val="00175E10"/>
    <w:rsid w:val="00177659"/>
    <w:rsid w:val="001779E5"/>
    <w:rsid w:val="00182A4C"/>
    <w:rsid w:val="00183F77"/>
    <w:rsid w:val="00185ECB"/>
    <w:rsid w:val="001870F0"/>
    <w:rsid w:val="0019273F"/>
    <w:rsid w:val="00193AD5"/>
    <w:rsid w:val="00194930"/>
    <w:rsid w:val="001A08CD"/>
    <w:rsid w:val="001A7538"/>
    <w:rsid w:val="001B3D3D"/>
    <w:rsid w:val="001B4EC2"/>
    <w:rsid w:val="001B5B59"/>
    <w:rsid w:val="001C120D"/>
    <w:rsid w:val="001C181A"/>
    <w:rsid w:val="001C2053"/>
    <w:rsid w:val="001C28D1"/>
    <w:rsid w:val="001C5CFC"/>
    <w:rsid w:val="001C7418"/>
    <w:rsid w:val="001D0051"/>
    <w:rsid w:val="001D2224"/>
    <w:rsid w:val="001D68CF"/>
    <w:rsid w:val="001D6A8C"/>
    <w:rsid w:val="001D7A56"/>
    <w:rsid w:val="001E18E0"/>
    <w:rsid w:val="001E18E2"/>
    <w:rsid w:val="001F4574"/>
    <w:rsid w:val="001F6FA1"/>
    <w:rsid w:val="001F7022"/>
    <w:rsid w:val="00200AA0"/>
    <w:rsid w:val="00202736"/>
    <w:rsid w:val="00203652"/>
    <w:rsid w:val="002060B6"/>
    <w:rsid w:val="00216049"/>
    <w:rsid w:val="00217C09"/>
    <w:rsid w:val="00217E53"/>
    <w:rsid w:val="00220F5C"/>
    <w:rsid w:val="00225196"/>
    <w:rsid w:val="00225CB4"/>
    <w:rsid w:val="0023049F"/>
    <w:rsid w:val="00232C9B"/>
    <w:rsid w:val="00232F09"/>
    <w:rsid w:val="002335D5"/>
    <w:rsid w:val="002338CA"/>
    <w:rsid w:val="00233FE5"/>
    <w:rsid w:val="0023478B"/>
    <w:rsid w:val="0024174E"/>
    <w:rsid w:val="0024227D"/>
    <w:rsid w:val="00246860"/>
    <w:rsid w:val="00246DFF"/>
    <w:rsid w:val="00246E89"/>
    <w:rsid w:val="0025183C"/>
    <w:rsid w:val="002528EC"/>
    <w:rsid w:val="00255049"/>
    <w:rsid w:val="00260531"/>
    <w:rsid w:val="0026318D"/>
    <w:rsid w:val="00270864"/>
    <w:rsid w:val="002712F7"/>
    <w:rsid w:val="0027159C"/>
    <w:rsid w:val="00274549"/>
    <w:rsid w:val="00274E46"/>
    <w:rsid w:val="00276C86"/>
    <w:rsid w:val="002A3237"/>
    <w:rsid w:val="002A685E"/>
    <w:rsid w:val="002A72C7"/>
    <w:rsid w:val="002B03B2"/>
    <w:rsid w:val="002B0749"/>
    <w:rsid w:val="002B2645"/>
    <w:rsid w:val="002C6E5B"/>
    <w:rsid w:val="002C7E3D"/>
    <w:rsid w:val="002D18B4"/>
    <w:rsid w:val="002D231A"/>
    <w:rsid w:val="002E1877"/>
    <w:rsid w:val="002E1C31"/>
    <w:rsid w:val="002E333A"/>
    <w:rsid w:val="002E3474"/>
    <w:rsid w:val="002E400C"/>
    <w:rsid w:val="002E49C3"/>
    <w:rsid w:val="002E7570"/>
    <w:rsid w:val="002E764B"/>
    <w:rsid w:val="002F0E28"/>
    <w:rsid w:val="002F287E"/>
    <w:rsid w:val="002F2D63"/>
    <w:rsid w:val="002F7F81"/>
    <w:rsid w:val="00302754"/>
    <w:rsid w:val="0030678B"/>
    <w:rsid w:val="00310CD7"/>
    <w:rsid w:val="00323E70"/>
    <w:rsid w:val="003268BC"/>
    <w:rsid w:val="00326F7F"/>
    <w:rsid w:val="003320E8"/>
    <w:rsid w:val="0033555E"/>
    <w:rsid w:val="00336805"/>
    <w:rsid w:val="00337351"/>
    <w:rsid w:val="00341A54"/>
    <w:rsid w:val="0034669F"/>
    <w:rsid w:val="00351498"/>
    <w:rsid w:val="00352B22"/>
    <w:rsid w:val="003567DE"/>
    <w:rsid w:val="0036319E"/>
    <w:rsid w:val="003632A4"/>
    <w:rsid w:val="00363362"/>
    <w:rsid w:val="00370EF5"/>
    <w:rsid w:val="00372251"/>
    <w:rsid w:val="0037520D"/>
    <w:rsid w:val="0037628C"/>
    <w:rsid w:val="00376B81"/>
    <w:rsid w:val="00377BD2"/>
    <w:rsid w:val="003821E1"/>
    <w:rsid w:val="00384866"/>
    <w:rsid w:val="003857D4"/>
    <w:rsid w:val="00385D6F"/>
    <w:rsid w:val="00387095"/>
    <w:rsid w:val="00390092"/>
    <w:rsid w:val="00393651"/>
    <w:rsid w:val="003A41BA"/>
    <w:rsid w:val="003A6A99"/>
    <w:rsid w:val="003B227A"/>
    <w:rsid w:val="003C0BD0"/>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72DB"/>
    <w:rsid w:val="00422B75"/>
    <w:rsid w:val="00433F36"/>
    <w:rsid w:val="0043503A"/>
    <w:rsid w:val="0044384F"/>
    <w:rsid w:val="00446018"/>
    <w:rsid w:val="004543BC"/>
    <w:rsid w:val="0045645D"/>
    <w:rsid w:val="004574C6"/>
    <w:rsid w:val="00457BCF"/>
    <w:rsid w:val="00457DCE"/>
    <w:rsid w:val="00460E3F"/>
    <w:rsid w:val="00467592"/>
    <w:rsid w:val="004718E7"/>
    <w:rsid w:val="004761CC"/>
    <w:rsid w:val="00481DA1"/>
    <w:rsid w:val="00483E63"/>
    <w:rsid w:val="0049445D"/>
    <w:rsid w:val="00495350"/>
    <w:rsid w:val="00497156"/>
    <w:rsid w:val="004A12A3"/>
    <w:rsid w:val="004A24D2"/>
    <w:rsid w:val="004A4136"/>
    <w:rsid w:val="004A417B"/>
    <w:rsid w:val="004B03F3"/>
    <w:rsid w:val="004B6AF3"/>
    <w:rsid w:val="004B715E"/>
    <w:rsid w:val="004B7169"/>
    <w:rsid w:val="004B79C9"/>
    <w:rsid w:val="004C5E33"/>
    <w:rsid w:val="004C6CDA"/>
    <w:rsid w:val="004D10D4"/>
    <w:rsid w:val="004D16BD"/>
    <w:rsid w:val="004D6F2B"/>
    <w:rsid w:val="004E0248"/>
    <w:rsid w:val="004E21A3"/>
    <w:rsid w:val="004E32EA"/>
    <w:rsid w:val="004F3222"/>
    <w:rsid w:val="004F3BFA"/>
    <w:rsid w:val="004F68E8"/>
    <w:rsid w:val="00510588"/>
    <w:rsid w:val="0051146C"/>
    <w:rsid w:val="00520ED2"/>
    <w:rsid w:val="005222E7"/>
    <w:rsid w:val="00523E04"/>
    <w:rsid w:val="0052590B"/>
    <w:rsid w:val="00526591"/>
    <w:rsid w:val="00527178"/>
    <w:rsid w:val="005350A5"/>
    <w:rsid w:val="00536379"/>
    <w:rsid w:val="005400C5"/>
    <w:rsid w:val="00540BEF"/>
    <w:rsid w:val="005436C2"/>
    <w:rsid w:val="0055288D"/>
    <w:rsid w:val="00555259"/>
    <w:rsid w:val="00560D57"/>
    <w:rsid w:val="00562A94"/>
    <w:rsid w:val="005710A9"/>
    <w:rsid w:val="00593043"/>
    <w:rsid w:val="00594573"/>
    <w:rsid w:val="005957A7"/>
    <w:rsid w:val="005A258C"/>
    <w:rsid w:val="005A3560"/>
    <w:rsid w:val="005A6C99"/>
    <w:rsid w:val="005B011A"/>
    <w:rsid w:val="005B1D8F"/>
    <w:rsid w:val="005B5B3D"/>
    <w:rsid w:val="005D1B60"/>
    <w:rsid w:val="005E3064"/>
    <w:rsid w:val="005F1115"/>
    <w:rsid w:val="005F27F2"/>
    <w:rsid w:val="005F424D"/>
    <w:rsid w:val="005F476C"/>
    <w:rsid w:val="00606BEB"/>
    <w:rsid w:val="00613E26"/>
    <w:rsid w:val="00615641"/>
    <w:rsid w:val="00615FE4"/>
    <w:rsid w:val="0061633B"/>
    <w:rsid w:val="006211D0"/>
    <w:rsid w:val="00624D0C"/>
    <w:rsid w:val="006307BA"/>
    <w:rsid w:val="00634C4A"/>
    <w:rsid w:val="0063532E"/>
    <w:rsid w:val="00637BDC"/>
    <w:rsid w:val="006418C9"/>
    <w:rsid w:val="00645046"/>
    <w:rsid w:val="00645EA2"/>
    <w:rsid w:val="00662F08"/>
    <w:rsid w:val="00663589"/>
    <w:rsid w:val="00670DDC"/>
    <w:rsid w:val="00671EB4"/>
    <w:rsid w:val="0067443B"/>
    <w:rsid w:val="00684E2B"/>
    <w:rsid w:val="00690FDA"/>
    <w:rsid w:val="00694EEA"/>
    <w:rsid w:val="006955B4"/>
    <w:rsid w:val="00696476"/>
    <w:rsid w:val="006A10FA"/>
    <w:rsid w:val="006A40E6"/>
    <w:rsid w:val="006A5C07"/>
    <w:rsid w:val="006A75FA"/>
    <w:rsid w:val="006B07D5"/>
    <w:rsid w:val="006B1309"/>
    <w:rsid w:val="006B5923"/>
    <w:rsid w:val="006B67D9"/>
    <w:rsid w:val="006B6C14"/>
    <w:rsid w:val="006C3A68"/>
    <w:rsid w:val="006C3D97"/>
    <w:rsid w:val="006C6AB1"/>
    <w:rsid w:val="006D2D39"/>
    <w:rsid w:val="006E06D1"/>
    <w:rsid w:val="006E2DC8"/>
    <w:rsid w:val="006E7356"/>
    <w:rsid w:val="006E77C8"/>
    <w:rsid w:val="006F149D"/>
    <w:rsid w:val="006F1A46"/>
    <w:rsid w:val="006F5A4E"/>
    <w:rsid w:val="006F6883"/>
    <w:rsid w:val="00703B6C"/>
    <w:rsid w:val="00706482"/>
    <w:rsid w:val="00706BEF"/>
    <w:rsid w:val="007116BC"/>
    <w:rsid w:val="007165CE"/>
    <w:rsid w:val="00720968"/>
    <w:rsid w:val="00721D12"/>
    <w:rsid w:val="00721F8B"/>
    <w:rsid w:val="00722C01"/>
    <w:rsid w:val="0073254D"/>
    <w:rsid w:val="00736A49"/>
    <w:rsid w:val="00742752"/>
    <w:rsid w:val="00743B71"/>
    <w:rsid w:val="00743C2D"/>
    <w:rsid w:val="00744EBB"/>
    <w:rsid w:val="00746AE2"/>
    <w:rsid w:val="00750C82"/>
    <w:rsid w:val="0076100C"/>
    <w:rsid w:val="007651ED"/>
    <w:rsid w:val="00766C87"/>
    <w:rsid w:val="00781BD4"/>
    <w:rsid w:val="00784832"/>
    <w:rsid w:val="00785D77"/>
    <w:rsid w:val="00786111"/>
    <w:rsid w:val="00791426"/>
    <w:rsid w:val="00791F1E"/>
    <w:rsid w:val="00794F3D"/>
    <w:rsid w:val="007951D9"/>
    <w:rsid w:val="007A0B39"/>
    <w:rsid w:val="007A14A4"/>
    <w:rsid w:val="007A168F"/>
    <w:rsid w:val="007A28E4"/>
    <w:rsid w:val="007A3BB3"/>
    <w:rsid w:val="007A52A0"/>
    <w:rsid w:val="007A5AD1"/>
    <w:rsid w:val="007A5B7B"/>
    <w:rsid w:val="007B0A06"/>
    <w:rsid w:val="007B5C5C"/>
    <w:rsid w:val="007B7C41"/>
    <w:rsid w:val="007C433E"/>
    <w:rsid w:val="007C4DB1"/>
    <w:rsid w:val="007D0292"/>
    <w:rsid w:val="007D21AC"/>
    <w:rsid w:val="007D568A"/>
    <w:rsid w:val="007D574E"/>
    <w:rsid w:val="007E2046"/>
    <w:rsid w:val="007E4FBB"/>
    <w:rsid w:val="007E55BF"/>
    <w:rsid w:val="007E71B1"/>
    <w:rsid w:val="007E7B4E"/>
    <w:rsid w:val="007F0CE2"/>
    <w:rsid w:val="007F0EFF"/>
    <w:rsid w:val="007F1375"/>
    <w:rsid w:val="00803850"/>
    <w:rsid w:val="00805AFD"/>
    <w:rsid w:val="00811D5B"/>
    <w:rsid w:val="00812B85"/>
    <w:rsid w:val="00817713"/>
    <w:rsid w:val="008219D2"/>
    <w:rsid w:val="00830999"/>
    <w:rsid w:val="00830D5E"/>
    <w:rsid w:val="00830F69"/>
    <w:rsid w:val="00834458"/>
    <w:rsid w:val="00835841"/>
    <w:rsid w:val="00837465"/>
    <w:rsid w:val="00841457"/>
    <w:rsid w:val="00841A68"/>
    <w:rsid w:val="0084374E"/>
    <w:rsid w:val="00844842"/>
    <w:rsid w:val="0085206E"/>
    <w:rsid w:val="00852AD4"/>
    <w:rsid w:val="00852BA8"/>
    <w:rsid w:val="00853718"/>
    <w:rsid w:val="008541EF"/>
    <w:rsid w:val="00856694"/>
    <w:rsid w:val="00856FA4"/>
    <w:rsid w:val="0086162B"/>
    <w:rsid w:val="00865207"/>
    <w:rsid w:val="008656A7"/>
    <w:rsid w:val="00871262"/>
    <w:rsid w:val="00871D4E"/>
    <w:rsid w:val="00871E7B"/>
    <w:rsid w:val="00875B51"/>
    <w:rsid w:val="00875F2D"/>
    <w:rsid w:val="008764DC"/>
    <w:rsid w:val="00883930"/>
    <w:rsid w:val="0088595C"/>
    <w:rsid w:val="00896535"/>
    <w:rsid w:val="00896683"/>
    <w:rsid w:val="008A4FF4"/>
    <w:rsid w:val="008A63A9"/>
    <w:rsid w:val="008B04DB"/>
    <w:rsid w:val="008B3AF2"/>
    <w:rsid w:val="008B515D"/>
    <w:rsid w:val="008B5D31"/>
    <w:rsid w:val="008B6705"/>
    <w:rsid w:val="008C1C03"/>
    <w:rsid w:val="008D7B07"/>
    <w:rsid w:val="008E2D99"/>
    <w:rsid w:val="008E4A60"/>
    <w:rsid w:val="009026E8"/>
    <w:rsid w:val="00906EB7"/>
    <w:rsid w:val="009102BF"/>
    <w:rsid w:val="00914186"/>
    <w:rsid w:val="00914ADB"/>
    <w:rsid w:val="00923B25"/>
    <w:rsid w:val="0092402E"/>
    <w:rsid w:val="00926FCB"/>
    <w:rsid w:val="00942645"/>
    <w:rsid w:val="00950A3A"/>
    <w:rsid w:val="0095340A"/>
    <w:rsid w:val="00954581"/>
    <w:rsid w:val="0095466C"/>
    <w:rsid w:val="00960357"/>
    <w:rsid w:val="0096168C"/>
    <w:rsid w:val="00961840"/>
    <w:rsid w:val="00962F2D"/>
    <w:rsid w:val="009672CD"/>
    <w:rsid w:val="00972996"/>
    <w:rsid w:val="009732B8"/>
    <w:rsid w:val="00976477"/>
    <w:rsid w:val="00976869"/>
    <w:rsid w:val="00977740"/>
    <w:rsid w:val="00977CB4"/>
    <w:rsid w:val="009809B8"/>
    <w:rsid w:val="00985099"/>
    <w:rsid w:val="0099421F"/>
    <w:rsid w:val="009A0DE3"/>
    <w:rsid w:val="009A3127"/>
    <w:rsid w:val="009A4F1B"/>
    <w:rsid w:val="009A79BA"/>
    <w:rsid w:val="009B1534"/>
    <w:rsid w:val="009B1748"/>
    <w:rsid w:val="009B4A3B"/>
    <w:rsid w:val="009B69D3"/>
    <w:rsid w:val="009B7BA7"/>
    <w:rsid w:val="009C0938"/>
    <w:rsid w:val="009C3F82"/>
    <w:rsid w:val="009C72DD"/>
    <w:rsid w:val="009C7DF5"/>
    <w:rsid w:val="009D056C"/>
    <w:rsid w:val="009D060F"/>
    <w:rsid w:val="009D1ADE"/>
    <w:rsid w:val="009E09D0"/>
    <w:rsid w:val="009E1283"/>
    <w:rsid w:val="009E3A7F"/>
    <w:rsid w:val="009E57B1"/>
    <w:rsid w:val="009F7809"/>
    <w:rsid w:val="009F7AF5"/>
    <w:rsid w:val="00A00D14"/>
    <w:rsid w:val="00A01408"/>
    <w:rsid w:val="00A02457"/>
    <w:rsid w:val="00A0404B"/>
    <w:rsid w:val="00A1105B"/>
    <w:rsid w:val="00A15B6B"/>
    <w:rsid w:val="00A15EB4"/>
    <w:rsid w:val="00A16876"/>
    <w:rsid w:val="00A200AA"/>
    <w:rsid w:val="00A2186F"/>
    <w:rsid w:val="00A2270B"/>
    <w:rsid w:val="00A23B89"/>
    <w:rsid w:val="00A2496E"/>
    <w:rsid w:val="00A258B7"/>
    <w:rsid w:val="00A32743"/>
    <w:rsid w:val="00A414A9"/>
    <w:rsid w:val="00A44D75"/>
    <w:rsid w:val="00A47CF1"/>
    <w:rsid w:val="00A50418"/>
    <w:rsid w:val="00A56A33"/>
    <w:rsid w:val="00A56D26"/>
    <w:rsid w:val="00A608FB"/>
    <w:rsid w:val="00A65C78"/>
    <w:rsid w:val="00A70E7B"/>
    <w:rsid w:val="00A73B84"/>
    <w:rsid w:val="00A7411D"/>
    <w:rsid w:val="00A76094"/>
    <w:rsid w:val="00A768E2"/>
    <w:rsid w:val="00A82C52"/>
    <w:rsid w:val="00A86CB6"/>
    <w:rsid w:val="00A90D55"/>
    <w:rsid w:val="00A961EE"/>
    <w:rsid w:val="00AA04B3"/>
    <w:rsid w:val="00AA493E"/>
    <w:rsid w:val="00AA73AF"/>
    <w:rsid w:val="00AB1754"/>
    <w:rsid w:val="00AB384B"/>
    <w:rsid w:val="00AC439D"/>
    <w:rsid w:val="00AD067E"/>
    <w:rsid w:val="00AD68C5"/>
    <w:rsid w:val="00AE1273"/>
    <w:rsid w:val="00AE2D29"/>
    <w:rsid w:val="00AE4624"/>
    <w:rsid w:val="00AE5E14"/>
    <w:rsid w:val="00AF2626"/>
    <w:rsid w:val="00AF4FA5"/>
    <w:rsid w:val="00AF7CAD"/>
    <w:rsid w:val="00B14B39"/>
    <w:rsid w:val="00B15D30"/>
    <w:rsid w:val="00B232C2"/>
    <w:rsid w:val="00B23436"/>
    <w:rsid w:val="00B32179"/>
    <w:rsid w:val="00B331A9"/>
    <w:rsid w:val="00B365B6"/>
    <w:rsid w:val="00B40A3E"/>
    <w:rsid w:val="00B50227"/>
    <w:rsid w:val="00B522CD"/>
    <w:rsid w:val="00B55917"/>
    <w:rsid w:val="00B64DD6"/>
    <w:rsid w:val="00B72303"/>
    <w:rsid w:val="00B82277"/>
    <w:rsid w:val="00B91676"/>
    <w:rsid w:val="00B95833"/>
    <w:rsid w:val="00BA2D98"/>
    <w:rsid w:val="00BA30D1"/>
    <w:rsid w:val="00BA4609"/>
    <w:rsid w:val="00BA5BE2"/>
    <w:rsid w:val="00BA7F46"/>
    <w:rsid w:val="00BB0A0A"/>
    <w:rsid w:val="00BB45B5"/>
    <w:rsid w:val="00BB6064"/>
    <w:rsid w:val="00BC09D1"/>
    <w:rsid w:val="00BD40AB"/>
    <w:rsid w:val="00BD6806"/>
    <w:rsid w:val="00BD7433"/>
    <w:rsid w:val="00BD7831"/>
    <w:rsid w:val="00BD7C10"/>
    <w:rsid w:val="00BE046F"/>
    <w:rsid w:val="00BE0DEB"/>
    <w:rsid w:val="00BE2FC1"/>
    <w:rsid w:val="00BE6365"/>
    <w:rsid w:val="00BF0B7F"/>
    <w:rsid w:val="00BF4720"/>
    <w:rsid w:val="00BF69DD"/>
    <w:rsid w:val="00BF74B8"/>
    <w:rsid w:val="00C038EC"/>
    <w:rsid w:val="00C13B34"/>
    <w:rsid w:val="00C1713D"/>
    <w:rsid w:val="00C177E1"/>
    <w:rsid w:val="00C177F1"/>
    <w:rsid w:val="00C25978"/>
    <w:rsid w:val="00C261C6"/>
    <w:rsid w:val="00C27C75"/>
    <w:rsid w:val="00C30A97"/>
    <w:rsid w:val="00C31DDC"/>
    <w:rsid w:val="00C34326"/>
    <w:rsid w:val="00C36201"/>
    <w:rsid w:val="00C368E8"/>
    <w:rsid w:val="00C42443"/>
    <w:rsid w:val="00C42CBA"/>
    <w:rsid w:val="00C5019E"/>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68D"/>
    <w:rsid w:val="00CA081A"/>
    <w:rsid w:val="00CA282D"/>
    <w:rsid w:val="00CA335B"/>
    <w:rsid w:val="00CA4670"/>
    <w:rsid w:val="00CA6B1A"/>
    <w:rsid w:val="00CB20DC"/>
    <w:rsid w:val="00CB23DC"/>
    <w:rsid w:val="00CB28E2"/>
    <w:rsid w:val="00CB7FF7"/>
    <w:rsid w:val="00CC19B3"/>
    <w:rsid w:val="00CC2044"/>
    <w:rsid w:val="00CC39D2"/>
    <w:rsid w:val="00CC69EC"/>
    <w:rsid w:val="00CD15BE"/>
    <w:rsid w:val="00CD34C7"/>
    <w:rsid w:val="00CD63C8"/>
    <w:rsid w:val="00CF09CA"/>
    <w:rsid w:val="00CF158D"/>
    <w:rsid w:val="00CF4394"/>
    <w:rsid w:val="00D0691D"/>
    <w:rsid w:val="00D10577"/>
    <w:rsid w:val="00D14BAE"/>
    <w:rsid w:val="00D1648B"/>
    <w:rsid w:val="00D16819"/>
    <w:rsid w:val="00D20390"/>
    <w:rsid w:val="00D20AC0"/>
    <w:rsid w:val="00D336C8"/>
    <w:rsid w:val="00D339E8"/>
    <w:rsid w:val="00D40B1F"/>
    <w:rsid w:val="00D40D75"/>
    <w:rsid w:val="00D50C8C"/>
    <w:rsid w:val="00D52393"/>
    <w:rsid w:val="00D53F14"/>
    <w:rsid w:val="00D54BE4"/>
    <w:rsid w:val="00D60483"/>
    <w:rsid w:val="00D63577"/>
    <w:rsid w:val="00D67FD7"/>
    <w:rsid w:val="00D72C15"/>
    <w:rsid w:val="00D74261"/>
    <w:rsid w:val="00D7441B"/>
    <w:rsid w:val="00D76AB2"/>
    <w:rsid w:val="00D80490"/>
    <w:rsid w:val="00D829AD"/>
    <w:rsid w:val="00D82EE2"/>
    <w:rsid w:val="00D8545C"/>
    <w:rsid w:val="00D87788"/>
    <w:rsid w:val="00D877C8"/>
    <w:rsid w:val="00D910C2"/>
    <w:rsid w:val="00D9168C"/>
    <w:rsid w:val="00D9189B"/>
    <w:rsid w:val="00D91DA6"/>
    <w:rsid w:val="00D972D4"/>
    <w:rsid w:val="00DA195B"/>
    <w:rsid w:val="00DB0015"/>
    <w:rsid w:val="00DB2AAD"/>
    <w:rsid w:val="00DB626D"/>
    <w:rsid w:val="00DB6365"/>
    <w:rsid w:val="00DC0BF1"/>
    <w:rsid w:val="00DC1811"/>
    <w:rsid w:val="00DC41C3"/>
    <w:rsid w:val="00DD3593"/>
    <w:rsid w:val="00DE6952"/>
    <w:rsid w:val="00DE7E74"/>
    <w:rsid w:val="00E00A69"/>
    <w:rsid w:val="00E017F0"/>
    <w:rsid w:val="00E01A0E"/>
    <w:rsid w:val="00E041E4"/>
    <w:rsid w:val="00E103C8"/>
    <w:rsid w:val="00E1085B"/>
    <w:rsid w:val="00E14581"/>
    <w:rsid w:val="00E15539"/>
    <w:rsid w:val="00E16541"/>
    <w:rsid w:val="00E20A53"/>
    <w:rsid w:val="00E21DF6"/>
    <w:rsid w:val="00E2632B"/>
    <w:rsid w:val="00E322F7"/>
    <w:rsid w:val="00E3369B"/>
    <w:rsid w:val="00E405EA"/>
    <w:rsid w:val="00E408B7"/>
    <w:rsid w:val="00E42789"/>
    <w:rsid w:val="00E43F59"/>
    <w:rsid w:val="00E464F0"/>
    <w:rsid w:val="00E50BEB"/>
    <w:rsid w:val="00E6092F"/>
    <w:rsid w:val="00E629DA"/>
    <w:rsid w:val="00E67FAC"/>
    <w:rsid w:val="00E738CB"/>
    <w:rsid w:val="00E73C88"/>
    <w:rsid w:val="00E74437"/>
    <w:rsid w:val="00E81C3E"/>
    <w:rsid w:val="00E82B6D"/>
    <w:rsid w:val="00EA1177"/>
    <w:rsid w:val="00EA11B6"/>
    <w:rsid w:val="00EA2181"/>
    <w:rsid w:val="00EA2DD8"/>
    <w:rsid w:val="00EA4475"/>
    <w:rsid w:val="00EA681F"/>
    <w:rsid w:val="00EB3823"/>
    <w:rsid w:val="00EB47D8"/>
    <w:rsid w:val="00EB76E4"/>
    <w:rsid w:val="00EC0E65"/>
    <w:rsid w:val="00EC2938"/>
    <w:rsid w:val="00EC50C9"/>
    <w:rsid w:val="00EC5BB2"/>
    <w:rsid w:val="00ED2500"/>
    <w:rsid w:val="00ED664B"/>
    <w:rsid w:val="00EE0B44"/>
    <w:rsid w:val="00EE704A"/>
    <w:rsid w:val="00EF4092"/>
    <w:rsid w:val="00EF4C74"/>
    <w:rsid w:val="00EF5268"/>
    <w:rsid w:val="00EF608E"/>
    <w:rsid w:val="00F03702"/>
    <w:rsid w:val="00F05807"/>
    <w:rsid w:val="00F07052"/>
    <w:rsid w:val="00F0706C"/>
    <w:rsid w:val="00F11EBE"/>
    <w:rsid w:val="00F130D0"/>
    <w:rsid w:val="00F14AA7"/>
    <w:rsid w:val="00F1516A"/>
    <w:rsid w:val="00F22A26"/>
    <w:rsid w:val="00F24072"/>
    <w:rsid w:val="00F26432"/>
    <w:rsid w:val="00F3197A"/>
    <w:rsid w:val="00F32139"/>
    <w:rsid w:val="00F33D56"/>
    <w:rsid w:val="00F34E08"/>
    <w:rsid w:val="00F41D91"/>
    <w:rsid w:val="00F42363"/>
    <w:rsid w:val="00F46964"/>
    <w:rsid w:val="00F46F9A"/>
    <w:rsid w:val="00F5126A"/>
    <w:rsid w:val="00F6636A"/>
    <w:rsid w:val="00F67635"/>
    <w:rsid w:val="00F718A8"/>
    <w:rsid w:val="00F72183"/>
    <w:rsid w:val="00F76D01"/>
    <w:rsid w:val="00F81C35"/>
    <w:rsid w:val="00F82981"/>
    <w:rsid w:val="00F8311F"/>
    <w:rsid w:val="00F83248"/>
    <w:rsid w:val="00F853AE"/>
    <w:rsid w:val="00F93DCC"/>
    <w:rsid w:val="00F9435D"/>
    <w:rsid w:val="00FB593A"/>
    <w:rsid w:val="00FB6E82"/>
    <w:rsid w:val="00FC2A13"/>
    <w:rsid w:val="00FC4284"/>
    <w:rsid w:val="00FC4576"/>
    <w:rsid w:val="00FC5A19"/>
    <w:rsid w:val="00FC7360"/>
    <w:rsid w:val="00FC7DBC"/>
    <w:rsid w:val="00FD076A"/>
    <w:rsid w:val="00FD0AA0"/>
    <w:rsid w:val="00FD1D5A"/>
    <w:rsid w:val="00FD5059"/>
    <w:rsid w:val="00FD554D"/>
    <w:rsid w:val="00FF0FF7"/>
    <w:rsid w:val="00FF1EDD"/>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0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103BF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2369-7C9C-4DED-82E9-7A2BDC31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2164</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2000-06-02T14:59:00Z</cp:lastPrinted>
  <dcterms:created xsi:type="dcterms:W3CDTF">2012-01-11T14:24:00Z</dcterms:created>
  <dcterms:modified xsi:type="dcterms:W3CDTF">2012-01-11T18:07:00Z</dcterms:modified>
</cp:coreProperties>
</file>