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44384F">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44384F">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9B1534">
      <w:pPr>
        <w:tabs>
          <w:tab w:val="left" w:pos="288"/>
          <w:tab w:val="left" w:pos="4752"/>
        </w:tabs>
        <w:spacing w:line="240" w:lineRule="exact"/>
        <w:jc w:val="both"/>
        <w:rPr>
          <w:color w:val="000080"/>
        </w:rPr>
      </w:pPr>
    </w:p>
    <w:p w:rsidR="00A2066A" w:rsidRPr="00EB6ABA" w:rsidRDefault="00A2066A" w:rsidP="00A2066A">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CF7DB0" w:rsidRDefault="00A2066A" w:rsidP="00A2066A">
      <w:pPr>
        <w:tabs>
          <w:tab w:val="left" w:pos="288"/>
          <w:tab w:val="left" w:pos="4752"/>
        </w:tabs>
        <w:spacing w:line="240" w:lineRule="exact"/>
        <w:rPr>
          <w:color w:val="000080"/>
        </w:rPr>
      </w:pPr>
      <w:r w:rsidRPr="00EB6ABA">
        <w:rPr>
          <w:color w:val="000080"/>
        </w:rPr>
        <w:t>CASE NUMBER:  PD0900</w:t>
      </w:r>
      <w:r>
        <w:rPr>
          <w:color w:val="000080"/>
        </w:rPr>
        <w:t>030</w:t>
      </w:r>
      <w:r w:rsidRPr="00EB6ABA">
        <w:rPr>
          <w:color w:val="000080"/>
        </w:rPr>
        <w:tab/>
      </w:r>
      <w:r w:rsidR="00CF7DB0">
        <w:rPr>
          <w:color w:val="000080"/>
        </w:rPr>
        <w:tab/>
      </w:r>
      <w:r w:rsidRPr="00EB6ABA">
        <w:rPr>
          <w:color w:val="000080"/>
        </w:rPr>
        <w:t xml:space="preserve">BOARD DATE: </w:t>
      </w:r>
      <w:r>
        <w:rPr>
          <w:color w:val="000080"/>
        </w:rPr>
        <w:t>20090903</w:t>
      </w:r>
    </w:p>
    <w:p w:rsidR="00A2066A" w:rsidRPr="0073068F" w:rsidRDefault="00A2066A" w:rsidP="00A2066A">
      <w:pPr>
        <w:tabs>
          <w:tab w:val="left" w:pos="288"/>
          <w:tab w:val="left" w:pos="4752"/>
        </w:tabs>
        <w:spacing w:line="240" w:lineRule="exact"/>
        <w:rPr>
          <w:color w:val="000080"/>
        </w:rPr>
      </w:pPr>
      <w:r w:rsidRPr="00EB6ABA">
        <w:rPr>
          <w:color w:val="000080"/>
        </w:rPr>
        <w:t xml:space="preserve">SEPARATION DATE: </w:t>
      </w:r>
      <w:r w:rsidRPr="0073068F">
        <w:rPr>
          <w:color w:val="000080"/>
        </w:rPr>
        <w:t>20070721</w:t>
      </w:r>
    </w:p>
    <w:p w:rsidR="00B522CD" w:rsidRPr="00D91DA6" w:rsidRDefault="008B5D31" w:rsidP="009B1534">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6F1A46">
        <w:rPr>
          <w:color w:val="000080"/>
        </w:rPr>
        <w:t>_</w:t>
      </w:r>
    </w:p>
    <w:p w:rsidR="006F1A46" w:rsidRDefault="006F1A46" w:rsidP="009B1534">
      <w:pPr>
        <w:tabs>
          <w:tab w:val="left" w:pos="288"/>
          <w:tab w:val="left" w:pos="4752"/>
        </w:tabs>
        <w:spacing w:line="240" w:lineRule="exact"/>
        <w:jc w:val="both"/>
        <w:rPr>
          <w:color w:val="000080"/>
        </w:rPr>
      </w:pPr>
    </w:p>
    <w:p w:rsidR="00A2066A" w:rsidRPr="00A2066A" w:rsidRDefault="00811D5B" w:rsidP="00A2066A">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A2066A" w:rsidRPr="00A2066A">
        <w:rPr>
          <w:color w:val="000080"/>
        </w:rPr>
        <w:t>This covered individual (CI) was an Army Reserve officer who was medically separated in 2007 after 8</w:t>
      </w:r>
      <w:r w:rsidR="00CF7DB0">
        <w:rPr>
          <w:color w:val="000080"/>
        </w:rPr>
        <w:t> </w:t>
      </w:r>
      <w:r w:rsidR="00A2066A" w:rsidRPr="00A2066A">
        <w:rPr>
          <w:color w:val="000080"/>
        </w:rPr>
        <w:t xml:space="preserve">years of combined service.  The medical bases for the separation were a left knee condition and PTSD.  He was first deployed to OIF in 2003.  He suffered a </w:t>
      </w:r>
      <w:proofErr w:type="spellStart"/>
      <w:r w:rsidR="00A2066A" w:rsidRPr="00A2066A">
        <w:rPr>
          <w:color w:val="000080"/>
        </w:rPr>
        <w:t>meniscal</w:t>
      </w:r>
      <w:proofErr w:type="spellEnd"/>
      <w:r w:rsidR="00A2066A" w:rsidRPr="00A2066A">
        <w:rPr>
          <w:color w:val="000080"/>
        </w:rPr>
        <w:t xml:space="preserve"> injury to his left knee requiring arthroscopic repair consequent to that deployment, although it did not result in </w:t>
      </w:r>
      <w:proofErr w:type="spellStart"/>
      <w:r w:rsidR="00A2066A" w:rsidRPr="00A2066A">
        <w:rPr>
          <w:color w:val="000080"/>
        </w:rPr>
        <w:t>medevac</w:t>
      </w:r>
      <w:proofErr w:type="spellEnd"/>
      <w:r w:rsidR="00A2066A" w:rsidRPr="00A2066A">
        <w:rPr>
          <w:color w:val="000080"/>
        </w:rPr>
        <w:t xml:space="preserve"> or medical separation.  He had a 10% VA rating for the knee prior to a second deployment (OIF 2006-07).  During the second deployment, he re-injured the same knee with additional </w:t>
      </w:r>
      <w:proofErr w:type="spellStart"/>
      <w:r w:rsidR="00A2066A" w:rsidRPr="00A2066A">
        <w:rPr>
          <w:color w:val="000080"/>
        </w:rPr>
        <w:t>meniscal</w:t>
      </w:r>
      <w:proofErr w:type="spellEnd"/>
      <w:r w:rsidR="00A2066A" w:rsidRPr="00A2066A">
        <w:rPr>
          <w:color w:val="000080"/>
        </w:rPr>
        <w:t xml:space="preserve"> damage.  He underwent arthroscopic repair in country, but eventually required </w:t>
      </w:r>
      <w:proofErr w:type="spellStart"/>
      <w:r w:rsidR="00A2066A" w:rsidRPr="00A2066A">
        <w:rPr>
          <w:color w:val="000080"/>
        </w:rPr>
        <w:t>medevac</w:t>
      </w:r>
      <w:proofErr w:type="spellEnd"/>
      <w:r w:rsidR="00A2066A" w:rsidRPr="00A2066A">
        <w:rPr>
          <w:color w:val="000080"/>
        </w:rPr>
        <w:t>.  Despite conservative management</w:t>
      </w:r>
      <w:r w:rsidR="00117F7C">
        <w:rPr>
          <w:color w:val="000080"/>
        </w:rPr>
        <w:t xml:space="preserve"> and additional arthroscopic interventions</w:t>
      </w:r>
      <w:r w:rsidR="00A2066A" w:rsidRPr="00A2066A">
        <w:rPr>
          <w:color w:val="000080"/>
        </w:rPr>
        <w:t>, the knee could not be rehabilitated adequately for retention and he underwent a</w:t>
      </w:r>
      <w:r w:rsidR="00CF7DB0">
        <w:rPr>
          <w:color w:val="000080"/>
        </w:rPr>
        <w:t>n</w:t>
      </w:r>
      <w:r w:rsidR="00A2066A" w:rsidRPr="00A2066A">
        <w:rPr>
          <w:color w:val="000080"/>
        </w:rPr>
        <w:t xml:space="preserve"> MEB.  The CI was treated as an outpatient for PTSD during his first deployment, but his symptoms stabilized on return.  They re-surfaced during the second deployment.  There were numerous combat substrates for PTSD during both deployments.  He was managed in theater for PTSD during the second tour and refused a suggestion that he defer further combat missions.  He continued </w:t>
      </w:r>
      <w:proofErr w:type="gramStart"/>
      <w:r w:rsidR="00A2066A" w:rsidRPr="00A2066A">
        <w:rPr>
          <w:color w:val="000080"/>
        </w:rPr>
        <w:t>outpatient</w:t>
      </w:r>
      <w:proofErr w:type="gramEnd"/>
      <w:r w:rsidR="00A2066A" w:rsidRPr="00A2066A">
        <w:rPr>
          <w:color w:val="000080"/>
        </w:rPr>
        <w:t xml:space="preserve"> management and required medication for the PTSD after </w:t>
      </w:r>
      <w:proofErr w:type="spellStart"/>
      <w:r w:rsidR="00A2066A" w:rsidRPr="00A2066A">
        <w:rPr>
          <w:color w:val="000080"/>
        </w:rPr>
        <w:t>medevac</w:t>
      </w:r>
      <w:proofErr w:type="spellEnd"/>
      <w:r w:rsidR="00A2066A" w:rsidRPr="00A2066A">
        <w:rPr>
          <w:color w:val="000080"/>
        </w:rPr>
        <w:t xml:space="preserve"> to CONUS for the knee condition.  The PTSD condition was deemed not medically acceptable by psychiatry and was included with the knee condition as a PEB referral on the DA 3947.  The PEB found him unfit for both conditions and he was medically separated at a combined disability of 20%.</w:t>
      </w:r>
    </w:p>
    <w:p w:rsidR="00923B25" w:rsidRPr="00D91DA6" w:rsidRDefault="008B5D31" w:rsidP="009B1534">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9B1534">
      <w:pPr>
        <w:tabs>
          <w:tab w:val="left" w:pos="288"/>
          <w:tab w:val="left" w:pos="4752"/>
        </w:tabs>
        <w:spacing w:line="240" w:lineRule="exact"/>
        <w:jc w:val="both"/>
        <w:rPr>
          <w:color w:val="000080"/>
        </w:rPr>
      </w:pPr>
    </w:p>
    <w:p w:rsidR="00A2066A" w:rsidRPr="00A2066A" w:rsidRDefault="001C181A" w:rsidP="00A2066A">
      <w:pPr>
        <w:tabs>
          <w:tab w:val="left" w:pos="288"/>
          <w:tab w:val="left" w:pos="4752"/>
        </w:tabs>
        <w:spacing w:line="240" w:lineRule="exact"/>
        <w:rPr>
          <w:color w:val="000080"/>
        </w:rPr>
      </w:pPr>
      <w:r>
        <w:rPr>
          <w:color w:val="000080"/>
          <w:u w:val="single"/>
        </w:rPr>
        <w:t>CI CONTENTION</w:t>
      </w:r>
      <w:r w:rsidRPr="00D91DA6">
        <w:rPr>
          <w:color w:val="000080"/>
        </w:rPr>
        <w:t>:</w:t>
      </w:r>
      <w:r w:rsidR="00DA195B">
        <w:rPr>
          <w:color w:val="000080"/>
        </w:rPr>
        <w:t xml:space="preserve"> </w:t>
      </w:r>
      <w:r w:rsidR="00A2066A" w:rsidRPr="00A2066A">
        <w:rPr>
          <w:color w:val="000080"/>
        </w:rPr>
        <w:t>The CI contends for rating left knee and PTSD conditions equivalent to the VA.</w:t>
      </w:r>
    </w:p>
    <w:p w:rsidR="00A90D55" w:rsidRPr="00D91DA6" w:rsidRDefault="008B5D31" w:rsidP="009B1534">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9B1534">
      <w:pPr>
        <w:tabs>
          <w:tab w:val="left" w:pos="288"/>
          <w:tab w:val="left" w:pos="4752"/>
        </w:tabs>
        <w:spacing w:line="240" w:lineRule="exact"/>
        <w:jc w:val="both"/>
        <w:rPr>
          <w:color w:val="000080"/>
        </w:rPr>
      </w:pPr>
    </w:p>
    <w:p w:rsidR="002338CA" w:rsidRDefault="00A90D55" w:rsidP="009B1534">
      <w:pPr>
        <w:tabs>
          <w:tab w:val="left" w:pos="288"/>
          <w:tab w:val="left" w:pos="4752"/>
        </w:tabs>
        <w:spacing w:line="240" w:lineRule="exact"/>
        <w:jc w:val="both"/>
        <w:rPr>
          <w:color w:val="000080"/>
        </w:rPr>
      </w:pPr>
      <w:r>
        <w:rPr>
          <w:color w:val="000080"/>
          <w:u w:val="single"/>
        </w:rPr>
        <w:t>RATING COMPARISON</w:t>
      </w:r>
      <w:r>
        <w:rPr>
          <w:color w:val="000080"/>
        </w:rPr>
        <w:t>:</w:t>
      </w:r>
    </w:p>
    <w:p w:rsidR="00A2066A" w:rsidRDefault="00A2066A" w:rsidP="009B1534">
      <w:pPr>
        <w:tabs>
          <w:tab w:val="left" w:pos="288"/>
          <w:tab w:val="left" w:pos="4752"/>
        </w:tabs>
        <w:spacing w:line="240" w:lineRule="exact"/>
        <w:jc w:val="both"/>
        <w:rPr>
          <w:color w:val="000080"/>
          <w:u w:val="single"/>
        </w:rPr>
      </w:pPr>
    </w:p>
    <w:tbl>
      <w:tblPr>
        <w:tblStyle w:val="TableGrid"/>
        <w:tblW w:w="11250" w:type="dxa"/>
        <w:tblInd w:w="-612" w:type="dxa"/>
        <w:tblLayout w:type="fixed"/>
        <w:tblLook w:val="04A0"/>
      </w:tblPr>
      <w:tblGrid>
        <w:gridCol w:w="2250"/>
        <w:gridCol w:w="810"/>
        <w:gridCol w:w="810"/>
        <w:gridCol w:w="1170"/>
        <w:gridCol w:w="2250"/>
        <w:gridCol w:w="810"/>
        <w:gridCol w:w="810"/>
        <w:gridCol w:w="1170"/>
        <w:gridCol w:w="1170"/>
      </w:tblGrid>
      <w:tr w:rsidR="00A2066A" w:rsidTr="000F70EE">
        <w:trPr>
          <w:trHeight w:val="264"/>
        </w:trPr>
        <w:tc>
          <w:tcPr>
            <w:tcW w:w="5040" w:type="dxa"/>
            <w:gridSpan w:val="4"/>
            <w:tcBorders>
              <w:right w:val="thinThickThinSmallGap" w:sz="24" w:space="0" w:color="auto"/>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5"/>
            <w:tcBorders>
              <w:left w:val="thinThickThinSmallGap" w:sz="24" w:space="0" w:color="auto"/>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4 Mo. after</w:t>
            </w:r>
            <w:r w:rsidRPr="00177902">
              <w:rPr>
                <w:rFonts w:ascii="Times New Roman" w:hAnsi="Times New Roman" w:cs="Times New Roman"/>
                <w:b/>
              </w:rPr>
              <w:t xml:space="preserve"> Separation)</w:t>
            </w:r>
          </w:p>
        </w:tc>
      </w:tr>
      <w:tr w:rsidR="00A2066A" w:rsidTr="000F70EE">
        <w:trPr>
          <w:trHeight w:val="280"/>
        </w:trPr>
        <w:tc>
          <w:tcPr>
            <w:tcW w:w="2250" w:type="dxa"/>
            <w:tcBorders>
              <w:bottom w:val="single" w:sz="4" w:space="0" w:color="000000" w:themeColor="text1"/>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PEB Condition</w:t>
            </w:r>
          </w:p>
        </w:tc>
        <w:tc>
          <w:tcPr>
            <w:tcW w:w="810" w:type="dxa"/>
            <w:tcBorders>
              <w:bottom w:val="single" w:sz="4" w:space="0" w:color="000000" w:themeColor="text1"/>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right w:val="thinThickThinSmallGap" w:sz="24" w:space="0" w:color="auto"/>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A2066A" w:rsidTr="000F70EE">
        <w:trPr>
          <w:trHeight w:val="467"/>
        </w:trPr>
        <w:tc>
          <w:tcPr>
            <w:tcW w:w="2250" w:type="dxa"/>
            <w:vMerge w:val="restart"/>
            <w:shd w:val="clear" w:color="auto" w:fill="FFFFFF" w:themeFill="background1"/>
          </w:tcPr>
          <w:p w:rsidR="00A2066A" w:rsidRPr="00F404C1" w:rsidRDefault="00A2066A" w:rsidP="000F70EE">
            <w:pPr>
              <w:pStyle w:val="ListParagraph"/>
              <w:spacing w:after="0"/>
              <w:ind w:left="0"/>
              <w:rPr>
                <w:rFonts w:ascii="Times New Roman" w:hAnsi="Times New Roman" w:cs="Times New Roman"/>
                <w:sz w:val="18"/>
                <w:szCs w:val="18"/>
              </w:rPr>
            </w:pPr>
            <w:r w:rsidRPr="00F404C1">
              <w:rPr>
                <w:rFonts w:ascii="Times New Roman" w:hAnsi="Times New Roman"/>
                <w:sz w:val="18"/>
                <w:szCs w:val="18"/>
              </w:rPr>
              <w:t xml:space="preserve">CHRONIC LEFT KNEE PAIN DUE TO </w:t>
            </w:r>
            <w:r>
              <w:rPr>
                <w:rFonts w:ascii="Times New Roman" w:hAnsi="Times New Roman"/>
                <w:sz w:val="18"/>
                <w:szCs w:val="18"/>
              </w:rPr>
              <w:t xml:space="preserve">LEFT LATERAL </w:t>
            </w:r>
            <w:r w:rsidRPr="00F404C1">
              <w:rPr>
                <w:rFonts w:ascii="Times New Roman" w:hAnsi="Times New Roman"/>
                <w:sz w:val="18"/>
                <w:szCs w:val="18"/>
              </w:rPr>
              <w:t>MENISCAL DAMAGE</w:t>
            </w:r>
          </w:p>
        </w:tc>
        <w:tc>
          <w:tcPr>
            <w:tcW w:w="810" w:type="dxa"/>
            <w:vMerge w:val="restart"/>
            <w:shd w:val="clear" w:color="auto" w:fill="FFFFFF" w:themeFill="background1"/>
          </w:tcPr>
          <w:p w:rsidR="00A2066A" w:rsidRPr="00F404C1" w:rsidRDefault="00A2066A" w:rsidP="000F70EE">
            <w:pPr>
              <w:pStyle w:val="ListParagraph"/>
              <w:spacing w:after="0"/>
              <w:ind w:left="0"/>
              <w:jc w:val="center"/>
              <w:rPr>
                <w:rFonts w:ascii="Times New Roman" w:hAnsi="Times New Roman"/>
                <w:sz w:val="18"/>
                <w:szCs w:val="18"/>
              </w:rPr>
            </w:pPr>
            <w:r w:rsidRPr="00F404C1">
              <w:rPr>
                <w:rFonts w:ascii="Times New Roman" w:hAnsi="Times New Roman"/>
                <w:sz w:val="18"/>
                <w:szCs w:val="18"/>
              </w:rPr>
              <w:t>5099</w:t>
            </w:r>
            <w:r>
              <w:rPr>
                <w:rFonts w:ascii="Times New Roman" w:hAnsi="Times New Roman"/>
                <w:sz w:val="18"/>
                <w:szCs w:val="18"/>
              </w:rPr>
              <w:t>-</w:t>
            </w:r>
            <w:r w:rsidRPr="00F404C1">
              <w:rPr>
                <w:rFonts w:ascii="Times New Roman" w:hAnsi="Times New Roman"/>
                <w:sz w:val="18"/>
                <w:szCs w:val="18"/>
              </w:rPr>
              <w:t xml:space="preserve"> 5003</w:t>
            </w:r>
          </w:p>
        </w:tc>
        <w:tc>
          <w:tcPr>
            <w:tcW w:w="810" w:type="dxa"/>
            <w:vMerge w:val="restart"/>
            <w:shd w:val="clear" w:color="auto" w:fill="FFFFFF" w:themeFill="background1"/>
          </w:tcPr>
          <w:p w:rsidR="00A2066A" w:rsidRPr="00F404C1" w:rsidRDefault="00A2066A" w:rsidP="000F70EE">
            <w:pPr>
              <w:pStyle w:val="ListParagraph"/>
              <w:spacing w:after="0"/>
              <w:ind w:left="0"/>
              <w:jc w:val="center"/>
              <w:rPr>
                <w:rFonts w:ascii="Times New Roman" w:hAnsi="Times New Roman"/>
                <w:sz w:val="18"/>
                <w:szCs w:val="18"/>
              </w:rPr>
            </w:pPr>
            <w:r w:rsidRPr="00F404C1">
              <w:rPr>
                <w:rFonts w:ascii="Times New Roman" w:hAnsi="Times New Roman"/>
                <w:sz w:val="18"/>
                <w:szCs w:val="18"/>
              </w:rPr>
              <w:t>10</w:t>
            </w:r>
            <w:r>
              <w:rPr>
                <w:rFonts w:ascii="Times New Roman" w:hAnsi="Times New Roman"/>
                <w:sz w:val="18"/>
                <w:szCs w:val="18"/>
              </w:rPr>
              <w:t>%</w:t>
            </w:r>
          </w:p>
        </w:tc>
        <w:tc>
          <w:tcPr>
            <w:tcW w:w="1170" w:type="dxa"/>
            <w:vMerge w:val="restart"/>
            <w:tcBorders>
              <w:right w:val="thinThickThinSmallGap" w:sz="24" w:space="0" w:color="auto"/>
            </w:tcBorders>
            <w:shd w:val="clear" w:color="auto" w:fill="FFFFFF" w:themeFill="background1"/>
          </w:tcPr>
          <w:p w:rsidR="00A2066A" w:rsidRPr="00F404C1" w:rsidRDefault="00A2066A" w:rsidP="000F70EE">
            <w:pPr>
              <w:pStyle w:val="ListParagraph"/>
              <w:spacing w:after="0"/>
              <w:ind w:left="0"/>
              <w:jc w:val="center"/>
              <w:rPr>
                <w:rFonts w:ascii="Times New Roman" w:hAnsi="Times New Roman"/>
                <w:sz w:val="18"/>
                <w:szCs w:val="18"/>
              </w:rPr>
            </w:pPr>
            <w:r w:rsidRPr="00F404C1">
              <w:rPr>
                <w:rFonts w:ascii="Times New Roman" w:hAnsi="Times New Roman"/>
                <w:sz w:val="18"/>
                <w:szCs w:val="18"/>
              </w:rPr>
              <w:t>20070620</w:t>
            </w:r>
          </w:p>
        </w:tc>
        <w:tc>
          <w:tcPr>
            <w:tcW w:w="2250" w:type="dxa"/>
            <w:tcBorders>
              <w:left w:val="thinThickThinSmallGap" w:sz="24" w:space="0" w:color="auto"/>
              <w:bottom w:val="single" w:sz="4" w:space="0" w:color="auto"/>
            </w:tcBorders>
            <w:shd w:val="clear" w:color="auto" w:fill="FFFFFF" w:themeFill="background1"/>
          </w:tcPr>
          <w:p w:rsidR="00A2066A" w:rsidRPr="00F404C1" w:rsidRDefault="00A2066A" w:rsidP="000F70E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INSTABILITY, LEFT KNEE</w:t>
            </w:r>
          </w:p>
        </w:tc>
        <w:tc>
          <w:tcPr>
            <w:tcW w:w="810" w:type="dxa"/>
            <w:tcBorders>
              <w:bottom w:val="single" w:sz="4" w:space="0" w:color="auto"/>
            </w:tcBorders>
            <w:shd w:val="clear" w:color="auto" w:fill="FFFFFF" w:themeFill="background1"/>
          </w:tcPr>
          <w:p w:rsidR="00A2066A" w:rsidRPr="00F404C1" w:rsidRDefault="00A2066A" w:rsidP="000F70E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5257</w:t>
            </w:r>
          </w:p>
        </w:tc>
        <w:tc>
          <w:tcPr>
            <w:tcW w:w="810" w:type="dxa"/>
            <w:tcBorders>
              <w:bottom w:val="single" w:sz="4" w:space="0" w:color="auto"/>
            </w:tcBorders>
            <w:shd w:val="clear" w:color="auto" w:fill="FFFFFF" w:themeFill="background1"/>
          </w:tcPr>
          <w:p w:rsidR="00A2066A" w:rsidRDefault="00117F7C" w:rsidP="00117F7C">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w:t>
            </w:r>
            <w:r w:rsidR="00A2066A">
              <w:rPr>
                <w:rFonts w:ascii="Times New Roman" w:hAnsi="Times New Roman" w:cs="Times New Roman"/>
                <w:sz w:val="18"/>
                <w:szCs w:val="18"/>
              </w:rPr>
              <w:t>0%</w:t>
            </w:r>
          </w:p>
        </w:tc>
        <w:tc>
          <w:tcPr>
            <w:tcW w:w="1170" w:type="dxa"/>
            <w:tcBorders>
              <w:bottom w:val="single" w:sz="4" w:space="0" w:color="auto"/>
            </w:tcBorders>
            <w:shd w:val="clear" w:color="auto" w:fill="FFFFFF" w:themeFill="background1"/>
          </w:tcPr>
          <w:p w:rsidR="00A2066A" w:rsidRPr="00F404C1" w:rsidRDefault="00A2066A" w:rsidP="000F70E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20071129</w:t>
            </w:r>
          </w:p>
        </w:tc>
        <w:tc>
          <w:tcPr>
            <w:tcW w:w="1170" w:type="dxa"/>
            <w:tcBorders>
              <w:bottom w:val="single" w:sz="4" w:space="0" w:color="auto"/>
            </w:tcBorders>
            <w:shd w:val="clear" w:color="auto" w:fill="FFFFFF" w:themeFill="background1"/>
          </w:tcPr>
          <w:p w:rsidR="00A2066A" w:rsidRPr="00F404C1" w:rsidRDefault="00A2066A" w:rsidP="000F70EE">
            <w:pPr>
              <w:pStyle w:val="ListParagraph"/>
              <w:spacing w:after="0" w:line="240" w:lineRule="auto"/>
              <w:ind w:left="0"/>
              <w:jc w:val="center"/>
              <w:rPr>
                <w:rFonts w:ascii="Times New Roman" w:hAnsi="Times New Roman" w:cs="Times New Roman"/>
                <w:sz w:val="18"/>
                <w:szCs w:val="18"/>
              </w:rPr>
            </w:pPr>
            <w:r w:rsidRPr="00325883">
              <w:rPr>
                <w:rFonts w:ascii="Times New Roman" w:hAnsi="Times New Roman" w:cs="Times New Roman"/>
                <w:sz w:val="18"/>
                <w:szCs w:val="18"/>
              </w:rPr>
              <w:t>20070721</w:t>
            </w:r>
          </w:p>
        </w:tc>
      </w:tr>
      <w:tr w:rsidR="00A2066A" w:rsidTr="000F70EE">
        <w:trPr>
          <w:trHeight w:val="465"/>
        </w:trPr>
        <w:tc>
          <w:tcPr>
            <w:tcW w:w="2250" w:type="dxa"/>
            <w:vMerge/>
            <w:shd w:val="clear" w:color="auto" w:fill="FFFFFF" w:themeFill="background1"/>
          </w:tcPr>
          <w:p w:rsidR="00A2066A" w:rsidRPr="00F404C1" w:rsidRDefault="00A2066A" w:rsidP="000F70EE">
            <w:pPr>
              <w:pStyle w:val="ListParagraph"/>
              <w:spacing w:after="0"/>
              <w:ind w:left="0"/>
              <w:rPr>
                <w:rFonts w:ascii="Times New Roman" w:hAnsi="Times New Roman"/>
                <w:sz w:val="18"/>
                <w:szCs w:val="18"/>
              </w:rPr>
            </w:pPr>
          </w:p>
        </w:tc>
        <w:tc>
          <w:tcPr>
            <w:tcW w:w="810" w:type="dxa"/>
            <w:vMerge/>
            <w:shd w:val="clear" w:color="auto" w:fill="FFFFFF" w:themeFill="background1"/>
          </w:tcPr>
          <w:p w:rsidR="00A2066A" w:rsidRPr="00F404C1" w:rsidRDefault="00A2066A" w:rsidP="000F70EE">
            <w:pPr>
              <w:pStyle w:val="ListParagraph"/>
              <w:spacing w:after="0"/>
              <w:ind w:left="0"/>
              <w:jc w:val="center"/>
              <w:rPr>
                <w:rFonts w:ascii="Times New Roman" w:hAnsi="Times New Roman"/>
                <w:sz w:val="18"/>
                <w:szCs w:val="18"/>
              </w:rPr>
            </w:pPr>
          </w:p>
        </w:tc>
        <w:tc>
          <w:tcPr>
            <w:tcW w:w="810" w:type="dxa"/>
            <w:vMerge/>
            <w:shd w:val="clear" w:color="auto" w:fill="FFFFFF" w:themeFill="background1"/>
          </w:tcPr>
          <w:p w:rsidR="00A2066A" w:rsidRPr="00F404C1" w:rsidRDefault="00A2066A" w:rsidP="000F70EE">
            <w:pPr>
              <w:pStyle w:val="ListParagraph"/>
              <w:spacing w:after="0"/>
              <w:ind w:left="0"/>
              <w:jc w:val="center"/>
              <w:rPr>
                <w:rFonts w:ascii="Times New Roman" w:hAnsi="Times New Roman"/>
                <w:sz w:val="18"/>
                <w:szCs w:val="18"/>
              </w:rPr>
            </w:pPr>
          </w:p>
        </w:tc>
        <w:tc>
          <w:tcPr>
            <w:tcW w:w="1170" w:type="dxa"/>
            <w:vMerge/>
            <w:tcBorders>
              <w:right w:val="thinThickThinSmallGap" w:sz="24" w:space="0" w:color="auto"/>
            </w:tcBorders>
            <w:shd w:val="clear" w:color="auto" w:fill="FFFFFF" w:themeFill="background1"/>
          </w:tcPr>
          <w:p w:rsidR="00A2066A" w:rsidRPr="00F404C1" w:rsidRDefault="00A2066A" w:rsidP="000F70EE">
            <w:pPr>
              <w:pStyle w:val="ListParagraph"/>
              <w:spacing w:after="0"/>
              <w:ind w:left="0"/>
              <w:jc w:val="center"/>
              <w:rPr>
                <w:rFonts w:ascii="Times New Roman" w:hAnsi="Times New Roman"/>
                <w:sz w:val="18"/>
                <w:szCs w:val="18"/>
              </w:rPr>
            </w:pPr>
          </w:p>
        </w:tc>
        <w:tc>
          <w:tcPr>
            <w:tcW w:w="2250" w:type="dxa"/>
            <w:tcBorders>
              <w:top w:val="single" w:sz="4" w:space="0" w:color="auto"/>
              <w:left w:val="thinThickThinSmallGap" w:sz="24" w:space="0" w:color="auto"/>
              <w:bottom w:val="single" w:sz="4" w:space="0" w:color="auto"/>
              <w:right w:val="single" w:sz="4" w:space="0" w:color="auto"/>
            </w:tcBorders>
            <w:shd w:val="clear" w:color="auto" w:fill="FFFFFF" w:themeFill="background1"/>
          </w:tcPr>
          <w:p w:rsidR="00A2066A" w:rsidRDefault="00A2066A" w:rsidP="000F70EE">
            <w:pPr>
              <w:pStyle w:val="ListParagraph"/>
              <w:ind w:left="0"/>
              <w:rPr>
                <w:rFonts w:ascii="Times New Roman" w:hAnsi="Times New Roman" w:cs="Times New Roman"/>
                <w:sz w:val="18"/>
                <w:szCs w:val="18"/>
              </w:rPr>
            </w:pPr>
            <w:r>
              <w:rPr>
                <w:rFonts w:ascii="Times New Roman" w:hAnsi="Times New Roman" w:cs="Times New Roman"/>
                <w:sz w:val="18"/>
                <w:szCs w:val="18"/>
              </w:rPr>
              <w:t>LEFT KNEE POST-OPERATIVE</w:t>
            </w:r>
          </w:p>
        </w:tc>
        <w:tc>
          <w:tcPr>
            <w:tcW w:w="810" w:type="dxa"/>
            <w:tcBorders>
              <w:top w:val="single" w:sz="4" w:space="0" w:color="auto"/>
              <w:left w:val="single" w:sz="4" w:space="0" w:color="auto"/>
              <w:bottom w:val="single" w:sz="4" w:space="0" w:color="auto"/>
            </w:tcBorders>
            <w:shd w:val="clear" w:color="auto" w:fill="FFFFFF" w:themeFill="background1"/>
          </w:tcPr>
          <w:p w:rsidR="00A2066A" w:rsidRDefault="00A2066A" w:rsidP="000F70EE">
            <w:pPr>
              <w:pStyle w:val="ListParagraph"/>
              <w:ind w:left="0"/>
              <w:jc w:val="center"/>
              <w:rPr>
                <w:rFonts w:ascii="Times New Roman" w:hAnsi="Times New Roman" w:cs="Times New Roman"/>
                <w:sz w:val="18"/>
                <w:szCs w:val="18"/>
              </w:rPr>
            </w:pPr>
            <w:r>
              <w:rPr>
                <w:rFonts w:ascii="Times New Roman" w:hAnsi="Times New Roman" w:cs="Times New Roman"/>
                <w:sz w:val="18"/>
                <w:szCs w:val="18"/>
              </w:rPr>
              <w:t>5258</w:t>
            </w:r>
          </w:p>
        </w:tc>
        <w:tc>
          <w:tcPr>
            <w:tcW w:w="810" w:type="dxa"/>
            <w:tcBorders>
              <w:top w:val="single" w:sz="4" w:space="0" w:color="auto"/>
              <w:bottom w:val="single" w:sz="4" w:space="0" w:color="auto"/>
            </w:tcBorders>
            <w:shd w:val="clear" w:color="auto" w:fill="FFFFFF" w:themeFill="background1"/>
          </w:tcPr>
          <w:p w:rsidR="00A2066A" w:rsidRDefault="00117F7C" w:rsidP="000F70EE">
            <w:pPr>
              <w:pStyle w:val="ListParagraph"/>
              <w:ind w:left="0"/>
              <w:jc w:val="center"/>
              <w:rPr>
                <w:rFonts w:ascii="Times New Roman" w:hAnsi="Times New Roman" w:cs="Times New Roman"/>
                <w:sz w:val="18"/>
                <w:szCs w:val="18"/>
              </w:rPr>
            </w:pPr>
            <w:r>
              <w:rPr>
                <w:rFonts w:ascii="Times New Roman" w:hAnsi="Times New Roman" w:cs="Times New Roman"/>
                <w:sz w:val="18"/>
                <w:szCs w:val="18"/>
              </w:rPr>
              <w:t>2</w:t>
            </w:r>
            <w:r w:rsidR="00A2066A">
              <w:rPr>
                <w:rFonts w:ascii="Times New Roman" w:hAnsi="Times New Roman" w:cs="Times New Roman"/>
                <w:sz w:val="18"/>
                <w:szCs w:val="18"/>
              </w:rPr>
              <w:t>0%</w:t>
            </w:r>
          </w:p>
          <w:p w:rsidR="00A2066A" w:rsidRDefault="00A2066A" w:rsidP="000F70EE">
            <w:pPr>
              <w:pStyle w:val="ListParagraph"/>
              <w:ind w:left="0"/>
              <w:jc w:val="center"/>
              <w:rPr>
                <w:rFonts w:ascii="Times New Roman" w:hAnsi="Times New Roman" w:cs="Times New Roman"/>
                <w:sz w:val="18"/>
                <w:szCs w:val="18"/>
              </w:rPr>
            </w:pPr>
          </w:p>
        </w:tc>
        <w:tc>
          <w:tcPr>
            <w:tcW w:w="1170" w:type="dxa"/>
            <w:tcBorders>
              <w:top w:val="single" w:sz="4" w:space="0" w:color="auto"/>
              <w:bottom w:val="single" w:sz="4" w:space="0" w:color="auto"/>
            </w:tcBorders>
            <w:shd w:val="clear" w:color="auto" w:fill="FFFFFF" w:themeFill="background1"/>
          </w:tcPr>
          <w:p w:rsidR="00A2066A" w:rsidRPr="00F404C1" w:rsidRDefault="00A2066A" w:rsidP="000F70EE">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20071129</w:t>
            </w:r>
          </w:p>
        </w:tc>
        <w:tc>
          <w:tcPr>
            <w:tcW w:w="1170" w:type="dxa"/>
            <w:tcBorders>
              <w:top w:val="single" w:sz="4" w:space="0" w:color="auto"/>
              <w:bottom w:val="single" w:sz="4" w:space="0" w:color="auto"/>
            </w:tcBorders>
            <w:shd w:val="clear" w:color="auto" w:fill="FFFFFF" w:themeFill="background1"/>
          </w:tcPr>
          <w:p w:rsidR="00A2066A" w:rsidRPr="00F404C1" w:rsidRDefault="00A2066A" w:rsidP="000F70EE">
            <w:pPr>
              <w:pStyle w:val="ListParagraph"/>
              <w:spacing w:after="0" w:line="240" w:lineRule="auto"/>
              <w:ind w:left="0"/>
              <w:jc w:val="center"/>
              <w:rPr>
                <w:rFonts w:ascii="Times New Roman" w:hAnsi="Times New Roman" w:cs="Times New Roman"/>
                <w:sz w:val="18"/>
                <w:szCs w:val="18"/>
              </w:rPr>
            </w:pPr>
            <w:r w:rsidRPr="00325883">
              <w:rPr>
                <w:rFonts w:ascii="Times New Roman" w:hAnsi="Times New Roman" w:cs="Times New Roman"/>
                <w:sz w:val="18"/>
                <w:szCs w:val="18"/>
              </w:rPr>
              <w:t>20070721</w:t>
            </w:r>
          </w:p>
        </w:tc>
      </w:tr>
      <w:tr w:rsidR="00A2066A" w:rsidTr="000F70EE">
        <w:trPr>
          <w:trHeight w:val="264"/>
        </w:trPr>
        <w:tc>
          <w:tcPr>
            <w:tcW w:w="2250" w:type="dxa"/>
            <w:shd w:val="clear" w:color="auto" w:fill="FFFFFF" w:themeFill="background1"/>
          </w:tcPr>
          <w:p w:rsidR="00A2066A" w:rsidRPr="00276B33" w:rsidRDefault="00A2066A" w:rsidP="000F70EE">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PTSD</w:t>
            </w:r>
          </w:p>
        </w:tc>
        <w:tc>
          <w:tcPr>
            <w:tcW w:w="810" w:type="dxa"/>
            <w:shd w:val="clear" w:color="auto" w:fill="FFFFFF" w:themeFill="background1"/>
            <w:vAlign w:val="center"/>
          </w:tcPr>
          <w:p w:rsidR="00A2066A" w:rsidRDefault="00A2066A" w:rsidP="000F70EE">
            <w:pPr>
              <w:pStyle w:val="ListParagraph"/>
              <w:spacing w:after="0"/>
              <w:ind w:left="0"/>
              <w:jc w:val="center"/>
              <w:rPr>
                <w:highlight w:val="yellow"/>
              </w:rPr>
            </w:pPr>
            <w:r w:rsidRPr="00F404C1">
              <w:rPr>
                <w:rFonts w:ascii="Times New Roman" w:hAnsi="Times New Roman"/>
                <w:sz w:val="18"/>
                <w:szCs w:val="18"/>
              </w:rPr>
              <w:t>9411</w:t>
            </w:r>
          </w:p>
        </w:tc>
        <w:tc>
          <w:tcPr>
            <w:tcW w:w="810" w:type="dxa"/>
            <w:shd w:val="clear" w:color="auto" w:fill="FFFFFF" w:themeFill="background1"/>
          </w:tcPr>
          <w:p w:rsidR="00A2066A" w:rsidRPr="00F404C1" w:rsidRDefault="00A2066A" w:rsidP="000F70EE">
            <w:pPr>
              <w:pStyle w:val="ListParagraph"/>
              <w:spacing w:after="0"/>
              <w:ind w:left="0"/>
              <w:jc w:val="center"/>
              <w:rPr>
                <w:rFonts w:ascii="Times New Roman" w:hAnsi="Times New Roman"/>
                <w:sz w:val="18"/>
                <w:szCs w:val="18"/>
              </w:rPr>
            </w:pPr>
            <w:r w:rsidRPr="00F404C1">
              <w:rPr>
                <w:rFonts w:ascii="Times New Roman" w:hAnsi="Times New Roman"/>
                <w:sz w:val="18"/>
                <w:szCs w:val="18"/>
              </w:rPr>
              <w:t>10</w:t>
            </w:r>
            <w:r>
              <w:rPr>
                <w:rFonts w:ascii="Times New Roman" w:hAnsi="Times New Roman"/>
                <w:sz w:val="18"/>
                <w:szCs w:val="18"/>
              </w:rPr>
              <w:t>%</w:t>
            </w:r>
          </w:p>
        </w:tc>
        <w:tc>
          <w:tcPr>
            <w:tcW w:w="1170" w:type="dxa"/>
            <w:tcBorders>
              <w:right w:val="thinThickThinSmallGap" w:sz="24" w:space="0" w:color="auto"/>
            </w:tcBorders>
            <w:shd w:val="clear" w:color="auto" w:fill="FFFFFF" w:themeFill="background1"/>
          </w:tcPr>
          <w:p w:rsidR="00A2066A" w:rsidRPr="00F404C1" w:rsidRDefault="00A2066A" w:rsidP="000F70EE">
            <w:pPr>
              <w:pStyle w:val="ListParagraph"/>
              <w:spacing w:after="0"/>
              <w:ind w:left="0"/>
              <w:jc w:val="center"/>
              <w:rPr>
                <w:rFonts w:ascii="Times New Roman" w:hAnsi="Times New Roman"/>
                <w:sz w:val="18"/>
                <w:szCs w:val="18"/>
              </w:rPr>
            </w:pPr>
            <w:r w:rsidRPr="00F404C1">
              <w:rPr>
                <w:rFonts w:ascii="Times New Roman" w:hAnsi="Times New Roman"/>
                <w:sz w:val="18"/>
                <w:szCs w:val="18"/>
              </w:rPr>
              <w:t>20070620</w:t>
            </w:r>
          </w:p>
        </w:tc>
        <w:tc>
          <w:tcPr>
            <w:tcW w:w="2250" w:type="dxa"/>
            <w:tcBorders>
              <w:left w:val="thinThickThinSmallGap" w:sz="24" w:space="0" w:color="auto"/>
            </w:tcBorders>
            <w:shd w:val="clear" w:color="auto" w:fill="FFFFFF" w:themeFill="background1"/>
          </w:tcPr>
          <w:p w:rsidR="00A2066A" w:rsidRPr="00276B33" w:rsidRDefault="00A2066A" w:rsidP="000F70EE">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PTSD</w:t>
            </w:r>
          </w:p>
        </w:tc>
        <w:tc>
          <w:tcPr>
            <w:tcW w:w="810" w:type="dxa"/>
            <w:shd w:val="clear" w:color="auto" w:fill="FFFFFF" w:themeFill="background1"/>
          </w:tcPr>
          <w:p w:rsidR="00A2066A" w:rsidRPr="00325883" w:rsidRDefault="00A2066A" w:rsidP="000F70EE">
            <w:pPr>
              <w:pStyle w:val="ListParagraph"/>
              <w:spacing w:after="0"/>
              <w:ind w:left="0"/>
              <w:jc w:val="center"/>
              <w:rPr>
                <w:rFonts w:ascii="Times New Roman" w:hAnsi="Times New Roman" w:cs="Times New Roman"/>
                <w:sz w:val="18"/>
                <w:szCs w:val="18"/>
              </w:rPr>
            </w:pPr>
            <w:r w:rsidRPr="00325883">
              <w:rPr>
                <w:rFonts w:ascii="Times New Roman" w:hAnsi="Times New Roman" w:cs="Times New Roman"/>
                <w:sz w:val="18"/>
                <w:szCs w:val="18"/>
              </w:rPr>
              <w:t>9411</w:t>
            </w:r>
          </w:p>
        </w:tc>
        <w:tc>
          <w:tcPr>
            <w:tcW w:w="810" w:type="dxa"/>
            <w:shd w:val="clear" w:color="auto" w:fill="FFFFFF" w:themeFill="background1"/>
          </w:tcPr>
          <w:p w:rsidR="00A2066A" w:rsidRPr="00325883" w:rsidRDefault="00A2066A" w:rsidP="000F70EE">
            <w:pPr>
              <w:pStyle w:val="ListParagraph"/>
              <w:spacing w:after="0"/>
              <w:ind w:left="0"/>
              <w:jc w:val="center"/>
              <w:rPr>
                <w:rFonts w:ascii="Times New Roman" w:hAnsi="Times New Roman" w:cs="Times New Roman"/>
                <w:sz w:val="18"/>
                <w:szCs w:val="18"/>
              </w:rPr>
            </w:pPr>
            <w:r w:rsidRPr="00325883">
              <w:rPr>
                <w:rFonts w:ascii="Times New Roman" w:hAnsi="Times New Roman" w:cs="Times New Roman"/>
                <w:sz w:val="18"/>
                <w:szCs w:val="18"/>
              </w:rPr>
              <w:t>30</w:t>
            </w:r>
            <w:r>
              <w:rPr>
                <w:rFonts w:ascii="Times New Roman" w:hAnsi="Times New Roman" w:cs="Times New Roman"/>
                <w:sz w:val="18"/>
                <w:szCs w:val="18"/>
              </w:rPr>
              <w:t>%</w:t>
            </w:r>
          </w:p>
        </w:tc>
        <w:tc>
          <w:tcPr>
            <w:tcW w:w="1170" w:type="dxa"/>
            <w:shd w:val="clear" w:color="auto" w:fill="FFFFFF" w:themeFill="background1"/>
          </w:tcPr>
          <w:p w:rsidR="00A2066A" w:rsidRPr="00325883" w:rsidRDefault="00A2066A" w:rsidP="000F70E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20071211</w:t>
            </w:r>
          </w:p>
        </w:tc>
        <w:tc>
          <w:tcPr>
            <w:tcW w:w="1170" w:type="dxa"/>
            <w:shd w:val="clear" w:color="auto" w:fill="FFFFFF" w:themeFill="background1"/>
          </w:tcPr>
          <w:p w:rsidR="00A2066A" w:rsidRPr="00325883" w:rsidRDefault="00A2066A" w:rsidP="000F70EE">
            <w:pPr>
              <w:pStyle w:val="ListParagraph"/>
              <w:spacing w:after="0"/>
              <w:ind w:left="0"/>
              <w:jc w:val="center"/>
              <w:rPr>
                <w:rFonts w:ascii="Times New Roman" w:hAnsi="Times New Roman" w:cs="Times New Roman"/>
                <w:sz w:val="18"/>
                <w:szCs w:val="18"/>
              </w:rPr>
            </w:pPr>
            <w:r w:rsidRPr="00325883">
              <w:rPr>
                <w:rFonts w:ascii="Times New Roman" w:hAnsi="Times New Roman" w:cs="Times New Roman"/>
                <w:sz w:val="18"/>
                <w:szCs w:val="18"/>
              </w:rPr>
              <w:t>20070721</w:t>
            </w:r>
          </w:p>
        </w:tc>
      </w:tr>
      <w:tr w:rsidR="00A0615E" w:rsidTr="009B3E4F">
        <w:trPr>
          <w:trHeight w:val="242"/>
        </w:trPr>
        <w:tc>
          <w:tcPr>
            <w:tcW w:w="5040" w:type="dxa"/>
            <w:gridSpan w:val="4"/>
            <w:tcBorders>
              <w:right w:val="thinThickThinSmallGap" w:sz="24" w:space="0" w:color="auto"/>
            </w:tcBorders>
            <w:shd w:val="clear" w:color="auto" w:fill="FFFFFF" w:themeFill="background1"/>
          </w:tcPr>
          <w:p w:rsidR="00A0615E" w:rsidRPr="008D0842" w:rsidRDefault="00A0615E" w:rsidP="00A0615E">
            <w:pPr>
              <w:pStyle w:val="ListParagraph"/>
              <w:spacing w:after="0"/>
              <w:ind w:left="0"/>
              <w:rPr>
                <w:rFonts w:ascii="Times New Roman" w:hAnsi="Times New Roman" w:cs="Times New Roman"/>
                <w:b/>
                <w:sz w:val="20"/>
                <w:szCs w:val="20"/>
              </w:rPr>
            </w:pPr>
            <w:r>
              <w:rPr>
                <w:rFonts w:ascii="Times New Roman" w:eastAsiaTheme="minorEastAsia" w:hAnsi="Times New Roman"/>
                <w:sz w:val="18"/>
                <w:szCs w:val="18"/>
              </w:rPr>
              <w:t>NO ADDITIONAL DA 3947 ENTRIES.</w:t>
            </w:r>
          </w:p>
        </w:tc>
        <w:tc>
          <w:tcPr>
            <w:tcW w:w="3870" w:type="dxa"/>
            <w:gridSpan w:val="3"/>
            <w:tcBorders>
              <w:left w:val="thinThickThinSmallGap" w:sz="24" w:space="0" w:color="auto"/>
            </w:tcBorders>
            <w:shd w:val="clear" w:color="auto" w:fill="FFFFFF" w:themeFill="background1"/>
          </w:tcPr>
          <w:p w:rsidR="00A0615E" w:rsidRDefault="00A0615E" w:rsidP="00A0615E">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NON-PEB X 2</w:t>
            </w:r>
          </w:p>
        </w:tc>
        <w:tc>
          <w:tcPr>
            <w:tcW w:w="1170" w:type="dxa"/>
            <w:shd w:val="clear" w:color="auto" w:fill="FFFFFF" w:themeFill="background1"/>
          </w:tcPr>
          <w:p w:rsidR="00A0615E" w:rsidRPr="00325883" w:rsidRDefault="00A0615E" w:rsidP="000F70EE">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20071129</w:t>
            </w:r>
          </w:p>
        </w:tc>
        <w:tc>
          <w:tcPr>
            <w:tcW w:w="1170" w:type="dxa"/>
            <w:shd w:val="clear" w:color="auto" w:fill="FFFFFF" w:themeFill="background1"/>
          </w:tcPr>
          <w:p w:rsidR="00A0615E" w:rsidRPr="00325883" w:rsidRDefault="00A0615E" w:rsidP="000F70EE">
            <w:pPr>
              <w:pStyle w:val="ListParagraph"/>
              <w:spacing w:after="0"/>
              <w:ind w:left="0"/>
              <w:jc w:val="center"/>
              <w:rPr>
                <w:rFonts w:ascii="Times New Roman" w:hAnsi="Times New Roman" w:cs="Times New Roman"/>
                <w:sz w:val="18"/>
                <w:szCs w:val="18"/>
              </w:rPr>
            </w:pPr>
            <w:r w:rsidRPr="00325883">
              <w:rPr>
                <w:rFonts w:ascii="Times New Roman" w:hAnsi="Times New Roman" w:cs="Times New Roman"/>
                <w:sz w:val="18"/>
                <w:szCs w:val="18"/>
              </w:rPr>
              <w:t>20070721</w:t>
            </w:r>
          </w:p>
        </w:tc>
      </w:tr>
      <w:tr w:rsidR="00A2066A" w:rsidTr="000F70EE">
        <w:trPr>
          <w:trHeight w:val="377"/>
        </w:trPr>
        <w:tc>
          <w:tcPr>
            <w:tcW w:w="5040" w:type="dxa"/>
            <w:gridSpan w:val="4"/>
            <w:tcBorders>
              <w:right w:val="thinThickThinSmallGap" w:sz="24" w:space="0" w:color="auto"/>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20</w:t>
            </w:r>
            <w:r w:rsidRPr="00177902">
              <w:rPr>
                <w:rFonts w:ascii="Times New Roman" w:hAnsi="Times New Roman" w:cs="Times New Roman"/>
                <w:b/>
              </w:rPr>
              <w:t>%</w:t>
            </w:r>
          </w:p>
        </w:tc>
        <w:tc>
          <w:tcPr>
            <w:tcW w:w="6210" w:type="dxa"/>
            <w:gridSpan w:val="5"/>
            <w:tcBorders>
              <w:left w:val="thinThickThinSmallGap" w:sz="24" w:space="0" w:color="auto"/>
            </w:tcBorders>
            <w:shd w:val="clear" w:color="auto" w:fill="EEECE1" w:themeFill="background2"/>
          </w:tcPr>
          <w:p w:rsidR="00A2066A" w:rsidRPr="00177902" w:rsidRDefault="00A2066A" w:rsidP="000F70EE">
            <w:pPr>
              <w:pStyle w:val="ListParagraph"/>
              <w:spacing w:after="0"/>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70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117F7C" w:rsidRDefault="00117F7C" w:rsidP="009B1534">
      <w:pPr>
        <w:tabs>
          <w:tab w:val="left" w:pos="288"/>
          <w:tab w:val="left" w:pos="4752"/>
        </w:tabs>
        <w:spacing w:line="240" w:lineRule="exact"/>
        <w:jc w:val="both"/>
        <w:rPr>
          <w:color w:val="000080"/>
          <w:u w:val="single"/>
        </w:rPr>
      </w:pPr>
    </w:p>
    <w:p w:rsidR="00A90D55" w:rsidRDefault="00A90D55" w:rsidP="009B1534">
      <w:pPr>
        <w:tabs>
          <w:tab w:val="left" w:pos="288"/>
          <w:tab w:val="left" w:pos="4752"/>
        </w:tabs>
        <w:spacing w:line="240" w:lineRule="exact"/>
        <w:jc w:val="both"/>
        <w:rPr>
          <w:color w:val="000080"/>
        </w:rPr>
      </w:pPr>
      <w:r>
        <w:rPr>
          <w:color w:val="000080"/>
          <w:u w:val="single"/>
        </w:rPr>
        <w:lastRenderedPageBreak/>
        <w:t>ANALYSIS SUMMARY</w:t>
      </w:r>
      <w:r>
        <w:rPr>
          <w:color w:val="000080"/>
        </w:rPr>
        <w:t>:</w:t>
      </w:r>
    </w:p>
    <w:p w:rsidR="00A90D55" w:rsidRDefault="00A90D55" w:rsidP="009B1534">
      <w:pPr>
        <w:tabs>
          <w:tab w:val="left" w:pos="288"/>
          <w:tab w:val="left" w:pos="4752"/>
        </w:tabs>
        <w:spacing w:line="240" w:lineRule="exact"/>
        <w:jc w:val="both"/>
        <w:rPr>
          <w:color w:val="000080"/>
        </w:rPr>
      </w:pPr>
    </w:p>
    <w:p w:rsidR="00A2066A" w:rsidRPr="00A2066A" w:rsidRDefault="00A2066A" w:rsidP="00A2066A">
      <w:pPr>
        <w:tabs>
          <w:tab w:val="left" w:pos="288"/>
          <w:tab w:val="left" w:pos="4752"/>
        </w:tabs>
        <w:spacing w:line="240" w:lineRule="exact"/>
        <w:jc w:val="both"/>
        <w:rPr>
          <w:color w:val="000080"/>
        </w:rPr>
      </w:pPr>
      <w:proofErr w:type="gramStart"/>
      <w:r w:rsidRPr="00A2066A">
        <w:rPr>
          <w:color w:val="000080"/>
          <w:u w:val="single"/>
        </w:rPr>
        <w:t>PTSD</w:t>
      </w:r>
      <w:r w:rsidRPr="00A2066A">
        <w:rPr>
          <w:color w:val="000080"/>
        </w:rPr>
        <w:t>.</w:t>
      </w:r>
      <w:proofErr w:type="gramEnd"/>
      <w:r w:rsidRPr="00A2066A">
        <w:rPr>
          <w:color w:val="000080"/>
        </w:rPr>
        <w:t xml:space="preserve">  The 10% PEB rating was based on </w:t>
      </w:r>
      <w:proofErr w:type="spellStart"/>
      <w:r w:rsidRPr="00A2066A">
        <w:rPr>
          <w:color w:val="000080"/>
        </w:rPr>
        <w:t>DoDI</w:t>
      </w:r>
      <w:proofErr w:type="spellEnd"/>
      <w:r w:rsidRPr="00A2066A">
        <w:rPr>
          <w:color w:val="000080"/>
        </w:rPr>
        <w:t xml:space="preserve"> 1332.39 (E2.A1.5).  Under the </w:t>
      </w:r>
      <w:proofErr w:type="spellStart"/>
      <w:r w:rsidRPr="00A2066A">
        <w:rPr>
          <w:color w:val="000080"/>
        </w:rPr>
        <w:t>DoDI</w:t>
      </w:r>
      <w:proofErr w:type="spellEnd"/>
      <w:r w:rsidRPr="00A2066A">
        <w:rPr>
          <w:color w:val="000080"/>
        </w:rPr>
        <w:t>, the case is an appropriate fit with the 10% criteria</w:t>
      </w:r>
      <w:r w:rsidR="00CB696D">
        <w:rPr>
          <w:color w:val="000080"/>
        </w:rPr>
        <w:t>.  Under the VASRD, the clinical picture would have met criteria for a 30% rating.  T</w:t>
      </w:r>
      <w:r w:rsidRPr="00A2066A">
        <w:rPr>
          <w:color w:val="000080"/>
        </w:rPr>
        <w:t xml:space="preserve">his is moot, since PDBR adjudication at 50% TDRL for 6 months supersedes IAW </w:t>
      </w:r>
      <w:proofErr w:type="spellStart"/>
      <w:r w:rsidRPr="00A2066A">
        <w:rPr>
          <w:color w:val="000080"/>
        </w:rPr>
        <w:t>DoDI</w:t>
      </w:r>
      <w:proofErr w:type="spellEnd"/>
      <w:r w:rsidRPr="00A2066A">
        <w:rPr>
          <w:color w:val="000080"/>
        </w:rPr>
        <w:t xml:space="preserve"> 6040.44 and DOD guidance.  The </w:t>
      </w:r>
      <w:r w:rsidR="00CB696D">
        <w:rPr>
          <w:color w:val="000080"/>
        </w:rPr>
        <w:t>primary</w:t>
      </w:r>
      <w:r w:rsidRPr="00A2066A">
        <w:rPr>
          <w:color w:val="000080"/>
        </w:rPr>
        <w:t xml:space="preserve"> </w:t>
      </w:r>
      <w:r w:rsidR="00CB696D">
        <w:rPr>
          <w:color w:val="000080"/>
        </w:rPr>
        <w:t>source for approximating a</w:t>
      </w:r>
      <w:r w:rsidRPr="00A2066A">
        <w:rPr>
          <w:color w:val="000080"/>
        </w:rPr>
        <w:t xml:space="preserve"> 6 month permanent ra</w:t>
      </w:r>
      <w:r w:rsidR="00CB696D">
        <w:rPr>
          <w:color w:val="000080"/>
        </w:rPr>
        <w:t>ting recommendation wa</w:t>
      </w:r>
      <w:r w:rsidRPr="00A2066A">
        <w:rPr>
          <w:color w:val="000080"/>
        </w:rPr>
        <w:t xml:space="preserve">s the initial VA psychiatric rating examination performed at 5 months after separation.  The CI’s symptoms at </w:t>
      </w:r>
      <w:r w:rsidR="00CB696D">
        <w:rPr>
          <w:color w:val="000080"/>
        </w:rPr>
        <w:t xml:space="preserve">that time </w:t>
      </w:r>
      <w:r w:rsidRPr="00A2066A">
        <w:rPr>
          <w:color w:val="000080"/>
        </w:rPr>
        <w:t xml:space="preserve">were typical of PTSD, moderately acute and constant.  He was employed as a government contractor, although had difficulty with group interactions.  His marriage was intact, but strained.  Social activities were restricted.  He was being treated with 2 psychotherapeutic medications.  Global functioning was rated in the mildly dysfunctional range.  </w:t>
      </w:r>
      <w:r w:rsidR="00401BBB">
        <w:rPr>
          <w:color w:val="000080"/>
        </w:rPr>
        <w:t>His</w:t>
      </w:r>
      <w:r w:rsidR="00401BBB" w:rsidRPr="00401BBB">
        <w:rPr>
          <w:rFonts w:ascii="Times New Roman" w:hAnsi="Times New Roman"/>
          <w:color w:val="auto"/>
          <w:szCs w:val="24"/>
        </w:rPr>
        <w:t xml:space="preserve"> </w:t>
      </w:r>
      <w:r w:rsidR="00401BBB">
        <w:rPr>
          <w:color w:val="000080"/>
        </w:rPr>
        <w:t>impairment exceeded the ‘mild or transient’ and ‘</w:t>
      </w:r>
      <w:r w:rsidR="00401BBB" w:rsidRPr="00401BBB">
        <w:rPr>
          <w:color w:val="000080"/>
        </w:rPr>
        <w:t>only during periods of significant stress</w:t>
      </w:r>
      <w:r w:rsidR="00401BBB">
        <w:rPr>
          <w:color w:val="000080"/>
        </w:rPr>
        <w:t xml:space="preserve">’ requirements for the 10% rating.  </w:t>
      </w:r>
      <w:r w:rsidRPr="00A2066A">
        <w:rPr>
          <w:color w:val="000080"/>
        </w:rPr>
        <w:t xml:space="preserve">The VA rating based on the 5 month exam was 30%, connoting ‘occupational and social impairment with occasional decrease in work efficiency and intermittent periods of inability to perform occupational tasks’.  He met all of the ‘due to’ descriptors except panic attacks for the 30% rating.  He did not meet the ‘reduced reliability and productivity’ threshold for the 50% rating, and only a minority of the </w:t>
      </w:r>
      <w:r w:rsidR="00585AC7">
        <w:rPr>
          <w:color w:val="000080"/>
        </w:rPr>
        <w:t xml:space="preserve">‘due to’ </w:t>
      </w:r>
      <w:r w:rsidRPr="00A2066A">
        <w:rPr>
          <w:color w:val="000080"/>
        </w:rPr>
        <w:t>descriptors.  The VA rating of 30% at 5 months is supported by the facts and consistent with the VASRD.  Assuming no change in condition over the interim month, 30% is a fair permanent rating recommendation in this case.</w:t>
      </w:r>
    </w:p>
    <w:p w:rsidR="00A2066A" w:rsidRPr="00A2066A" w:rsidRDefault="00A2066A" w:rsidP="00A2066A">
      <w:pPr>
        <w:tabs>
          <w:tab w:val="left" w:pos="288"/>
          <w:tab w:val="left" w:pos="4752"/>
        </w:tabs>
        <w:spacing w:line="240" w:lineRule="exact"/>
        <w:jc w:val="both"/>
        <w:rPr>
          <w:color w:val="000080"/>
        </w:rPr>
      </w:pPr>
    </w:p>
    <w:p w:rsidR="00A2066A" w:rsidRPr="00A2066A" w:rsidRDefault="00A2066A" w:rsidP="00A2066A">
      <w:pPr>
        <w:tabs>
          <w:tab w:val="left" w:pos="288"/>
          <w:tab w:val="left" w:pos="4752"/>
        </w:tabs>
        <w:spacing w:line="240" w:lineRule="exact"/>
        <w:jc w:val="both"/>
        <w:rPr>
          <w:color w:val="000080"/>
        </w:rPr>
      </w:pPr>
      <w:proofErr w:type="gramStart"/>
      <w:r w:rsidRPr="00A2066A">
        <w:rPr>
          <w:color w:val="000080"/>
          <w:u w:val="single"/>
        </w:rPr>
        <w:t>Left Knee</w:t>
      </w:r>
      <w:r w:rsidRPr="00A2066A">
        <w:rPr>
          <w:color w:val="000080"/>
        </w:rPr>
        <w:t>.</w:t>
      </w:r>
      <w:proofErr w:type="gramEnd"/>
      <w:r w:rsidRPr="00A2066A">
        <w:rPr>
          <w:color w:val="000080"/>
        </w:rPr>
        <w:t xml:space="preserve">  The PEB rated the knee under the gen</w:t>
      </w:r>
      <w:r w:rsidR="00A0615E">
        <w:rPr>
          <w:color w:val="000080"/>
        </w:rPr>
        <w:t>eral arthritis 5003 code.  A</w:t>
      </w:r>
      <w:r w:rsidRPr="00A2066A">
        <w:rPr>
          <w:color w:val="000080"/>
        </w:rPr>
        <w:t xml:space="preserve"> 10% rating would follow from this code and does not reflect influence by the USAPDA pain policy.  The VA rated the knee under both the 5257</w:t>
      </w:r>
      <w:r w:rsidR="00A0615E">
        <w:rPr>
          <w:color w:val="000080"/>
        </w:rPr>
        <w:t xml:space="preserve"> (instability) code and the 5258</w:t>
      </w:r>
      <w:r w:rsidRPr="00A2066A">
        <w:rPr>
          <w:color w:val="000080"/>
        </w:rPr>
        <w:t xml:space="preserve"> code for </w:t>
      </w:r>
      <w:proofErr w:type="spellStart"/>
      <w:r w:rsidRPr="00A2066A">
        <w:rPr>
          <w:color w:val="000080"/>
        </w:rPr>
        <w:t>meniscal</w:t>
      </w:r>
      <w:proofErr w:type="spellEnd"/>
      <w:r w:rsidRPr="00A2066A">
        <w:rPr>
          <w:color w:val="000080"/>
        </w:rPr>
        <w:t xml:space="preserve"> injury.  </w:t>
      </w:r>
      <w:r w:rsidR="00534F48">
        <w:rPr>
          <w:color w:val="000080"/>
        </w:rPr>
        <w:t>This</w:t>
      </w:r>
      <w:r w:rsidRPr="00A2066A">
        <w:rPr>
          <w:color w:val="000080"/>
        </w:rPr>
        <w:t xml:space="preserve"> is IAW promulgated VA policy that </w:t>
      </w:r>
      <w:r w:rsidR="00534F48">
        <w:rPr>
          <w:color w:val="000080"/>
        </w:rPr>
        <w:t xml:space="preserve">instability is coded separately </w:t>
      </w:r>
      <w:r w:rsidRPr="00A2066A">
        <w:rPr>
          <w:color w:val="000080"/>
        </w:rPr>
        <w:t>when it coexists</w:t>
      </w:r>
      <w:r w:rsidR="00C63665">
        <w:rPr>
          <w:color w:val="000080"/>
        </w:rPr>
        <w:t>,</w:t>
      </w:r>
      <w:r w:rsidRPr="00A2066A">
        <w:rPr>
          <w:color w:val="000080"/>
        </w:rPr>
        <w:t xml:space="preserve"> and </w:t>
      </w:r>
      <w:r w:rsidR="00C63665">
        <w:rPr>
          <w:color w:val="000080"/>
        </w:rPr>
        <w:t xml:space="preserve">that it </w:t>
      </w:r>
      <w:r w:rsidRPr="00A2066A">
        <w:rPr>
          <w:color w:val="000080"/>
        </w:rPr>
        <w:t>does not constitute pyramiding.   The MEB and VA rating examinations for the knee differed in range-of-motion (ROM) findings.  The MEB goniometric exam measured 145</w:t>
      </w:r>
      <w:r w:rsidR="00C63665">
        <w:rPr>
          <w:rFonts w:ascii="Calibri" w:hAnsi="Calibri"/>
          <w:color w:val="000080"/>
        </w:rPr>
        <w:t>⁰</w:t>
      </w:r>
      <w:r w:rsidRPr="00A2066A">
        <w:rPr>
          <w:color w:val="000080"/>
        </w:rPr>
        <w:t xml:space="preserve"> (normal) flexion, stipulating ‘limited by pain’.  The VA examiner described </w:t>
      </w:r>
      <w:proofErr w:type="gramStart"/>
      <w:r w:rsidRPr="00A2066A">
        <w:rPr>
          <w:color w:val="000080"/>
        </w:rPr>
        <w:t>90</w:t>
      </w:r>
      <w:r w:rsidR="00C63665">
        <w:rPr>
          <w:rFonts w:ascii="Calibri" w:hAnsi="Calibri"/>
          <w:color w:val="000080"/>
        </w:rPr>
        <w:t>⁰</w:t>
      </w:r>
      <w:r w:rsidRPr="00A2066A">
        <w:rPr>
          <w:color w:val="000080"/>
        </w:rPr>
        <w:t xml:space="preserve"> flexion (stil</w:t>
      </w:r>
      <w:r w:rsidR="00C63665">
        <w:rPr>
          <w:color w:val="000080"/>
        </w:rPr>
        <w:t>l within the 10% rating criteria</w:t>
      </w:r>
      <w:r w:rsidRPr="00A2066A">
        <w:rPr>
          <w:color w:val="000080"/>
        </w:rPr>
        <w:t>)</w:t>
      </w:r>
      <w:proofErr w:type="gramEnd"/>
      <w:r w:rsidRPr="00A2066A">
        <w:rPr>
          <w:color w:val="000080"/>
        </w:rPr>
        <w:t xml:space="preserve">.  The NARSUM did not comment on stability, but other entries in the service treatment record (STR) documented mild lateral instability.  The VA examiner described ‘slight’ medial and lateral instability.  Neither exam noted an effusion or severe tenderness.  The VA examiner commented on frequent locking of the knee; the MEB examiner did not.  One note in the STR did describe ‘occasional’ locking.  The VA examiner noted daily ‘giving way’ of the knee and use of a brace.  The VA rater invoked these </w:t>
      </w:r>
      <w:r w:rsidR="00C63665">
        <w:rPr>
          <w:color w:val="000080"/>
        </w:rPr>
        <w:t>entries</w:t>
      </w:r>
      <w:r w:rsidRPr="00A2066A">
        <w:rPr>
          <w:color w:val="000080"/>
        </w:rPr>
        <w:t xml:space="preserve"> in assigning a 20% rating for instability.  Neither of these </w:t>
      </w:r>
      <w:r w:rsidR="00545B42">
        <w:rPr>
          <w:color w:val="000080"/>
        </w:rPr>
        <w:t>issues</w:t>
      </w:r>
      <w:r w:rsidRPr="00A2066A">
        <w:rPr>
          <w:color w:val="000080"/>
        </w:rPr>
        <w:t xml:space="preserve"> </w:t>
      </w:r>
      <w:r w:rsidR="00C63665" w:rsidRPr="00A2066A">
        <w:rPr>
          <w:color w:val="000080"/>
        </w:rPr>
        <w:t>was</w:t>
      </w:r>
      <w:r w:rsidRPr="00A2066A">
        <w:rPr>
          <w:color w:val="000080"/>
        </w:rPr>
        <w:t xml:space="preserve"> noted in the</w:t>
      </w:r>
      <w:r w:rsidR="00545B42">
        <w:rPr>
          <w:color w:val="000080"/>
        </w:rPr>
        <w:t xml:space="preserve"> MEB physical exam, NARSUM </w:t>
      </w:r>
      <w:r w:rsidRPr="00A2066A">
        <w:rPr>
          <w:color w:val="000080"/>
        </w:rPr>
        <w:t>or elsewhere in the STR.</w:t>
      </w:r>
    </w:p>
    <w:p w:rsidR="00A2066A" w:rsidRPr="00A2066A" w:rsidRDefault="00A2066A" w:rsidP="00A2066A">
      <w:pPr>
        <w:tabs>
          <w:tab w:val="left" w:pos="288"/>
          <w:tab w:val="left" w:pos="4752"/>
        </w:tabs>
        <w:spacing w:line="240" w:lineRule="exact"/>
        <w:jc w:val="both"/>
        <w:rPr>
          <w:color w:val="000080"/>
        </w:rPr>
      </w:pPr>
    </w:p>
    <w:p w:rsidR="00A2066A" w:rsidRPr="00A2066A" w:rsidRDefault="00A2066A" w:rsidP="00A2066A">
      <w:pPr>
        <w:tabs>
          <w:tab w:val="left" w:pos="288"/>
          <w:tab w:val="left" w:pos="4752"/>
        </w:tabs>
        <w:spacing w:line="240" w:lineRule="exact"/>
        <w:jc w:val="both"/>
        <w:rPr>
          <w:color w:val="000080"/>
        </w:rPr>
      </w:pPr>
      <w:r w:rsidRPr="00A2066A">
        <w:rPr>
          <w:color w:val="000080"/>
        </w:rPr>
        <w:lastRenderedPageBreak/>
        <w:t>Regarding coding, Board practice is to follow the VA precedent for rating knee instability separately.  This is also IAW VASRD §4.7 (higher of 2 evaluations).  The relatively mild physical instability of the knee documented on all examinations does not correlate well with the severity of</w:t>
      </w:r>
      <w:r w:rsidR="00545B42">
        <w:rPr>
          <w:color w:val="000080"/>
        </w:rPr>
        <w:t xml:space="preserve"> instability connoted in the </w:t>
      </w:r>
      <w:r w:rsidRPr="00A2066A">
        <w:rPr>
          <w:color w:val="000080"/>
        </w:rPr>
        <w:t xml:space="preserve">history </w:t>
      </w:r>
      <w:r w:rsidR="00545B42">
        <w:rPr>
          <w:color w:val="000080"/>
        </w:rPr>
        <w:t xml:space="preserve">recorded by the VA examiner or with </w:t>
      </w:r>
      <w:r w:rsidRPr="00A2066A">
        <w:rPr>
          <w:color w:val="000080"/>
        </w:rPr>
        <w:t xml:space="preserve">necessity for a brace.  </w:t>
      </w:r>
      <w:r w:rsidR="00117F7C">
        <w:rPr>
          <w:color w:val="000080"/>
        </w:rPr>
        <w:t>Although additional rating for instability was indicated,</w:t>
      </w:r>
      <w:r w:rsidRPr="00A2066A">
        <w:rPr>
          <w:color w:val="000080"/>
        </w:rPr>
        <w:t xml:space="preserve"> the 20% rating applied by the VA appears to overstate the severity.  A fair recommendation is 10% under 5257.  The frequency of locking, especially in the absence of an effusion, required for the 5258 code and consequent 20% rating is not well supported in the STR.  The more appropriate separation rating is 10% under the 5259 code.</w:t>
      </w:r>
    </w:p>
    <w:p w:rsidR="00A2066A" w:rsidRPr="00A2066A" w:rsidRDefault="00A2066A" w:rsidP="00A2066A">
      <w:pPr>
        <w:tabs>
          <w:tab w:val="left" w:pos="288"/>
          <w:tab w:val="left" w:pos="4752"/>
        </w:tabs>
        <w:spacing w:line="240" w:lineRule="exact"/>
        <w:jc w:val="both"/>
        <w:rPr>
          <w:color w:val="000080"/>
        </w:rPr>
      </w:pPr>
    </w:p>
    <w:p w:rsidR="00A2066A" w:rsidRPr="00A2066A" w:rsidRDefault="00A2066A" w:rsidP="00A2066A">
      <w:pPr>
        <w:tabs>
          <w:tab w:val="left" w:pos="288"/>
          <w:tab w:val="left" w:pos="4752"/>
        </w:tabs>
        <w:spacing w:line="240" w:lineRule="exact"/>
        <w:jc w:val="both"/>
        <w:rPr>
          <w:color w:val="000080"/>
        </w:rPr>
      </w:pPr>
      <w:proofErr w:type="gramStart"/>
      <w:r w:rsidRPr="00A2066A">
        <w:rPr>
          <w:color w:val="000080"/>
          <w:u w:val="single"/>
        </w:rPr>
        <w:t>Other Conditions</w:t>
      </w:r>
      <w:r w:rsidRPr="00A2066A">
        <w:rPr>
          <w:color w:val="000080"/>
        </w:rPr>
        <w:t>.</w:t>
      </w:r>
      <w:proofErr w:type="gramEnd"/>
      <w:r w:rsidRPr="00A2066A">
        <w:rPr>
          <w:color w:val="000080"/>
        </w:rPr>
        <w:t xml:space="preserve">  The CI was additionally rated by the VA for service-connected low back pain and a right knee condition.  Neither was addressed in the NARSUM nor forwarded to the PEB on the DA 3947 from the MEB.  Low back pain, but not the right knee, was noted by the CI on his MEB physical.  Spine and right knee exams were documented as normal.  The NARSUM and VA rating exams specified normal ROM and essentially benign exam</w:t>
      </w:r>
      <w:r w:rsidR="00117F7C">
        <w:rPr>
          <w:color w:val="000080"/>
        </w:rPr>
        <w:t>s</w:t>
      </w:r>
      <w:r w:rsidRPr="00A2066A">
        <w:rPr>
          <w:color w:val="000080"/>
        </w:rPr>
        <w:t xml:space="preserve"> of the </w:t>
      </w:r>
      <w:proofErr w:type="spellStart"/>
      <w:r w:rsidRPr="00A2066A">
        <w:rPr>
          <w:color w:val="000080"/>
        </w:rPr>
        <w:t>contralateral</w:t>
      </w:r>
      <w:proofErr w:type="spellEnd"/>
      <w:r w:rsidRPr="00A2066A">
        <w:rPr>
          <w:color w:val="000080"/>
        </w:rPr>
        <w:t xml:space="preserve"> knee.  Neither condition is noted in the medical profiles.  Neither the back nor the right knee ratings applied by the VA meet a reasonable threshold for Board recommendation as additions to the combined separation </w:t>
      </w:r>
      <w:r w:rsidR="00117F7C" w:rsidRPr="00A2066A">
        <w:rPr>
          <w:color w:val="000080"/>
        </w:rPr>
        <w:t>rating</w:t>
      </w:r>
      <w:r w:rsidR="00A50258">
        <w:rPr>
          <w:color w:val="000080"/>
        </w:rPr>
        <w:t>.  T</w:t>
      </w:r>
      <w:r w:rsidRPr="00A2066A">
        <w:rPr>
          <w:color w:val="000080"/>
        </w:rPr>
        <w:t>he CI does not contend for them.</w:t>
      </w:r>
    </w:p>
    <w:p w:rsidR="00A90D55" w:rsidRPr="00D91DA6" w:rsidRDefault="008B5D31" w:rsidP="009B1534">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9B1534">
      <w:pPr>
        <w:tabs>
          <w:tab w:val="left" w:pos="288"/>
          <w:tab w:val="left" w:pos="4752"/>
        </w:tabs>
        <w:spacing w:line="240" w:lineRule="exact"/>
        <w:jc w:val="both"/>
        <w:rPr>
          <w:color w:val="000080"/>
        </w:rPr>
      </w:pPr>
    </w:p>
    <w:p w:rsidR="007F7078" w:rsidRPr="009623B2" w:rsidRDefault="00FB593A" w:rsidP="00585AC7">
      <w:pPr>
        <w:spacing w:line="240" w:lineRule="exact"/>
        <w:jc w:val="both"/>
        <w:rPr>
          <w:color w:val="000080"/>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007F7078" w:rsidRPr="007F7078">
        <w:rPr>
          <w:color w:val="000080"/>
        </w:rPr>
        <w:t xml:space="preserve">As discussed above, PEB reliance on </w:t>
      </w:r>
      <w:proofErr w:type="spellStart"/>
      <w:r w:rsidR="007F7078" w:rsidRPr="007F7078">
        <w:rPr>
          <w:color w:val="000080"/>
        </w:rPr>
        <w:t>DoDI</w:t>
      </w:r>
      <w:proofErr w:type="spellEnd"/>
      <w:r w:rsidR="007F7078" w:rsidRPr="007F7078">
        <w:rPr>
          <w:color w:val="000080"/>
        </w:rPr>
        <w:t xml:space="preserve"> 1332.39 for rating PTSD</w:t>
      </w:r>
      <w:r w:rsidR="007F7078">
        <w:rPr>
          <w:color w:val="000080"/>
        </w:rPr>
        <w:t xml:space="preserve"> </w:t>
      </w:r>
      <w:r w:rsidR="007F7078" w:rsidRPr="007F7078">
        <w:rPr>
          <w:color w:val="000080"/>
        </w:rPr>
        <w:t>was apparent in this case and the condition was adjudicated independently of that policy by this Board.</w:t>
      </w:r>
      <w:r w:rsidR="007F7078">
        <w:rPr>
          <w:color w:val="000080"/>
        </w:rPr>
        <w:t xml:space="preserve">  </w:t>
      </w:r>
      <w:r w:rsidR="007F7078" w:rsidRPr="009623B2">
        <w:rPr>
          <w:color w:val="000080"/>
        </w:rPr>
        <w:t xml:space="preserve">In the matter of PTSD, the </w:t>
      </w:r>
      <w:r w:rsidR="00A50258">
        <w:rPr>
          <w:color w:val="000080"/>
        </w:rPr>
        <w:t>Board unanimously</w:t>
      </w:r>
      <w:r w:rsidR="007F7078" w:rsidRPr="009623B2">
        <w:rPr>
          <w:color w:val="000080"/>
        </w:rPr>
        <w:t xml:space="preserve"> recommends an initial rating of 50% in retroactive compliance with VASRD §4.129 as directed, and a 30% permanent rating at 6 months IAW §4.130.  In the matter of the left knee condition, the </w:t>
      </w:r>
      <w:r w:rsidR="00A50258">
        <w:rPr>
          <w:color w:val="000080"/>
        </w:rPr>
        <w:t>Board unanimously</w:t>
      </w:r>
      <w:r w:rsidR="007F7078" w:rsidRPr="009623B2">
        <w:rPr>
          <w:color w:val="000080"/>
        </w:rPr>
        <w:t xml:space="preserve"> recommends separately added ratings of 10% under 5237 and 10% under 5239.  In the matter of the back and right knee conditions, the </w:t>
      </w:r>
      <w:r w:rsidR="00A50258">
        <w:rPr>
          <w:color w:val="000080"/>
        </w:rPr>
        <w:t>Board unanimously</w:t>
      </w:r>
      <w:r w:rsidR="007F7078" w:rsidRPr="009623B2">
        <w:rPr>
          <w:color w:val="000080"/>
        </w:rPr>
        <w:t xml:space="preserve"> recommends no separation ratings as additionally unfitting conditions.</w:t>
      </w:r>
    </w:p>
    <w:p w:rsidR="00FB593A" w:rsidRPr="00D91DA6" w:rsidRDefault="008B5D31" w:rsidP="009B1534">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9B1534">
      <w:pPr>
        <w:tabs>
          <w:tab w:val="left" w:pos="288"/>
          <w:tab w:val="left" w:pos="4752"/>
        </w:tabs>
        <w:spacing w:line="240" w:lineRule="exact"/>
        <w:jc w:val="both"/>
        <w:rPr>
          <w:color w:val="000080"/>
        </w:rPr>
      </w:pPr>
    </w:p>
    <w:p w:rsidR="00A50258" w:rsidRDefault="00A50258">
      <w:pPr>
        <w:rPr>
          <w:color w:val="000080"/>
          <w:u w:val="single"/>
        </w:rPr>
      </w:pPr>
      <w:r>
        <w:rPr>
          <w:color w:val="000080"/>
          <w:u w:val="single"/>
        </w:rPr>
        <w:br w:type="page"/>
      </w:r>
    </w:p>
    <w:p w:rsidR="00FB593A" w:rsidRPr="00A50258" w:rsidRDefault="00FB593A" w:rsidP="00A50258">
      <w:pPr>
        <w:spacing w:line="240" w:lineRule="exact"/>
        <w:jc w:val="both"/>
        <w:rPr>
          <w:color w:val="000080"/>
          <w:u w:val="single"/>
        </w:rPr>
      </w:pPr>
      <w:r w:rsidRPr="00D91DA6">
        <w:rPr>
          <w:color w:val="000080"/>
          <w:u w:val="single"/>
        </w:rPr>
        <w:lastRenderedPageBreak/>
        <w:t>RECOMMENDATION:</w:t>
      </w:r>
      <w:r>
        <w:rPr>
          <w:color w:val="000080"/>
        </w:rPr>
        <w:t xml:space="preserve"> </w:t>
      </w:r>
      <w:r w:rsidRPr="00A8277D">
        <w:rPr>
          <w:color w:val="000080"/>
        </w:rPr>
        <w:t xml:space="preserve">The </w:t>
      </w:r>
      <w:r>
        <w:rPr>
          <w:color w:val="000080"/>
        </w:rPr>
        <w:t>B</w:t>
      </w:r>
      <w:r w:rsidR="006520B3">
        <w:rPr>
          <w:color w:val="000080"/>
        </w:rPr>
        <w:t>oard</w:t>
      </w:r>
      <w:r w:rsidRPr="00A8277D">
        <w:rPr>
          <w:color w:val="000080"/>
        </w:rPr>
        <w:t xml:space="preserve"> recommends that the CI’s prior determination be </w:t>
      </w:r>
      <w:r>
        <w:rPr>
          <w:color w:val="000080"/>
        </w:rPr>
        <w:t>modified</w:t>
      </w:r>
      <w:r w:rsidRPr="00A8277D">
        <w:rPr>
          <w:color w:val="000080"/>
        </w:rPr>
        <w:t xml:space="preserve"> as follows</w:t>
      </w:r>
      <w:r>
        <w:rPr>
          <w:color w:val="000080"/>
        </w:rPr>
        <w:t xml:space="preserve"> and </w:t>
      </w:r>
      <w:r w:rsidRPr="001E2F3E">
        <w:rPr>
          <w:color w:val="000080"/>
        </w:rPr>
        <w:t xml:space="preserve">that the discharge with severance pay be </w:t>
      </w:r>
      <w:proofErr w:type="spellStart"/>
      <w:r w:rsidRPr="001E2F3E">
        <w:rPr>
          <w:color w:val="000080"/>
        </w:rPr>
        <w:t>recharacterized</w:t>
      </w:r>
      <w:proofErr w:type="spellEnd"/>
      <w:r w:rsidRPr="001E2F3E">
        <w:rPr>
          <w:color w:val="000080"/>
        </w:rPr>
        <w:t xml:space="preserve"> to reflect </w:t>
      </w:r>
      <w:r>
        <w:rPr>
          <w:color w:val="000080"/>
        </w:rPr>
        <w:t xml:space="preserve">permanent </w:t>
      </w:r>
      <w:r w:rsidRPr="001E2F3E">
        <w:rPr>
          <w:color w:val="000080"/>
        </w:rPr>
        <w:t>disability retirement,</w:t>
      </w:r>
      <w:r w:rsidRPr="00A8277D">
        <w:rPr>
          <w:color w:val="000080"/>
        </w:rPr>
        <w:t xml:space="preserve"> effective as of the date of his prior medical separation.</w:t>
      </w:r>
    </w:p>
    <w:p w:rsidR="009623B2" w:rsidRDefault="009623B2" w:rsidP="00A50258">
      <w:pPr>
        <w:tabs>
          <w:tab w:val="left" w:pos="288"/>
          <w:tab w:val="left" w:pos="4752"/>
        </w:tabs>
        <w:spacing w:line="240" w:lineRule="exact"/>
        <w:jc w:val="both"/>
        <w:rPr>
          <w:color w:val="00008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0"/>
        <w:gridCol w:w="1710"/>
        <w:gridCol w:w="1170"/>
        <w:gridCol w:w="1530"/>
      </w:tblGrid>
      <w:tr w:rsidR="009623B2" w:rsidRPr="00FB7355" w:rsidTr="000F70EE">
        <w:tc>
          <w:tcPr>
            <w:tcW w:w="4860" w:type="dxa"/>
            <w:shd w:val="clear" w:color="auto" w:fill="D9D9D9"/>
          </w:tcPr>
          <w:p w:rsidR="009623B2" w:rsidRPr="003543FF" w:rsidRDefault="009623B2" w:rsidP="000F70EE">
            <w:pPr>
              <w:tabs>
                <w:tab w:val="left" w:pos="288"/>
                <w:tab w:val="left" w:pos="4752"/>
              </w:tabs>
              <w:spacing w:line="240" w:lineRule="exact"/>
              <w:jc w:val="center"/>
              <w:rPr>
                <w:b/>
                <w:color w:val="000080"/>
                <w:szCs w:val="24"/>
              </w:rPr>
            </w:pPr>
            <w:r>
              <w:rPr>
                <w:b/>
                <w:color w:val="000080"/>
                <w:szCs w:val="24"/>
              </w:rPr>
              <w:t>UNFITTING CONDITION</w:t>
            </w:r>
          </w:p>
        </w:tc>
        <w:tc>
          <w:tcPr>
            <w:tcW w:w="1710" w:type="dxa"/>
            <w:shd w:val="clear" w:color="auto" w:fill="D9D9D9"/>
          </w:tcPr>
          <w:p w:rsidR="009623B2" w:rsidRPr="003543FF" w:rsidRDefault="009623B2" w:rsidP="000F70EE">
            <w:pPr>
              <w:tabs>
                <w:tab w:val="left" w:pos="288"/>
                <w:tab w:val="left" w:pos="4752"/>
              </w:tabs>
              <w:spacing w:line="240" w:lineRule="exact"/>
              <w:jc w:val="center"/>
              <w:rPr>
                <w:b/>
                <w:color w:val="000080"/>
                <w:szCs w:val="24"/>
              </w:rPr>
            </w:pPr>
            <w:r w:rsidRPr="003543FF">
              <w:rPr>
                <w:b/>
                <w:color w:val="000080"/>
                <w:szCs w:val="24"/>
              </w:rPr>
              <w:t>VASRD C</w:t>
            </w:r>
            <w:r>
              <w:rPr>
                <w:b/>
                <w:color w:val="000080"/>
                <w:szCs w:val="24"/>
              </w:rPr>
              <w:t>ODE</w:t>
            </w:r>
          </w:p>
        </w:tc>
        <w:tc>
          <w:tcPr>
            <w:tcW w:w="1170" w:type="dxa"/>
            <w:shd w:val="clear" w:color="auto" w:fill="D9D9D9"/>
          </w:tcPr>
          <w:p w:rsidR="009623B2" w:rsidRPr="003543FF" w:rsidRDefault="009623B2" w:rsidP="000F70EE">
            <w:pPr>
              <w:tabs>
                <w:tab w:val="left" w:pos="288"/>
                <w:tab w:val="left" w:pos="4752"/>
              </w:tabs>
              <w:spacing w:line="240" w:lineRule="exact"/>
              <w:jc w:val="center"/>
              <w:rPr>
                <w:b/>
                <w:color w:val="000080"/>
                <w:szCs w:val="24"/>
              </w:rPr>
            </w:pPr>
            <w:r w:rsidRPr="003543FF">
              <w:rPr>
                <w:b/>
                <w:color w:val="000080"/>
                <w:szCs w:val="24"/>
              </w:rPr>
              <w:t>TDRL R</w:t>
            </w:r>
            <w:r>
              <w:rPr>
                <w:b/>
                <w:color w:val="000080"/>
                <w:szCs w:val="24"/>
              </w:rPr>
              <w:t>ATING</w:t>
            </w:r>
          </w:p>
        </w:tc>
        <w:tc>
          <w:tcPr>
            <w:tcW w:w="1530" w:type="dxa"/>
            <w:shd w:val="pct15" w:color="auto" w:fill="auto"/>
          </w:tcPr>
          <w:p w:rsidR="009623B2" w:rsidRPr="003543FF" w:rsidRDefault="009623B2" w:rsidP="000F70EE">
            <w:pPr>
              <w:tabs>
                <w:tab w:val="left" w:pos="288"/>
                <w:tab w:val="left" w:pos="4752"/>
              </w:tabs>
              <w:spacing w:line="240" w:lineRule="exact"/>
              <w:jc w:val="center"/>
              <w:rPr>
                <w:b/>
                <w:color w:val="000080"/>
                <w:szCs w:val="24"/>
              </w:rPr>
            </w:pPr>
            <w:r w:rsidRPr="003543FF">
              <w:rPr>
                <w:b/>
                <w:color w:val="000080"/>
                <w:szCs w:val="24"/>
              </w:rPr>
              <w:t>P</w:t>
            </w:r>
            <w:r>
              <w:rPr>
                <w:b/>
                <w:color w:val="000080"/>
                <w:szCs w:val="24"/>
              </w:rPr>
              <w:t>ERMANENT</w:t>
            </w:r>
          </w:p>
          <w:p w:rsidR="009623B2" w:rsidRPr="003543FF" w:rsidRDefault="009623B2" w:rsidP="000F70EE">
            <w:pPr>
              <w:tabs>
                <w:tab w:val="left" w:pos="288"/>
                <w:tab w:val="left" w:pos="4752"/>
              </w:tabs>
              <w:spacing w:line="240" w:lineRule="exact"/>
              <w:jc w:val="center"/>
              <w:rPr>
                <w:b/>
                <w:color w:val="000080"/>
                <w:szCs w:val="24"/>
              </w:rPr>
            </w:pPr>
            <w:r w:rsidRPr="003543FF">
              <w:rPr>
                <w:b/>
                <w:color w:val="000080"/>
                <w:szCs w:val="24"/>
              </w:rPr>
              <w:t>R</w:t>
            </w:r>
            <w:r>
              <w:rPr>
                <w:b/>
                <w:color w:val="000080"/>
                <w:szCs w:val="24"/>
              </w:rPr>
              <w:t>ATING</w:t>
            </w:r>
          </w:p>
        </w:tc>
      </w:tr>
      <w:tr w:rsidR="009623B2" w:rsidRPr="00FB7355" w:rsidTr="000F70EE">
        <w:tc>
          <w:tcPr>
            <w:tcW w:w="4860" w:type="dxa"/>
          </w:tcPr>
          <w:p w:rsidR="009623B2" w:rsidRPr="00664C60" w:rsidRDefault="009623B2" w:rsidP="000F70EE">
            <w:pPr>
              <w:tabs>
                <w:tab w:val="left" w:pos="288"/>
                <w:tab w:val="left" w:pos="4752"/>
              </w:tabs>
              <w:spacing w:line="240" w:lineRule="exact"/>
              <w:rPr>
                <w:color w:val="000080"/>
                <w:szCs w:val="24"/>
              </w:rPr>
            </w:pPr>
            <w:r w:rsidRPr="00664C60">
              <w:rPr>
                <w:color w:val="000080"/>
                <w:szCs w:val="24"/>
              </w:rPr>
              <w:t>PTSD</w:t>
            </w:r>
          </w:p>
        </w:tc>
        <w:tc>
          <w:tcPr>
            <w:tcW w:w="1710" w:type="dxa"/>
          </w:tcPr>
          <w:p w:rsidR="009623B2" w:rsidRPr="00664C60" w:rsidRDefault="009623B2" w:rsidP="000F70EE">
            <w:pPr>
              <w:tabs>
                <w:tab w:val="left" w:pos="288"/>
                <w:tab w:val="left" w:pos="4752"/>
              </w:tabs>
              <w:spacing w:line="240" w:lineRule="exact"/>
              <w:jc w:val="center"/>
              <w:rPr>
                <w:color w:val="000080"/>
                <w:szCs w:val="24"/>
              </w:rPr>
            </w:pPr>
            <w:r w:rsidRPr="00664C60">
              <w:rPr>
                <w:color w:val="000080"/>
                <w:szCs w:val="24"/>
              </w:rPr>
              <w:t>9411</w:t>
            </w:r>
          </w:p>
        </w:tc>
        <w:tc>
          <w:tcPr>
            <w:tcW w:w="1170" w:type="dxa"/>
          </w:tcPr>
          <w:p w:rsidR="009623B2" w:rsidRPr="00664C60" w:rsidRDefault="009623B2" w:rsidP="000F70EE">
            <w:pPr>
              <w:tabs>
                <w:tab w:val="left" w:pos="288"/>
                <w:tab w:val="left" w:pos="4752"/>
              </w:tabs>
              <w:spacing w:line="240" w:lineRule="exact"/>
              <w:jc w:val="center"/>
              <w:rPr>
                <w:color w:val="000080"/>
                <w:szCs w:val="24"/>
              </w:rPr>
            </w:pPr>
            <w:r w:rsidRPr="00664C60">
              <w:rPr>
                <w:color w:val="000080"/>
                <w:szCs w:val="24"/>
              </w:rPr>
              <w:t>50%</w:t>
            </w:r>
          </w:p>
        </w:tc>
        <w:tc>
          <w:tcPr>
            <w:tcW w:w="1530" w:type="dxa"/>
          </w:tcPr>
          <w:p w:rsidR="009623B2" w:rsidRPr="00664C60" w:rsidRDefault="009623B2" w:rsidP="000F70EE">
            <w:pPr>
              <w:tabs>
                <w:tab w:val="left" w:pos="288"/>
                <w:tab w:val="left" w:pos="4752"/>
              </w:tabs>
              <w:spacing w:line="240" w:lineRule="exact"/>
              <w:jc w:val="center"/>
              <w:rPr>
                <w:color w:val="000080"/>
                <w:szCs w:val="24"/>
              </w:rPr>
            </w:pPr>
            <w:r>
              <w:rPr>
                <w:color w:val="000080"/>
                <w:szCs w:val="24"/>
              </w:rPr>
              <w:t>30</w:t>
            </w:r>
            <w:r w:rsidRPr="00664C60">
              <w:rPr>
                <w:color w:val="000080"/>
                <w:szCs w:val="24"/>
              </w:rPr>
              <w:t>%</w:t>
            </w:r>
          </w:p>
        </w:tc>
      </w:tr>
      <w:tr w:rsidR="009623B2" w:rsidRPr="00FB7355" w:rsidTr="000F70EE">
        <w:tc>
          <w:tcPr>
            <w:tcW w:w="4860" w:type="dxa"/>
          </w:tcPr>
          <w:p w:rsidR="009623B2" w:rsidRPr="005E1003" w:rsidRDefault="009623B2" w:rsidP="000F70EE">
            <w:pPr>
              <w:tabs>
                <w:tab w:val="left" w:pos="288"/>
                <w:tab w:val="left" w:pos="4752"/>
              </w:tabs>
              <w:spacing w:line="240" w:lineRule="exact"/>
              <w:rPr>
                <w:color w:val="000080"/>
                <w:szCs w:val="24"/>
              </w:rPr>
            </w:pPr>
            <w:r>
              <w:rPr>
                <w:color w:val="000080"/>
                <w:szCs w:val="24"/>
              </w:rPr>
              <w:t>CHRONIC LEFT KNEE PAIN DUE TO MENISCAL DAMAGE</w:t>
            </w:r>
          </w:p>
        </w:tc>
        <w:tc>
          <w:tcPr>
            <w:tcW w:w="1710" w:type="dxa"/>
            <w:tcBorders>
              <w:bottom w:val="single" w:sz="4" w:space="0" w:color="000000"/>
            </w:tcBorders>
          </w:tcPr>
          <w:p w:rsidR="009623B2" w:rsidRPr="004D539D" w:rsidRDefault="009623B2" w:rsidP="000F70EE">
            <w:pPr>
              <w:tabs>
                <w:tab w:val="left" w:pos="288"/>
                <w:tab w:val="left" w:pos="4752"/>
              </w:tabs>
              <w:spacing w:line="240" w:lineRule="exact"/>
              <w:jc w:val="center"/>
              <w:rPr>
                <w:color w:val="000080"/>
                <w:szCs w:val="24"/>
              </w:rPr>
            </w:pPr>
            <w:r>
              <w:rPr>
                <w:color w:val="000080"/>
                <w:szCs w:val="24"/>
              </w:rPr>
              <w:t>5257</w:t>
            </w:r>
          </w:p>
        </w:tc>
        <w:tc>
          <w:tcPr>
            <w:tcW w:w="1170" w:type="dxa"/>
            <w:tcBorders>
              <w:bottom w:val="single" w:sz="4" w:space="0" w:color="000000"/>
            </w:tcBorders>
          </w:tcPr>
          <w:p w:rsidR="009623B2" w:rsidRPr="00664C60" w:rsidRDefault="009623B2" w:rsidP="000F70EE">
            <w:pPr>
              <w:tabs>
                <w:tab w:val="left" w:pos="288"/>
                <w:tab w:val="left" w:pos="4752"/>
              </w:tabs>
              <w:spacing w:line="240" w:lineRule="exact"/>
              <w:jc w:val="center"/>
              <w:rPr>
                <w:color w:val="000080"/>
                <w:szCs w:val="24"/>
              </w:rPr>
            </w:pPr>
            <w:r>
              <w:rPr>
                <w:color w:val="000080"/>
                <w:szCs w:val="24"/>
              </w:rPr>
              <w:t>10</w:t>
            </w:r>
            <w:r w:rsidRPr="00664C60">
              <w:rPr>
                <w:color w:val="000080"/>
                <w:szCs w:val="24"/>
              </w:rPr>
              <w:t>%</w:t>
            </w:r>
          </w:p>
        </w:tc>
        <w:tc>
          <w:tcPr>
            <w:tcW w:w="1530" w:type="dxa"/>
            <w:tcBorders>
              <w:bottom w:val="single" w:sz="4" w:space="0" w:color="000000"/>
            </w:tcBorders>
          </w:tcPr>
          <w:p w:rsidR="009623B2" w:rsidRPr="00664C60" w:rsidRDefault="009623B2" w:rsidP="000F70EE">
            <w:pPr>
              <w:tabs>
                <w:tab w:val="left" w:pos="288"/>
                <w:tab w:val="left" w:pos="4752"/>
              </w:tabs>
              <w:spacing w:line="240" w:lineRule="exact"/>
              <w:jc w:val="center"/>
              <w:rPr>
                <w:color w:val="000080"/>
                <w:szCs w:val="24"/>
              </w:rPr>
            </w:pPr>
            <w:r>
              <w:rPr>
                <w:color w:val="000080"/>
                <w:szCs w:val="24"/>
              </w:rPr>
              <w:t>10</w:t>
            </w:r>
            <w:r w:rsidRPr="00664C60">
              <w:rPr>
                <w:color w:val="000080"/>
                <w:szCs w:val="24"/>
              </w:rPr>
              <w:t>%</w:t>
            </w:r>
          </w:p>
        </w:tc>
      </w:tr>
      <w:tr w:rsidR="009623B2" w:rsidRPr="00FB7355" w:rsidTr="000F70EE">
        <w:tc>
          <w:tcPr>
            <w:tcW w:w="4860" w:type="dxa"/>
          </w:tcPr>
          <w:p w:rsidR="009623B2" w:rsidRPr="004D539D" w:rsidRDefault="009623B2" w:rsidP="000F70EE">
            <w:pPr>
              <w:tabs>
                <w:tab w:val="left" w:pos="288"/>
                <w:tab w:val="left" w:pos="4752"/>
              </w:tabs>
              <w:spacing w:line="240" w:lineRule="exact"/>
              <w:rPr>
                <w:color w:val="000080"/>
                <w:szCs w:val="24"/>
              </w:rPr>
            </w:pPr>
            <w:r>
              <w:rPr>
                <w:color w:val="000080"/>
                <w:szCs w:val="24"/>
              </w:rPr>
              <w:t>LATERAL INSTABILITY, LEFT KNEE</w:t>
            </w:r>
          </w:p>
        </w:tc>
        <w:tc>
          <w:tcPr>
            <w:tcW w:w="1710" w:type="dxa"/>
            <w:tcBorders>
              <w:bottom w:val="single" w:sz="4" w:space="0" w:color="000000"/>
            </w:tcBorders>
          </w:tcPr>
          <w:p w:rsidR="009623B2" w:rsidRPr="004D539D" w:rsidRDefault="009623B2" w:rsidP="000F70EE">
            <w:pPr>
              <w:tabs>
                <w:tab w:val="left" w:pos="288"/>
                <w:tab w:val="left" w:pos="4752"/>
              </w:tabs>
              <w:spacing w:line="240" w:lineRule="exact"/>
              <w:jc w:val="center"/>
              <w:rPr>
                <w:color w:val="000080"/>
                <w:szCs w:val="24"/>
              </w:rPr>
            </w:pPr>
            <w:r>
              <w:rPr>
                <w:color w:val="000080"/>
                <w:szCs w:val="24"/>
              </w:rPr>
              <w:t>5259</w:t>
            </w:r>
          </w:p>
        </w:tc>
        <w:tc>
          <w:tcPr>
            <w:tcW w:w="1170" w:type="dxa"/>
            <w:tcBorders>
              <w:bottom w:val="single" w:sz="4" w:space="0" w:color="000000"/>
            </w:tcBorders>
          </w:tcPr>
          <w:p w:rsidR="009623B2" w:rsidRPr="00664C60" w:rsidRDefault="009623B2" w:rsidP="000F70EE">
            <w:pPr>
              <w:tabs>
                <w:tab w:val="left" w:pos="288"/>
                <w:tab w:val="left" w:pos="4752"/>
              </w:tabs>
              <w:spacing w:line="240" w:lineRule="exact"/>
              <w:jc w:val="center"/>
              <w:rPr>
                <w:color w:val="000080"/>
                <w:szCs w:val="24"/>
              </w:rPr>
            </w:pPr>
            <w:r>
              <w:rPr>
                <w:color w:val="000080"/>
                <w:szCs w:val="24"/>
              </w:rPr>
              <w:t>10%</w:t>
            </w:r>
          </w:p>
        </w:tc>
        <w:tc>
          <w:tcPr>
            <w:tcW w:w="1530" w:type="dxa"/>
            <w:tcBorders>
              <w:bottom w:val="single" w:sz="4" w:space="0" w:color="000000"/>
            </w:tcBorders>
          </w:tcPr>
          <w:p w:rsidR="009623B2" w:rsidRPr="00664C60" w:rsidRDefault="009623B2" w:rsidP="000F70EE">
            <w:pPr>
              <w:tabs>
                <w:tab w:val="left" w:pos="288"/>
                <w:tab w:val="left" w:pos="4752"/>
              </w:tabs>
              <w:spacing w:line="240" w:lineRule="exact"/>
              <w:jc w:val="center"/>
              <w:rPr>
                <w:color w:val="000080"/>
                <w:szCs w:val="24"/>
              </w:rPr>
            </w:pPr>
            <w:r>
              <w:rPr>
                <w:color w:val="000080"/>
                <w:szCs w:val="24"/>
              </w:rPr>
              <w:t>10%</w:t>
            </w:r>
          </w:p>
        </w:tc>
      </w:tr>
      <w:tr w:rsidR="009623B2" w:rsidRPr="00FB7355" w:rsidTr="000F70EE">
        <w:tblPrEx>
          <w:tblLook w:val="0000"/>
        </w:tblPrEx>
        <w:trPr>
          <w:gridBefore w:val="1"/>
          <w:wBefore w:w="4860" w:type="dxa"/>
          <w:trHeight w:val="278"/>
        </w:trPr>
        <w:tc>
          <w:tcPr>
            <w:tcW w:w="1710" w:type="dxa"/>
            <w:tcBorders>
              <w:left w:val="single" w:sz="4" w:space="0" w:color="auto"/>
            </w:tcBorders>
            <w:shd w:val="pct15" w:color="auto" w:fill="auto"/>
          </w:tcPr>
          <w:p w:rsidR="009623B2" w:rsidRPr="003543FF" w:rsidRDefault="009623B2" w:rsidP="000F70EE">
            <w:pPr>
              <w:tabs>
                <w:tab w:val="left" w:pos="288"/>
                <w:tab w:val="left" w:pos="4752"/>
              </w:tabs>
              <w:spacing w:line="240" w:lineRule="exact"/>
              <w:jc w:val="center"/>
              <w:rPr>
                <w:b/>
                <w:color w:val="000080"/>
                <w:szCs w:val="24"/>
              </w:rPr>
            </w:pPr>
            <w:r w:rsidRPr="003543FF">
              <w:rPr>
                <w:b/>
                <w:color w:val="000080"/>
                <w:szCs w:val="24"/>
              </w:rPr>
              <w:t>COMBINED</w:t>
            </w:r>
          </w:p>
        </w:tc>
        <w:tc>
          <w:tcPr>
            <w:tcW w:w="1170" w:type="dxa"/>
            <w:tcBorders>
              <w:left w:val="single" w:sz="4" w:space="0" w:color="auto"/>
            </w:tcBorders>
            <w:shd w:val="pct15" w:color="auto" w:fill="auto"/>
          </w:tcPr>
          <w:p w:rsidR="009623B2" w:rsidRPr="003543FF" w:rsidRDefault="009623B2" w:rsidP="000F70EE">
            <w:pPr>
              <w:tabs>
                <w:tab w:val="left" w:pos="288"/>
                <w:tab w:val="left" w:pos="4752"/>
              </w:tabs>
              <w:spacing w:line="240" w:lineRule="exact"/>
              <w:jc w:val="center"/>
              <w:rPr>
                <w:b/>
                <w:color w:val="000080"/>
                <w:szCs w:val="24"/>
              </w:rPr>
            </w:pPr>
            <w:r>
              <w:rPr>
                <w:b/>
                <w:color w:val="000080"/>
                <w:szCs w:val="24"/>
              </w:rPr>
              <w:t>60</w:t>
            </w:r>
            <w:r w:rsidRPr="003543FF">
              <w:rPr>
                <w:b/>
                <w:color w:val="000080"/>
                <w:szCs w:val="24"/>
              </w:rPr>
              <w:t>%</w:t>
            </w:r>
          </w:p>
        </w:tc>
        <w:tc>
          <w:tcPr>
            <w:tcW w:w="1530" w:type="dxa"/>
            <w:shd w:val="pct15" w:color="auto" w:fill="auto"/>
          </w:tcPr>
          <w:p w:rsidR="009623B2" w:rsidRPr="003543FF" w:rsidRDefault="009623B2" w:rsidP="000F70EE">
            <w:pPr>
              <w:tabs>
                <w:tab w:val="left" w:pos="288"/>
                <w:tab w:val="left" w:pos="4752"/>
              </w:tabs>
              <w:spacing w:line="240" w:lineRule="exact"/>
              <w:jc w:val="center"/>
              <w:rPr>
                <w:b/>
                <w:color w:val="000080"/>
                <w:szCs w:val="24"/>
              </w:rPr>
            </w:pPr>
            <w:r>
              <w:rPr>
                <w:b/>
                <w:color w:val="000080"/>
                <w:szCs w:val="24"/>
              </w:rPr>
              <w:t>50</w:t>
            </w:r>
            <w:r w:rsidRPr="003543FF">
              <w:rPr>
                <w:b/>
                <w:color w:val="000080"/>
                <w:szCs w:val="24"/>
              </w:rPr>
              <w:t>%</w:t>
            </w:r>
          </w:p>
        </w:tc>
      </w:tr>
    </w:tbl>
    <w:p w:rsidR="00B522CD" w:rsidRDefault="008B5D31" w:rsidP="009B1534">
      <w:pPr>
        <w:tabs>
          <w:tab w:val="left" w:pos="288"/>
          <w:tab w:val="left" w:pos="4752"/>
        </w:tabs>
        <w:spacing w:line="240" w:lineRule="exact"/>
        <w:jc w:val="both"/>
        <w:rPr>
          <w:color w:val="000080"/>
        </w:rPr>
      </w:pPr>
      <w:r w:rsidRPr="00572481">
        <w:rPr>
          <w:color w:val="000080"/>
          <w:u w:val="single"/>
        </w:rPr>
        <w:t>______</w:t>
      </w:r>
      <w:r w:rsidR="009623B2">
        <w:rPr>
          <w:color w:val="000080"/>
          <w:u w:val="single"/>
        </w:rPr>
        <w:t>__</w:t>
      </w:r>
      <w:r w:rsidRPr="00572481">
        <w:rPr>
          <w:color w:val="000080"/>
          <w:u w:val="single"/>
        </w:rPr>
        <w:t>_______________________________________________________</w:t>
      </w:r>
      <w:r>
        <w:rPr>
          <w:color w:val="000080"/>
        </w:rPr>
        <w:t>_</w:t>
      </w:r>
    </w:p>
    <w:p w:rsidR="00D91DA6" w:rsidRDefault="00D91DA6" w:rsidP="009B1534">
      <w:pPr>
        <w:tabs>
          <w:tab w:val="left" w:pos="288"/>
          <w:tab w:val="left" w:pos="4752"/>
        </w:tabs>
        <w:spacing w:line="240" w:lineRule="exact"/>
        <w:jc w:val="both"/>
        <w:rPr>
          <w:color w:val="000080"/>
        </w:rPr>
      </w:pPr>
    </w:p>
    <w:p w:rsidR="00D91DA6" w:rsidRDefault="00114F20" w:rsidP="009B1534">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9B1534">
      <w:pPr>
        <w:tabs>
          <w:tab w:val="left" w:pos="288"/>
          <w:tab w:val="left" w:pos="4752"/>
        </w:tabs>
        <w:spacing w:line="240" w:lineRule="exact"/>
        <w:jc w:val="both"/>
        <w:rPr>
          <w:color w:val="000080"/>
        </w:rPr>
      </w:pPr>
    </w:p>
    <w:p w:rsidR="00114F20" w:rsidRDefault="0051146C" w:rsidP="009B1534">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w:t>
      </w:r>
      <w:r w:rsidR="00C42E88">
        <w:rPr>
          <w:color w:val="000080"/>
        </w:rPr>
        <w:t xml:space="preserve"> </w:t>
      </w:r>
      <w:r w:rsidR="00C42E88" w:rsidRPr="0073068F">
        <w:rPr>
          <w:color w:val="000080"/>
        </w:rPr>
        <w:t>20070721</w:t>
      </w:r>
      <w:r w:rsidR="00114F20">
        <w:rPr>
          <w:color w:val="000080"/>
        </w:rPr>
        <w:t>, w/</w:t>
      </w:r>
      <w:proofErr w:type="spellStart"/>
      <w:r w:rsidR="00114F20">
        <w:rPr>
          <w:color w:val="000080"/>
        </w:rPr>
        <w:t>atchs</w:t>
      </w:r>
      <w:proofErr w:type="spellEnd"/>
      <w:r w:rsidR="00114F20">
        <w:rPr>
          <w:color w:val="000080"/>
        </w:rPr>
        <w:t>.</w:t>
      </w:r>
    </w:p>
    <w:p w:rsidR="00114F20" w:rsidRDefault="00114F20" w:rsidP="009B1534">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9B1534">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503040" w:rsidRDefault="00503040">
      <w:pPr>
        <w:rPr>
          <w:color w:val="000080"/>
        </w:rPr>
      </w:pPr>
      <w:r>
        <w:rPr>
          <w:color w:val="000080"/>
        </w:rPr>
        <w:br w:type="page"/>
      </w:r>
    </w:p>
    <w:p w:rsidR="00503040" w:rsidRDefault="00503040" w:rsidP="00503040">
      <w:pPr>
        <w:pStyle w:val="Default"/>
        <w:framePr w:w="15262" w:wrap="auto" w:vAnchor="page" w:hAnchor="page" w:x="101" w:y="13947"/>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Default="00114F20" w:rsidP="009B1534">
      <w:pPr>
        <w:tabs>
          <w:tab w:val="left" w:pos="288"/>
          <w:tab w:val="left" w:pos="4752"/>
        </w:tabs>
        <w:spacing w:line="240" w:lineRule="exact"/>
        <w:jc w:val="both"/>
        <w:rPr>
          <w:color w:val="000080"/>
        </w:rPr>
      </w:pPr>
    </w:p>
    <w:sectPr w:rsidR="00114F20"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13" w:rsidRDefault="00062C13">
      <w:r>
        <w:separator/>
      </w:r>
    </w:p>
  </w:endnote>
  <w:endnote w:type="continuationSeparator" w:id="0">
    <w:p w:rsidR="00062C13" w:rsidRDefault="00062C13">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16CC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03040">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9623B2">
      <w:rPr>
        <w:caps/>
        <w:color w:val="000080"/>
      </w:rPr>
      <w:t>030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16CC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03040">
      <w:rPr>
        <w:rStyle w:val="PageNumber"/>
        <w:noProof/>
      </w:rPr>
      <w:t>5</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9623B2">
      <w:rPr>
        <w:caps/>
        <w:color w:val="000080"/>
      </w:rPr>
      <w:t>030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13" w:rsidRDefault="00062C13">
      <w:r>
        <w:separator/>
      </w:r>
    </w:p>
  </w:footnote>
  <w:footnote w:type="continuationSeparator" w:id="0">
    <w:p w:rsidR="00062C13" w:rsidRDefault="00062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62C13"/>
    <w:rsid w:val="000A2BCE"/>
    <w:rsid w:val="000A4BBA"/>
    <w:rsid w:val="000D15E7"/>
    <w:rsid w:val="000D43F9"/>
    <w:rsid w:val="000D4717"/>
    <w:rsid w:val="000F427B"/>
    <w:rsid w:val="0010417F"/>
    <w:rsid w:val="0010530E"/>
    <w:rsid w:val="00114F20"/>
    <w:rsid w:val="00117F7C"/>
    <w:rsid w:val="001231DC"/>
    <w:rsid w:val="00177659"/>
    <w:rsid w:val="00185ECB"/>
    <w:rsid w:val="001C181A"/>
    <w:rsid w:val="001C2053"/>
    <w:rsid w:val="001C28D1"/>
    <w:rsid w:val="001C7418"/>
    <w:rsid w:val="001D6A8C"/>
    <w:rsid w:val="00216CC7"/>
    <w:rsid w:val="002338CA"/>
    <w:rsid w:val="00246860"/>
    <w:rsid w:val="00274549"/>
    <w:rsid w:val="00274E46"/>
    <w:rsid w:val="002B03B2"/>
    <w:rsid w:val="002B0749"/>
    <w:rsid w:val="002E7A43"/>
    <w:rsid w:val="00323E70"/>
    <w:rsid w:val="003768C2"/>
    <w:rsid w:val="00385D6F"/>
    <w:rsid w:val="00393651"/>
    <w:rsid w:val="003D2BA3"/>
    <w:rsid w:val="003D7DDB"/>
    <w:rsid w:val="003E0543"/>
    <w:rsid w:val="004007E9"/>
    <w:rsid w:val="00401BBB"/>
    <w:rsid w:val="0044384F"/>
    <w:rsid w:val="004574C6"/>
    <w:rsid w:val="004A158F"/>
    <w:rsid w:val="004A24D2"/>
    <w:rsid w:val="004A4136"/>
    <w:rsid w:val="00503040"/>
    <w:rsid w:val="0051146C"/>
    <w:rsid w:val="0052590B"/>
    <w:rsid w:val="00526591"/>
    <w:rsid w:val="00534F48"/>
    <w:rsid w:val="005350A5"/>
    <w:rsid w:val="005436C2"/>
    <w:rsid w:val="00545B42"/>
    <w:rsid w:val="00585AC7"/>
    <w:rsid w:val="005A258C"/>
    <w:rsid w:val="005A3560"/>
    <w:rsid w:val="005B011A"/>
    <w:rsid w:val="005D14FF"/>
    <w:rsid w:val="00615641"/>
    <w:rsid w:val="00634C4A"/>
    <w:rsid w:val="006520B3"/>
    <w:rsid w:val="00662F08"/>
    <w:rsid w:val="00696476"/>
    <w:rsid w:val="006A40E6"/>
    <w:rsid w:val="006A75FA"/>
    <w:rsid w:val="006E7356"/>
    <w:rsid w:val="006F1A46"/>
    <w:rsid w:val="00741701"/>
    <w:rsid w:val="00744EBB"/>
    <w:rsid w:val="00746AE2"/>
    <w:rsid w:val="00781BD4"/>
    <w:rsid w:val="00791F1E"/>
    <w:rsid w:val="007A0B39"/>
    <w:rsid w:val="007A168F"/>
    <w:rsid w:val="007B0A06"/>
    <w:rsid w:val="007C433E"/>
    <w:rsid w:val="007D0292"/>
    <w:rsid w:val="007E4FBB"/>
    <w:rsid w:val="007F7078"/>
    <w:rsid w:val="0080264F"/>
    <w:rsid w:val="00811D5B"/>
    <w:rsid w:val="00817713"/>
    <w:rsid w:val="00830999"/>
    <w:rsid w:val="00830D5E"/>
    <w:rsid w:val="00834458"/>
    <w:rsid w:val="00837465"/>
    <w:rsid w:val="0084374E"/>
    <w:rsid w:val="00875B51"/>
    <w:rsid w:val="008802EE"/>
    <w:rsid w:val="008B5D31"/>
    <w:rsid w:val="008E4A60"/>
    <w:rsid w:val="00914ADB"/>
    <w:rsid w:val="00915BE2"/>
    <w:rsid w:val="00923B25"/>
    <w:rsid w:val="00930EE1"/>
    <w:rsid w:val="00942645"/>
    <w:rsid w:val="0095466C"/>
    <w:rsid w:val="009623B2"/>
    <w:rsid w:val="00985099"/>
    <w:rsid w:val="009B1534"/>
    <w:rsid w:val="009B69D3"/>
    <w:rsid w:val="009B7BA7"/>
    <w:rsid w:val="009C0938"/>
    <w:rsid w:val="009C7DF5"/>
    <w:rsid w:val="00A0615E"/>
    <w:rsid w:val="00A200AA"/>
    <w:rsid w:val="00A2066A"/>
    <w:rsid w:val="00A2270B"/>
    <w:rsid w:val="00A2496E"/>
    <w:rsid w:val="00A50258"/>
    <w:rsid w:val="00A70E7B"/>
    <w:rsid w:val="00A76094"/>
    <w:rsid w:val="00A86CB6"/>
    <w:rsid w:val="00A90D55"/>
    <w:rsid w:val="00AC439D"/>
    <w:rsid w:val="00B32179"/>
    <w:rsid w:val="00B522CD"/>
    <w:rsid w:val="00B82277"/>
    <w:rsid w:val="00BA30D1"/>
    <w:rsid w:val="00BB0A0A"/>
    <w:rsid w:val="00BD6806"/>
    <w:rsid w:val="00BD7C10"/>
    <w:rsid w:val="00BE0DEB"/>
    <w:rsid w:val="00C13B34"/>
    <w:rsid w:val="00C30A97"/>
    <w:rsid w:val="00C31DDC"/>
    <w:rsid w:val="00C34326"/>
    <w:rsid w:val="00C42E88"/>
    <w:rsid w:val="00C63665"/>
    <w:rsid w:val="00C71BEC"/>
    <w:rsid w:val="00C85579"/>
    <w:rsid w:val="00CA068D"/>
    <w:rsid w:val="00CB23DC"/>
    <w:rsid w:val="00CB28E2"/>
    <w:rsid w:val="00CB696D"/>
    <w:rsid w:val="00CB7FF7"/>
    <w:rsid w:val="00CC2044"/>
    <w:rsid w:val="00CD34C7"/>
    <w:rsid w:val="00CF4394"/>
    <w:rsid w:val="00CF7DB0"/>
    <w:rsid w:val="00D05357"/>
    <w:rsid w:val="00D46E8F"/>
    <w:rsid w:val="00D52393"/>
    <w:rsid w:val="00D76AB2"/>
    <w:rsid w:val="00D87788"/>
    <w:rsid w:val="00D910C2"/>
    <w:rsid w:val="00D91DA6"/>
    <w:rsid w:val="00DA195B"/>
    <w:rsid w:val="00DE7E74"/>
    <w:rsid w:val="00E15539"/>
    <w:rsid w:val="00EA2DD8"/>
    <w:rsid w:val="00EE35D2"/>
    <w:rsid w:val="00EF608E"/>
    <w:rsid w:val="00F1516A"/>
    <w:rsid w:val="00F22A26"/>
    <w:rsid w:val="00F72183"/>
    <w:rsid w:val="00F8311F"/>
    <w:rsid w:val="00F853AE"/>
    <w:rsid w:val="00F9435D"/>
    <w:rsid w:val="00FB593A"/>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0304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2009-09-08T16:44:00Z</cp:lastPrinted>
  <dcterms:created xsi:type="dcterms:W3CDTF">2012-01-10T19:50:00Z</dcterms:created>
  <dcterms:modified xsi:type="dcterms:W3CDTF">2012-01-11T17:26:00Z</dcterms:modified>
</cp:coreProperties>
</file>