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662F08">
      <w:pPr>
        <w:tabs>
          <w:tab w:val="left" w:pos="288"/>
          <w:tab w:val="left" w:pos="4752"/>
        </w:tabs>
        <w:spacing w:line="240" w:lineRule="exact"/>
        <w:jc w:val="center"/>
        <w:rPr>
          <w:color w:val="000080"/>
        </w:rPr>
      </w:pPr>
    </w:p>
    <w:p w:rsidR="00662F08" w:rsidRPr="00D91DA6" w:rsidRDefault="00662F08" w:rsidP="00662F08">
      <w:pPr>
        <w:tabs>
          <w:tab w:val="left" w:pos="288"/>
          <w:tab w:val="left" w:pos="4752"/>
        </w:tabs>
        <w:spacing w:line="240" w:lineRule="exact"/>
        <w:rPr>
          <w:color w:val="000080"/>
        </w:rPr>
      </w:pPr>
      <w:r w:rsidRPr="00D91DA6">
        <w:rPr>
          <w:color w:val="000080"/>
        </w:rPr>
        <w:t>NAME:</w:t>
      </w:r>
      <w:r w:rsidR="00051622" w:rsidRPr="00D91DA6">
        <w:rPr>
          <w:color w:val="000080"/>
        </w:rPr>
        <w:tab/>
      </w:r>
      <w:r w:rsidR="00051622" w:rsidRPr="00D91DA6">
        <w:rPr>
          <w:color w:val="000080"/>
        </w:rPr>
        <w:tab/>
      </w:r>
      <w:r w:rsidR="00D91DA6">
        <w:rPr>
          <w:color w:val="000080"/>
        </w:rPr>
        <w:t>BRANCH OF SERVICE</w:t>
      </w:r>
      <w:r w:rsidR="009E248A">
        <w:rPr>
          <w:color w:val="000080"/>
        </w:rPr>
        <w:t>: A</w:t>
      </w:r>
      <w:r w:rsidR="00B34735">
        <w:rPr>
          <w:color w:val="000080"/>
        </w:rPr>
        <w:t>RMY</w:t>
      </w:r>
    </w:p>
    <w:p w:rsidR="00B522CD" w:rsidRPr="00D91DA6" w:rsidRDefault="00D91DA6" w:rsidP="00662F08">
      <w:pPr>
        <w:tabs>
          <w:tab w:val="left" w:pos="288"/>
          <w:tab w:val="left" w:pos="4752"/>
        </w:tabs>
        <w:spacing w:line="240" w:lineRule="exact"/>
        <w:rPr>
          <w:color w:val="000080"/>
        </w:rPr>
      </w:pPr>
      <w:r>
        <w:rPr>
          <w:color w:val="000080"/>
        </w:rPr>
        <w:t>CASE</w:t>
      </w:r>
      <w:r w:rsidR="001C28D1" w:rsidRPr="00D91DA6">
        <w:rPr>
          <w:color w:val="000080"/>
        </w:rPr>
        <w:t xml:space="preserve"> NUMBER:  </w:t>
      </w:r>
      <w:r w:rsidR="009E248A">
        <w:rPr>
          <w:color w:val="000080"/>
        </w:rPr>
        <w:t>PD0900028</w:t>
      </w:r>
      <w:r w:rsidR="00051622" w:rsidRPr="00D91DA6">
        <w:rPr>
          <w:color w:val="000080"/>
        </w:rPr>
        <w:tab/>
      </w:r>
      <w:r w:rsidR="00B34735">
        <w:rPr>
          <w:color w:val="000080"/>
        </w:rPr>
        <w:tab/>
        <w:t>SEPARATION DATE: 20060402</w:t>
      </w:r>
    </w:p>
    <w:p w:rsidR="00662F08" w:rsidRPr="00D91DA6" w:rsidRDefault="00662F08" w:rsidP="00662F08">
      <w:pPr>
        <w:tabs>
          <w:tab w:val="left" w:pos="288"/>
          <w:tab w:val="left" w:pos="4752"/>
        </w:tabs>
        <w:spacing w:line="240" w:lineRule="exact"/>
        <w:rPr>
          <w:color w:val="000080"/>
        </w:rPr>
      </w:pPr>
      <w:r w:rsidRPr="00D91DA6">
        <w:rPr>
          <w:color w:val="000080"/>
        </w:rPr>
        <w:t xml:space="preserve">BOARD DATE: </w:t>
      </w:r>
      <w:r w:rsidR="009E248A">
        <w:rPr>
          <w:color w:val="000080"/>
        </w:rPr>
        <w:t>20090716</w:t>
      </w:r>
      <w:r w:rsidR="00D91DA6">
        <w:rPr>
          <w:color w:val="000080"/>
        </w:rPr>
        <w:tab/>
      </w:r>
      <w:r w:rsidR="00D91DA6">
        <w:rPr>
          <w:color w:val="000080"/>
        </w:rPr>
        <w:tab/>
      </w: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6F1A46" w:rsidRDefault="006F1A46">
      <w:pPr>
        <w:tabs>
          <w:tab w:val="left" w:pos="288"/>
          <w:tab w:val="left" w:pos="4752"/>
        </w:tabs>
        <w:spacing w:line="240" w:lineRule="exact"/>
        <w:jc w:val="both"/>
        <w:rPr>
          <w:color w:val="000080"/>
        </w:rPr>
      </w:pPr>
    </w:p>
    <w:p w:rsidR="00B522CD" w:rsidRDefault="00811D5B" w:rsidP="00923B25">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34735">
        <w:rPr>
          <w:color w:val="000080"/>
        </w:rPr>
        <w:t xml:space="preserve">  </w:t>
      </w:r>
      <w:r w:rsidR="006F1A46" w:rsidRPr="00646FBC">
        <w:rPr>
          <w:color w:val="000080"/>
        </w:rPr>
        <w:t xml:space="preserve">This covered individual (CI) was </w:t>
      </w:r>
      <w:r w:rsidR="000F2F46">
        <w:rPr>
          <w:color w:val="000080"/>
        </w:rPr>
        <w:t>an NCO</w:t>
      </w:r>
      <w:r w:rsidR="006F1A46">
        <w:rPr>
          <w:color w:val="000080"/>
        </w:rPr>
        <w:t xml:space="preserve"> </w:t>
      </w:r>
      <w:r w:rsidR="006F1A46" w:rsidRPr="00646FBC">
        <w:rPr>
          <w:color w:val="000080"/>
        </w:rPr>
        <w:t>medically</w:t>
      </w:r>
      <w:r w:rsidR="000F2F46">
        <w:rPr>
          <w:color w:val="000080"/>
        </w:rPr>
        <w:t xml:space="preserve"> separated from the Army in 2004</w:t>
      </w:r>
      <w:r w:rsidR="006F1A46">
        <w:rPr>
          <w:color w:val="000080"/>
        </w:rPr>
        <w:t xml:space="preserve"> </w:t>
      </w:r>
      <w:r w:rsidR="006F1A46" w:rsidRPr="00646FBC">
        <w:rPr>
          <w:color w:val="000080"/>
        </w:rPr>
        <w:t>after</w:t>
      </w:r>
      <w:r w:rsidR="006F1A46">
        <w:rPr>
          <w:color w:val="000080"/>
        </w:rPr>
        <w:t xml:space="preserve"> </w:t>
      </w:r>
      <w:r w:rsidR="000F2F46">
        <w:rPr>
          <w:color w:val="000080"/>
        </w:rPr>
        <w:t>9</w:t>
      </w:r>
      <w:r w:rsidR="006F1A46" w:rsidRPr="00646FBC">
        <w:rPr>
          <w:color w:val="000080"/>
        </w:rPr>
        <w:t xml:space="preserve"> years of service.  The medical basis for the separation was </w:t>
      </w:r>
      <w:r w:rsidR="000F2F46">
        <w:rPr>
          <w:color w:val="000080"/>
        </w:rPr>
        <w:t xml:space="preserve">bilateral carpal tunnel syndrome (CTS) and low back pain (LBP).  He developed typical symptoms in both hands in 2000, and underwent a surgical release for CTS on his right wrist in 2004.  This provided partial relief, and surgery was recommended on the </w:t>
      </w:r>
      <w:r w:rsidR="003C3627">
        <w:rPr>
          <w:color w:val="000080"/>
        </w:rPr>
        <w:t xml:space="preserve">left wrist.  By that time, he was undergoing the MEB process and deferred surgery </w:t>
      </w:r>
      <w:r w:rsidR="00293B4F">
        <w:rPr>
          <w:color w:val="000080"/>
        </w:rPr>
        <w:t>to the VA setting after separation</w:t>
      </w:r>
      <w:r w:rsidR="003C3627">
        <w:rPr>
          <w:color w:val="000080"/>
        </w:rPr>
        <w:t xml:space="preserve">.  His LBP began in 1999, and </w:t>
      </w:r>
      <w:r w:rsidR="005E48D4">
        <w:rPr>
          <w:color w:val="000080"/>
        </w:rPr>
        <w:t>gradually progressed.</w:t>
      </w:r>
      <w:r w:rsidR="003C3627">
        <w:rPr>
          <w:color w:val="000080"/>
        </w:rPr>
        <w:t xml:space="preserve">  An MRI in 2004 demonstrated a </w:t>
      </w:r>
      <w:r w:rsidR="00293B4F">
        <w:rPr>
          <w:color w:val="000080"/>
        </w:rPr>
        <w:t xml:space="preserve">broad-based disc bulge at L4/5.  </w:t>
      </w:r>
      <w:r w:rsidR="00FF7A2D">
        <w:rPr>
          <w:color w:val="000080"/>
        </w:rPr>
        <w:t>The spinal condition was not amendable to surgery, and t</w:t>
      </w:r>
      <w:r w:rsidR="003C3627">
        <w:rPr>
          <w:color w:val="000080"/>
        </w:rPr>
        <w:t xml:space="preserve">he CI was placed on a permanent </w:t>
      </w:r>
      <w:r w:rsidR="00FF7A2D">
        <w:rPr>
          <w:color w:val="000080"/>
        </w:rPr>
        <w:t>U3/</w:t>
      </w:r>
      <w:r w:rsidR="003C3627">
        <w:rPr>
          <w:color w:val="000080"/>
        </w:rPr>
        <w:t xml:space="preserve">L3 profile.  </w:t>
      </w:r>
      <w:r w:rsidR="006F1A46" w:rsidRPr="00646FBC">
        <w:rPr>
          <w:color w:val="000080"/>
        </w:rPr>
        <w:t xml:space="preserve">He was referred to the PEB, found unfit </w:t>
      </w:r>
      <w:r w:rsidR="003C3627">
        <w:rPr>
          <w:color w:val="000080"/>
        </w:rPr>
        <w:t xml:space="preserve">for both conditions </w:t>
      </w:r>
      <w:r w:rsidR="006F1A46" w:rsidRPr="00646FBC">
        <w:rPr>
          <w:color w:val="000080"/>
        </w:rPr>
        <w:t>a</w:t>
      </w:r>
      <w:r w:rsidR="003C3627">
        <w:rPr>
          <w:color w:val="000080"/>
        </w:rPr>
        <w:t>nd separated at 10</w:t>
      </w:r>
      <w:r w:rsidR="001C181A">
        <w:rPr>
          <w:color w:val="000080"/>
        </w:rPr>
        <w:t>% disability</w:t>
      </w:r>
      <w:r w:rsidR="00A90D55">
        <w:rPr>
          <w:color w:val="000080"/>
        </w:rPr>
        <w:t>.</w:t>
      </w:r>
    </w:p>
    <w:p w:rsidR="00923B25" w:rsidRPr="00D91DA6" w:rsidRDefault="00923B25" w:rsidP="00923B25">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923B25" w:rsidRPr="00D91DA6" w:rsidRDefault="00923B25" w:rsidP="00923B25">
      <w:pPr>
        <w:tabs>
          <w:tab w:val="left" w:pos="288"/>
          <w:tab w:val="left" w:pos="4752"/>
        </w:tabs>
        <w:spacing w:line="240" w:lineRule="exact"/>
        <w:jc w:val="both"/>
        <w:rPr>
          <w:color w:val="000080"/>
        </w:rPr>
      </w:pPr>
    </w:p>
    <w:p w:rsidR="00A90D55" w:rsidRPr="00D91DA6" w:rsidRDefault="001C181A" w:rsidP="001C181A">
      <w:pPr>
        <w:tabs>
          <w:tab w:val="left" w:pos="288"/>
          <w:tab w:val="left" w:pos="4752"/>
        </w:tabs>
        <w:spacing w:line="240" w:lineRule="exact"/>
        <w:jc w:val="both"/>
        <w:rPr>
          <w:color w:val="000080"/>
        </w:rPr>
      </w:pPr>
      <w:r>
        <w:rPr>
          <w:color w:val="000080"/>
          <w:u w:val="single"/>
        </w:rPr>
        <w:t>CI CONTENTION</w:t>
      </w:r>
      <w:r w:rsidRPr="00D91DA6">
        <w:rPr>
          <w:color w:val="000080"/>
        </w:rPr>
        <w:t>:</w:t>
      </w:r>
      <w:r w:rsidR="00B34735">
        <w:rPr>
          <w:color w:val="000080"/>
        </w:rPr>
        <w:t xml:space="preserve">  </w:t>
      </w:r>
      <w:r w:rsidR="001F1DB8">
        <w:rPr>
          <w:color w:val="000080"/>
        </w:rPr>
        <w:t xml:space="preserve">The CI contends that the PEB rating was unfair, although he is citing his current VA combined rating of </w:t>
      </w:r>
      <w:r w:rsidR="00EC572E">
        <w:rPr>
          <w:color w:val="000080"/>
        </w:rPr>
        <w:t>4</w:t>
      </w:r>
      <w:r w:rsidR="001F1DB8">
        <w:rPr>
          <w:color w:val="000080"/>
        </w:rPr>
        <w:t>0% as justification.</w:t>
      </w:r>
    </w:p>
    <w:p w:rsidR="00A90D55" w:rsidRPr="00D91DA6" w:rsidRDefault="00A90D55" w:rsidP="00A90D55">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B34735" w:rsidRDefault="00B34735">
      <w:pPr>
        <w:tabs>
          <w:tab w:val="left" w:pos="288"/>
          <w:tab w:val="left" w:pos="4752"/>
        </w:tabs>
        <w:spacing w:line="240" w:lineRule="exact"/>
        <w:jc w:val="both"/>
        <w:rPr>
          <w:color w:val="000080"/>
          <w:u w:val="single"/>
        </w:rPr>
      </w:pPr>
    </w:p>
    <w:p w:rsidR="00A90D55" w:rsidRDefault="00A90D55">
      <w:pPr>
        <w:tabs>
          <w:tab w:val="left" w:pos="288"/>
          <w:tab w:val="left" w:pos="4752"/>
        </w:tabs>
        <w:spacing w:line="240" w:lineRule="exact"/>
        <w:jc w:val="both"/>
        <w:rPr>
          <w:color w:val="000080"/>
        </w:rPr>
      </w:pPr>
      <w:r>
        <w:rPr>
          <w:color w:val="000080"/>
          <w:u w:val="single"/>
        </w:rPr>
        <w:t>RATING COMPARISON</w:t>
      </w:r>
      <w:r>
        <w:rPr>
          <w:color w:val="000080"/>
        </w:rPr>
        <w:t>:</w:t>
      </w:r>
    </w:p>
    <w:p w:rsidR="00A90D55" w:rsidRDefault="00A90D55">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250"/>
        <w:gridCol w:w="810"/>
        <w:gridCol w:w="900"/>
        <w:gridCol w:w="1170"/>
        <w:gridCol w:w="2160"/>
        <w:gridCol w:w="810"/>
        <w:gridCol w:w="810"/>
        <w:gridCol w:w="1170"/>
        <w:gridCol w:w="1170"/>
      </w:tblGrid>
      <w:tr w:rsidR="00124396" w:rsidTr="005541DC">
        <w:trPr>
          <w:trHeight w:val="264"/>
        </w:trPr>
        <w:tc>
          <w:tcPr>
            <w:tcW w:w="5130" w:type="dxa"/>
            <w:gridSpan w:val="4"/>
            <w:tcBorders>
              <w:right w:val="thinThickThinSmallGap" w:sz="24" w:space="0" w:color="auto"/>
            </w:tcBorders>
          </w:tcPr>
          <w:p w:rsidR="00124396" w:rsidRPr="00B301BC" w:rsidRDefault="00124396" w:rsidP="005541DC">
            <w:pPr>
              <w:pStyle w:val="ListParagraph"/>
              <w:ind w:left="0"/>
              <w:jc w:val="center"/>
              <w:rPr>
                <w:b/>
                <w:u w:val="single"/>
              </w:rPr>
            </w:pPr>
            <w:r w:rsidRPr="00B301BC">
              <w:rPr>
                <w:b/>
                <w:u w:val="single"/>
              </w:rPr>
              <w:t>Service (</w:t>
            </w:r>
            <w:r w:rsidRPr="00960817">
              <w:rPr>
                <w:b/>
                <w:u w:val="single"/>
              </w:rPr>
              <w:t>PEB</w:t>
            </w:r>
            <w:r w:rsidRPr="00B301BC">
              <w:rPr>
                <w:b/>
                <w:u w:val="single"/>
              </w:rPr>
              <w:t>)</w:t>
            </w:r>
          </w:p>
        </w:tc>
        <w:tc>
          <w:tcPr>
            <w:tcW w:w="6120" w:type="dxa"/>
            <w:gridSpan w:val="5"/>
            <w:tcBorders>
              <w:left w:val="thinThickThinSmallGap" w:sz="24" w:space="0" w:color="auto"/>
            </w:tcBorders>
            <w:shd w:val="clear" w:color="auto" w:fill="FFFFFF" w:themeFill="background1"/>
          </w:tcPr>
          <w:p w:rsidR="00124396" w:rsidRPr="00B301BC" w:rsidRDefault="00124396" w:rsidP="005541DC">
            <w:pPr>
              <w:pStyle w:val="ListParagraph"/>
              <w:ind w:left="0"/>
              <w:jc w:val="center"/>
              <w:rPr>
                <w:b/>
                <w:u w:val="single"/>
              </w:rPr>
            </w:pPr>
            <w:r w:rsidRPr="000B396C">
              <w:rPr>
                <w:b/>
                <w:u w:val="single"/>
              </w:rPr>
              <w:t>VA   ~</w:t>
            </w:r>
            <w:r w:rsidR="00960817">
              <w:rPr>
                <w:b/>
                <w:u w:val="single"/>
              </w:rPr>
              <w:t xml:space="preserve">  1 </w:t>
            </w:r>
            <w:r>
              <w:rPr>
                <w:b/>
                <w:u w:val="single"/>
              </w:rPr>
              <w:t xml:space="preserve"> </w:t>
            </w:r>
            <w:r w:rsidR="00960817">
              <w:rPr>
                <w:b/>
                <w:u w:val="single"/>
              </w:rPr>
              <w:t>Mo.</w:t>
            </w:r>
            <w:r>
              <w:rPr>
                <w:b/>
                <w:u w:val="single"/>
              </w:rPr>
              <w:t xml:space="preserve"> </w:t>
            </w:r>
          </w:p>
        </w:tc>
      </w:tr>
      <w:tr w:rsidR="00124396" w:rsidTr="005541DC">
        <w:trPr>
          <w:trHeight w:val="280"/>
        </w:trPr>
        <w:tc>
          <w:tcPr>
            <w:tcW w:w="2250" w:type="dxa"/>
          </w:tcPr>
          <w:p w:rsidR="00124396" w:rsidRPr="00B301BC" w:rsidRDefault="00124396" w:rsidP="005541DC">
            <w:pPr>
              <w:pStyle w:val="ListParagraph"/>
              <w:ind w:left="0"/>
              <w:jc w:val="center"/>
              <w:rPr>
                <w:b/>
                <w:u w:val="single"/>
              </w:rPr>
            </w:pPr>
            <w:r>
              <w:rPr>
                <w:b/>
                <w:u w:val="single"/>
              </w:rPr>
              <w:t xml:space="preserve">PEB </w:t>
            </w:r>
            <w:r w:rsidRPr="00B301BC">
              <w:rPr>
                <w:b/>
                <w:u w:val="single"/>
              </w:rPr>
              <w:t>Condition</w:t>
            </w:r>
          </w:p>
        </w:tc>
        <w:tc>
          <w:tcPr>
            <w:tcW w:w="810" w:type="dxa"/>
          </w:tcPr>
          <w:p w:rsidR="00124396" w:rsidRPr="00B301BC" w:rsidRDefault="00124396" w:rsidP="005541DC">
            <w:pPr>
              <w:pStyle w:val="ListParagraph"/>
              <w:ind w:left="0"/>
              <w:jc w:val="center"/>
              <w:rPr>
                <w:b/>
                <w:u w:val="single"/>
              </w:rPr>
            </w:pPr>
            <w:r w:rsidRPr="00B301BC">
              <w:rPr>
                <w:b/>
                <w:u w:val="single"/>
              </w:rPr>
              <w:t>Code</w:t>
            </w:r>
          </w:p>
        </w:tc>
        <w:tc>
          <w:tcPr>
            <w:tcW w:w="900" w:type="dxa"/>
          </w:tcPr>
          <w:p w:rsidR="00124396" w:rsidRPr="00B301BC" w:rsidRDefault="00124396" w:rsidP="005541DC">
            <w:pPr>
              <w:pStyle w:val="ListParagraph"/>
              <w:ind w:left="0"/>
              <w:jc w:val="center"/>
              <w:rPr>
                <w:b/>
                <w:u w:val="single"/>
              </w:rPr>
            </w:pPr>
            <w:r w:rsidRPr="00B301BC">
              <w:rPr>
                <w:b/>
                <w:u w:val="single"/>
              </w:rPr>
              <w:t>Rating</w:t>
            </w:r>
          </w:p>
        </w:tc>
        <w:tc>
          <w:tcPr>
            <w:tcW w:w="1170" w:type="dxa"/>
            <w:tcBorders>
              <w:right w:val="thinThickThinSmallGap" w:sz="24" w:space="0" w:color="auto"/>
            </w:tcBorders>
          </w:tcPr>
          <w:p w:rsidR="00124396" w:rsidRPr="00B301BC" w:rsidRDefault="00124396" w:rsidP="005541DC">
            <w:pPr>
              <w:pStyle w:val="ListParagraph"/>
              <w:ind w:left="0"/>
              <w:jc w:val="center"/>
              <w:rPr>
                <w:b/>
                <w:u w:val="single"/>
              </w:rPr>
            </w:pPr>
            <w:r w:rsidRPr="00B301BC">
              <w:rPr>
                <w:b/>
                <w:u w:val="single"/>
              </w:rPr>
              <w:t>Date</w:t>
            </w:r>
          </w:p>
        </w:tc>
        <w:tc>
          <w:tcPr>
            <w:tcW w:w="2160" w:type="dxa"/>
            <w:tcBorders>
              <w:left w:val="thinThickThinSmallGap" w:sz="24" w:space="0" w:color="auto"/>
            </w:tcBorders>
            <w:shd w:val="clear" w:color="auto" w:fill="FFFFFF" w:themeFill="background1"/>
          </w:tcPr>
          <w:p w:rsidR="00124396" w:rsidRPr="00B301BC" w:rsidRDefault="00124396" w:rsidP="005541DC">
            <w:pPr>
              <w:pStyle w:val="ListParagraph"/>
              <w:ind w:left="0"/>
              <w:jc w:val="center"/>
              <w:rPr>
                <w:b/>
                <w:u w:val="single"/>
              </w:rPr>
            </w:pPr>
            <w:r w:rsidRPr="00B301BC">
              <w:rPr>
                <w:b/>
                <w:u w:val="single"/>
              </w:rPr>
              <w:t>Condition</w:t>
            </w:r>
          </w:p>
        </w:tc>
        <w:tc>
          <w:tcPr>
            <w:tcW w:w="810" w:type="dxa"/>
            <w:shd w:val="clear" w:color="auto" w:fill="FFFFFF" w:themeFill="background1"/>
          </w:tcPr>
          <w:p w:rsidR="00124396" w:rsidRPr="00B301BC" w:rsidRDefault="00124396" w:rsidP="005541DC">
            <w:pPr>
              <w:pStyle w:val="ListParagraph"/>
              <w:ind w:left="0"/>
              <w:jc w:val="center"/>
              <w:rPr>
                <w:b/>
                <w:u w:val="single"/>
              </w:rPr>
            </w:pPr>
            <w:r w:rsidRPr="00B301BC">
              <w:rPr>
                <w:b/>
                <w:u w:val="single"/>
              </w:rPr>
              <w:t>Code</w:t>
            </w:r>
          </w:p>
        </w:tc>
        <w:tc>
          <w:tcPr>
            <w:tcW w:w="810" w:type="dxa"/>
            <w:shd w:val="clear" w:color="auto" w:fill="FFFFFF" w:themeFill="background1"/>
          </w:tcPr>
          <w:p w:rsidR="00124396" w:rsidRPr="00B301BC" w:rsidRDefault="00124396" w:rsidP="005541DC">
            <w:pPr>
              <w:pStyle w:val="ListParagraph"/>
              <w:ind w:left="0"/>
              <w:jc w:val="center"/>
              <w:rPr>
                <w:b/>
                <w:u w:val="single"/>
              </w:rPr>
            </w:pPr>
            <w:r w:rsidRPr="00B301BC">
              <w:rPr>
                <w:b/>
                <w:u w:val="single"/>
              </w:rPr>
              <w:t>Rating</w:t>
            </w:r>
          </w:p>
        </w:tc>
        <w:tc>
          <w:tcPr>
            <w:tcW w:w="1170" w:type="dxa"/>
            <w:shd w:val="clear" w:color="auto" w:fill="FFFFFF" w:themeFill="background1"/>
          </w:tcPr>
          <w:p w:rsidR="00124396" w:rsidRPr="00B301BC" w:rsidRDefault="00124396" w:rsidP="005541DC">
            <w:pPr>
              <w:pStyle w:val="ListParagraph"/>
              <w:ind w:left="0"/>
              <w:jc w:val="center"/>
              <w:rPr>
                <w:b/>
                <w:u w:val="single"/>
              </w:rPr>
            </w:pPr>
            <w:r>
              <w:rPr>
                <w:b/>
                <w:u w:val="single"/>
              </w:rPr>
              <w:t>Exam</w:t>
            </w:r>
          </w:p>
        </w:tc>
        <w:tc>
          <w:tcPr>
            <w:tcW w:w="1170" w:type="dxa"/>
            <w:shd w:val="clear" w:color="auto" w:fill="FFFFFF" w:themeFill="background1"/>
          </w:tcPr>
          <w:p w:rsidR="00124396" w:rsidRDefault="00124396" w:rsidP="005541DC">
            <w:pPr>
              <w:pStyle w:val="ListParagraph"/>
              <w:ind w:left="0"/>
              <w:jc w:val="center"/>
              <w:rPr>
                <w:b/>
                <w:u w:val="single"/>
              </w:rPr>
            </w:pPr>
            <w:r>
              <w:rPr>
                <w:b/>
                <w:u w:val="single"/>
              </w:rPr>
              <w:t>Effective</w:t>
            </w:r>
          </w:p>
        </w:tc>
      </w:tr>
      <w:tr w:rsidR="00124396" w:rsidTr="005541DC">
        <w:trPr>
          <w:trHeight w:val="264"/>
        </w:trPr>
        <w:tc>
          <w:tcPr>
            <w:tcW w:w="2250" w:type="dxa"/>
            <w:shd w:val="clear" w:color="auto" w:fill="EEECE1" w:themeFill="background2"/>
          </w:tcPr>
          <w:p w:rsidR="00124396" w:rsidRDefault="00124396" w:rsidP="005541DC">
            <w:pPr>
              <w:pStyle w:val="ListParagraph"/>
              <w:ind w:left="0"/>
            </w:pPr>
            <w:proofErr w:type="spellStart"/>
            <w:r>
              <w:t>Bilat</w:t>
            </w:r>
            <w:proofErr w:type="spellEnd"/>
            <w:r>
              <w:t>. Carpal Tunnel</w:t>
            </w:r>
          </w:p>
        </w:tc>
        <w:tc>
          <w:tcPr>
            <w:tcW w:w="810" w:type="dxa"/>
            <w:shd w:val="clear" w:color="auto" w:fill="EEECE1" w:themeFill="background2"/>
          </w:tcPr>
          <w:p w:rsidR="00124396" w:rsidRPr="00C07BBC" w:rsidRDefault="00124396" w:rsidP="005541DC">
            <w:pPr>
              <w:pStyle w:val="ListParagraph"/>
              <w:ind w:left="0"/>
              <w:jc w:val="center"/>
            </w:pPr>
            <w:r>
              <w:t>8799-8715</w:t>
            </w:r>
          </w:p>
        </w:tc>
        <w:tc>
          <w:tcPr>
            <w:tcW w:w="900" w:type="dxa"/>
            <w:shd w:val="clear" w:color="auto" w:fill="EEECE1" w:themeFill="background2"/>
          </w:tcPr>
          <w:p w:rsidR="00124396" w:rsidRDefault="00124396" w:rsidP="005541DC">
            <w:pPr>
              <w:pStyle w:val="ListParagraph"/>
              <w:ind w:left="0"/>
              <w:jc w:val="center"/>
            </w:pPr>
            <w:r>
              <w:t>10%</w:t>
            </w:r>
          </w:p>
          <w:p w:rsidR="00124396" w:rsidRPr="00C07BBC" w:rsidRDefault="00124396" w:rsidP="005541DC">
            <w:pPr>
              <w:pStyle w:val="ListParagraph"/>
              <w:ind w:left="0"/>
            </w:pPr>
            <w:r>
              <w:t>(10 + 0)</w:t>
            </w:r>
          </w:p>
        </w:tc>
        <w:tc>
          <w:tcPr>
            <w:tcW w:w="1170" w:type="dxa"/>
            <w:tcBorders>
              <w:right w:val="thinThickThinSmallGap" w:sz="24" w:space="0" w:color="auto"/>
            </w:tcBorders>
            <w:shd w:val="clear" w:color="auto" w:fill="EEECE1" w:themeFill="background2"/>
          </w:tcPr>
          <w:p w:rsidR="00124396" w:rsidRPr="00247F31" w:rsidRDefault="00124396" w:rsidP="005541DC">
            <w:pPr>
              <w:pStyle w:val="ListParagraph"/>
              <w:ind w:left="0"/>
              <w:jc w:val="center"/>
            </w:pPr>
            <w:r>
              <w:t>20060123</w:t>
            </w:r>
          </w:p>
        </w:tc>
        <w:tc>
          <w:tcPr>
            <w:tcW w:w="2160" w:type="dxa"/>
            <w:tcBorders>
              <w:left w:val="thinThickThinSmallGap" w:sz="24" w:space="0" w:color="auto"/>
            </w:tcBorders>
            <w:shd w:val="clear" w:color="auto" w:fill="EEECE1" w:themeFill="background2"/>
          </w:tcPr>
          <w:p w:rsidR="00124396" w:rsidRDefault="00124396" w:rsidP="005541DC">
            <w:pPr>
              <w:pStyle w:val="ListParagraph"/>
              <w:ind w:left="0"/>
            </w:pPr>
            <w:r>
              <w:t>R Carpal Tunnel</w:t>
            </w:r>
          </w:p>
          <w:p w:rsidR="00124396" w:rsidRDefault="00124396" w:rsidP="005541DC">
            <w:pPr>
              <w:pStyle w:val="ListParagraph"/>
              <w:ind w:left="0"/>
            </w:pPr>
            <w:r>
              <w:t>L Carpal Tunnel</w:t>
            </w:r>
          </w:p>
        </w:tc>
        <w:tc>
          <w:tcPr>
            <w:tcW w:w="810" w:type="dxa"/>
            <w:shd w:val="clear" w:color="auto" w:fill="EEECE1" w:themeFill="background2"/>
          </w:tcPr>
          <w:p w:rsidR="00124396" w:rsidRPr="00C07BBC" w:rsidRDefault="00124396" w:rsidP="005541DC">
            <w:pPr>
              <w:pStyle w:val="ListParagraph"/>
              <w:ind w:left="0"/>
              <w:jc w:val="center"/>
            </w:pPr>
            <w:r>
              <w:t>8799-8715</w:t>
            </w:r>
          </w:p>
        </w:tc>
        <w:tc>
          <w:tcPr>
            <w:tcW w:w="810" w:type="dxa"/>
            <w:shd w:val="clear" w:color="auto" w:fill="EEECE1" w:themeFill="background2"/>
          </w:tcPr>
          <w:p w:rsidR="00124396" w:rsidRPr="00C07BBC" w:rsidRDefault="00124396" w:rsidP="005541DC">
            <w:pPr>
              <w:pStyle w:val="ListParagraph"/>
              <w:ind w:left="0"/>
              <w:jc w:val="center"/>
            </w:pPr>
            <w:r>
              <w:t>10% + 10%</w:t>
            </w:r>
          </w:p>
        </w:tc>
        <w:tc>
          <w:tcPr>
            <w:tcW w:w="1170" w:type="dxa"/>
            <w:shd w:val="clear" w:color="auto" w:fill="EEECE1" w:themeFill="background2"/>
          </w:tcPr>
          <w:p w:rsidR="00124396" w:rsidRPr="00EF47E2" w:rsidRDefault="00124396" w:rsidP="005541DC">
            <w:pPr>
              <w:pStyle w:val="ListParagraph"/>
              <w:ind w:left="0"/>
              <w:jc w:val="center"/>
            </w:pPr>
            <w:r>
              <w:t>20060523</w:t>
            </w:r>
          </w:p>
        </w:tc>
        <w:tc>
          <w:tcPr>
            <w:tcW w:w="1170" w:type="dxa"/>
            <w:shd w:val="clear" w:color="auto" w:fill="EEECE1" w:themeFill="background2"/>
          </w:tcPr>
          <w:p w:rsidR="00124396" w:rsidRPr="00960817" w:rsidRDefault="00124396" w:rsidP="005541DC">
            <w:pPr>
              <w:pStyle w:val="ListParagraph"/>
              <w:ind w:left="0"/>
              <w:jc w:val="center"/>
            </w:pPr>
            <w:r w:rsidRPr="00960817">
              <w:t>20060503</w:t>
            </w:r>
          </w:p>
        </w:tc>
      </w:tr>
      <w:tr w:rsidR="00124396" w:rsidTr="005541DC">
        <w:trPr>
          <w:trHeight w:val="264"/>
        </w:trPr>
        <w:tc>
          <w:tcPr>
            <w:tcW w:w="2250" w:type="dxa"/>
            <w:shd w:val="clear" w:color="auto" w:fill="EEECE1" w:themeFill="background2"/>
          </w:tcPr>
          <w:p w:rsidR="00124396" w:rsidRDefault="00124396" w:rsidP="005541DC">
            <w:pPr>
              <w:pStyle w:val="ListParagraph"/>
              <w:ind w:left="0"/>
            </w:pPr>
            <w:r>
              <w:t>Low Back Pain</w:t>
            </w:r>
          </w:p>
        </w:tc>
        <w:tc>
          <w:tcPr>
            <w:tcW w:w="810" w:type="dxa"/>
            <w:shd w:val="clear" w:color="auto" w:fill="EEECE1" w:themeFill="background2"/>
          </w:tcPr>
          <w:p w:rsidR="00124396" w:rsidRDefault="00124396" w:rsidP="005541DC">
            <w:pPr>
              <w:pStyle w:val="ListParagraph"/>
              <w:ind w:left="0"/>
              <w:jc w:val="center"/>
            </w:pPr>
            <w:r>
              <w:t>5237</w:t>
            </w:r>
          </w:p>
        </w:tc>
        <w:tc>
          <w:tcPr>
            <w:tcW w:w="900" w:type="dxa"/>
            <w:shd w:val="clear" w:color="auto" w:fill="EEECE1" w:themeFill="background2"/>
          </w:tcPr>
          <w:p w:rsidR="00124396" w:rsidRDefault="00124396" w:rsidP="005541DC">
            <w:pPr>
              <w:pStyle w:val="ListParagraph"/>
              <w:ind w:left="0"/>
              <w:jc w:val="center"/>
            </w:pPr>
            <w:r>
              <w:t>0%</w:t>
            </w:r>
          </w:p>
        </w:tc>
        <w:tc>
          <w:tcPr>
            <w:tcW w:w="1170" w:type="dxa"/>
            <w:tcBorders>
              <w:right w:val="thinThickThinSmallGap" w:sz="24" w:space="0" w:color="auto"/>
            </w:tcBorders>
            <w:shd w:val="clear" w:color="auto" w:fill="EEECE1" w:themeFill="background2"/>
          </w:tcPr>
          <w:p w:rsidR="00124396" w:rsidRPr="00EF47E2" w:rsidRDefault="00124396" w:rsidP="005541DC">
            <w:pPr>
              <w:pStyle w:val="ListParagraph"/>
              <w:ind w:left="0"/>
              <w:jc w:val="center"/>
            </w:pPr>
            <w:r>
              <w:t>20060123</w:t>
            </w:r>
          </w:p>
        </w:tc>
        <w:tc>
          <w:tcPr>
            <w:tcW w:w="2160" w:type="dxa"/>
            <w:tcBorders>
              <w:left w:val="thinThickThinSmallGap" w:sz="24" w:space="0" w:color="auto"/>
            </w:tcBorders>
            <w:shd w:val="clear" w:color="auto" w:fill="EEECE1" w:themeFill="background2"/>
          </w:tcPr>
          <w:p w:rsidR="00124396" w:rsidRDefault="00124396" w:rsidP="005541DC">
            <w:pPr>
              <w:pStyle w:val="ListParagraph"/>
              <w:ind w:left="0"/>
            </w:pPr>
            <w:r>
              <w:t>L/S Strain</w:t>
            </w:r>
          </w:p>
        </w:tc>
        <w:tc>
          <w:tcPr>
            <w:tcW w:w="810" w:type="dxa"/>
            <w:shd w:val="clear" w:color="auto" w:fill="EEECE1" w:themeFill="background2"/>
          </w:tcPr>
          <w:p w:rsidR="00124396" w:rsidRDefault="00124396" w:rsidP="005541DC">
            <w:pPr>
              <w:pStyle w:val="ListParagraph"/>
              <w:ind w:left="0"/>
              <w:jc w:val="center"/>
            </w:pPr>
            <w:r>
              <w:t>5237</w:t>
            </w:r>
          </w:p>
        </w:tc>
        <w:tc>
          <w:tcPr>
            <w:tcW w:w="810" w:type="dxa"/>
            <w:shd w:val="clear" w:color="auto" w:fill="EEECE1" w:themeFill="background2"/>
          </w:tcPr>
          <w:p w:rsidR="00124396" w:rsidRDefault="00124396" w:rsidP="005541DC">
            <w:pPr>
              <w:pStyle w:val="ListParagraph"/>
              <w:ind w:left="0"/>
              <w:jc w:val="center"/>
            </w:pPr>
            <w:r>
              <w:t>20%</w:t>
            </w:r>
          </w:p>
        </w:tc>
        <w:tc>
          <w:tcPr>
            <w:tcW w:w="1170" w:type="dxa"/>
            <w:shd w:val="clear" w:color="auto" w:fill="EEECE1" w:themeFill="background2"/>
          </w:tcPr>
          <w:p w:rsidR="00124396" w:rsidRPr="00EF47E2" w:rsidRDefault="00124396" w:rsidP="005541DC">
            <w:pPr>
              <w:pStyle w:val="ListParagraph"/>
              <w:ind w:left="0"/>
              <w:jc w:val="center"/>
            </w:pPr>
            <w:r>
              <w:t>20060525</w:t>
            </w:r>
          </w:p>
        </w:tc>
        <w:tc>
          <w:tcPr>
            <w:tcW w:w="1170" w:type="dxa"/>
            <w:shd w:val="clear" w:color="auto" w:fill="EEECE1" w:themeFill="background2"/>
          </w:tcPr>
          <w:p w:rsidR="00124396" w:rsidRPr="00960817" w:rsidRDefault="00124396" w:rsidP="005541DC">
            <w:pPr>
              <w:pStyle w:val="ListParagraph"/>
              <w:ind w:left="0"/>
              <w:jc w:val="center"/>
            </w:pPr>
            <w:r w:rsidRPr="00960817">
              <w:t>20060503</w:t>
            </w:r>
          </w:p>
        </w:tc>
      </w:tr>
      <w:tr w:rsidR="00124396" w:rsidTr="005541DC">
        <w:trPr>
          <w:trHeight w:val="280"/>
        </w:trPr>
        <w:tc>
          <w:tcPr>
            <w:tcW w:w="2250" w:type="dxa"/>
            <w:shd w:val="clear" w:color="auto" w:fill="EEECE1" w:themeFill="background2"/>
          </w:tcPr>
          <w:p w:rsidR="00124396" w:rsidRDefault="00124396" w:rsidP="005541DC">
            <w:pPr>
              <w:pStyle w:val="ListParagraph"/>
              <w:ind w:left="0"/>
            </w:pPr>
          </w:p>
        </w:tc>
        <w:tc>
          <w:tcPr>
            <w:tcW w:w="810" w:type="dxa"/>
            <w:shd w:val="clear" w:color="auto" w:fill="EEECE1" w:themeFill="background2"/>
          </w:tcPr>
          <w:p w:rsidR="00124396" w:rsidRPr="00E355B3" w:rsidRDefault="00124396" w:rsidP="005541DC">
            <w:pPr>
              <w:pStyle w:val="ListParagraph"/>
              <w:ind w:left="0"/>
              <w:jc w:val="center"/>
            </w:pPr>
          </w:p>
        </w:tc>
        <w:tc>
          <w:tcPr>
            <w:tcW w:w="900" w:type="dxa"/>
            <w:shd w:val="clear" w:color="auto" w:fill="EEECE1" w:themeFill="background2"/>
          </w:tcPr>
          <w:p w:rsidR="00124396" w:rsidRPr="0048009F" w:rsidRDefault="00124396" w:rsidP="005541DC">
            <w:pPr>
              <w:pStyle w:val="ListParagraph"/>
              <w:ind w:left="0"/>
              <w:jc w:val="center"/>
              <w:rPr>
                <w:i/>
              </w:rPr>
            </w:pPr>
          </w:p>
        </w:tc>
        <w:tc>
          <w:tcPr>
            <w:tcW w:w="1170" w:type="dxa"/>
            <w:tcBorders>
              <w:right w:val="thinThickThinSmallGap" w:sz="24" w:space="0" w:color="auto"/>
            </w:tcBorders>
            <w:shd w:val="clear" w:color="auto" w:fill="EEECE1" w:themeFill="background2"/>
          </w:tcPr>
          <w:p w:rsidR="00124396" w:rsidRPr="00EF47E2" w:rsidRDefault="00124396" w:rsidP="005541DC">
            <w:pPr>
              <w:pStyle w:val="ListParagraph"/>
              <w:ind w:left="0"/>
              <w:jc w:val="center"/>
            </w:pPr>
          </w:p>
        </w:tc>
        <w:tc>
          <w:tcPr>
            <w:tcW w:w="2160" w:type="dxa"/>
            <w:tcBorders>
              <w:left w:val="thinThickThinSmallGap" w:sz="24" w:space="0" w:color="auto"/>
            </w:tcBorders>
            <w:shd w:val="clear" w:color="auto" w:fill="EEECE1" w:themeFill="background2"/>
          </w:tcPr>
          <w:p w:rsidR="00124396" w:rsidRDefault="00124396" w:rsidP="005541DC">
            <w:pPr>
              <w:pStyle w:val="ListParagraph"/>
              <w:ind w:left="0"/>
            </w:pPr>
            <w:r>
              <w:t>Non-PEB X 2</w:t>
            </w:r>
          </w:p>
        </w:tc>
        <w:tc>
          <w:tcPr>
            <w:tcW w:w="810" w:type="dxa"/>
            <w:shd w:val="clear" w:color="auto" w:fill="EEECE1" w:themeFill="background2"/>
          </w:tcPr>
          <w:p w:rsidR="00124396" w:rsidRDefault="00124396" w:rsidP="005541DC">
            <w:pPr>
              <w:pStyle w:val="ListParagraph"/>
              <w:ind w:left="0"/>
              <w:jc w:val="center"/>
            </w:pPr>
          </w:p>
        </w:tc>
        <w:tc>
          <w:tcPr>
            <w:tcW w:w="810" w:type="dxa"/>
            <w:shd w:val="clear" w:color="auto" w:fill="EEECE1" w:themeFill="background2"/>
          </w:tcPr>
          <w:p w:rsidR="00124396" w:rsidRDefault="00124396" w:rsidP="005541DC">
            <w:pPr>
              <w:pStyle w:val="ListParagraph"/>
              <w:ind w:left="0"/>
              <w:jc w:val="center"/>
            </w:pPr>
            <w:r>
              <w:t>10%</w:t>
            </w:r>
          </w:p>
        </w:tc>
        <w:tc>
          <w:tcPr>
            <w:tcW w:w="1170" w:type="dxa"/>
            <w:shd w:val="clear" w:color="auto" w:fill="EEECE1" w:themeFill="background2"/>
          </w:tcPr>
          <w:p w:rsidR="00124396" w:rsidRPr="00EF47E2" w:rsidRDefault="00124396" w:rsidP="005541DC">
            <w:pPr>
              <w:pStyle w:val="ListParagraph"/>
              <w:ind w:left="0"/>
              <w:jc w:val="center"/>
            </w:pPr>
            <w:r>
              <w:t>20060525</w:t>
            </w:r>
          </w:p>
        </w:tc>
        <w:tc>
          <w:tcPr>
            <w:tcW w:w="1170" w:type="dxa"/>
            <w:shd w:val="clear" w:color="auto" w:fill="EEECE1" w:themeFill="background2"/>
          </w:tcPr>
          <w:p w:rsidR="00124396" w:rsidRPr="00960817" w:rsidRDefault="00124396" w:rsidP="005541DC">
            <w:pPr>
              <w:pStyle w:val="ListParagraph"/>
              <w:ind w:left="0"/>
              <w:jc w:val="center"/>
            </w:pPr>
            <w:r w:rsidRPr="00960817">
              <w:t>20060503</w:t>
            </w:r>
          </w:p>
        </w:tc>
      </w:tr>
      <w:tr w:rsidR="00124396" w:rsidTr="005541DC">
        <w:trPr>
          <w:trHeight w:val="280"/>
        </w:trPr>
        <w:tc>
          <w:tcPr>
            <w:tcW w:w="5130" w:type="dxa"/>
            <w:gridSpan w:val="4"/>
            <w:tcBorders>
              <w:right w:val="thinThickThinSmallGap" w:sz="24" w:space="0" w:color="auto"/>
            </w:tcBorders>
            <w:shd w:val="clear" w:color="auto" w:fill="EEECE1" w:themeFill="background2"/>
          </w:tcPr>
          <w:p w:rsidR="00124396" w:rsidRPr="0048009F" w:rsidRDefault="00124396" w:rsidP="005541DC">
            <w:pPr>
              <w:pStyle w:val="ListParagraph"/>
              <w:ind w:left="0"/>
              <w:jc w:val="center"/>
              <w:rPr>
                <w:b/>
              </w:rPr>
            </w:pPr>
            <w:r w:rsidRPr="0048009F">
              <w:rPr>
                <w:b/>
              </w:rPr>
              <w:t>TOTAL Combined:</w:t>
            </w:r>
            <w:r>
              <w:rPr>
                <w:b/>
              </w:rPr>
              <w:t xml:space="preserve">  10</w:t>
            </w:r>
            <w:r w:rsidRPr="004618A3">
              <w:rPr>
                <w:b/>
              </w:rPr>
              <w:t>%</w:t>
            </w:r>
          </w:p>
        </w:tc>
        <w:tc>
          <w:tcPr>
            <w:tcW w:w="6120" w:type="dxa"/>
            <w:gridSpan w:val="5"/>
            <w:tcBorders>
              <w:left w:val="thinThickThinSmallGap" w:sz="24" w:space="0" w:color="auto"/>
            </w:tcBorders>
            <w:shd w:val="clear" w:color="auto" w:fill="EEECE1" w:themeFill="background2"/>
          </w:tcPr>
          <w:p w:rsidR="00124396" w:rsidRPr="0048009F" w:rsidRDefault="00124396" w:rsidP="0057258E">
            <w:pPr>
              <w:pStyle w:val="ListParagraph"/>
              <w:ind w:left="0"/>
              <w:jc w:val="center"/>
              <w:rPr>
                <w:b/>
              </w:rPr>
            </w:pPr>
            <w:r w:rsidRPr="0048009F">
              <w:rPr>
                <w:b/>
              </w:rPr>
              <w:t>TOTAL Combined (</w:t>
            </w:r>
            <w:proofErr w:type="spellStart"/>
            <w:r w:rsidRPr="0048009F">
              <w:rPr>
                <w:b/>
                <w:i/>
              </w:rPr>
              <w:t>incl</w:t>
            </w:r>
            <w:proofErr w:type="spellEnd"/>
            <w:r w:rsidRPr="0048009F">
              <w:rPr>
                <w:b/>
                <w:i/>
              </w:rPr>
              <w:t xml:space="preserve"> non-PEB </w:t>
            </w:r>
            <w:proofErr w:type="spellStart"/>
            <w:r w:rsidRPr="0048009F">
              <w:rPr>
                <w:b/>
                <w:i/>
              </w:rPr>
              <w:t>Dxs</w:t>
            </w:r>
            <w:proofErr w:type="spellEnd"/>
            <w:r w:rsidRPr="0048009F">
              <w:rPr>
                <w:b/>
              </w:rPr>
              <w:t>):</w:t>
            </w:r>
            <w:r>
              <w:rPr>
                <w:b/>
              </w:rPr>
              <w:t xml:space="preserve">    40</w:t>
            </w:r>
            <w:r w:rsidRPr="004618A3">
              <w:rPr>
                <w:b/>
              </w:rPr>
              <w:t>%</w:t>
            </w:r>
            <w:r>
              <w:rPr>
                <w:b/>
              </w:rPr>
              <w:t xml:space="preserve">                                                                         </w:t>
            </w:r>
            <w:r>
              <w:rPr>
                <w:rFonts w:ascii="Times New Roman" w:hAnsi="Times New Roman" w:cs="Times New Roman"/>
                <w:color w:val="000000"/>
                <w:sz w:val="21"/>
                <w:szCs w:val="24"/>
              </w:rPr>
              <w:t xml:space="preserve"> </w:t>
            </w:r>
          </w:p>
        </w:tc>
      </w:tr>
    </w:tbl>
    <w:p w:rsidR="00A90D55" w:rsidRDefault="00A90D55">
      <w:pPr>
        <w:tabs>
          <w:tab w:val="left" w:pos="288"/>
          <w:tab w:val="left" w:pos="4752"/>
        </w:tabs>
        <w:spacing w:line="240" w:lineRule="exact"/>
        <w:jc w:val="both"/>
        <w:rPr>
          <w:color w:val="000080"/>
        </w:rPr>
      </w:pPr>
    </w:p>
    <w:p w:rsidR="00A90D55" w:rsidRDefault="00A90D55">
      <w:pPr>
        <w:tabs>
          <w:tab w:val="left" w:pos="288"/>
          <w:tab w:val="left" w:pos="4752"/>
        </w:tabs>
        <w:spacing w:line="240" w:lineRule="exact"/>
        <w:jc w:val="both"/>
        <w:rPr>
          <w:color w:val="000080"/>
        </w:rPr>
      </w:pPr>
    </w:p>
    <w:p w:rsidR="00B41956" w:rsidRDefault="00B41956">
      <w:pPr>
        <w:rPr>
          <w:color w:val="000080"/>
          <w:u w:val="single"/>
        </w:rPr>
      </w:pPr>
      <w:r>
        <w:rPr>
          <w:color w:val="000080"/>
          <w:u w:val="single"/>
        </w:rPr>
        <w:br w:type="page"/>
      </w:r>
    </w:p>
    <w:p w:rsidR="00A90D55" w:rsidRDefault="00A90D55">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A90D55" w:rsidRDefault="00A90D55">
      <w:pPr>
        <w:tabs>
          <w:tab w:val="left" w:pos="288"/>
          <w:tab w:val="left" w:pos="4752"/>
        </w:tabs>
        <w:spacing w:line="240" w:lineRule="exact"/>
        <w:jc w:val="both"/>
        <w:rPr>
          <w:color w:val="000080"/>
        </w:rPr>
      </w:pPr>
    </w:p>
    <w:p w:rsidR="00A90D55" w:rsidRDefault="00B41956">
      <w:pPr>
        <w:tabs>
          <w:tab w:val="left" w:pos="288"/>
          <w:tab w:val="left" w:pos="4752"/>
        </w:tabs>
        <w:spacing w:line="240" w:lineRule="exact"/>
        <w:jc w:val="both"/>
        <w:rPr>
          <w:color w:val="000080"/>
        </w:rPr>
      </w:pPr>
      <w:r w:rsidRPr="00B41956">
        <w:rPr>
          <w:color w:val="000080"/>
          <w:u w:val="single"/>
        </w:rPr>
        <w:t>CTS</w:t>
      </w:r>
      <w:r w:rsidRPr="00B41956">
        <w:rPr>
          <w:color w:val="000080"/>
        </w:rPr>
        <w:t xml:space="preserve">.  The appropriate analogous code was applied by the PEB and the VA.  The PEB </w:t>
      </w:r>
      <w:proofErr w:type="gramStart"/>
      <w:r w:rsidRPr="00B41956">
        <w:rPr>
          <w:color w:val="000080"/>
        </w:rPr>
        <w:t>lumped</w:t>
      </w:r>
      <w:proofErr w:type="gramEnd"/>
      <w:r w:rsidRPr="00B41956">
        <w:rPr>
          <w:color w:val="000080"/>
        </w:rPr>
        <w:t xml:space="preserve"> both wrists </w:t>
      </w:r>
      <w:r>
        <w:rPr>
          <w:color w:val="000080"/>
        </w:rPr>
        <w:t>under the single code, b</w:t>
      </w:r>
      <w:r w:rsidRPr="00B41956">
        <w:rPr>
          <w:color w:val="000080"/>
        </w:rPr>
        <w:t xml:space="preserve">ut apparently rated them independently.  </w:t>
      </w:r>
      <w:r>
        <w:rPr>
          <w:color w:val="000080"/>
        </w:rPr>
        <w:t>Math was shown as ‘10 + 0’</w:t>
      </w:r>
      <w:r w:rsidRPr="00B41956">
        <w:rPr>
          <w:color w:val="000080"/>
        </w:rPr>
        <w:t>, inc</w:t>
      </w:r>
      <w:r>
        <w:rPr>
          <w:color w:val="000080"/>
        </w:rPr>
        <w:t>orporating the bilateral factor.</w:t>
      </w:r>
      <w:r w:rsidRPr="00B41956">
        <w:rPr>
          <w:color w:val="000080"/>
        </w:rPr>
        <w:t xml:space="preserve"> </w:t>
      </w:r>
      <w:r>
        <w:rPr>
          <w:color w:val="000080"/>
        </w:rPr>
        <w:t xml:space="preserve"> It was not designated which wrist was ‘0’, but assumed it applied to the wrist which had been surgically corrected (although still symptomatic)</w:t>
      </w:r>
      <w:r w:rsidRPr="00B41956">
        <w:rPr>
          <w:color w:val="000080"/>
        </w:rPr>
        <w:t xml:space="preserve">.  The rationale for this approach was not elaborated by the PEB.  Unlike the 5003 analogous rating scheme, the VASRD does not allow for this approach </w:t>
      </w:r>
      <w:proofErr w:type="gramStart"/>
      <w:r w:rsidRPr="00B41956">
        <w:rPr>
          <w:color w:val="000080"/>
        </w:rPr>
        <w:t>under</w:t>
      </w:r>
      <w:proofErr w:type="gramEnd"/>
      <w:r w:rsidRPr="00B41956">
        <w:rPr>
          <w:color w:val="000080"/>
        </w:rPr>
        <w:t xml:space="preserve"> 8715.  Had the PEB separated the condition into left and right codes, barring finding one or the other not unfitting, the 0% rating for one of the wrists could not be sustained in light of §4.59 (painful motion).  Continued pain and </w:t>
      </w:r>
      <w:r w:rsidR="00A23EA0">
        <w:rPr>
          <w:color w:val="000080"/>
        </w:rPr>
        <w:t xml:space="preserve">sensory/motor </w:t>
      </w:r>
      <w:r w:rsidRPr="00B41956">
        <w:rPr>
          <w:color w:val="000080"/>
        </w:rPr>
        <w:t>impairment of both sides was elaborated in the NARSUM</w:t>
      </w:r>
      <w:r w:rsidR="00A23EA0">
        <w:rPr>
          <w:color w:val="000080"/>
        </w:rPr>
        <w:t>, MEB physical</w:t>
      </w:r>
      <w:r w:rsidRPr="00B41956">
        <w:rPr>
          <w:color w:val="000080"/>
        </w:rPr>
        <w:t xml:space="preserve"> and </w:t>
      </w:r>
      <w:r w:rsidR="00A23EA0">
        <w:rPr>
          <w:color w:val="000080"/>
        </w:rPr>
        <w:t>pre-separation VA exam.</w:t>
      </w:r>
      <w:r w:rsidRPr="00B41956">
        <w:rPr>
          <w:color w:val="000080"/>
        </w:rPr>
        <w:t xml:space="preserve"> </w:t>
      </w:r>
    </w:p>
    <w:p w:rsidR="00A23EA0" w:rsidRDefault="00A23EA0">
      <w:pPr>
        <w:tabs>
          <w:tab w:val="left" w:pos="288"/>
          <w:tab w:val="left" w:pos="4752"/>
        </w:tabs>
        <w:spacing w:line="240" w:lineRule="exact"/>
        <w:jc w:val="both"/>
        <w:rPr>
          <w:color w:val="000080"/>
        </w:rPr>
      </w:pPr>
    </w:p>
    <w:p w:rsidR="00A23EA0" w:rsidRPr="00FF7A2D" w:rsidRDefault="00A23EA0" w:rsidP="001C59DD">
      <w:pPr>
        <w:spacing w:line="240" w:lineRule="exact"/>
        <w:jc w:val="both"/>
        <w:rPr>
          <w:color w:val="000080"/>
          <w:szCs w:val="24"/>
        </w:rPr>
      </w:pPr>
      <w:proofErr w:type="gramStart"/>
      <w:r>
        <w:rPr>
          <w:color w:val="000080"/>
          <w:u w:val="single"/>
        </w:rPr>
        <w:t>LBP</w:t>
      </w:r>
      <w:r w:rsidRPr="00A23EA0">
        <w:rPr>
          <w:color w:val="000080"/>
        </w:rPr>
        <w:t>.</w:t>
      </w:r>
      <w:proofErr w:type="gramEnd"/>
      <w:r w:rsidRPr="00A23EA0">
        <w:rPr>
          <w:color w:val="000080"/>
        </w:rPr>
        <w:t xml:space="preserve">  Coding was appropriate and the general rating formula for the spine was applied by the PEB and VA.  The </w:t>
      </w:r>
      <w:r>
        <w:rPr>
          <w:color w:val="000080"/>
        </w:rPr>
        <w:t>PEB justified the 0% rating as ‘</w:t>
      </w:r>
      <w:r w:rsidRPr="00A23EA0">
        <w:rPr>
          <w:color w:val="000080"/>
        </w:rPr>
        <w:t>does not m</w:t>
      </w:r>
      <w:r>
        <w:rPr>
          <w:color w:val="000080"/>
        </w:rPr>
        <w:t>eet the minimal rating criteria’</w:t>
      </w:r>
      <w:r w:rsidRPr="00A23EA0">
        <w:rPr>
          <w:color w:val="000080"/>
        </w:rPr>
        <w:t xml:space="preserve">.  </w:t>
      </w:r>
      <w:r>
        <w:rPr>
          <w:color w:val="000080"/>
        </w:rPr>
        <w:t>The range-of-motion</w:t>
      </w:r>
      <w:r w:rsidRPr="00A23EA0">
        <w:rPr>
          <w:color w:val="000080"/>
        </w:rPr>
        <w:t xml:space="preserve"> data supplied by the MEB (active flexion 95</w:t>
      </w:r>
      <w:r>
        <w:rPr>
          <w:rFonts w:ascii="Calibri" w:hAnsi="Calibri"/>
          <w:color w:val="000080"/>
        </w:rPr>
        <w:t>⁰</w:t>
      </w:r>
      <w:r>
        <w:rPr>
          <w:color w:val="000080"/>
        </w:rPr>
        <w:t>; total 260</w:t>
      </w:r>
      <w:r>
        <w:rPr>
          <w:rFonts w:ascii="Calibri" w:hAnsi="Calibri"/>
          <w:color w:val="000080"/>
        </w:rPr>
        <w:t>⁰</w:t>
      </w:r>
      <w:r w:rsidRPr="00A23EA0">
        <w:rPr>
          <w:color w:val="000080"/>
        </w:rPr>
        <w:t>) supported that opinion.  I</w:t>
      </w:r>
      <w:r>
        <w:rPr>
          <w:color w:val="000080"/>
        </w:rPr>
        <w:t>t is noted, however, that pain ‘beginning at 55 degrees’</w:t>
      </w:r>
      <w:r w:rsidRPr="00A23EA0">
        <w:rPr>
          <w:color w:val="000080"/>
        </w:rPr>
        <w:t xml:space="preserve"> was entered by the examiner.  </w:t>
      </w:r>
      <w:r w:rsidR="00FF7A2D" w:rsidRPr="008901D8">
        <w:rPr>
          <w:color w:val="000080"/>
          <w:szCs w:val="24"/>
        </w:rPr>
        <w:t xml:space="preserve">As there was no other </w:t>
      </w:r>
      <w:r w:rsidR="00FF7A2D">
        <w:rPr>
          <w:color w:val="000080"/>
          <w:szCs w:val="24"/>
        </w:rPr>
        <w:t>goniometric exam</w:t>
      </w:r>
      <w:r w:rsidR="00FF7A2D" w:rsidRPr="008901D8">
        <w:rPr>
          <w:color w:val="000080"/>
          <w:szCs w:val="24"/>
        </w:rPr>
        <w:t xml:space="preserve"> in the service record, this was assigned a high probative value.  </w:t>
      </w:r>
      <w:r w:rsidR="00960817" w:rsidRPr="00130F41">
        <w:rPr>
          <w:color w:val="000080"/>
          <w:szCs w:val="24"/>
        </w:rPr>
        <w:t xml:space="preserve">The PEB adjudication </w:t>
      </w:r>
      <w:r w:rsidR="00960817">
        <w:rPr>
          <w:color w:val="000080"/>
          <w:szCs w:val="24"/>
        </w:rPr>
        <w:t>reflects</w:t>
      </w:r>
      <w:r w:rsidR="00960817" w:rsidRPr="00130F41">
        <w:rPr>
          <w:color w:val="000080"/>
          <w:szCs w:val="24"/>
        </w:rPr>
        <w:t xml:space="preserve"> application of the service-specific ‘pain rule’</w:t>
      </w:r>
      <w:r w:rsidR="00960817">
        <w:rPr>
          <w:color w:val="000080"/>
          <w:szCs w:val="24"/>
        </w:rPr>
        <w:t xml:space="preserve">, since </w:t>
      </w:r>
      <w:r w:rsidR="00960817" w:rsidRPr="00B41956">
        <w:rPr>
          <w:color w:val="000080"/>
        </w:rPr>
        <w:t>§4.59</w:t>
      </w:r>
      <w:r w:rsidR="00960817">
        <w:rPr>
          <w:color w:val="000080"/>
        </w:rPr>
        <w:t xml:space="preserve"> (as noted above) mandates a minimum rating of 10%.</w:t>
      </w:r>
      <w:r w:rsidR="00960817" w:rsidRPr="00B41956">
        <w:rPr>
          <w:color w:val="000080"/>
        </w:rPr>
        <w:t xml:space="preserve"> </w:t>
      </w:r>
    </w:p>
    <w:p w:rsidR="00A90D55" w:rsidRPr="00D91DA6" w:rsidRDefault="00A90D55" w:rsidP="00A90D55">
      <w:pPr>
        <w:tabs>
          <w:tab w:val="left" w:pos="288"/>
          <w:tab w:val="left" w:pos="4752"/>
        </w:tabs>
        <w:spacing w:line="240" w:lineRule="exact"/>
        <w:jc w:val="both"/>
        <w:rPr>
          <w:color w:val="000080"/>
        </w:rPr>
      </w:pPr>
      <w:r w:rsidRPr="00D91DA6">
        <w:rPr>
          <w:color w:val="000080"/>
        </w:rPr>
        <w:t>________________________________</w:t>
      </w:r>
      <w:r>
        <w:rPr>
          <w:color w:val="000080"/>
        </w:rPr>
        <w:t>_______________________________</w:t>
      </w:r>
    </w:p>
    <w:p w:rsidR="00A90D55" w:rsidRPr="00A90D55" w:rsidRDefault="00A90D55">
      <w:pPr>
        <w:tabs>
          <w:tab w:val="left" w:pos="288"/>
          <w:tab w:val="left" w:pos="4752"/>
        </w:tabs>
        <w:spacing w:line="240" w:lineRule="exact"/>
        <w:jc w:val="both"/>
        <w:rPr>
          <w:color w:val="000080"/>
        </w:rPr>
      </w:pPr>
    </w:p>
    <w:p w:rsidR="00A23EA0" w:rsidRPr="00B41956" w:rsidRDefault="00662F08" w:rsidP="00A23EA0">
      <w:pPr>
        <w:tabs>
          <w:tab w:val="left" w:pos="288"/>
          <w:tab w:val="left" w:pos="4752"/>
        </w:tabs>
        <w:spacing w:line="240" w:lineRule="exact"/>
        <w:jc w:val="both"/>
        <w:rPr>
          <w:color w:val="000080"/>
        </w:rPr>
      </w:pPr>
      <w:r w:rsidRPr="00D91DA6">
        <w:rPr>
          <w:color w:val="000080"/>
          <w:u w:val="single"/>
        </w:rPr>
        <w:t>BOARD FINDINGS</w:t>
      </w:r>
      <w:r w:rsidR="00B522CD" w:rsidRPr="00D91DA6">
        <w:rPr>
          <w:color w:val="000080"/>
        </w:rPr>
        <w:t>:</w:t>
      </w:r>
      <w:r w:rsidR="00B34735">
        <w:rPr>
          <w:color w:val="000080"/>
        </w:rPr>
        <w:t xml:space="preserve">  </w:t>
      </w:r>
      <w:r w:rsidR="006F1A46" w:rsidRPr="00646FBC">
        <w:rPr>
          <w:color w:val="000080"/>
        </w:rPr>
        <w:t xml:space="preserve">IAW </w:t>
      </w:r>
      <w:proofErr w:type="spellStart"/>
      <w:r w:rsidR="006F1A46" w:rsidRPr="00646FBC">
        <w:rPr>
          <w:color w:val="000080"/>
        </w:rPr>
        <w:t>DoDI</w:t>
      </w:r>
      <w:proofErr w:type="spellEnd"/>
      <w:r w:rsidR="006F1A46" w:rsidRPr="00646FBC">
        <w:rPr>
          <w:color w:val="000080"/>
        </w:rPr>
        <w:t xml:space="preserve"> 6040.44, provisions of </w:t>
      </w:r>
      <w:proofErr w:type="spellStart"/>
      <w:r w:rsidR="006F1A46" w:rsidRPr="00646FBC">
        <w:rPr>
          <w:color w:val="000080"/>
        </w:rPr>
        <w:t>DoD</w:t>
      </w:r>
      <w:proofErr w:type="spellEnd"/>
      <w:r w:rsidR="006F1A46"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00A23EA0">
        <w:rPr>
          <w:color w:val="FF0000"/>
        </w:rPr>
        <w:t xml:space="preserve"> </w:t>
      </w:r>
      <w:r w:rsidR="00E60A79" w:rsidRPr="00293B4F">
        <w:rPr>
          <w:color w:val="000080"/>
        </w:rPr>
        <w:t xml:space="preserve">Accordingly the </w:t>
      </w:r>
      <w:r w:rsidR="006A2EDF" w:rsidRPr="00293B4F">
        <w:rPr>
          <w:color w:val="000080"/>
        </w:rPr>
        <w:t xml:space="preserve">PDBR adjudication for each of this CI’s conditions is independent of </w:t>
      </w:r>
      <w:r w:rsidR="00724DF4" w:rsidRPr="00293B4F">
        <w:rPr>
          <w:color w:val="000080"/>
        </w:rPr>
        <w:t>service-mandated pain rule consideration</w:t>
      </w:r>
      <w:r w:rsidR="006A2EDF" w:rsidRPr="00293B4F">
        <w:rPr>
          <w:color w:val="000080"/>
        </w:rPr>
        <w:t>.</w:t>
      </w:r>
      <w:r w:rsidR="00E60A79" w:rsidRPr="00293B4F">
        <w:rPr>
          <w:color w:val="000080"/>
        </w:rPr>
        <w:t xml:space="preserve"> </w:t>
      </w:r>
      <w:r w:rsidR="00724DF4" w:rsidRPr="00293B4F">
        <w:rPr>
          <w:color w:val="000080"/>
        </w:rPr>
        <w:t>Regarding the CTS,</w:t>
      </w:r>
      <w:r w:rsidR="00724DF4">
        <w:rPr>
          <w:color w:val="FF0000"/>
        </w:rPr>
        <w:t xml:space="preserve"> </w:t>
      </w:r>
      <w:r w:rsidR="00724DF4">
        <w:rPr>
          <w:color w:val="000080"/>
        </w:rPr>
        <w:t xml:space="preserve">IAW VASRD </w:t>
      </w:r>
      <w:r w:rsidR="00293B4F" w:rsidRPr="00B41956">
        <w:rPr>
          <w:color w:val="000080"/>
        </w:rPr>
        <w:t>§</w:t>
      </w:r>
      <w:r w:rsidR="00724DF4">
        <w:rPr>
          <w:color w:val="000080"/>
        </w:rPr>
        <w:t xml:space="preserve">4.124a discussed above, </w:t>
      </w:r>
      <w:r w:rsidR="00A23EA0" w:rsidRPr="00B41956">
        <w:rPr>
          <w:color w:val="000080"/>
        </w:rPr>
        <w:t>a 10% rating for each wrist is indicated.</w:t>
      </w:r>
      <w:r w:rsidR="00724DF4">
        <w:rPr>
          <w:color w:val="000080"/>
        </w:rPr>
        <w:t xml:space="preserve">  The </w:t>
      </w:r>
      <w:r w:rsidR="00B34735">
        <w:rPr>
          <w:color w:val="000080"/>
        </w:rPr>
        <w:t>B</w:t>
      </w:r>
      <w:r w:rsidR="00724DF4">
        <w:rPr>
          <w:color w:val="000080"/>
        </w:rPr>
        <w:t xml:space="preserve">oard unanimously agreed on that recommendation.  Likewise, the LBP minimum rating is 10% IAW VASRD </w:t>
      </w:r>
      <w:r w:rsidR="00293B4F" w:rsidRPr="00B41956">
        <w:rPr>
          <w:color w:val="000080"/>
        </w:rPr>
        <w:t>§</w:t>
      </w:r>
      <w:r w:rsidR="00724DF4">
        <w:rPr>
          <w:color w:val="000080"/>
        </w:rPr>
        <w:t xml:space="preserve">4.71a.  A 20% rating, deferring to the very proximal VA rating was considered.  In reviewing the basis for the VA decision, however, it was not possible to elucidate how the higher rating was achieved.  </w:t>
      </w:r>
      <w:r w:rsidR="00293B4F">
        <w:rPr>
          <w:color w:val="000080"/>
        </w:rPr>
        <w:t xml:space="preserve">Without ignoring </w:t>
      </w:r>
      <w:r w:rsidR="00293B4F" w:rsidRPr="00B41956">
        <w:rPr>
          <w:color w:val="000080"/>
        </w:rPr>
        <w:t>§</w:t>
      </w:r>
      <w:r w:rsidR="00293B4F">
        <w:rPr>
          <w:color w:val="000080"/>
        </w:rPr>
        <w:t xml:space="preserve">4.3 (reasonable doubt), the </w:t>
      </w:r>
      <w:r w:rsidR="00B34735">
        <w:rPr>
          <w:color w:val="000080"/>
        </w:rPr>
        <w:t>B</w:t>
      </w:r>
      <w:r w:rsidR="00293B4F">
        <w:rPr>
          <w:color w:val="000080"/>
        </w:rPr>
        <w:t>oard unanimously agreed that a 10% rating under the same code was the appropriate recommendation.</w:t>
      </w:r>
    </w:p>
    <w:p w:rsidR="00A23EA0" w:rsidRDefault="00A23EA0" w:rsidP="00A23EA0">
      <w:pPr>
        <w:tabs>
          <w:tab w:val="left" w:pos="288"/>
          <w:tab w:val="left" w:pos="4752"/>
        </w:tabs>
        <w:spacing w:line="240" w:lineRule="exact"/>
        <w:jc w:val="both"/>
        <w:rPr>
          <w:color w:val="000080"/>
        </w:rPr>
      </w:pPr>
    </w:p>
    <w:p w:rsidR="00662F08" w:rsidRPr="006F1A46" w:rsidRDefault="00662F08" w:rsidP="00A23EA0">
      <w:pPr>
        <w:tabs>
          <w:tab w:val="left" w:pos="288"/>
          <w:tab w:val="left" w:pos="4752"/>
        </w:tabs>
        <w:spacing w:line="240" w:lineRule="exact"/>
        <w:jc w:val="both"/>
        <w:rPr>
          <w:color w:val="FF0000"/>
        </w:rPr>
      </w:pPr>
    </w:p>
    <w:p w:rsidR="00B522CD" w:rsidRPr="00D91DA6" w:rsidRDefault="00B522CD">
      <w:pPr>
        <w:tabs>
          <w:tab w:val="left" w:pos="288"/>
          <w:tab w:val="left" w:pos="4752"/>
        </w:tabs>
        <w:spacing w:line="240" w:lineRule="exact"/>
        <w:jc w:val="both"/>
        <w:rPr>
          <w:color w:val="000080"/>
        </w:rPr>
      </w:pPr>
    </w:p>
    <w:p w:rsidR="00293B4F" w:rsidRDefault="00293B4F">
      <w:pPr>
        <w:rPr>
          <w:color w:val="000080"/>
          <w:u w:val="single"/>
        </w:rPr>
      </w:pPr>
      <w:r>
        <w:rPr>
          <w:color w:val="000080"/>
          <w:u w:val="single"/>
        </w:rPr>
        <w:br w:type="page"/>
      </w:r>
    </w:p>
    <w:p w:rsidR="006F1A46" w:rsidRDefault="00662F08" w:rsidP="006F1A46">
      <w:pPr>
        <w:tabs>
          <w:tab w:val="left" w:pos="288"/>
          <w:tab w:val="left" w:pos="4752"/>
        </w:tabs>
        <w:spacing w:line="240" w:lineRule="exact"/>
        <w:jc w:val="both"/>
        <w:rPr>
          <w:color w:val="000080"/>
        </w:rPr>
      </w:pPr>
      <w:r w:rsidRPr="00D91DA6">
        <w:rPr>
          <w:color w:val="000080"/>
          <w:u w:val="single"/>
        </w:rPr>
        <w:lastRenderedPageBreak/>
        <w:t>RECOMMENDATION</w:t>
      </w:r>
      <w:r w:rsidRPr="00B34735">
        <w:rPr>
          <w:color w:val="000080"/>
        </w:rPr>
        <w:t>:</w:t>
      </w:r>
      <w:r w:rsidR="00B34735" w:rsidRPr="00B34735">
        <w:rPr>
          <w:color w:val="000080"/>
        </w:rPr>
        <w:t xml:space="preserve">  </w:t>
      </w:r>
      <w:r w:rsidR="006F1A46" w:rsidRPr="00A8277D">
        <w:rPr>
          <w:color w:val="000080"/>
        </w:rPr>
        <w:t xml:space="preserve">The </w:t>
      </w:r>
      <w:r w:rsidR="006F1A46">
        <w:rPr>
          <w:color w:val="000080"/>
        </w:rPr>
        <w:t>Board</w:t>
      </w:r>
      <w:r w:rsidR="006F1A46" w:rsidRPr="00A8277D">
        <w:rPr>
          <w:color w:val="000080"/>
        </w:rPr>
        <w:t xml:space="preserve"> recommends that the CI’s prior determination be </w:t>
      </w:r>
      <w:r w:rsidR="006F1A46">
        <w:rPr>
          <w:color w:val="000080"/>
        </w:rPr>
        <w:t>modified</w:t>
      </w:r>
      <w:r w:rsidR="006F1A46" w:rsidRPr="00A8277D">
        <w:rPr>
          <w:color w:val="000080"/>
        </w:rPr>
        <w:t xml:space="preserve"> as follows</w:t>
      </w:r>
      <w:r w:rsidR="006F1A46">
        <w:rPr>
          <w:color w:val="000080"/>
        </w:rPr>
        <w:t xml:space="preserve"> and </w:t>
      </w:r>
      <w:r w:rsidR="006F1A46" w:rsidRPr="001E2F3E">
        <w:rPr>
          <w:color w:val="000080"/>
        </w:rPr>
        <w:t xml:space="preserve">that the discharge with severance pay be </w:t>
      </w:r>
      <w:proofErr w:type="spellStart"/>
      <w:r w:rsidR="006F1A46" w:rsidRPr="001E2F3E">
        <w:rPr>
          <w:color w:val="000080"/>
        </w:rPr>
        <w:t>recharacterized</w:t>
      </w:r>
      <w:proofErr w:type="spellEnd"/>
      <w:r w:rsidR="006F1A46" w:rsidRPr="001E2F3E">
        <w:rPr>
          <w:color w:val="000080"/>
        </w:rPr>
        <w:t xml:space="preserve"> to reflect </w:t>
      </w:r>
      <w:r w:rsidR="001C7418">
        <w:rPr>
          <w:color w:val="000080"/>
        </w:rPr>
        <w:t xml:space="preserve">permanent </w:t>
      </w:r>
      <w:r w:rsidR="006F1A46" w:rsidRPr="001E2F3E">
        <w:rPr>
          <w:color w:val="000080"/>
        </w:rPr>
        <w:t>disability retirement,</w:t>
      </w:r>
      <w:r w:rsidR="006F1A46" w:rsidRPr="00A8277D">
        <w:rPr>
          <w:color w:val="000080"/>
        </w:rPr>
        <w:t xml:space="preserve"> effective as of the date of his prior medical separation.</w:t>
      </w:r>
    </w:p>
    <w:p w:rsidR="00293B4F" w:rsidRDefault="00293B4F" w:rsidP="006F1A46">
      <w:pPr>
        <w:tabs>
          <w:tab w:val="left" w:pos="288"/>
          <w:tab w:val="left" w:pos="4752"/>
        </w:tabs>
        <w:spacing w:line="240" w:lineRule="exact"/>
        <w:jc w:val="both"/>
        <w:rPr>
          <w:color w:val="000080"/>
        </w:rPr>
      </w:pPr>
    </w:p>
    <w:tbl>
      <w:tblPr>
        <w:tblStyle w:val="TableGrid"/>
        <w:tblW w:w="0" w:type="auto"/>
        <w:tblInd w:w="558" w:type="dxa"/>
        <w:tblLook w:val="04A0"/>
      </w:tblPr>
      <w:tblGrid>
        <w:gridCol w:w="5220"/>
        <w:gridCol w:w="1886"/>
        <w:gridCol w:w="1084"/>
      </w:tblGrid>
      <w:tr w:rsidR="00293B4F" w:rsidTr="00293B4F">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93B4F" w:rsidRDefault="00293B4F">
            <w:pPr>
              <w:tabs>
                <w:tab w:val="left" w:pos="288"/>
                <w:tab w:val="left" w:pos="4752"/>
              </w:tabs>
              <w:spacing w:line="240" w:lineRule="exact"/>
              <w:jc w:val="center"/>
              <w:rPr>
                <w:rFonts w:ascii="Courier" w:hAnsi="Courier"/>
                <w:b/>
                <w:color w:val="000080"/>
                <w:sz w:val="24"/>
                <w:szCs w:val="24"/>
              </w:rPr>
            </w:pPr>
            <w:r>
              <w:rPr>
                <w:rFonts w:ascii="Courier" w:hAnsi="Courier"/>
                <w:b/>
                <w:color w:val="000080"/>
                <w:sz w:val="24"/>
                <w:szCs w:val="24"/>
              </w:rPr>
              <w:t>Unfitting Condition</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93B4F" w:rsidRDefault="00293B4F">
            <w:pPr>
              <w:tabs>
                <w:tab w:val="left" w:pos="288"/>
                <w:tab w:val="left" w:pos="4752"/>
              </w:tabs>
              <w:spacing w:line="240" w:lineRule="exact"/>
              <w:jc w:val="center"/>
              <w:rPr>
                <w:rFonts w:ascii="Courier" w:hAnsi="Courier"/>
                <w:b/>
                <w:color w:val="000080"/>
                <w:sz w:val="24"/>
                <w:szCs w:val="24"/>
              </w:rPr>
            </w:pPr>
            <w:r>
              <w:rPr>
                <w:rFonts w:ascii="Courier" w:hAnsi="Courier"/>
                <w:b/>
                <w:color w:val="000080"/>
                <w:sz w:val="24"/>
                <w:szCs w:val="24"/>
              </w:rPr>
              <w:t>VASRD Code</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93B4F" w:rsidRDefault="00293B4F">
            <w:pPr>
              <w:tabs>
                <w:tab w:val="left" w:pos="288"/>
                <w:tab w:val="left" w:pos="4752"/>
              </w:tabs>
              <w:spacing w:line="240" w:lineRule="exact"/>
              <w:jc w:val="center"/>
              <w:rPr>
                <w:rFonts w:ascii="Courier" w:hAnsi="Courier"/>
                <w:b/>
                <w:color w:val="000080"/>
                <w:sz w:val="24"/>
                <w:szCs w:val="24"/>
              </w:rPr>
            </w:pPr>
            <w:r>
              <w:rPr>
                <w:rFonts w:ascii="Courier" w:hAnsi="Courier"/>
                <w:b/>
                <w:color w:val="000080"/>
                <w:sz w:val="24"/>
                <w:szCs w:val="24"/>
              </w:rPr>
              <w:t>Rating</w:t>
            </w:r>
          </w:p>
        </w:tc>
      </w:tr>
      <w:tr w:rsidR="00293B4F" w:rsidTr="00293B4F">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B4F" w:rsidRDefault="00293B4F">
            <w:pPr>
              <w:tabs>
                <w:tab w:val="left" w:pos="288"/>
                <w:tab w:val="left" w:pos="4752"/>
              </w:tabs>
              <w:spacing w:line="240" w:lineRule="exact"/>
              <w:rPr>
                <w:rFonts w:ascii="Courier" w:hAnsi="Courier"/>
                <w:color w:val="000080"/>
                <w:sz w:val="24"/>
                <w:szCs w:val="24"/>
              </w:rPr>
            </w:pPr>
            <w:r>
              <w:rPr>
                <w:rFonts w:ascii="Courier" w:hAnsi="Courier"/>
                <w:color w:val="000080"/>
                <w:sz w:val="24"/>
                <w:szCs w:val="24"/>
              </w:rPr>
              <w:t>Carpal tunnel syndrome left wrist</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B4F" w:rsidRDefault="00293B4F">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8799-8715</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B4F" w:rsidRDefault="00293B4F">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10%</w:t>
            </w:r>
          </w:p>
        </w:tc>
      </w:tr>
      <w:tr w:rsidR="00293B4F" w:rsidTr="00293B4F">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B4F" w:rsidRDefault="00293B4F">
            <w:pPr>
              <w:tabs>
                <w:tab w:val="left" w:pos="288"/>
                <w:tab w:val="left" w:pos="4752"/>
              </w:tabs>
              <w:spacing w:line="240" w:lineRule="exact"/>
              <w:rPr>
                <w:rFonts w:ascii="Courier" w:hAnsi="Courier"/>
                <w:color w:val="000080"/>
                <w:sz w:val="24"/>
                <w:szCs w:val="24"/>
              </w:rPr>
            </w:pPr>
            <w:r>
              <w:rPr>
                <w:rFonts w:ascii="Courier" w:hAnsi="Courier"/>
                <w:color w:val="000080"/>
                <w:sz w:val="24"/>
                <w:szCs w:val="24"/>
              </w:rPr>
              <w:t>Carpal tunnel syndrome right wrist</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B4F" w:rsidRDefault="00293B4F">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8799-8715</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B4F" w:rsidRDefault="00293B4F">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10%</w:t>
            </w:r>
          </w:p>
        </w:tc>
      </w:tr>
      <w:tr w:rsidR="00293B4F" w:rsidTr="00293B4F">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B4F" w:rsidRDefault="00293B4F">
            <w:pPr>
              <w:tabs>
                <w:tab w:val="left" w:pos="288"/>
                <w:tab w:val="left" w:pos="4752"/>
              </w:tabs>
              <w:spacing w:line="240" w:lineRule="exact"/>
              <w:rPr>
                <w:rFonts w:ascii="Courier" w:hAnsi="Courier"/>
                <w:color w:val="000080"/>
                <w:sz w:val="24"/>
                <w:szCs w:val="24"/>
              </w:rPr>
            </w:pPr>
            <w:r>
              <w:rPr>
                <w:rFonts w:ascii="Courier" w:hAnsi="Courier"/>
                <w:color w:val="000080"/>
                <w:sz w:val="24"/>
                <w:szCs w:val="24"/>
              </w:rPr>
              <w:t>Chronic low back pain</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B4F" w:rsidRDefault="00293B4F">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5237</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B4F" w:rsidRDefault="00293B4F">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10%</w:t>
            </w:r>
          </w:p>
        </w:tc>
      </w:tr>
      <w:tr w:rsidR="00293B4F" w:rsidTr="00293B4F">
        <w:trPr>
          <w:gridBefore w:val="1"/>
          <w:wBefore w:w="5220" w:type="dxa"/>
          <w:trHeight w:val="305"/>
        </w:trPr>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B4F" w:rsidRPr="001C59DD" w:rsidRDefault="00293B4F" w:rsidP="001C59DD">
            <w:pPr>
              <w:tabs>
                <w:tab w:val="left" w:pos="288"/>
                <w:tab w:val="left" w:pos="4752"/>
              </w:tabs>
              <w:spacing w:line="240" w:lineRule="exact"/>
              <w:jc w:val="center"/>
              <w:rPr>
                <w:rFonts w:ascii="Courier" w:hAnsi="Courier"/>
                <w:b/>
                <w:color w:val="000080"/>
                <w:sz w:val="24"/>
                <w:szCs w:val="24"/>
              </w:rPr>
            </w:pPr>
            <w:r>
              <w:rPr>
                <w:rFonts w:ascii="Courier" w:hAnsi="Courier"/>
                <w:b/>
                <w:color w:val="000080"/>
                <w:sz w:val="24"/>
                <w:szCs w:val="24"/>
              </w:rPr>
              <w:t>Combined</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B4F" w:rsidRDefault="00293B4F">
            <w:pPr>
              <w:tabs>
                <w:tab w:val="left" w:pos="288"/>
                <w:tab w:val="left" w:pos="4752"/>
              </w:tabs>
              <w:spacing w:line="240" w:lineRule="exact"/>
              <w:jc w:val="center"/>
              <w:rPr>
                <w:rFonts w:ascii="Courier" w:hAnsi="Courier"/>
                <w:b/>
                <w:color w:val="000080"/>
                <w:sz w:val="24"/>
                <w:szCs w:val="24"/>
              </w:rPr>
            </w:pPr>
            <w:r>
              <w:rPr>
                <w:rFonts w:ascii="Courier" w:hAnsi="Courier"/>
                <w:b/>
                <w:color w:val="000080"/>
                <w:sz w:val="24"/>
                <w:szCs w:val="24"/>
              </w:rPr>
              <w:t>30%</w:t>
            </w:r>
          </w:p>
        </w:tc>
      </w:tr>
    </w:tbl>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D91DA6" w:rsidRDefault="00D91DA6">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114F20"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 </w:t>
      </w:r>
      <w:r w:rsidR="00B41956">
        <w:rPr>
          <w:color w:val="000080"/>
        </w:rPr>
        <w:t>20090120</w:t>
      </w:r>
      <w:r>
        <w:rPr>
          <w:color w:val="000080"/>
        </w:rPr>
        <w:t>, w/</w:t>
      </w:r>
      <w:proofErr w:type="spellStart"/>
      <w:r>
        <w:rPr>
          <w:color w:val="000080"/>
        </w:rPr>
        <w:t>atchs</w:t>
      </w:r>
      <w:proofErr w:type="spellEnd"/>
      <w:r>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5A20F6" w:rsidRDefault="005A20F6">
      <w:pPr>
        <w:rPr>
          <w:color w:val="000080"/>
        </w:rPr>
      </w:pPr>
      <w:r>
        <w:rPr>
          <w:color w:val="000080"/>
        </w:rPr>
        <w:br w:type="page"/>
      </w:r>
    </w:p>
    <w:p w:rsidR="005A20F6" w:rsidRDefault="005A20F6" w:rsidP="005A20F6">
      <w:pPr>
        <w:pStyle w:val="Default"/>
        <w:framePr w:w="16055" w:wrap="auto" w:vAnchor="page" w:hAnchor="page" w:x="101" w:y="13935"/>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Pr="00D91DA6" w:rsidRDefault="000379D0" w:rsidP="00D91DA6">
      <w:pPr>
        <w:tabs>
          <w:tab w:val="left" w:pos="288"/>
          <w:tab w:val="left" w:pos="4320"/>
          <w:tab w:val="left" w:pos="4410"/>
          <w:tab w:val="left" w:pos="4770"/>
          <w:tab w:val="left" w:pos="4860"/>
          <w:tab w:val="left" w:pos="5040"/>
        </w:tabs>
        <w:spacing w:line="240" w:lineRule="exact"/>
        <w:rPr>
          <w:color w:val="000080"/>
          <w:sz w:val="32"/>
        </w:rPr>
      </w:pPr>
    </w:p>
    <w:sectPr w:rsidR="000379D0" w:rsidRPr="00D91DA6"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6E" w:rsidRDefault="0091286E">
      <w:r>
        <w:separator/>
      </w:r>
    </w:p>
  </w:endnote>
  <w:endnote w:type="continuationSeparator" w:id="0">
    <w:p w:rsidR="0091286E" w:rsidRDefault="0091286E">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00F3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A20F6">
      <w:rPr>
        <w:rStyle w:val="PageNumber"/>
        <w:noProof/>
      </w:rPr>
      <w:t>4</w:t>
    </w:r>
    <w:r>
      <w:rPr>
        <w:rStyle w:val="PageNumber"/>
      </w:rPr>
      <w:fldChar w:fldCharType="end"/>
    </w:r>
  </w:p>
  <w:p w:rsidR="000D43F9" w:rsidRDefault="000379D0">
    <w:pPr>
      <w:pStyle w:val="Footer"/>
    </w:pPr>
    <w:r>
      <w:t>PD-2009-</w:t>
    </w:r>
    <w:r w:rsidR="0043225E">
      <w:t>00028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00F3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A20F6">
      <w:rPr>
        <w:rStyle w:val="PageNumber"/>
        <w:noProof/>
      </w:rPr>
      <w:t>5</w:t>
    </w:r>
    <w:r>
      <w:rPr>
        <w:rStyle w:val="PageNumber"/>
      </w:rPr>
      <w:fldChar w:fldCharType="end"/>
    </w:r>
  </w:p>
  <w:p w:rsidR="001C59DD" w:rsidRDefault="001C59DD" w:rsidP="001C59DD">
    <w:pPr>
      <w:pStyle w:val="Footer"/>
    </w:pPr>
    <w:r>
      <w:t>PD-2009-00028</w:t>
    </w:r>
  </w:p>
  <w:p w:rsidR="000D43F9" w:rsidRDefault="000D43F9" w:rsidP="001C5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6E" w:rsidRDefault="0091286E">
      <w:r>
        <w:separator/>
      </w:r>
    </w:p>
  </w:footnote>
  <w:footnote w:type="continuationSeparator" w:id="0">
    <w:p w:rsidR="0091286E" w:rsidRDefault="00912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0F3C"/>
    <w:rsid w:val="000059FA"/>
    <w:rsid w:val="000145C2"/>
    <w:rsid w:val="000379D0"/>
    <w:rsid w:val="00051622"/>
    <w:rsid w:val="000A2BCE"/>
    <w:rsid w:val="000D43F9"/>
    <w:rsid w:val="000F2F46"/>
    <w:rsid w:val="000F427B"/>
    <w:rsid w:val="0010530E"/>
    <w:rsid w:val="00114F20"/>
    <w:rsid w:val="00124396"/>
    <w:rsid w:val="00177659"/>
    <w:rsid w:val="00185ECB"/>
    <w:rsid w:val="001B68EB"/>
    <w:rsid w:val="001C181A"/>
    <w:rsid w:val="001C2053"/>
    <w:rsid w:val="001C288D"/>
    <w:rsid w:val="001C28D1"/>
    <w:rsid w:val="001C59DD"/>
    <w:rsid w:val="001C7418"/>
    <w:rsid w:val="001D6A8C"/>
    <w:rsid w:val="001F1DB8"/>
    <w:rsid w:val="00246860"/>
    <w:rsid w:val="00274E46"/>
    <w:rsid w:val="00293B4F"/>
    <w:rsid w:val="00323E70"/>
    <w:rsid w:val="00385D6F"/>
    <w:rsid w:val="00393651"/>
    <w:rsid w:val="003C3627"/>
    <w:rsid w:val="003D2BA3"/>
    <w:rsid w:val="003D7DDB"/>
    <w:rsid w:val="003E0543"/>
    <w:rsid w:val="004007E9"/>
    <w:rsid w:val="0043225E"/>
    <w:rsid w:val="004574C6"/>
    <w:rsid w:val="004A4136"/>
    <w:rsid w:val="00522070"/>
    <w:rsid w:val="0052590B"/>
    <w:rsid w:val="00526591"/>
    <w:rsid w:val="005436C2"/>
    <w:rsid w:val="00561418"/>
    <w:rsid w:val="0057258E"/>
    <w:rsid w:val="005A20F6"/>
    <w:rsid w:val="005E48D4"/>
    <w:rsid w:val="00662F08"/>
    <w:rsid w:val="006A2EDF"/>
    <w:rsid w:val="006A40E6"/>
    <w:rsid w:val="006E7356"/>
    <w:rsid w:val="006F1A46"/>
    <w:rsid w:val="00724DF4"/>
    <w:rsid w:val="00744EBB"/>
    <w:rsid w:val="007740C6"/>
    <w:rsid w:val="007A0B39"/>
    <w:rsid w:val="007A168F"/>
    <w:rsid w:val="007B0A06"/>
    <w:rsid w:val="007C62AC"/>
    <w:rsid w:val="007D0292"/>
    <w:rsid w:val="007E4FBB"/>
    <w:rsid w:val="00811D5B"/>
    <w:rsid w:val="00816327"/>
    <w:rsid w:val="00817713"/>
    <w:rsid w:val="00830999"/>
    <w:rsid w:val="00830D5E"/>
    <w:rsid w:val="00837465"/>
    <w:rsid w:val="00875B51"/>
    <w:rsid w:val="008E4A60"/>
    <w:rsid w:val="0091286E"/>
    <w:rsid w:val="00914ADB"/>
    <w:rsid w:val="00923B25"/>
    <w:rsid w:val="00930DBC"/>
    <w:rsid w:val="00942645"/>
    <w:rsid w:val="00960817"/>
    <w:rsid w:val="009B69D3"/>
    <w:rsid w:val="009C0938"/>
    <w:rsid w:val="009E248A"/>
    <w:rsid w:val="00A23EA0"/>
    <w:rsid w:val="00A8338B"/>
    <w:rsid w:val="00A86CB6"/>
    <w:rsid w:val="00A90D55"/>
    <w:rsid w:val="00AC439D"/>
    <w:rsid w:val="00B32179"/>
    <w:rsid w:val="00B34735"/>
    <w:rsid w:val="00B41956"/>
    <w:rsid w:val="00B522CD"/>
    <w:rsid w:val="00B609C7"/>
    <w:rsid w:val="00B82277"/>
    <w:rsid w:val="00BD6806"/>
    <w:rsid w:val="00BE0DEB"/>
    <w:rsid w:val="00C85579"/>
    <w:rsid w:val="00CA068D"/>
    <w:rsid w:val="00CB23DC"/>
    <w:rsid w:val="00CB28E2"/>
    <w:rsid w:val="00CB7FF7"/>
    <w:rsid w:val="00CC2044"/>
    <w:rsid w:val="00CD34C7"/>
    <w:rsid w:val="00D52393"/>
    <w:rsid w:val="00D76AB2"/>
    <w:rsid w:val="00D87788"/>
    <w:rsid w:val="00D910C2"/>
    <w:rsid w:val="00D91DA6"/>
    <w:rsid w:val="00DA752A"/>
    <w:rsid w:val="00DE7E74"/>
    <w:rsid w:val="00E15539"/>
    <w:rsid w:val="00E60A79"/>
    <w:rsid w:val="00EA2DD8"/>
    <w:rsid w:val="00EC572E"/>
    <w:rsid w:val="00EF608E"/>
    <w:rsid w:val="00F06D2C"/>
    <w:rsid w:val="00F1516A"/>
    <w:rsid w:val="00F22A26"/>
    <w:rsid w:val="00F72183"/>
    <w:rsid w:val="00FA7A62"/>
    <w:rsid w:val="00FF7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5A20F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7870535">
      <w:bodyDiv w:val="1"/>
      <w:marLeft w:val="0"/>
      <w:marRight w:val="0"/>
      <w:marTop w:val="0"/>
      <w:marBottom w:val="0"/>
      <w:divBdr>
        <w:top w:val="none" w:sz="0" w:space="0" w:color="auto"/>
        <w:left w:val="none" w:sz="0" w:space="0" w:color="auto"/>
        <w:bottom w:val="none" w:sz="0" w:space="0" w:color="auto"/>
        <w:right w:val="none" w:sz="0" w:space="0" w:color="auto"/>
      </w:divBdr>
    </w:div>
    <w:div w:id="11226492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875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2009-08-31T17:53:00Z</cp:lastPrinted>
  <dcterms:created xsi:type="dcterms:W3CDTF">2012-01-11T13:50:00Z</dcterms:created>
  <dcterms:modified xsi:type="dcterms:W3CDTF">2012-01-11T17:24:00Z</dcterms:modified>
</cp:coreProperties>
</file>