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CD" w:rsidRPr="00D91DA6" w:rsidRDefault="00B522CD">
      <w:pPr>
        <w:tabs>
          <w:tab w:val="left" w:pos="288"/>
          <w:tab w:val="left" w:pos="4752"/>
        </w:tabs>
        <w:spacing w:line="240" w:lineRule="exact"/>
        <w:jc w:val="center"/>
        <w:rPr>
          <w:color w:val="000080"/>
        </w:rPr>
      </w:pPr>
      <w:r w:rsidRPr="00D91DA6">
        <w:rPr>
          <w:color w:val="000080"/>
        </w:rPr>
        <w:t>RECORD OF PROCEEDINGS</w:t>
      </w:r>
    </w:p>
    <w:p w:rsidR="00662F08" w:rsidRPr="00D91DA6" w:rsidRDefault="00662F08" w:rsidP="00662F08">
      <w:pPr>
        <w:tabs>
          <w:tab w:val="left" w:pos="288"/>
          <w:tab w:val="left" w:pos="4752"/>
        </w:tabs>
        <w:spacing w:line="240" w:lineRule="exact"/>
        <w:jc w:val="center"/>
        <w:rPr>
          <w:color w:val="000080"/>
        </w:rPr>
      </w:pPr>
      <w:r w:rsidRPr="00D91DA6">
        <w:rPr>
          <w:color w:val="000080"/>
        </w:rPr>
        <w:t xml:space="preserve">PHYSICAL DISABILITY </w:t>
      </w:r>
      <w:r w:rsidR="00E15539">
        <w:rPr>
          <w:color w:val="000080"/>
        </w:rPr>
        <w:t>BOARD OF REVIEW</w:t>
      </w:r>
    </w:p>
    <w:p w:rsidR="00662F08" w:rsidRPr="00D91DA6" w:rsidRDefault="00662F08" w:rsidP="00662F08">
      <w:pPr>
        <w:tabs>
          <w:tab w:val="left" w:pos="288"/>
          <w:tab w:val="left" w:pos="4752"/>
        </w:tabs>
        <w:spacing w:line="240" w:lineRule="exact"/>
        <w:jc w:val="center"/>
        <w:rPr>
          <w:color w:val="000080"/>
        </w:rPr>
      </w:pPr>
    </w:p>
    <w:p w:rsidR="00662F08" w:rsidRPr="00D5118C" w:rsidRDefault="00662F08" w:rsidP="00662F08">
      <w:pPr>
        <w:tabs>
          <w:tab w:val="left" w:pos="288"/>
          <w:tab w:val="left" w:pos="4752"/>
        </w:tabs>
        <w:spacing w:line="240" w:lineRule="exact"/>
        <w:rPr>
          <w:caps/>
          <w:color w:val="000080"/>
        </w:rPr>
      </w:pPr>
      <w:r w:rsidRPr="00D5118C">
        <w:rPr>
          <w:caps/>
          <w:color w:val="000080"/>
        </w:rPr>
        <w:t>NAME:</w:t>
      </w:r>
      <w:r w:rsidR="00051622" w:rsidRPr="00D5118C">
        <w:rPr>
          <w:caps/>
          <w:color w:val="000080"/>
        </w:rPr>
        <w:tab/>
      </w:r>
      <w:r w:rsidR="00051622" w:rsidRPr="00D5118C">
        <w:rPr>
          <w:caps/>
          <w:color w:val="000080"/>
        </w:rPr>
        <w:tab/>
      </w:r>
      <w:r w:rsidR="00D91DA6" w:rsidRPr="00D5118C">
        <w:rPr>
          <w:caps/>
          <w:color w:val="000080"/>
        </w:rPr>
        <w:t>BRANCH OF SERVICE</w:t>
      </w:r>
      <w:r w:rsidR="00051622" w:rsidRPr="00D5118C">
        <w:rPr>
          <w:caps/>
          <w:color w:val="000080"/>
        </w:rPr>
        <w:t xml:space="preserve">: </w:t>
      </w:r>
      <w:r w:rsidR="00635265">
        <w:rPr>
          <w:caps/>
          <w:color w:val="000080"/>
        </w:rPr>
        <w:t>Army</w:t>
      </w:r>
    </w:p>
    <w:p w:rsidR="00B522CD" w:rsidRPr="00D5118C" w:rsidRDefault="00D91DA6" w:rsidP="00662F08">
      <w:pPr>
        <w:tabs>
          <w:tab w:val="left" w:pos="288"/>
          <w:tab w:val="left" w:pos="4752"/>
        </w:tabs>
        <w:spacing w:line="240" w:lineRule="exact"/>
        <w:rPr>
          <w:caps/>
          <w:color w:val="000080"/>
        </w:rPr>
      </w:pPr>
      <w:r w:rsidRPr="00D5118C">
        <w:rPr>
          <w:caps/>
          <w:color w:val="000080"/>
        </w:rPr>
        <w:t>CASE</w:t>
      </w:r>
      <w:r w:rsidR="001C28D1" w:rsidRPr="00D5118C">
        <w:rPr>
          <w:caps/>
          <w:color w:val="000080"/>
        </w:rPr>
        <w:t xml:space="preserve"> NUMBER:  </w:t>
      </w:r>
      <w:r w:rsidR="00D5118C">
        <w:rPr>
          <w:caps/>
          <w:color w:val="000080"/>
        </w:rPr>
        <w:t>PD</w:t>
      </w:r>
      <w:r w:rsidR="00635265">
        <w:rPr>
          <w:caps/>
          <w:color w:val="000080"/>
        </w:rPr>
        <w:t>0900024</w:t>
      </w:r>
      <w:r w:rsidR="00D5118C" w:rsidRPr="00D5118C">
        <w:rPr>
          <w:caps/>
          <w:color w:val="000080"/>
        </w:rPr>
        <w:t xml:space="preserve"> </w:t>
      </w:r>
      <w:r w:rsidR="00051622" w:rsidRPr="00D5118C">
        <w:rPr>
          <w:caps/>
          <w:color w:val="000080"/>
        </w:rPr>
        <w:tab/>
      </w:r>
      <w:r w:rsidR="00051622" w:rsidRPr="00D5118C">
        <w:rPr>
          <w:caps/>
          <w:color w:val="000080"/>
        </w:rPr>
        <w:tab/>
      </w:r>
      <w:r w:rsidRPr="00D5118C">
        <w:rPr>
          <w:caps/>
          <w:color w:val="000080"/>
        </w:rPr>
        <w:t xml:space="preserve">COMPONENT: </w:t>
      </w:r>
      <w:r w:rsidR="00635265">
        <w:rPr>
          <w:caps/>
          <w:color w:val="000080"/>
        </w:rPr>
        <w:t>Guard</w:t>
      </w:r>
    </w:p>
    <w:p w:rsidR="00662F08" w:rsidRDefault="00662F08" w:rsidP="00662F08">
      <w:pPr>
        <w:tabs>
          <w:tab w:val="left" w:pos="288"/>
          <w:tab w:val="left" w:pos="4752"/>
        </w:tabs>
        <w:spacing w:line="240" w:lineRule="exact"/>
        <w:rPr>
          <w:caps/>
          <w:color w:val="000080"/>
        </w:rPr>
      </w:pPr>
      <w:r w:rsidRPr="00D5118C">
        <w:rPr>
          <w:caps/>
          <w:color w:val="000080"/>
        </w:rPr>
        <w:t xml:space="preserve">BOARD DATE: </w:t>
      </w:r>
      <w:r w:rsidR="00635265">
        <w:rPr>
          <w:caps/>
          <w:color w:val="000080"/>
        </w:rPr>
        <w:t>20090609</w:t>
      </w:r>
      <w:r w:rsidR="00D91DA6" w:rsidRPr="00D5118C">
        <w:rPr>
          <w:caps/>
          <w:color w:val="000080"/>
        </w:rPr>
        <w:tab/>
      </w:r>
      <w:r w:rsidR="00D91DA6" w:rsidRPr="00D5118C">
        <w:rPr>
          <w:caps/>
          <w:color w:val="000080"/>
        </w:rPr>
        <w:tab/>
        <w:t xml:space="preserve">SEPARATION DATE: </w:t>
      </w:r>
      <w:r w:rsidR="00635265">
        <w:rPr>
          <w:caps/>
          <w:color w:val="000080"/>
        </w:rPr>
        <w:t>20060531</w:t>
      </w:r>
    </w:p>
    <w:p w:rsidR="00C71259" w:rsidRPr="00D5118C" w:rsidRDefault="00C71259" w:rsidP="00662F08">
      <w:pPr>
        <w:tabs>
          <w:tab w:val="left" w:pos="288"/>
          <w:tab w:val="left" w:pos="4752"/>
        </w:tabs>
        <w:spacing w:line="240" w:lineRule="exact"/>
        <w:rPr>
          <w:caps/>
          <w:color w:val="000080"/>
        </w:rPr>
      </w:pPr>
    </w:p>
    <w:p w:rsidR="00C71259" w:rsidRPr="00D91DA6" w:rsidRDefault="00C71259" w:rsidP="00C71259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 w:rsidRPr="00D91DA6">
        <w:rPr>
          <w:color w:val="000080"/>
        </w:rPr>
        <w:t>________________________________________________________________</w:t>
      </w:r>
    </w:p>
    <w:p w:rsidR="002269A2" w:rsidRPr="00D91DA6" w:rsidRDefault="002269A2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F35E12" w:rsidRDefault="00811D5B" w:rsidP="00560074">
      <w:pPr>
        <w:spacing w:line="240" w:lineRule="exact"/>
        <w:jc w:val="both"/>
        <w:rPr>
          <w:color w:val="000080"/>
        </w:rPr>
      </w:pPr>
      <w:r w:rsidRPr="00D91DA6">
        <w:rPr>
          <w:color w:val="000080"/>
          <w:u w:val="single"/>
        </w:rPr>
        <w:t>SUMMARY</w:t>
      </w:r>
      <w:r w:rsidR="003D7DDB" w:rsidRPr="00D91DA6">
        <w:rPr>
          <w:color w:val="000080"/>
          <w:u w:val="single"/>
        </w:rPr>
        <w:t xml:space="preserve"> OF CASE</w:t>
      </w:r>
      <w:r w:rsidR="00B522CD" w:rsidRPr="00D91DA6">
        <w:rPr>
          <w:color w:val="000080"/>
        </w:rPr>
        <w:t>:</w:t>
      </w:r>
      <w:r w:rsidR="00D5118C">
        <w:rPr>
          <w:color w:val="000080"/>
        </w:rPr>
        <w:t xml:space="preserve">  </w:t>
      </w:r>
      <w:r w:rsidR="00F35E12" w:rsidRPr="003B6D62">
        <w:rPr>
          <w:color w:val="000080"/>
        </w:rPr>
        <w:t>This covered individual (CI)</w:t>
      </w:r>
      <w:r w:rsidR="00F35E12" w:rsidRPr="00A8277D">
        <w:rPr>
          <w:color w:val="000080"/>
        </w:rPr>
        <w:t xml:space="preserve"> was</w:t>
      </w:r>
      <w:r w:rsidR="00635265">
        <w:rPr>
          <w:color w:val="000080"/>
        </w:rPr>
        <w:t xml:space="preserve"> an Army Guard SSG 92G</w:t>
      </w:r>
      <w:r w:rsidR="00F35E12" w:rsidRPr="00A8277D">
        <w:rPr>
          <w:color w:val="000080"/>
        </w:rPr>
        <w:t xml:space="preserve"> medically separated from the </w:t>
      </w:r>
      <w:r w:rsidR="00635265">
        <w:rPr>
          <w:color w:val="000080"/>
        </w:rPr>
        <w:t xml:space="preserve">Army Guard </w:t>
      </w:r>
      <w:r w:rsidR="00F35E12" w:rsidRPr="00A8277D">
        <w:rPr>
          <w:color w:val="000080"/>
        </w:rPr>
        <w:t>in 200</w:t>
      </w:r>
      <w:r w:rsidR="00635265">
        <w:rPr>
          <w:color w:val="000080"/>
        </w:rPr>
        <w:t>6</w:t>
      </w:r>
      <w:r w:rsidR="00F35E12" w:rsidRPr="00A8277D">
        <w:rPr>
          <w:color w:val="000080"/>
        </w:rPr>
        <w:t xml:space="preserve"> after</w:t>
      </w:r>
      <w:r w:rsidR="00635265">
        <w:rPr>
          <w:color w:val="000080"/>
        </w:rPr>
        <w:t xml:space="preserve"> 11 years of active service.  The </w:t>
      </w:r>
      <w:r w:rsidR="00F35E12" w:rsidRPr="00A8277D">
        <w:rPr>
          <w:color w:val="000080"/>
        </w:rPr>
        <w:t>medical basis for the separation was</w:t>
      </w:r>
      <w:r w:rsidR="00635265">
        <w:rPr>
          <w:color w:val="000080"/>
        </w:rPr>
        <w:t xml:space="preserve"> chronic bilateral knee pain </w:t>
      </w:r>
      <w:r w:rsidR="000A6EE5">
        <w:rPr>
          <w:color w:val="000080"/>
        </w:rPr>
        <w:t>from</w:t>
      </w:r>
      <w:r w:rsidR="00635265">
        <w:rPr>
          <w:color w:val="000080"/>
        </w:rPr>
        <w:t xml:space="preserve"> traumatic onset in </w:t>
      </w:r>
      <w:r w:rsidR="002437B8">
        <w:rPr>
          <w:color w:val="000080"/>
        </w:rPr>
        <w:t xml:space="preserve">Iraq in </w:t>
      </w:r>
      <w:r w:rsidR="00635265">
        <w:rPr>
          <w:color w:val="000080"/>
        </w:rPr>
        <w:t>May 2003.</w:t>
      </w:r>
      <w:r w:rsidR="00176255">
        <w:rPr>
          <w:color w:val="000080"/>
        </w:rPr>
        <w:t xml:space="preserve"> </w:t>
      </w:r>
      <w:r w:rsidR="00635265">
        <w:rPr>
          <w:color w:val="000080"/>
        </w:rPr>
        <w:t xml:space="preserve"> </w:t>
      </w:r>
      <w:r w:rsidR="002437B8">
        <w:rPr>
          <w:color w:val="000080"/>
        </w:rPr>
        <w:t xml:space="preserve">The CI’s bilateral knee pain knee did not </w:t>
      </w:r>
      <w:proofErr w:type="spellStart"/>
      <w:r w:rsidR="002437B8">
        <w:rPr>
          <w:color w:val="000080"/>
        </w:rPr>
        <w:t>reolve</w:t>
      </w:r>
      <w:proofErr w:type="spellEnd"/>
      <w:r w:rsidR="002437B8">
        <w:rPr>
          <w:color w:val="000080"/>
        </w:rPr>
        <w:t xml:space="preserve"> following treatment and was not amenable to surgery.  The Commander requested a fitness for duty evaluation and the MEB was for knee pain, asthma, and sleep apnea</w:t>
      </w:r>
      <w:r w:rsidR="007A142A">
        <w:rPr>
          <w:color w:val="000080"/>
        </w:rPr>
        <w:t xml:space="preserve"> (OSA)</w:t>
      </w:r>
      <w:r w:rsidR="002437B8">
        <w:rPr>
          <w:color w:val="000080"/>
        </w:rPr>
        <w:t xml:space="preserve">.  The CI had a prior PEB (23 May 2005) for Asthma following early medical return from the AOR that found </w:t>
      </w:r>
      <w:r w:rsidR="00903E21">
        <w:rPr>
          <w:color w:val="000080"/>
        </w:rPr>
        <w:t xml:space="preserve">him </w:t>
      </w:r>
      <w:r w:rsidR="002437B8">
        <w:rPr>
          <w:color w:val="000080"/>
        </w:rPr>
        <w:t xml:space="preserve">fit for duty.  </w:t>
      </w:r>
      <w:r w:rsidR="00F35E12" w:rsidRPr="00A8277D">
        <w:rPr>
          <w:color w:val="000080"/>
        </w:rPr>
        <w:t xml:space="preserve">CI was referred to the PEB, found unfit </w:t>
      </w:r>
      <w:r w:rsidR="002437B8">
        <w:rPr>
          <w:color w:val="000080"/>
        </w:rPr>
        <w:t xml:space="preserve">for bilateral knee pain only </w:t>
      </w:r>
      <w:r w:rsidR="00F35E12" w:rsidRPr="00A8277D">
        <w:rPr>
          <w:color w:val="000080"/>
        </w:rPr>
        <w:t xml:space="preserve">and </w:t>
      </w:r>
      <w:r w:rsidR="002437B8">
        <w:rPr>
          <w:color w:val="000080"/>
        </w:rPr>
        <w:t>was separated at 0</w:t>
      </w:r>
      <w:r w:rsidR="00F35E12" w:rsidRPr="00A8277D">
        <w:rPr>
          <w:color w:val="000080"/>
        </w:rPr>
        <w:t xml:space="preserve">% disability.  </w:t>
      </w:r>
      <w:r w:rsidR="002437B8">
        <w:rPr>
          <w:color w:val="000080"/>
        </w:rPr>
        <w:t xml:space="preserve">The VA found each knee separately rated at 10% and rated </w:t>
      </w:r>
      <w:r w:rsidR="007A142A">
        <w:rPr>
          <w:color w:val="000080"/>
        </w:rPr>
        <w:t xml:space="preserve">OSA </w:t>
      </w:r>
      <w:r w:rsidR="002437B8">
        <w:rPr>
          <w:color w:val="000080"/>
        </w:rPr>
        <w:t>(50%), Post Traumatic Stress Disorder (PTSD)</w:t>
      </w:r>
      <w:r w:rsidR="00903E21">
        <w:rPr>
          <w:color w:val="000080"/>
        </w:rPr>
        <w:t xml:space="preserve"> at 50%, back </w:t>
      </w:r>
      <w:r w:rsidR="00903E21" w:rsidRPr="00903E21">
        <w:rPr>
          <w:color w:val="000080"/>
        </w:rPr>
        <w:t xml:space="preserve">disease, both ankles, and asthma as ratable above 0% with a total combined VA rating of 90%.  </w:t>
      </w:r>
      <w:r w:rsidR="00F35E12" w:rsidRPr="00903E21">
        <w:rPr>
          <w:color w:val="000080"/>
        </w:rPr>
        <w:t xml:space="preserve">The CI contends that </w:t>
      </w:r>
      <w:r w:rsidR="00903E21" w:rsidRPr="00903E21">
        <w:rPr>
          <w:color w:val="000080"/>
        </w:rPr>
        <w:t>he was only rated for one condition, received a 0% for his knee and that all his problems should be looked at.  That he was hurried along by his chain of command and that he had a prior Army rating for asthma but did a COAD</w:t>
      </w:r>
      <w:r w:rsidR="007A142A">
        <w:rPr>
          <w:color w:val="000080"/>
        </w:rPr>
        <w:t xml:space="preserve"> (</w:t>
      </w:r>
      <w:r w:rsidR="007A142A" w:rsidRPr="00903E21">
        <w:rPr>
          <w:color w:val="000080"/>
        </w:rPr>
        <w:t>continuance on active duty</w:t>
      </w:r>
      <w:r w:rsidR="007A142A">
        <w:rPr>
          <w:color w:val="000080"/>
        </w:rPr>
        <w:t>)</w:t>
      </w:r>
      <w:r w:rsidR="00903E21" w:rsidRPr="00903E21">
        <w:rPr>
          <w:color w:val="000080"/>
        </w:rPr>
        <w:t xml:space="preserve"> prior to th</w:t>
      </w:r>
      <w:r w:rsidR="00903E21">
        <w:rPr>
          <w:color w:val="000080"/>
        </w:rPr>
        <w:t xml:space="preserve">at </w:t>
      </w:r>
      <w:r w:rsidR="00903E21" w:rsidRPr="00903E21">
        <w:rPr>
          <w:color w:val="000080"/>
        </w:rPr>
        <w:t>MED Board with an unknown percentage.</w:t>
      </w:r>
      <w:r w:rsidR="007A142A">
        <w:rPr>
          <w:color w:val="000080"/>
        </w:rPr>
        <w:t xml:space="preserve">  The CI’s contention for ‘</w:t>
      </w:r>
      <w:r w:rsidR="007A142A" w:rsidRPr="007A142A">
        <w:rPr>
          <w:color w:val="000080"/>
        </w:rPr>
        <w:t>all his conditions</w:t>
      </w:r>
      <w:r w:rsidR="007A142A">
        <w:rPr>
          <w:color w:val="000080"/>
        </w:rPr>
        <w:t>’</w:t>
      </w:r>
      <w:r w:rsidR="007A142A" w:rsidRPr="007A142A">
        <w:rPr>
          <w:color w:val="000080"/>
        </w:rPr>
        <w:t xml:space="preserve"> to be looked at is interpreted to include his VA diagnoses of both knees, </w:t>
      </w:r>
      <w:r w:rsidR="007A142A">
        <w:rPr>
          <w:color w:val="000080"/>
        </w:rPr>
        <w:t>sleep apnea</w:t>
      </w:r>
      <w:r w:rsidR="007A142A" w:rsidRPr="007A142A">
        <w:rPr>
          <w:color w:val="000080"/>
        </w:rPr>
        <w:t xml:space="preserve">, PTSD </w:t>
      </w:r>
      <w:r w:rsidR="007A142A">
        <w:rPr>
          <w:color w:val="000080"/>
        </w:rPr>
        <w:t xml:space="preserve">with </w:t>
      </w:r>
      <w:r w:rsidR="007A142A" w:rsidRPr="007A142A">
        <w:rPr>
          <w:color w:val="000080"/>
        </w:rPr>
        <w:t>Depression, back condition, both ankles, and Asthma.</w:t>
      </w:r>
      <w:r w:rsidR="007A142A">
        <w:rPr>
          <w:color w:val="000080"/>
        </w:rPr>
        <w:t xml:space="preserve">  </w:t>
      </w:r>
    </w:p>
    <w:p w:rsidR="00176255" w:rsidRDefault="00176255" w:rsidP="00560074">
      <w:pPr>
        <w:spacing w:line="240" w:lineRule="exact"/>
        <w:jc w:val="both"/>
        <w:rPr>
          <w:color w:val="000080"/>
        </w:rPr>
      </w:pPr>
    </w:p>
    <w:p w:rsidR="00DA2D45" w:rsidRDefault="00903E21" w:rsidP="00DA2D45">
      <w:pPr>
        <w:spacing w:line="240" w:lineRule="exact"/>
        <w:jc w:val="both"/>
        <w:rPr>
          <w:color w:val="000080"/>
        </w:rPr>
      </w:pPr>
      <w:r>
        <w:rPr>
          <w:color w:val="000080"/>
        </w:rPr>
        <w:t>The CI was d</w:t>
      </w:r>
      <w:r w:rsidRPr="00903E21">
        <w:rPr>
          <w:color w:val="000080"/>
        </w:rPr>
        <w:t xml:space="preserve">iagnosed </w:t>
      </w:r>
      <w:r>
        <w:rPr>
          <w:color w:val="000080"/>
        </w:rPr>
        <w:t xml:space="preserve">with Asthma </w:t>
      </w:r>
      <w:r w:rsidRPr="00903E21">
        <w:rPr>
          <w:color w:val="000080"/>
        </w:rPr>
        <w:t xml:space="preserve">while deployed to Kuwait in Mar 2004.  CI deployed to Iraq </w:t>
      </w:r>
      <w:r>
        <w:rPr>
          <w:color w:val="000080"/>
        </w:rPr>
        <w:t xml:space="preserve">in Dec 2004 and was medically returned from theater after 1 </w:t>
      </w:r>
      <w:r w:rsidRPr="00903E21">
        <w:rPr>
          <w:color w:val="000080"/>
        </w:rPr>
        <w:t>month due to Asthma.  CI was referred to a MEB and CI applied for COAD instead of separation on 25 Apr 2005</w:t>
      </w:r>
      <w:r>
        <w:rPr>
          <w:color w:val="000080"/>
        </w:rPr>
        <w:t xml:space="preserve">.  </w:t>
      </w:r>
      <w:r w:rsidRPr="00903E21">
        <w:rPr>
          <w:color w:val="000080"/>
        </w:rPr>
        <w:t xml:space="preserve">MEB </w:t>
      </w:r>
      <w:r w:rsidR="007A142A">
        <w:rPr>
          <w:color w:val="000080"/>
        </w:rPr>
        <w:t xml:space="preserve">and PEB in May 2005 </w:t>
      </w:r>
      <w:r w:rsidR="007A142A" w:rsidRPr="00903E21">
        <w:rPr>
          <w:color w:val="000080"/>
        </w:rPr>
        <w:t>were</w:t>
      </w:r>
      <w:r w:rsidRPr="00903E21">
        <w:rPr>
          <w:color w:val="000080"/>
        </w:rPr>
        <w:t xml:space="preserve"> for Asthma only and the PEB found CI Fit for Duty.  This contradicts CI’s petition of being </w:t>
      </w:r>
      <w:r>
        <w:rPr>
          <w:color w:val="000080"/>
        </w:rPr>
        <w:t>‘</w:t>
      </w:r>
      <w:r w:rsidRPr="00903E21">
        <w:rPr>
          <w:color w:val="000080"/>
        </w:rPr>
        <w:t>rated for asthma</w:t>
      </w:r>
      <w:r>
        <w:rPr>
          <w:color w:val="000080"/>
        </w:rPr>
        <w:t>’</w:t>
      </w:r>
      <w:r w:rsidRPr="00903E21">
        <w:rPr>
          <w:color w:val="000080"/>
        </w:rPr>
        <w:t xml:space="preserve"> as the PEB clearly found CI </w:t>
      </w:r>
      <w:r>
        <w:rPr>
          <w:color w:val="000080"/>
        </w:rPr>
        <w:t>‘</w:t>
      </w:r>
      <w:r w:rsidRPr="00903E21">
        <w:rPr>
          <w:color w:val="000080"/>
        </w:rPr>
        <w:t>Fit for Duty</w:t>
      </w:r>
      <w:r>
        <w:rPr>
          <w:color w:val="000080"/>
        </w:rPr>
        <w:t>’</w:t>
      </w:r>
      <w:r w:rsidRPr="00903E21">
        <w:rPr>
          <w:color w:val="000080"/>
        </w:rPr>
        <w:t xml:space="preserve"> and did not rate </w:t>
      </w:r>
      <w:r>
        <w:rPr>
          <w:color w:val="000080"/>
        </w:rPr>
        <w:t xml:space="preserve">CI’s </w:t>
      </w:r>
      <w:r w:rsidRPr="00903E21">
        <w:rPr>
          <w:color w:val="000080"/>
        </w:rPr>
        <w:t>Asthma.  This is likely a simple miscommunication.  Following the first PEB</w:t>
      </w:r>
      <w:r w:rsidR="0051548C">
        <w:rPr>
          <w:color w:val="000080"/>
        </w:rPr>
        <w:t>,</w:t>
      </w:r>
      <w:r>
        <w:rPr>
          <w:color w:val="000080"/>
        </w:rPr>
        <w:t xml:space="preserve"> </w:t>
      </w:r>
      <w:r w:rsidRPr="00903E21">
        <w:rPr>
          <w:color w:val="000080"/>
        </w:rPr>
        <w:t xml:space="preserve">CI </w:t>
      </w:r>
      <w:r>
        <w:rPr>
          <w:color w:val="000080"/>
        </w:rPr>
        <w:t xml:space="preserve">noted </w:t>
      </w:r>
      <w:r w:rsidRPr="00903E21">
        <w:rPr>
          <w:color w:val="000080"/>
        </w:rPr>
        <w:t xml:space="preserve">that </w:t>
      </w:r>
      <w:r>
        <w:rPr>
          <w:color w:val="000080"/>
        </w:rPr>
        <w:t xml:space="preserve">his </w:t>
      </w:r>
      <w:r w:rsidRPr="00903E21">
        <w:rPr>
          <w:color w:val="000080"/>
        </w:rPr>
        <w:t xml:space="preserve">asthma had improved </w:t>
      </w:r>
      <w:r>
        <w:rPr>
          <w:color w:val="000080"/>
        </w:rPr>
        <w:t xml:space="preserve">and </w:t>
      </w:r>
      <w:r w:rsidRPr="00903E21">
        <w:rPr>
          <w:color w:val="000080"/>
        </w:rPr>
        <w:t xml:space="preserve">was not a major limitation.  The 23 Jan 2006 commander’s letter </w:t>
      </w:r>
      <w:r w:rsidR="007A142A">
        <w:rPr>
          <w:color w:val="000080"/>
        </w:rPr>
        <w:t xml:space="preserve">did </w:t>
      </w:r>
      <w:r w:rsidRPr="00903E21">
        <w:rPr>
          <w:color w:val="000080"/>
        </w:rPr>
        <w:t xml:space="preserve">mention return from the AOR and deployment limitations as </w:t>
      </w:r>
      <w:r w:rsidR="007A142A">
        <w:rPr>
          <w:color w:val="000080"/>
        </w:rPr>
        <w:t xml:space="preserve">part of the </w:t>
      </w:r>
      <w:r w:rsidRPr="00903E21">
        <w:rPr>
          <w:color w:val="000080"/>
        </w:rPr>
        <w:t xml:space="preserve">rationale of why the CI could not perform his MOS duties.  </w:t>
      </w:r>
      <w:r w:rsidR="007A142A">
        <w:rPr>
          <w:color w:val="000080"/>
        </w:rPr>
        <w:t>However, t</w:t>
      </w:r>
      <w:r w:rsidRPr="00903E21">
        <w:rPr>
          <w:color w:val="000080"/>
        </w:rPr>
        <w:t xml:space="preserve">he second PEB </w:t>
      </w:r>
      <w:r w:rsidR="007A142A">
        <w:rPr>
          <w:color w:val="000080"/>
        </w:rPr>
        <w:t xml:space="preserve">formally adjudicated </w:t>
      </w:r>
      <w:r w:rsidRPr="00903E21">
        <w:rPr>
          <w:color w:val="000080"/>
        </w:rPr>
        <w:t xml:space="preserve">CI’s controlled Asthma </w:t>
      </w:r>
      <w:r w:rsidR="007A142A">
        <w:rPr>
          <w:color w:val="000080"/>
        </w:rPr>
        <w:t xml:space="preserve">and found it to be </w:t>
      </w:r>
      <w:r w:rsidRPr="00903E21">
        <w:rPr>
          <w:color w:val="000080"/>
        </w:rPr>
        <w:t>not unfitting</w:t>
      </w:r>
      <w:r w:rsidR="007A142A">
        <w:rPr>
          <w:color w:val="000080"/>
        </w:rPr>
        <w:t xml:space="preserve">.  Sleep apnea was also a listed PEB diagnosis that was not found to be unfitting.  </w:t>
      </w:r>
    </w:p>
    <w:p w:rsidR="00C71259" w:rsidRDefault="00C71259" w:rsidP="00DA2D45">
      <w:pPr>
        <w:spacing w:line="240" w:lineRule="exact"/>
        <w:jc w:val="both"/>
        <w:rPr>
          <w:color w:val="000080"/>
        </w:rPr>
      </w:pPr>
    </w:p>
    <w:p w:rsidR="00B522CD" w:rsidRPr="00D91DA6" w:rsidRDefault="00B522CD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 w:rsidRPr="00D91DA6">
        <w:rPr>
          <w:color w:val="000080"/>
        </w:rPr>
        <w:t>________________________________________________________________</w:t>
      </w:r>
    </w:p>
    <w:p w:rsidR="00B522CD" w:rsidRPr="00D91DA6" w:rsidRDefault="00B522CD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176255" w:rsidRDefault="00176255" w:rsidP="00C10EA4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  <w:u w:val="single"/>
        </w:rPr>
      </w:pPr>
    </w:p>
    <w:p w:rsidR="00C10EA4" w:rsidRDefault="00662F08" w:rsidP="00C10EA4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 w:rsidRPr="00D91DA6">
        <w:rPr>
          <w:color w:val="000080"/>
          <w:u w:val="single"/>
        </w:rPr>
        <w:lastRenderedPageBreak/>
        <w:t>BOARD FINDINGS</w:t>
      </w:r>
      <w:r w:rsidR="00B522CD" w:rsidRPr="00635265">
        <w:rPr>
          <w:color w:val="000080"/>
        </w:rPr>
        <w:t>:</w:t>
      </w:r>
      <w:r w:rsidR="00F35E12" w:rsidRPr="00635265">
        <w:rPr>
          <w:color w:val="000080"/>
        </w:rPr>
        <w:t xml:space="preserve">  </w:t>
      </w:r>
      <w:r w:rsidR="00A8277D" w:rsidRPr="00635265">
        <w:rPr>
          <w:color w:val="000080"/>
        </w:rPr>
        <w:t xml:space="preserve">IAW </w:t>
      </w:r>
      <w:proofErr w:type="spellStart"/>
      <w:r w:rsidR="00A8277D" w:rsidRPr="00635265">
        <w:rPr>
          <w:color w:val="000080"/>
        </w:rPr>
        <w:t>DoDI</w:t>
      </w:r>
      <w:proofErr w:type="spellEnd"/>
      <w:r w:rsidR="00A8277D" w:rsidRPr="00635265">
        <w:rPr>
          <w:color w:val="000080"/>
        </w:rPr>
        <w:t xml:space="preserve"> 6040.44, provisions of </w:t>
      </w:r>
      <w:proofErr w:type="spellStart"/>
      <w:r w:rsidR="00A8277D" w:rsidRPr="00635265">
        <w:rPr>
          <w:color w:val="000080"/>
        </w:rPr>
        <w:t>DoD</w:t>
      </w:r>
      <w:proofErr w:type="spellEnd"/>
      <w:r w:rsidR="00A8277D" w:rsidRPr="00635265">
        <w:rPr>
          <w:color w:val="000080"/>
        </w:rPr>
        <w:t xml:space="preserve"> or Military Department regulations or guidelines relied upon by the PEB will not be considered by the </w:t>
      </w:r>
      <w:r w:rsidR="00573E18" w:rsidRPr="00635265">
        <w:rPr>
          <w:color w:val="000080"/>
        </w:rPr>
        <w:t>Board</w:t>
      </w:r>
      <w:r w:rsidR="00A8277D" w:rsidRPr="00635265">
        <w:rPr>
          <w:color w:val="000080"/>
        </w:rPr>
        <w:t xml:space="preserve"> to the extent they were inconsistent with the VASRD in effect at the time of the adjudication.</w:t>
      </w:r>
      <w:r w:rsidR="00A8277D">
        <w:rPr>
          <w:color w:val="FF0000"/>
        </w:rPr>
        <w:t xml:space="preserve"> </w:t>
      </w:r>
      <w:r w:rsidR="00A8277D" w:rsidRPr="00A8277D">
        <w:rPr>
          <w:color w:val="000080"/>
        </w:rPr>
        <w:t xml:space="preserve"> </w:t>
      </w:r>
      <w:r w:rsidR="00C10EA4" w:rsidRPr="00FF08B5">
        <w:rPr>
          <w:color w:val="000080"/>
        </w:rPr>
        <w:t xml:space="preserve">The </w:t>
      </w:r>
      <w:r w:rsidR="00C10EA4">
        <w:rPr>
          <w:color w:val="000080"/>
        </w:rPr>
        <w:t>Army</w:t>
      </w:r>
      <w:r w:rsidR="00C10EA4" w:rsidRPr="00FF08B5">
        <w:rPr>
          <w:color w:val="000080"/>
        </w:rPr>
        <w:t xml:space="preserve"> specifically addressed the CI’s asthma in two PEBs and both times found it not unfitting.  </w:t>
      </w:r>
      <w:r w:rsidR="0051548C">
        <w:rPr>
          <w:color w:val="000080"/>
        </w:rPr>
        <w:t>T</w:t>
      </w:r>
      <w:r w:rsidR="00C10EA4">
        <w:rPr>
          <w:color w:val="000080"/>
        </w:rPr>
        <w:t xml:space="preserve">he Board carefully reconsidered </w:t>
      </w:r>
      <w:r w:rsidR="00C10EA4" w:rsidRPr="00FF08B5">
        <w:rPr>
          <w:color w:val="000080"/>
        </w:rPr>
        <w:t>asthma as a</w:t>
      </w:r>
      <w:r w:rsidR="00C10EA4">
        <w:rPr>
          <w:color w:val="000080"/>
        </w:rPr>
        <w:t xml:space="preserve"> potentially </w:t>
      </w:r>
      <w:r w:rsidR="00C10EA4" w:rsidRPr="00FF08B5">
        <w:rPr>
          <w:color w:val="000080"/>
        </w:rPr>
        <w:t xml:space="preserve">unfitting condition.  </w:t>
      </w:r>
      <w:r w:rsidR="0051548C">
        <w:rPr>
          <w:color w:val="000080"/>
        </w:rPr>
        <w:t>However, t</w:t>
      </w:r>
      <w:r w:rsidR="00C10EA4">
        <w:rPr>
          <w:color w:val="000080"/>
        </w:rPr>
        <w:t>here were not sufficient indicators in the medical records to indicate Asthma rose to a duty limiting or unfitting level at the time of the final PEB and t</w:t>
      </w:r>
      <w:r w:rsidR="00C10EA4" w:rsidRPr="00FF08B5">
        <w:rPr>
          <w:color w:val="000080"/>
        </w:rPr>
        <w:t>he Board</w:t>
      </w:r>
      <w:r w:rsidR="00C10EA4">
        <w:rPr>
          <w:color w:val="000080"/>
        </w:rPr>
        <w:t xml:space="preserve"> </w:t>
      </w:r>
      <w:r w:rsidR="00C10EA4" w:rsidRPr="00FF08B5">
        <w:rPr>
          <w:color w:val="000080"/>
        </w:rPr>
        <w:t>rejected adding</w:t>
      </w:r>
      <w:r w:rsidR="00C10EA4">
        <w:rPr>
          <w:color w:val="000080"/>
        </w:rPr>
        <w:t xml:space="preserve"> asthma as an unfitting condition.  </w:t>
      </w:r>
      <w:r w:rsidR="00C10EA4" w:rsidRPr="00FF08B5">
        <w:rPr>
          <w:color w:val="000080"/>
        </w:rPr>
        <w:t xml:space="preserve">The Army did not find OSA to be unfitting and the Board agreed.  Back pain and headaches </w:t>
      </w:r>
      <w:r w:rsidR="00C10EA4">
        <w:rPr>
          <w:color w:val="000080"/>
        </w:rPr>
        <w:t>(</w:t>
      </w:r>
      <w:r w:rsidR="00C10EA4" w:rsidRPr="00FF08B5">
        <w:rPr>
          <w:color w:val="000080"/>
        </w:rPr>
        <w:t>mentioned by the CI in the MEB history</w:t>
      </w:r>
      <w:r w:rsidR="00C10EA4">
        <w:rPr>
          <w:color w:val="000080"/>
        </w:rPr>
        <w:t xml:space="preserve">) and </w:t>
      </w:r>
      <w:r w:rsidR="00C10EA4" w:rsidRPr="00FF08B5">
        <w:rPr>
          <w:color w:val="000080"/>
        </w:rPr>
        <w:t xml:space="preserve">Ankle pain </w:t>
      </w:r>
      <w:r w:rsidR="00C10EA4">
        <w:rPr>
          <w:color w:val="000080"/>
        </w:rPr>
        <w:t xml:space="preserve">and </w:t>
      </w:r>
      <w:proofErr w:type="spellStart"/>
      <w:r w:rsidR="00C10EA4" w:rsidRPr="00FF08B5">
        <w:rPr>
          <w:color w:val="000080"/>
        </w:rPr>
        <w:t>Pes</w:t>
      </w:r>
      <w:proofErr w:type="spellEnd"/>
      <w:r w:rsidR="00C10EA4" w:rsidRPr="00FF08B5">
        <w:rPr>
          <w:color w:val="000080"/>
        </w:rPr>
        <w:t xml:space="preserve"> </w:t>
      </w:r>
      <w:proofErr w:type="spellStart"/>
      <w:r w:rsidR="00C10EA4" w:rsidRPr="00FF08B5">
        <w:rPr>
          <w:color w:val="000080"/>
        </w:rPr>
        <w:t>Planus</w:t>
      </w:r>
      <w:proofErr w:type="spellEnd"/>
      <w:r w:rsidR="00C10EA4">
        <w:rPr>
          <w:color w:val="000080"/>
        </w:rPr>
        <w:t xml:space="preserve"> (not mentioned in the MEB) </w:t>
      </w:r>
      <w:r w:rsidR="00C10EA4" w:rsidRPr="00FF08B5">
        <w:rPr>
          <w:color w:val="000080"/>
        </w:rPr>
        <w:t>were not part of CI’s profile or commander’s letter and did n</w:t>
      </w:r>
      <w:r w:rsidR="00C10EA4">
        <w:rPr>
          <w:color w:val="000080"/>
        </w:rPr>
        <w:t xml:space="preserve">ot rise to an unfitting level.  </w:t>
      </w:r>
      <w:r w:rsidR="00C10EA4" w:rsidRPr="00FF08B5">
        <w:rPr>
          <w:color w:val="000080"/>
        </w:rPr>
        <w:t xml:space="preserve">PTSD </w:t>
      </w:r>
      <w:r w:rsidR="0051548C">
        <w:rPr>
          <w:color w:val="000080"/>
        </w:rPr>
        <w:t>and/</w:t>
      </w:r>
      <w:r w:rsidR="00C10EA4" w:rsidRPr="00FF08B5">
        <w:rPr>
          <w:color w:val="000080"/>
        </w:rPr>
        <w:t xml:space="preserve">or Depression </w:t>
      </w:r>
      <w:proofErr w:type="gramStart"/>
      <w:r w:rsidR="00C10EA4" w:rsidRPr="00FF08B5">
        <w:rPr>
          <w:color w:val="000080"/>
        </w:rPr>
        <w:t>was</w:t>
      </w:r>
      <w:proofErr w:type="gramEnd"/>
      <w:r w:rsidR="00C10EA4" w:rsidRPr="00FF08B5">
        <w:rPr>
          <w:color w:val="000080"/>
        </w:rPr>
        <w:t xml:space="preserve"> not diagnosed until after discharge</w:t>
      </w:r>
      <w:r w:rsidR="0051548C">
        <w:rPr>
          <w:color w:val="000080"/>
        </w:rPr>
        <w:t>.  E</w:t>
      </w:r>
      <w:r w:rsidR="00C10EA4" w:rsidRPr="00FF08B5">
        <w:rPr>
          <w:color w:val="000080"/>
        </w:rPr>
        <w:t>ven retrospectively</w:t>
      </w:r>
      <w:r w:rsidR="0051548C">
        <w:rPr>
          <w:color w:val="000080"/>
        </w:rPr>
        <w:t>,</w:t>
      </w:r>
      <w:r w:rsidR="00C10EA4" w:rsidRPr="00FF08B5">
        <w:rPr>
          <w:color w:val="000080"/>
        </w:rPr>
        <w:t xml:space="preserve"> none of the symptoms or signs of PTSD or Depression discoverable at the time of CI’s discharge would have been considered to be unfitting.  </w:t>
      </w:r>
    </w:p>
    <w:p w:rsidR="00176255" w:rsidRDefault="00176255" w:rsidP="00C10EA4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C10EA4" w:rsidRDefault="00C10EA4" w:rsidP="00176255">
      <w:pPr>
        <w:spacing w:line="240" w:lineRule="exact"/>
        <w:jc w:val="both"/>
        <w:rPr>
          <w:color w:val="000080"/>
        </w:rPr>
      </w:pPr>
      <w:r>
        <w:rPr>
          <w:color w:val="000080"/>
        </w:rPr>
        <w:t xml:space="preserve">The unfitting chronic bilateral knee pain was well documented with comprehensive treatments and exams. </w:t>
      </w:r>
      <w:r w:rsidRPr="00FF08B5">
        <w:rPr>
          <w:color w:val="000080"/>
        </w:rPr>
        <w:t xml:space="preserve">The Board noted that the PEB’s rating both knees under a single rating code was IAW historical guidance.  However, absent the Army Pain Rule and following the VASRD, </w:t>
      </w:r>
      <w:r>
        <w:rPr>
          <w:color w:val="000080"/>
        </w:rPr>
        <w:t xml:space="preserve">the Board determined that </w:t>
      </w:r>
      <w:r w:rsidRPr="00FF08B5">
        <w:rPr>
          <w:color w:val="000080"/>
        </w:rPr>
        <w:t xml:space="preserve">each knee </w:t>
      </w:r>
      <w:r>
        <w:rPr>
          <w:color w:val="000080"/>
        </w:rPr>
        <w:t xml:space="preserve">should be </w:t>
      </w:r>
      <w:r w:rsidRPr="00FF08B5">
        <w:rPr>
          <w:color w:val="000080"/>
        </w:rPr>
        <w:t>individual</w:t>
      </w:r>
      <w:r>
        <w:rPr>
          <w:color w:val="000080"/>
        </w:rPr>
        <w:t xml:space="preserve">ly rated for painful motion IAW §4.59, </w:t>
      </w:r>
      <w:r w:rsidRPr="00FF08B5">
        <w:rPr>
          <w:color w:val="000080"/>
        </w:rPr>
        <w:t>Painful motion.</w:t>
      </w:r>
      <w:r>
        <w:rPr>
          <w:color w:val="000080"/>
        </w:rPr>
        <w:t xml:space="preserve">  There was not sufficient indication in the medical records to justify any knee instability rating.</w:t>
      </w:r>
      <w:r w:rsidRPr="00FF08B5">
        <w:rPr>
          <w:color w:val="000080"/>
        </w:rPr>
        <w:t xml:space="preserve">  This </w:t>
      </w:r>
      <w:r>
        <w:rPr>
          <w:color w:val="000080"/>
        </w:rPr>
        <w:t xml:space="preserve">rating schema aligns with the </w:t>
      </w:r>
      <w:r w:rsidRPr="00FF08B5">
        <w:rPr>
          <w:color w:val="000080"/>
        </w:rPr>
        <w:t xml:space="preserve">VA rating of each knee, despite slightly different coding.  </w:t>
      </w:r>
    </w:p>
    <w:p w:rsidR="00176255" w:rsidRPr="00FF08B5" w:rsidRDefault="00176255" w:rsidP="00176255">
      <w:pPr>
        <w:spacing w:line="240" w:lineRule="exact"/>
        <w:jc w:val="both"/>
        <w:rPr>
          <w:color w:val="000080"/>
        </w:rPr>
      </w:pPr>
    </w:p>
    <w:p w:rsidR="00635265" w:rsidRDefault="0051548C" w:rsidP="00635265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>
        <w:rPr>
          <w:color w:val="000080"/>
        </w:rPr>
        <w:t>The Board determined to r</w:t>
      </w:r>
      <w:r w:rsidR="00635265" w:rsidRPr="00635265">
        <w:rPr>
          <w:color w:val="000080"/>
        </w:rPr>
        <w:t>ate each knee separately at 10% (w</w:t>
      </w:r>
      <w:r w:rsidR="00270444">
        <w:rPr>
          <w:color w:val="000080"/>
        </w:rPr>
        <w:t>ith</w:t>
      </w:r>
      <w:r w:rsidR="00635265" w:rsidRPr="00635265">
        <w:rPr>
          <w:color w:val="000080"/>
        </w:rPr>
        <w:t xml:space="preserve"> bilateral factor) using painful motion </w:t>
      </w:r>
      <w:r>
        <w:rPr>
          <w:color w:val="000080"/>
        </w:rPr>
        <w:t xml:space="preserve">with </w:t>
      </w:r>
      <w:r w:rsidR="00635265" w:rsidRPr="00635265">
        <w:rPr>
          <w:color w:val="000080"/>
        </w:rPr>
        <w:t>the PEB codes</w:t>
      </w:r>
      <w:r>
        <w:rPr>
          <w:color w:val="000080"/>
        </w:rPr>
        <w:t xml:space="preserve">, and to deny </w:t>
      </w:r>
      <w:r w:rsidR="00635265" w:rsidRPr="00635265">
        <w:rPr>
          <w:color w:val="000080"/>
        </w:rPr>
        <w:t>add</w:t>
      </w:r>
      <w:r>
        <w:rPr>
          <w:color w:val="000080"/>
        </w:rPr>
        <w:t>ing</w:t>
      </w:r>
      <w:r w:rsidR="00635265" w:rsidRPr="00635265">
        <w:rPr>
          <w:color w:val="000080"/>
        </w:rPr>
        <w:t xml:space="preserve"> any other condition as unfitting.</w:t>
      </w:r>
    </w:p>
    <w:p w:rsidR="00E87D4E" w:rsidRPr="00635265" w:rsidRDefault="00E87D4E" w:rsidP="00635265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E87D4E" w:rsidRPr="00D91DA6" w:rsidRDefault="00E87D4E" w:rsidP="00E87D4E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 w:rsidRPr="00D91DA6">
        <w:rPr>
          <w:color w:val="000080"/>
        </w:rPr>
        <w:t>________________________________________________________________</w:t>
      </w:r>
    </w:p>
    <w:p w:rsidR="002269A2" w:rsidRPr="00D91DA6" w:rsidRDefault="002269A2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E01634" w:rsidRDefault="00662F08" w:rsidP="00560074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 w:rsidRPr="00D91DA6">
        <w:rPr>
          <w:color w:val="000080"/>
          <w:u w:val="single"/>
        </w:rPr>
        <w:t>RECOMMENDATION</w:t>
      </w:r>
      <w:r w:rsidRPr="00F35E12">
        <w:rPr>
          <w:color w:val="000080"/>
        </w:rPr>
        <w:t>:</w:t>
      </w:r>
      <w:r w:rsidR="00F35E12">
        <w:rPr>
          <w:color w:val="000080"/>
        </w:rPr>
        <w:t xml:space="preserve"> </w:t>
      </w:r>
      <w:r w:rsidR="00E01634" w:rsidRPr="00A8277D">
        <w:rPr>
          <w:color w:val="000080"/>
        </w:rPr>
        <w:t xml:space="preserve">The </w:t>
      </w:r>
      <w:r w:rsidR="00573E18">
        <w:rPr>
          <w:color w:val="000080"/>
        </w:rPr>
        <w:t>Board</w:t>
      </w:r>
      <w:r w:rsidR="00E01634" w:rsidRPr="00A8277D">
        <w:rPr>
          <w:color w:val="000080"/>
        </w:rPr>
        <w:t xml:space="preserve"> recommends that the CI’s prior determination be </w:t>
      </w:r>
      <w:r w:rsidR="009B7DFB">
        <w:rPr>
          <w:color w:val="000080"/>
        </w:rPr>
        <w:t>modified</w:t>
      </w:r>
      <w:r w:rsidR="00E01634" w:rsidRPr="00A8277D">
        <w:rPr>
          <w:color w:val="000080"/>
        </w:rPr>
        <w:t xml:space="preserve"> as follows, effective as of the date of his prior medical separation.</w:t>
      </w:r>
    </w:p>
    <w:p w:rsidR="00A8277D" w:rsidRPr="00A8277D" w:rsidRDefault="00A8277D" w:rsidP="00A8277D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1800"/>
        <w:gridCol w:w="1170"/>
      </w:tblGrid>
      <w:tr w:rsidR="00E01634" w:rsidRPr="00A8277D" w:rsidTr="00635265">
        <w:tc>
          <w:tcPr>
            <w:tcW w:w="5670" w:type="dxa"/>
            <w:shd w:val="clear" w:color="auto" w:fill="D9D9D9"/>
          </w:tcPr>
          <w:p w:rsidR="00E01634" w:rsidRPr="00A8277D" w:rsidRDefault="00E01634" w:rsidP="00A8277D">
            <w:pPr>
              <w:tabs>
                <w:tab w:val="left" w:pos="288"/>
                <w:tab w:val="left" w:pos="4752"/>
              </w:tabs>
              <w:spacing w:line="240" w:lineRule="exact"/>
              <w:jc w:val="both"/>
              <w:rPr>
                <w:color w:val="000080"/>
              </w:rPr>
            </w:pPr>
            <w:r w:rsidRPr="00A8277D">
              <w:rPr>
                <w:color w:val="000080"/>
              </w:rPr>
              <w:t>Unfitting Condition</w:t>
            </w:r>
          </w:p>
        </w:tc>
        <w:tc>
          <w:tcPr>
            <w:tcW w:w="1800" w:type="dxa"/>
            <w:shd w:val="clear" w:color="auto" w:fill="D9D9D9"/>
          </w:tcPr>
          <w:p w:rsidR="00E01634" w:rsidRPr="00A8277D" w:rsidRDefault="00E01634" w:rsidP="00A8277D">
            <w:pPr>
              <w:tabs>
                <w:tab w:val="left" w:pos="288"/>
                <w:tab w:val="left" w:pos="4752"/>
              </w:tabs>
              <w:spacing w:line="240" w:lineRule="exact"/>
              <w:jc w:val="both"/>
              <w:rPr>
                <w:color w:val="000080"/>
              </w:rPr>
            </w:pPr>
            <w:r w:rsidRPr="00A8277D">
              <w:rPr>
                <w:color w:val="000080"/>
              </w:rPr>
              <w:t>VASRD Code</w:t>
            </w:r>
          </w:p>
        </w:tc>
        <w:tc>
          <w:tcPr>
            <w:tcW w:w="1170" w:type="dxa"/>
            <w:shd w:val="clear" w:color="auto" w:fill="D9D9D9"/>
          </w:tcPr>
          <w:p w:rsidR="00E01634" w:rsidRPr="00A8277D" w:rsidRDefault="00E01634" w:rsidP="00A8277D">
            <w:pPr>
              <w:tabs>
                <w:tab w:val="left" w:pos="288"/>
                <w:tab w:val="left" w:pos="4752"/>
              </w:tabs>
              <w:spacing w:line="240" w:lineRule="exact"/>
              <w:jc w:val="both"/>
              <w:rPr>
                <w:color w:val="000080"/>
              </w:rPr>
            </w:pPr>
            <w:r w:rsidRPr="00A8277D">
              <w:rPr>
                <w:color w:val="000080"/>
              </w:rPr>
              <w:t>Rating</w:t>
            </w:r>
          </w:p>
        </w:tc>
      </w:tr>
      <w:tr w:rsidR="00E01634" w:rsidRPr="00A8277D" w:rsidTr="00635265">
        <w:tc>
          <w:tcPr>
            <w:tcW w:w="5670" w:type="dxa"/>
          </w:tcPr>
          <w:p w:rsidR="00E01634" w:rsidRPr="00A8277D" w:rsidRDefault="00635265" w:rsidP="00A8277D">
            <w:pPr>
              <w:tabs>
                <w:tab w:val="left" w:pos="288"/>
                <w:tab w:val="left" w:pos="4752"/>
              </w:tabs>
              <w:spacing w:line="240" w:lineRule="exact"/>
              <w:jc w:val="both"/>
              <w:rPr>
                <w:color w:val="000080"/>
              </w:rPr>
            </w:pPr>
            <w:r w:rsidRPr="00635265">
              <w:rPr>
                <w:color w:val="000080"/>
              </w:rPr>
              <w:t>Chronic painful motion, Right Knee</w:t>
            </w:r>
          </w:p>
        </w:tc>
        <w:tc>
          <w:tcPr>
            <w:tcW w:w="1800" w:type="dxa"/>
          </w:tcPr>
          <w:p w:rsidR="00E01634" w:rsidRPr="00A8277D" w:rsidRDefault="00635265" w:rsidP="00A8277D">
            <w:pPr>
              <w:tabs>
                <w:tab w:val="left" w:pos="288"/>
                <w:tab w:val="left" w:pos="4752"/>
              </w:tabs>
              <w:spacing w:line="240" w:lineRule="exact"/>
              <w:jc w:val="both"/>
              <w:rPr>
                <w:color w:val="000080"/>
              </w:rPr>
            </w:pPr>
            <w:r>
              <w:rPr>
                <w:color w:val="000080"/>
              </w:rPr>
              <w:t>5099-5003</w:t>
            </w:r>
          </w:p>
        </w:tc>
        <w:tc>
          <w:tcPr>
            <w:tcW w:w="1170" w:type="dxa"/>
          </w:tcPr>
          <w:p w:rsidR="00E01634" w:rsidRPr="00A8277D" w:rsidRDefault="00635265" w:rsidP="00A8277D">
            <w:pPr>
              <w:tabs>
                <w:tab w:val="left" w:pos="288"/>
                <w:tab w:val="left" w:pos="4752"/>
              </w:tabs>
              <w:spacing w:line="240" w:lineRule="exact"/>
              <w:jc w:val="both"/>
              <w:rPr>
                <w:color w:val="000080"/>
              </w:rPr>
            </w:pPr>
            <w:r>
              <w:rPr>
                <w:color w:val="000080"/>
              </w:rPr>
              <w:t>10</w:t>
            </w:r>
            <w:r w:rsidR="00E01634" w:rsidRPr="00A8277D">
              <w:rPr>
                <w:color w:val="000080"/>
              </w:rPr>
              <w:t>%</w:t>
            </w:r>
          </w:p>
        </w:tc>
      </w:tr>
      <w:tr w:rsidR="00635265" w:rsidRPr="00A8277D" w:rsidTr="00635265">
        <w:tc>
          <w:tcPr>
            <w:tcW w:w="5670" w:type="dxa"/>
          </w:tcPr>
          <w:p w:rsidR="00635265" w:rsidRPr="00A8277D" w:rsidRDefault="00635265" w:rsidP="00635265">
            <w:pPr>
              <w:tabs>
                <w:tab w:val="left" w:pos="288"/>
                <w:tab w:val="left" w:pos="4752"/>
              </w:tabs>
              <w:spacing w:line="240" w:lineRule="exact"/>
              <w:jc w:val="both"/>
              <w:rPr>
                <w:color w:val="000080"/>
              </w:rPr>
            </w:pPr>
            <w:r w:rsidRPr="00635265">
              <w:rPr>
                <w:color w:val="000080"/>
              </w:rPr>
              <w:t xml:space="preserve">Chronic painful motion, </w:t>
            </w:r>
            <w:r>
              <w:rPr>
                <w:color w:val="000080"/>
              </w:rPr>
              <w:t>Left</w:t>
            </w:r>
            <w:r w:rsidRPr="00635265">
              <w:rPr>
                <w:color w:val="000080"/>
              </w:rPr>
              <w:t xml:space="preserve"> Knee</w:t>
            </w:r>
          </w:p>
        </w:tc>
        <w:tc>
          <w:tcPr>
            <w:tcW w:w="1800" w:type="dxa"/>
          </w:tcPr>
          <w:p w:rsidR="00635265" w:rsidRPr="00A8277D" w:rsidRDefault="00635265" w:rsidP="00635265">
            <w:pPr>
              <w:tabs>
                <w:tab w:val="left" w:pos="288"/>
                <w:tab w:val="left" w:pos="4752"/>
              </w:tabs>
              <w:spacing w:line="240" w:lineRule="exact"/>
              <w:jc w:val="both"/>
              <w:rPr>
                <w:color w:val="000080"/>
              </w:rPr>
            </w:pPr>
            <w:r>
              <w:rPr>
                <w:color w:val="000080"/>
              </w:rPr>
              <w:t>5099-5003</w:t>
            </w:r>
          </w:p>
        </w:tc>
        <w:tc>
          <w:tcPr>
            <w:tcW w:w="1170" w:type="dxa"/>
          </w:tcPr>
          <w:p w:rsidR="00635265" w:rsidRPr="00A8277D" w:rsidRDefault="00635265" w:rsidP="00635265">
            <w:pPr>
              <w:tabs>
                <w:tab w:val="left" w:pos="288"/>
                <w:tab w:val="left" w:pos="4752"/>
              </w:tabs>
              <w:spacing w:line="240" w:lineRule="exact"/>
              <w:jc w:val="both"/>
              <w:rPr>
                <w:color w:val="000080"/>
              </w:rPr>
            </w:pPr>
            <w:r>
              <w:rPr>
                <w:color w:val="000080"/>
              </w:rPr>
              <w:t>10</w:t>
            </w:r>
            <w:r w:rsidRPr="00A8277D">
              <w:rPr>
                <w:color w:val="000080"/>
              </w:rPr>
              <w:t>%</w:t>
            </w:r>
          </w:p>
        </w:tc>
      </w:tr>
      <w:tr w:rsidR="00E01634" w:rsidRPr="00A8277D" w:rsidTr="00635265">
        <w:tblPrEx>
          <w:tblLook w:val="0000"/>
        </w:tblPrEx>
        <w:trPr>
          <w:gridBefore w:val="1"/>
          <w:wBefore w:w="5670" w:type="dxa"/>
          <w:trHeight w:val="197"/>
        </w:trPr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</w:tcPr>
          <w:p w:rsidR="00E01634" w:rsidRPr="00A8277D" w:rsidRDefault="00E01634" w:rsidP="00A8277D">
            <w:pPr>
              <w:tabs>
                <w:tab w:val="left" w:pos="288"/>
                <w:tab w:val="left" w:pos="4752"/>
              </w:tabs>
              <w:spacing w:line="240" w:lineRule="exact"/>
              <w:jc w:val="both"/>
              <w:rPr>
                <w:color w:val="000080"/>
              </w:rPr>
            </w:pPr>
            <w:r w:rsidRPr="00A8277D">
              <w:rPr>
                <w:color w:val="000080"/>
              </w:rPr>
              <w:t>Combined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E01634" w:rsidRPr="00A8277D" w:rsidRDefault="00635265" w:rsidP="00A8277D">
            <w:pPr>
              <w:tabs>
                <w:tab w:val="left" w:pos="288"/>
                <w:tab w:val="left" w:pos="4752"/>
              </w:tabs>
              <w:spacing w:line="240" w:lineRule="exact"/>
              <w:jc w:val="both"/>
              <w:rPr>
                <w:color w:val="000080"/>
              </w:rPr>
            </w:pPr>
            <w:r>
              <w:rPr>
                <w:color w:val="000080"/>
              </w:rPr>
              <w:t>20</w:t>
            </w:r>
            <w:r w:rsidR="00E01634" w:rsidRPr="00A8277D">
              <w:rPr>
                <w:color w:val="000080"/>
              </w:rPr>
              <w:t>%</w:t>
            </w:r>
          </w:p>
        </w:tc>
      </w:tr>
    </w:tbl>
    <w:p w:rsidR="00B522CD" w:rsidRDefault="00B522CD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 w:rsidRPr="00D91DA6">
        <w:rPr>
          <w:color w:val="000080"/>
        </w:rPr>
        <w:t>________________________________________________________________</w:t>
      </w:r>
    </w:p>
    <w:p w:rsidR="00D91DA6" w:rsidRDefault="00D91DA6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176255" w:rsidRDefault="00176255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176255" w:rsidRDefault="00176255">
      <w:pPr>
        <w:rPr>
          <w:color w:val="000080"/>
        </w:rPr>
      </w:pPr>
      <w:r>
        <w:rPr>
          <w:color w:val="000080"/>
        </w:rPr>
        <w:br w:type="page"/>
      </w:r>
    </w:p>
    <w:p w:rsidR="00D91DA6" w:rsidRDefault="00114F20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>
        <w:rPr>
          <w:color w:val="000080"/>
        </w:rPr>
        <w:lastRenderedPageBreak/>
        <w:t>The following documentary evidence was considered:</w:t>
      </w:r>
    </w:p>
    <w:p w:rsidR="00114F20" w:rsidRDefault="00114F20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114F20" w:rsidRDefault="00114F20" w:rsidP="00114F20">
      <w:pPr>
        <w:tabs>
          <w:tab w:val="left" w:pos="288"/>
          <w:tab w:val="left" w:pos="4752"/>
        </w:tabs>
        <w:spacing w:line="240" w:lineRule="exact"/>
        <w:rPr>
          <w:color w:val="000080"/>
        </w:rPr>
      </w:pPr>
      <w:r>
        <w:rPr>
          <w:color w:val="000080"/>
        </w:rPr>
        <w:t>Exhibit A.  DD Form 294, dated</w:t>
      </w:r>
      <w:r w:rsidR="00E01634">
        <w:rPr>
          <w:color w:val="000080"/>
        </w:rPr>
        <w:t xml:space="preserve"> </w:t>
      </w:r>
      <w:r w:rsidR="00635265">
        <w:rPr>
          <w:color w:val="000080"/>
        </w:rPr>
        <w:t>20090115</w:t>
      </w:r>
      <w:r>
        <w:rPr>
          <w:color w:val="000080"/>
        </w:rPr>
        <w:t>, w/</w:t>
      </w:r>
      <w:proofErr w:type="spellStart"/>
      <w:r>
        <w:rPr>
          <w:color w:val="000080"/>
        </w:rPr>
        <w:t>atchs</w:t>
      </w:r>
      <w:proofErr w:type="spellEnd"/>
      <w:r>
        <w:rPr>
          <w:color w:val="000080"/>
        </w:rPr>
        <w:t>.</w:t>
      </w:r>
    </w:p>
    <w:p w:rsidR="00114F20" w:rsidRDefault="00114F20" w:rsidP="00114F20">
      <w:pPr>
        <w:tabs>
          <w:tab w:val="left" w:pos="288"/>
          <w:tab w:val="left" w:pos="4752"/>
        </w:tabs>
        <w:spacing w:line="240" w:lineRule="exact"/>
        <w:rPr>
          <w:color w:val="000080"/>
        </w:rPr>
      </w:pPr>
      <w:r>
        <w:rPr>
          <w:color w:val="000080"/>
        </w:rPr>
        <w:t>Exhibit B.  Service Treatment Record.</w:t>
      </w:r>
    </w:p>
    <w:p w:rsidR="00114F20" w:rsidRDefault="00114F20" w:rsidP="00114F20">
      <w:pPr>
        <w:tabs>
          <w:tab w:val="left" w:pos="288"/>
          <w:tab w:val="left" w:pos="4752"/>
        </w:tabs>
        <w:spacing w:line="240" w:lineRule="exact"/>
        <w:rPr>
          <w:color w:val="000080"/>
        </w:rPr>
      </w:pPr>
      <w:r>
        <w:rPr>
          <w:color w:val="000080"/>
        </w:rPr>
        <w:t xml:space="preserve">Exhibit C.  Department of </w:t>
      </w:r>
      <w:proofErr w:type="spellStart"/>
      <w:r>
        <w:rPr>
          <w:color w:val="000080"/>
        </w:rPr>
        <w:t>Veteran's</w:t>
      </w:r>
      <w:proofErr w:type="spellEnd"/>
      <w:r>
        <w:rPr>
          <w:color w:val="000080"/>
        </w:rPr>
        <w:t xml:space="preserve"> Affairs Treatment Record.</w:t>
      </w:r>
    </w:p>
    <w:p w:rsidR="00D91DA6" w:rsidRDefault="00D91DA6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114F20" w:rsidRDefault="00114F20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114F20" w:rsidRDefault="00114F20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CD7B74" w:rsidRDefault="00CD7B74" w:rsidP="00CD7B74">
      <w:pPr>
        <w:pStyle w:val="Default"/>
        <w:framePr w:w="16682" w:wrap="auto" w:vAnchor="page" w:hAnchor="page" w:x="101" w:y="13951"/>
      </w:pPr>
      <w:r>
        <w:rPr>
          <w:noProof/>
        </w:rPr>
        <w:lastRenderedPageBreak/>
        <w:drawing>
          <wp:inline distT="0" distB="0" distL="0" distR="0">
            <wp:extent cx="7772400" cy="10058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2CD" w:rsidRPr="00D91DA6" w:rsidRDefault="00B522CD" w:rsidP="002269A2">
      <w:pPr>
        <w:tabs>
          <w:tab w:val="left" w:pos="0"/>
          <w:tab w:val="left" w:pos="4140"/>
        </w:tabs>
        <w:spacing w:line="240" w:lineRule="exact"/>
        <w:rPr>
          <w:color w:val="000080"/>
          <w:sz w:val="32"/>
        </w:rPr>
      </w:pPr>
    </w:p>
    <w:sectPr w:rsidR="00B522CD" w:rsidRPr="00D91DA6" w:rsidSect="002269A2">
      <w:footerReference w:type="even" r:id="rId8"/>
      <w:footerReference w:type="default" r:id="rId9"/>
      <w:footerReference w:type="first" r:id="rId10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B8D" w:rsidRDefault="00411B8D">
      <w:r>
        <w:separator/>
      </w:r>
    </w:p>
  </w:endnote>
  <w:endnote w:type="continuationSeparator" w:id="0">
    <w:p w:rsidR="00411B8D" w:rsidRDefault="0041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EA4" w:rsidRDefault="00B37B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0E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A0B">
      <w:rPr>
        <w:rStyle w:val="PageNumber"/>
        <w:noProof/>
      </w:rPr>
      <w:t>2</w:t>
    </w:r>
    <w:r>
      <w:rPr>
        <w:rStyle w:val="PageNumber"/>
      </w:rPr>
      <w:fldChar w:fldCharType="end"/>
    </w:r>
  </w:p>
  <w:p w:rsidR="00C10EA4" w:rsidRDefault="00C10EA4" w:rsidP="007903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EA4" w:rsidRDefault="00B37B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0E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A0B">
      <w:rPr>
        <w:rStyle w:val="PageNumber"/>
        <w:noProof/>
      </w:rPr>
      <w:t>3</w:t>
    </w:r>
    <w:r>
      <w:rPr>
        <w:rStyle w:val="PageNumber"/>
      </w:rPr>
      <w:fldChar w:fldCharType="end"/>
    </w:r>
  </w:p>
  <w:p w:rsidR="00C10EA4" w:rsidRDefault="00C71259">
    <w:pPr>
      <w:pStyle w:val="Footer"/>
    </w:pPr>
    <w:r>
      <w:t>PD-2009-00024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59" w:rsidRDefault="00C71259">
    <w:pPr>
      <w:pStyle w:val="Footer"/>
    </w:pPr>
  </w:p>
  <w:p w:rsidR="00C71259" w:rsidRDefault="00C712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B8D" w:rsidRDefault="00411B8D">
      <w:r>
        <w:separator/>
      </w:r>
    </w:p>
  </w:footnote>
  <w:footnote w:type="continuationSeparator" w:id="0">
    <w:p w:rsidR="00411B8D" w:rsidRDefault="00411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60B"/>
    <w:multiLevelType w:val="hybridMultilevel"/>
    <w:tmpl w:val="1846957C"/>
    <w:lvl w:ilvl="0" w:tplc="3EA4AB6E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BD8"/>
    <w:multiLevelType w:val="hybridMultilevel"/>
    <w:tmpl w:val="7EBE9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87EB3"/>
    <w:multiLevelType w:val="hybridMultilevel"/>
    <w:tmpl w:val="CA12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en-US" w:vendorID="8" w:dllVersion="513" w:checkStyle="1"/>
  <w:proofState w:spelling="clean" w:grammar="clean"/>
  <w:stylePaneFormatFilter w:val="3F01"/>
  <w:defaultTabStop w:val="72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1C28D1"/>
    <w:rsid w:val="00005C1F"/>
    <w:rsid w:val="00051622"/>
    <w:rsid w:val="000A1993"/>
    <w:rsid w:val="000A2BCE"/>
    <w:rsid w:val="000A6EE5"/>
    <w:rsid w:val="000A7438"/>
    <w:rsid w:val="000D43F9"/>
    <w:rsid w:val="000F427B"/>
    <w:rsid w:val="00114F20"/>
    <w:rsid w:val="00176255"/>
    <w:rsid w:val="00177659"/>
    <w:rsid w:val="00185ECB"/>
    <w:rsid w:val="001B1FDC"/>
    <w:rsid w:val="001C2053"/>
    <w:rsid w:val="001C28D1"/>
    <w:rsid w:val="001D6A8C"/>
    <w:rsid w:val="002269A2"/>
    <w:rsid w:val="002437B8"/>
    <w:rsid w:val="00246860"/>
    <w:rsid w:val="00270444"/>
    <w:rsid w:val="00274E46"/>
    <w:rsid w:val="002F33E6"/>
    <w:rsid w:val="003753CC"/>
    <w:rsid w:val="00393651"/>
    <w:rsid w:val="003A236F"/>
    <w:rsid w:val="003B6D62"/>
    <w:rsid w:val="003D7DDB"/>
    <w:rsid w:val="003E0543"/>
    <w:rsid w:val="004007E9"/>
    <w:rsid w:val="00411B8D"/>
    <w:rsid w:val="00417396"/>
    <w:rsid w:val="00417B4B"/>
    <w:rsid w:val="004322DE"/>
    <w:rsid w:val="004574C6"/>
    <w:rsid w:val="00493A0B"/>
    <w:rsid w:val="004A4136"/>
    <w:rsid w:val="0051548C"/>
    <w:rsid w:val="00560074"/>
    <w:rsid w:val="00573E18"/>
    <w:rsid w:val="00587C66"/>
    <w:rsid w:val="00635265"/>
    <w:rsid w:val="00662F08"/>
    <w:rsid w:val="006A40E6"/>
    <w:rsid w:val="006C7DDD"/>
    <w:rsid w:val="006E7356"/>
    <w:rsid w:val="006F2597"/>
    <w:rsid w:val="00744EBB"/>
    <w:rsid w:val="00790372"/>
    <w:rsid w:val="007A142A"/>
    <w:rsid w:val="007A168F"/>
    <w:rsid w:val="007B0A06"/>
    <w:rsid w:val="007E4FBB"/>
    <w:rsid w:val="007F2CDA"/>
    <w:rsid w:val="00811D5B"/>
    <w:rsid w:val="00830999"/>
    <w:rsid w:val="00830D5E"/>
    <w:rsid w:val="008310B1"/>
    <w:rsid w:val="008F7167"/>
    <w:rsid w:val="00903E21"/>
    <w:rsid w:val="00907D8D"/>
    <w:rsid w:val="00914ADB"/>
    <w:rsid w:val="00921772"/>
    <w:rsid w:val="00942645"/>
    <w:rsid w:val="0096455D"/>
    <w:rsid w:val="00980223"/>
    <w:rsid w:val="009B69D3"/>
    <w:rsid w:val="009B7DFB"/>
    <w:rsid w:val="00A8277D"/>
    <w:rsid w:val="00A86CB6"/>
    <w:rsid w:val="00B37B5D"/>
    <w:rsid w:val="00B522CD"/>
    <w:rsid w:val="00B82277"/>
    <w:rsid w:val="00C10EA4"/>
    <w:rsid w:val="00C71259"/>
    <w:rsid w:val="00C85579"/>
    <w:rsid w:val="00CB28E2"/>
    <w:rsid w:val="00CB6A09"/>
    <w:rsid w:val="00CD1278"/>
    <w:rsid w:val="00CD34C7"/>
    <w:rsid w:val="00CD7B74"/>
    <w:rsid w:val="00D40ECE"/>
    <w:rsid w:val="00D5118C"/>
    <w:rsid w:val="00D52393"/>
    <w:rsid w:val="00D76AB2"/>
    <w:rsid w:val="00D910C2"/>
    <w:rsid w:val="00D91DA6"/>
    <w:rsid w:val="00DA2D45"/>
    <w:rsid w:val="00DE209B"/>
    <w:rsid w:val="00DE7E74"/>
    <w:rsid w:val="00E01634"/>
    <w:rsid w:val="00E15539"/>
    <w:rsid w:val="00E87D4E"/>
    <w:rsid w:val="00EF608E"/>
    <w:rsid w:val="00F0355C"/>
    <w:rsid w:val="00F1516A"/>
    <w:rsid w:val="00F22A26"/>
    <w:rsid w:val="00F35E12"/>
    <w:rsid w:val="00F72183"/>
    <w:rsid w:val="00FB17F1"/>
    <w:rsid w:val="00FD7987"/>
    <w:rsid w:val="00FF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ECE"/>
    <w:rPr>
      <w:color w:val="008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40E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0ECE"/>
  </w:style>
  <w:style w:type="paragraph" w:styleId="Header">
    <w:name w:val="header"/>
    <w:basedOn w:val="Normal"/>
    <w:rsid w:val="00D40EC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40ECE"/>
    <w:pPr>
      <w:tabs>
        <w:tab w:val="left" w:pos="720"/>
      </w:tabs>
      <w:spacing w:line="240" w:lineRule="exact"/>
      <w:ind w:right="-360"/>
    </w:pPr>
    <w:rPr>
      <w:rFonts w:ascii="Times New Roman" w:hAnsi="Times New Roman"/>
      <w:color w:val="000080"/>
    </w:rPr>
  </w:style>
  <w:style w:type="paragraph" w:styleId="BodyText3">
    <w:name w:val="Body Text 3"/>
    <w:basedOn w:val="Normal"/>
    <w:rsid w:val="00D40ECE"/>
    <w:pPr>
      <w:tabs>
        <w:tab w:val="left" w:pos="288"/>
        <w:tab w:val="left" w:pos="4752"/>
      </w:tabs>
      <w:spacing w:line="240" w:lineRule="exact"/>
      <w:ind w:right="-360"/>
      <w:jc w:val="both"/>
    </w:pPr>
    <w:rPr>
      <w:color w:val="000080"/>
    </w:rPr>
  </w:style>
  <w:style w:type="paragraph" w:styleId="PlainText">
    <w:name w:val="Plain Text"/>
    <w:basedOn w:val="Normal"/>
    <w:link w:val="PlainTextChar"/>
    <w:uiPriority w:val="99"/>
    <w:unhideWhenUsed/>
    <w:rsid w:val="00D91DA6"/>
    <w:rPr>
      <w:rFonts w:ascii="Consolas" w:eastAsia="Calibri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1DA6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E0163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52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rsid w:val="00176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255"/>
    <w:rPr>
      <w:rFonts w:ascii="Tahoma" w:hAnsi="Tahoma" w:cs="Tahoma"/>
      <w:color w:val="00808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71259"/>
    <w:rPr>
      <w:color w:val="008080"/>
      <w:sz w:val="24"/>
    </w:rPr>
  </w:style>
  <w:style w:type="paragraph" w:customStyle="1" w:styleId="Default">
    <w:name w:val="Default"/>
    <w:rsid w:val="00CD7B7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849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PROCEEDINGS</vt:lpstr>
    </vt:vector>
  </TitlesOfParts>
  <Company>Pre-installed Company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PROCEEDINGS</dc:title>
  <dc:creator>JOHN J. D'ORAZIO</dc:creator>
  <cp:lastModifiedBy>JAMEILL.BARKSDALE</cp:lastModifiedBy>
  <cp:revision>5</cp:revision>
  <cp:lastPrinted>2009-06-23T15:20:00Z</cp:lastPrinted>
  <dcterms:created xsi:type="dcterms:W3CDTF">2012-01-10T18:33:00Z</dcterms:created>
  <dcterms:modified xsi:type="dcterms:W3CDTF">2012-01-10T19:22:00Z</dcterms:modified>
</cp:coreProperties>
</file>