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1C" w:rsidRDefault="00540BEF" w:rsidP="00AA2E12">
      <w:pPr>
        <w:tabs>
          <w:tab w:val="left" w:pos="288"/>
          <w:tab w:val="left" w:pos="4752"/>
        </w:tabs>
        <w:spacing w:line="240" w:lineRule="exact"/>
        <w:jc w:val="center"/>
        <w:rPr>
          <w:color w:val="000080"/>
        </w:rPr>
      </w:pPr>
      <w:r w:rsidRPr="00D91DA6">
        <w:rPr>
          <w:color w:val="000080"/>
        </w:rPr>
        <w:t>RECORD OF PROCEEDINGS</w:t>
      </w:r>
    </w:p>
    <w:p w:rsidR="00540BEF" w:rsidRPr="00D91DA6" w:rsidRDefault="00540BEF" w:rsidP="00AA2E12">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AA2E12">
      <w:pPr>
        <w:tabs>
          <w:tab w:val="left" w:pos="288"/>
          <w:tab w:val="left" w:pos="4752"/>
        </w:tabs>
        <w:spacing w:line="240" w:lineRule="exact"/>
        <w:jc w:val="both"/>
        <w:rPr>
          <w:color w:val="000080"/>
        </w:rPr>
      </w:pPr>
    </w:p>
    <w:p w:rsidR="00540BEF" w:rsidRPr="00D91DA6" w:rsidRDefault="00540BEF" w:rsidP="00AA2E12">
      <w:pPr>
        <w:tabs>
          <w:tab w:val="left" w:pos="288"/>
          <w:tab w:val="left" w:pos="4752"/>
        </w:tabs>
        <w:spacing w:line="240" w:lineRule="exact"/>
        <w:jc w:val="both"/>
        <w:rPr>
          <w:color w:val="000080"/>
        </w:rPr>
      </w:pPr>
      <w:r w:rsidRPr="00D91DA6">
        <w:rPr>
          <w:color w:val="000080"/>
        </w:rPr>
        <w:t>NAME:</w:t>
      </w:r>
      <w:r w:rsidRPr="00D91DA6">
        <w:rPr>
          <w:color w:val="000080"/>
        </w:rPr>
        <w:tab/>
      </w:r>
      <w:r w:rsidRPr="00D91DA6">
        <w:rPr>
          <w:color w:val="000080"/>
        </w:rPr>
        <w:tab/>
      </w:r>
      <w:r>
        <w:rPr>
          <w:color w:val="000080"/>
        </w:rPr>
        <w:t>BRANCH OF SERVICE</w:t>
      </w:r>
      <w:r w:rsidRPr="00D91DA6">
        <w:rPr>
          <w:color w:val="000080"/>
        </w:rPr>
        <w:t xml:space="preserve">: </w:t>
      </w:r>
      <w:r w:rsidR="000E0993">
        <w:rPr>
          <w:color w:val="000080"/>
        </w:rPr>
        <w:t>ARMY</w:t>
      </w:r>
    </w:p>
    <w:p w:rsidR="005D3E41" w:rsidRDefault="00540BEF" w:rsidP="00AA2E12">
      <w:pPr>
        <w:tabs>
          <w:tab w:val="left" w:pos="288"/>
          <w:tab w:val="left" w:pos="4752"/>
        </w:tabs>
        <w:spacing w:line="240" w:lineRule="exact"/>
        <w:jc w:val="both"/>
        <w:rPr>
          <w:color w:val="000080"/>
        </w:rPr>
      </w:pPr>
      <w:r>
        <w:rPr>
          <w:color w:val="000080"/>
        </w:rPr>
        <w:t>CASE</w:t>
      </w:r>
      <w:r w:rsidRPr="00D91DA6">
        <w:rPr>
          <w:color w:val="000080"/>
        </w:rPr>
        <w:t xml:space="preserve"> NUMBER:  </w:t>
      </w:r>
      <w:r>
        <w:rPr>
          <w:color w:val="000080"/>
        </w:rPr>
        <w:t>PD0900</w:t>
      </w:r>
      <w:r w:rsidR="000E0993">
        <w:rPr>
          <w:color w:val="000080"/>
        </w:rPr>
        <w:t>010</w:t>
      </w:r>
      <w:r w:rsidRPr="00D91DA6">
        <w:rPr>
          <w:color w:val="000080"/>
        </w:rPr>
        <w:tab/>
      </w:r>
      <w:r w:rsidRPr="00D91DA6">
        <w:rPr>
          <w:color w:val="000080"/>
        </w:rPr>
        <w:tab/>
        <w:t xml:space="preserve">BOARD DATE: </w:t>
      </w:r>
      <w:r w:rsidR="000F02BE">
        <w:rPr>
          <w:color w:val="000080"/>
        </w:rPr>
        <w:t>2010</w:t>
      </w:r>
      <w:r w:rsidR="0090793A">
        <w:rPr>
          <w:color w:val="000080"/>
        </w:rPr>
        <w:t>0121</w:t>
      </w:r>
      <w:r>
        <w:rPr>
          <w:color w:val="000080"/>
        </w:rPr>
        <w:tab/>
      </w:r>
    </w:p>
    <w:p w:rsidR="00540BEF" w:rsidRDefault="00540BEF" w:rsidP="00AA2E12">
      <w:pPr>
        <w:tabs>
          <w:tab w:val="left" w:pos="288"/>
          <w:tab w:val="left" w:pos="4752"/>
        </w:tabs>
        <w:spacing w:line="240" w:lineRule="exact"/>
        <w:jc w:val="both"/>
        <w:rPr>
          <w:color w:val="000080"/>
        </w:rPr>
      </w:pPr>
      <w:r w:rsidRPr="00D91DA6">
        <w:rPr>
          <w:color w:val="000080"/>
        </w:rPr>
        <w:t xml:space="preserve">SEPARATION DATE: </w:t>
      </w:r>
      <w:r w:rsidR="000E0993">
        <w:rPr>
          <w:color w:val="000080"/>
        </w:rPr>
        <w:t>20060520</w:t>
      </w:r>
    </w:p>
    <w:p w:rsidR="00540BEF" w:rsidRPr="00D91DA6" w:rsidRDefault="00540BEF"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AA2E12">
      <w:pPr>
        <w:tabs>
          <w:tab w:val="left" w:pos="288"/>
          <w:tab w:val="left" w:pos="4752"/>
        </w:tabs>
        <w:spacing w:line="240" w:lineRule="exact"/>
        <w:jc w:val="both"/>
        <w:rPr>
          <w:color w:val="000080"/>
        </w:rPr>
      </w:pPr>
    </w:p>
    <w:p w:rsidR="008B04DB" w:rsidRPr="0079681C" w:rsidRDefault="002C6E5B" w:rsidP="00AA2E12">
      <w:pPr>
        <w:tabs>
          <w:tab w:val="left" w:pos="288"/>
          <w:tab w:val="left" w:pos="4752"/>
        </w:tabs>
        <w:spacing w:line="240" w:lineRule="exact"/>
        <w:jc w:val="both"/>
        <w:rPr>
          <w:color w:val="000080"/>
        </w:rPr>
      </w:pPr>
      <w:r w:rsidRPr="0079681C">
        <w:rPr>
          <w:color w:val="000080"/>
          <w:u w:val="single"/>
        </w:rPr>
        <w:t>SUMMARY OF CASE</w:t>
      </w:r>
      <w:r w:rsidRPr="0079681C">
        <w:rPr>
          <w:color w:val="000080"/>
        </w:rPr>
        <w:t xml:space="preserve">:  This covered individual (CI) was </w:t>
      </w:r>
      <w:r w:rsidR="0020481A" w:rsidRPr="0079681C">
        <w:rPr>
          <w:color w:val="000080"/>
        </w:rPr>
        <w:t>an active duty Warrant Officer (Personnel)</w:t>
      </w:r>
      <w:r w:rsidRPr="0079681C">
        <w:rPr>
          <w:color w:val="000080"/>
        </w:rPr>
        <w:t xml:space="preserve"> medically separated from the Army</w:t>
      </w:r>
      <w:r w:rsidR="0020481A" w:rsidRPr="0079681C">
        <w:rPr>
          <w:color w:val="000080"/>
        </w:rPr>
        <w:t xml:space="preserve"> in 2006</w:t>
      </w:r>
      <w:r w:rsidRPr="0079681C">
        <w:rPr>
          <w:color w:val="000080"/>
        </w:rPr>
        <w:t xml:space="preserve"> after </w:t>
      </w:r>
      <w:r w:rsidR="0020481A" w:rsidRPr="0079681C">
        <w:rPr>
          <w:color w:val="000080"/>
        </w:rPr>
        <w:t>14</w:t>
      </w:r>
      <w:r w:rsidRPr="0079681C">
        <w:rPr>
          <w:color w:val="000080"/>
        </w:rPr>
        <w:t xml:space="preserve"> years of service.  The medical basis for the separation was </w:t>
      </w:r>
      <w:r w:rsidR="0020481A" w:rsidRPr="0079681C">
        <w:rPr>
          <w:color w:val="000080"/>
        </w:rPr>
        <w:t xml:space="preserve">a </w:t>
      </w:r>
      <w:r w:rsidR="009506CE" w:rsidRPr="0079681C">
        <w:rPr>
          <w:color w:val="000080"/>
        </w:rPr>
        <w:t>neck</w:t>
      </w:r>
      <w:r w:rsidR="0020481A" w:rsidRPr="0079681C">
        <w:rPr>
          <w:color w:val="000080"/>
        </w:rPr>
        <w:t xml:space="preserve"> condition.  This began after a motor vehicle accident in October, 2003.  She was initially diagnosed with degenerative changes on x-ray and managed conservatively.  </w:t>
      </w:r>
      <w:r w:rsidR="003366DB" w:rsidRPr="0079681C">
        <w:rPr>
          <w:color w:val="000080"/>
        </w:rPr>
        <w:t xml:space="preserve">Her pain persisted, along with </w:t>
      </w:r>
      <w:r w:rsidR="009506CE" w:rsidRPr="0079681C">
        <w:rPr>
          <w:color w:val="000080"/>
        </w:rPr>
        <w:t xml:space="preserve">radiation to the right arm associated with </w:t>
      </w:r>
      <w:r w:rsidR="003366DB" w:rsidRPr="0079681C">
        <w:rPr>
          <w:color w:val="000080"/>
        </w:rPr>
        <w:t>intermittent sensory symptoms</w:t>
      </w:r>
      <w:r w:rsidR="009506CE" w:rsidRPr="0079681C">
        <w:rPr>
          <w:color w:val="000080"/>
        </w:rPr>
        <w:t xml:space="preserve">. </w:t>
      </w:r>
      <w:r w:rsidR="003366DB" w:rsidRPr="0079681C">
        <w:rPr>
          <w:color w:val="000080"/>
        </w:rPr>
        <w:t xml:space="preserve"> </w:t>
      </w:r>
      <w:r w:rsidR="009506CE" w:rsidRPr="0079681C">
        <w:rPr>
          <w:color w:val="000080"/>
        </w:rPr>
        <w:t xml:space="preserve">An </w:t>
      </w:r>
      <w:r w:rsidR="003366DB" w:rsidRPr="0079681C">
        <w:rPr>
          <w:color w:val="000080"/>
        </w:rPr>
        <w:t>MRI showed multilevel degenerative disc changes and small</w:t>
      </w:r>
      <w:r w:rsidR="0079681C">
        <w:rPr>
          <w:color w:val="000080"/>
        </w:rPr>
        <w:t xml:space="preserve"> disc protrusions at C5/6 and C6</w:t>
      </w:r>
      <w:r w:rsidR="003366DB" w:rsidRPr="0079681C">
        <w:rPr>
          <w:color w:val="000080"/>
        </w:rPr>
        <w:t xml:space="preserve">/7.  After consultation, surgery was deferred and she continued conservative management.  She received temporary profiles and her symptoms worsened during a 2004-05 deployment to Korea when she </w:t>
      </w:r>
      <w:r w:rsidR="009506CE" w:rsidRPr="0079681C">
        <w:rPr>
          <w:color w:val="000080"/>
        </w:rPr>
        <w:t>required a lot of time in battle gear and suffered a fall</w:t>
      </w:r>
      <w:r w:rsidR="003366DB" w:rsidRPr="0079681C">
        <w:rPr>
          <w:color w:val="000080"/>
        </w:rPr>
        <w:t xml:space="preserve">.  </w:t>
      </w:r>
      <w:r w:rsidR="009506CE" w:rsidRPr="0079681C">
        <w:rPr>
          <w:color w:val="000080"/>
        </w:rPr>
        <w:t>A</w:t>
      </w:r>
      <w:r w:rsidR="003366DB" w:rsidRPr="0079681C">
        <w:rPr>
          <w:color w:val="000080"/>
        </w:rPr>
        <w:t>ggressive conservative management</w:t>
      </w:r>
      <w:r w:rsidR="009506CE" w:rsidRPr="0079681C">
        <w:rPr>
          <w:color w:val="000080"/>
        </w:rPr>
        <w:t xml:space="preserve"> was continued</w:t>
      </w:r>
      <w:r w:rsidR="003366DB" w:rsidRPr="0079681C">
        <w:rPr>
          <w:color w:val="000080"/>
        </w:rPr>
        <w:t xml:space="preserve">, including epidural injections, to no avail.  Repeat MRI’s showed </w:t>
      </w:r>
      <w:r w:rsidR="003372F6" w:rsidRPr="0079681C">
        <w:rPr>
          <w:color w:val="000080"/>
        </w:rPr>
        <w:t xml:space="preserve">worsening </w:t>
      </w:r>
      <w:proofErr w:type="spellStart"/>
      <w:r w:rsidR="003372F6" w:rsidRPr="0079681C">
        <w:rPr>
          <w:color w:val="000080"/>
        </w:rPr>
        <w:t>stenosis</w:t>
      </w:r>
      <w:proofErr w:type="spellEnd"/>
      <w:r w:rsidR="003372F6" w:rsidRPr="0079681C">
        <w:rPr>
          <w:color w:val="000080"/>
        </w:rPr>
        <w:t xml:space="preserve"> and </w:t>
      </w:r>
      <w:r w:rsidR="003366DB" w:rsidRPr="0079681C">
        <w:rPr>
          <w:color w:val="000080"/>
        </w:rPr>
        <w:t>some disc prot</w:t>
      </w:r>
      <w:r w:rsidR="003372F6" w:rsidRPr="0079681C">
        <w:rPr>
          <w:color w:val="000080"/>
        </w:rPr>
        <w:t>r</w:t>
      </w:r>
      <w:r w:rsidR="003366DB" w:rsidRPr="0079681C">
        <w:rPr>
          <w:color w:val="000080"/>
        </w:rPr>
        <w:t>usion</w:t>
      </w:r>
      <w:r w:rsidR="003372F6" w:rsidRPr="0079681C">
        <w:rPr>
          <w:color w:val="000080"/>
        </w:rPr>
        <w:t xml:space="preserve"> at C4/5 with worsening involvement of the two lower levels.  An EMG (nerve conduction study) for the right upper extremity </w:t>
      </w:r>
      <w:r w:rsidR="001B5F77" w:rsidRPr="0079681C">
        <w:rPr>
          <w:color w:val="000080"/>
        </w:rPr>
        <w:t xml:space="preserve">(RUE) </w:t>
      </w:r>
      <w:r w:rsidR="003372F6" w:rsidRPr="0079681C">
        <w:rPr>
          <w:color w:val="000080"/>
        </w:rPr>
        <w:t xml:space="preserve">symptoms was normal.  Neurosurgical management was discussed but electively deferred on a risk-benefit basis.  MOS performance was impaired to the point that she was referred for a MEB.  The MEB forwarded her cervical condition to the PEB as medically unacceptable IAW AR 40-501.  </w:t>
      </w:r>
      <w:r w:rsidR="00DF7EC9" w:rsidRPr="0079681C">
        <w:rPr>
          <w:color w:val="000080"/>
        </w:rPr>
        <w:t xml:space="preserve">Bilateral </w:t>
      </w:r>
      <w:proofErr w:type="spellStart"/>
      <w:r w:rsidR="00DF7EC9" w:rsidRPr="0079681C">
        <w:rPr>
          <w:color w:val="000080"/>
        </w:rPr>
        <w:t>patellofemoral</w:t>
      </w:r>
      <w:proofErr w:type="spellEnd"/>
      <w:r w:rsidR="00DF7EC9" w:rsidRPr="0079681C">
        <w:rPr>
          <w:color w:val="000080"/>
        </w:rPr>
        <w:t xml:space="preserve"> syndrome (knee condition), </w:t>
      </w:r>
      <w:proofErr w:type="spellStart"/>
      <w:r w:rsidR="00DF7EC9" w:rsidRPr="0079681C">
        <w:rPr>
          <w:color w:val="000080"/>
        </w:rPr>
        <w:t>dyspnea</w:t>
      </w:r>
      <w:proofErr w:type="spellEnd"/>
      <w:r w:rsidR="00DF7EC9" w:rsidRPr="0079681C">
        <w:rPr>
          <w:color w:val="000080"/>
        </w:rPr>
        <w:t>, chronic abdominal pain and hearing loss were addressed in the NARSUM as additional conditions</w:t>
      </w:r>
      <w:r w:rsidR="004E5C9A" w:rsidRPr="0079681C">
        <w:rPr>
          <w:color w:val="000080"/>
        </w:rPr>
        <w:t xml:space="preserve"> </w:t>
      </w:r>
      <w:r w:rsidR="001B5F77" w:rsidRPr="0079681C">
        <w:rPr>
          <w:color w:val="000080"/>
        </w:rPr>
        <w:t>determined to be</w:t>
      </w:r>
      <w:r w:rsidR="004E5C9A" w:rsidRPr="0079681C">
        <w:rPr>
          <w:color w:val="000080"/>
        </w:rPr>
        <w:t xml:space="preserve"> medically acceptable IAW AR 40-501</w:t>
      </w:r>
      <w:r w:rsidR="00DF7EC9" w:rsidRPr="0079681C">
        <w:rPr>
          <w:color w:val="000080"/>
        </w:rPr>
        <w:t xml:space="preserve">.  </w:t>
      </w:r>
      <w:r w:rsidR="003F2770" w:rsidRPr="0079681C">
        <w:rPr>
          <w:color w:val="000080"/>
        </w:rPr>
        <w:t>The PEB found only the cervical condition to be unfitting, and the CI was separated with a 10% disability rating.</w:t>
      </w:r>
      <w:r w:rsidR="008B04DB" w:rsidRPr="0079681C">
        <w:rPr>
          <w:color w:val="000080"/>
        </w:rPr>
        <w:t xml:space="preserve">  </w:t>
      </w:r>
    </w:p>
    <w:p w:rsidR="00923B25" w:rsidRPr="00D91DA6"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AA2E12">
      <w:pPr>
        <w:tabs>
          <w:tab w:val="left" w:pos="288"/>
          <w:tab w:val="left" w:pos="4752"/>
        </w:tabs>
        <w:spacing w:line="240" w:lineRule="exact"/>
        <w:jc w:val="both"/>
        <w:rPr>
          <w:color w:val="000080"/>
        </w:rPr>
      </w:pPr>
    </w:p>
    <w:p w:rsidR="00A90D55" w:rsidRPr="0079681C" w:rsidRDefault="002C6E5B" w:rsidP="00AA2E12">
      <w:pPr>
        <w:tabs>
          <w:tab w:val="left" w:pos="288"/>
          <w:tab w:val="left" w:pos="4752"/>
        </w:tabs>
        <w:spacing w:line="240" w:lineRule="exact"/>
        <w:jc w:val="both"/>
        <w:rPr>
          <w:color w:val="000080"/>
        </w:rPr>
      </w:pPr>
      <w:r w:rsidRPr="0079681C">
        <w:rPr>
          <w:color w:val="000080"/>
          <w:u w:val="single"/>
        </w:rPr>
        <w:t>CI CONTENTION</w:t>
      </w:r>
      <w:r w:rsidRPr="0079681C">
        <w:rPr>
          <w:color w:val="000080"/>
        </w:rPr>
        <w:t xml:space="preserve">:  </w:t>
      </w:r>
      <w:r w:rsidR="00196927" w:rsidRPr="0079681C">
        <w:rPr>
          <w:color w:val="000080"/>
        </w:rPr>
        <w:t>In her application letter t</w:t>
      </w:r>
      <w:r w:rsidRPr="0079681C">
        <w:rPr>
          <w:color w:val="000080"/>
        </w:rPr>
        <w:t>he CI states</w:t>
      </w:r>
      <w:r w:rsidR="00196927" w:rsidRPr="0079681C">
        <w:rPr>
          <w:color w:val="000080"/>
        </w:rPr>
        <w:t xml:space="preserve">, </w:t>
      </w:r>
      <w:r w:rsidR="001A32CD" w:rsidRPr="0079681C">
        <w:rPr>
          <w:color w:val="000080"/>
        </w:rPr>
        <w:t>‘</w:t>
      </w:r>
      <w:proofErr w:type="gramStart"/>
      <w:r w:rsidR="001A32CD" w:rsidRPr="0079681C">
        <w:rPr>
          <w:color w:val="000080"/>
        </w:rPr>
        <w:t>The</w:t>
      </w:r>
      <w:proofErr w:type="gramEnd"/>
      <w:r w:rsidR="001A32CD" w:rsidRPr="0079681C">
        <w:rPr>
          <w:color w:val="000080"/>
        </w:rPr>
        <w:t xml:space="preserve"> rating of 10% was is [sic] not adequate for the pain I suffer caused by my injury.’  Her application lists bilateral shoulder, bilateral tinnitus and cervical </w:t>
      </w:r>
      <w:proofErr w:type="spellStart"/>
      <w:r w:rsidR="001A32CD" w:rsidRPr="0079681C">
        <w:rPr>
          <w:color w:val="000080"/>
        </w:rPr>
        <w:t>radiculitis</w:t>
      </w:r>
      <w:proofErr w:type="spellEnd"/>
      <w:r w:rsidR="001A32CD" w:rsidRPr="0079681C">
        <w:rPr>
          <w:color w:val="000080"/>
        </w:rPr>
        <w:t xml:space="preserve"> as additional conditions.</w:t>
      </w:r>
    </w:p>
    <w:p w:rsidR="00A90D55" w:rsidRPr="00D91DA6"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AA2E12">
      <w:pPr>
        <w:tabs>
          <w:tab w:val="left" w:pos="288"/>
          <w:tab w:val="left" w:pos="4752"/>
        </w:tabs>
        <w:spacing w:line="240" w:lineRule="exact"/>
        <w:jc w:val="both"/>
        <w:rPr>
          <w:color w:val="000080"/>
        </w:rPr>
      </w:pPr>
    </w:p>
    <w:p w:rsidR="0079681C" w:rsidRDefault="0079681C" w:rsidP="00AA2E12">
      <w:pPr>
        <w:spacing w:line="240" w:lineRule="exact"/>
        <w:rPr>
          <w:rFonts w:ascii="Calibri" w:hAnsi="Calibri"/>
          <w:color w:val="000080"/>
          <w:u w:val="single"/>
        </w:rPr>
      </w:pPr>
      <w:r>
        <w:rPr>
          <w:rFonts w:ascii="Calibri" w:hAnsi="Calibri"/>
          <w:color w:val="000080"/>
          <w:u w:val="single"/>
        </w:rPr>
        <w:br w:type="page"/>
      </w:r>
    </w:p>
    <w:p w:rsidR="002338CA" w:rsidRPr="00DF7EC9" w:rsidRDefault="002C6E5B" w:rsidP="00AA2E12">
      <w:pPr>
        <w:tabs>
          <w:tab w:val="left" w:pos="288"/>
          <w:tab w:val="left" w:pos="4752"/>
        </w:tabs>
        <w:spacing w:line="240" w:lineRule="exact"/>
        <w:jc w:val="both"/>
        <w:rPr>
          <w:rFonts w:ascii="Calibri" w:hAnsi="Calibri"/>
          <w:color w:val="000080"/>
          <w:u w:val="single"/>
        </w:rPr>
      </w:pPr>
      <w:r w:rsidRPr="0079681C">
        <w:rPr>
          <w:color w:val="000080"/>
          <w:u w:val="single"/>
        </w:rPr>
        <w:lastRenderedPageBreak/>
        <w:t>RATING COMPARISON</w:t>
      </w:r>
      <w:r w:rsidRPr="0079681C">
        <w:rPr>
          <w:color w:val="000080"/>
        </w:rPr>
        <w:t>:</w:t>
      </w:r>
    </w:p>
    <w:p w:rsidR="00F82981" w:rsidRDefault="00F82981" w:rsidP="00AA2E12">
      <w:pPr>
        <w:tabs>
          <w:tab w:val="left" w:pos="288"/>
          <w:tab w:val="left" w:pos="4752"/>
        </w:tabs>
        <w:spacing w:line="240" w:lineRule="exact"/>
        <w:jc w:val="both"/>
        <w:rPr>
          <w:color w:val="000080"/>
        </w:rPr>
      </w:pPr>
    </w:p>
    <w:tbl>
      <w:tblPr>
        <w:tblStyle w:val="TableGrid"/>
        <w:tblW w:w="9900" w:type="dxa"/>
        <w:tblInd w:w="-263" w:type="dxa"/>
        <w:tblLayout w:type="fixed"/>
        <w:tblLook w:val="04A0"/>
      </w:tblPr>
      <w:tblGrid>
        <w:gridCol w:w="1980"/>
        <w:gridCol w:w="1024"/>
        <w:gridCol w:w="776"/>
        <w:gridCol w:w="1024"/>
        <w:gridCol w:w="2227"/>
        <w:gridCol w:w="1103"/>
        <w:gridCol w:w="810"/>
        <w:gridCol w:w="956"/>
      </w:tblGrid>
      <w:tr w:rsidR="00684E2B" w:rsidTr="0069674A">
        <w:trPr>
          <w:trHeight w:val="233"/>
        </w:trPr>
        <w:tc>
          <w:tcPr>
            <w:tcW w:w="4804" w:type="dxa"/>
            <w:gridSpan w:val="4"/>
            <w:tcBorders>
              <w:right w:val="thinThickThinSmallGap" w:sz="24" w:space="0" w:color="auto"/>
            </w:tcBorders>
            <w:shd w:val="clear" w:color="auto" w:fill="C6D9F1" w:themeFill="text2" w:themeFillTint="33"/>
          </w:tcPr>
          <w:p w:rsidR="00684E2B" w:rsidRPr="00BC09D1" w:rsidRDefault="00684E2B" w:rsidP="00AA2E12">
            <w:pPr>
              <w:pStyle w:val="ListParagraph"/>
              <w:spacing w:after="0" w:line="240" w:lineRule="exact"/>
              <w:ind w:left="0"/>
              <w:jc w:val="center"/>
              <w:rPr>
                <w:rFonts w:cs="Times New Roman"/>
                <w:b/>
                <w:sz w:val="20"/>
                <w:szCs w:val="20"/>
              </w:rPr>
            </w:pPr>
            <w:r w:rsidRPr="00BC09D1">
              <w:rPr>
                <w:rFonts w:cs="Times New Roman"/>
                <w:b/>
                <w:sz w:val="20"/>
                <w:szCs w:val="20"/>
              </w:rPr>
              <w:t>Service PEB</w:t>
            </w:r>
          </w:p>
        </w:tc>
        <w:tc>
          <w:tcPr>
            <w:tcW w:w="5096" w:type="dxa"/>
            <w:gridSpan w:val="4"/>
            <w:tcBorders>
              <w:left w:val="thinThickThinSmallGap" w:sz="24" w:space="0" w:color="auto"/>
            </w:tcBorders>
            <w:shd w:val="clear" w:color="auto" w:fill="C6D9F1" w:themeFill="text2" w:themeFillTint="33"/>
          </w:tcPr>
          <w:p w:rsidR="00684E2B" w:rsidRPr="00BC09D1" w:rsidRDefault="00684E2B" w:rsidP="00AA2E12">
            <w:pPr>
              <w:pStyle w:val="ListParagraph"/>
              <w:spacing w:after="0" w:line="240" w:lineRule="exact"/>
              <w:ind w:left="0"/>
              <w:jc w:val="center"/>
              <w:rPr>
                <w:rFonts w:cs="Times New Roman"/>
                <w:b/>
                <w:sz w:val="20"/>
                <w:szCs w:val="20"/>
              </w:rPr>
            </w:pPr>
            <w:r w:rsidRPr="00BC09D1">
              <w:rPr>
                <w:rFonts w:cs="Times New Roman"/>
                <w:b/>
                <w:sz w:val="20"/>
                <w:szCs w:val="20"/>
              </w:rPr>
              <w:t>VA (</w:t>
            </w:r>
            <w:r w:rsidR="00766148">
              <w:rPr>
                <w:rFonts w:cs="Times New Roman"/>
                <w:b/>
                <w:sz w:val="20"/>
                <w:szCs w:val="20"/>
              </w:rPr>
              <w:t>Pre-</w:t>
            </w:r>
            <w:r w:rsidRPr="00BC09D1">
              <w:rPr>
                <w:rFonts w:cs="Times New Roman"/>
                <w:b/>
                <w:sz w:val="20"/>
                <w:szCs w:val="20"/>
              </w:rPr>
              <w:t>Separation)</w:t>
            </w:r>
            <w:r w:rsidR="00DF7EC9">
              <w:rPr>
                <w:rFonts w:cs="Times New Roman"/>
                <w:b/>
                <w:sz w:val="20"/>
                <w:szCs w:val="20"/>
              </w:rPr>
              <w:t xml:space="preserve"> – All Effective 20060521</w:t>
            </w:r>
          </w:p>
        </w:tc>
      </w:tr>
      <w:tr w:rsidR="00DF7EC9" w:rsidTr="004A645E">
        <w:trPr>
          <w:trHeight w:val="233"/>
        </w:trPr>
        <w:tc>
          <w:tcPr>
            <w:tcW w:w="1980"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Condition</w:t>
            </w:r>
          </w:p>
        </w:tc>
        <w:tc>
          <w:tcPr>
            <w:tcW w:w="1024"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Code</w:t>
            </w:r>
          </w:p>
        </w:tc>
        <w:tc>
          <w:tcPr>
            <w:tcW w:w="776"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Rating</w:t>
            </w:r>
          </w:p>
        </w:tc>
        <w:tc>
          <w:tcPr>
            <w:tcW w:w="1024" w:type="dxa"/>
            <w:tcBorders>
              <w:bottom w:val="single" w:sz="4" w:space="0" w:color="000000" w:themeColor="text1"/>
              <w:right w:val="thinThickThinSmallGap" w:sz="24" w:space="0" w:color="auto"/>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Date</w:t>
            </w:r>
          </w:p>
        </w:tc>
        <w:tc>
          <w:tcPr>
            <w:tcW w:w="2227" w:type="dxa"/>
            <w:tcBorders>
              <w:left w:val="thinThickThinSmallGap" w:sz="24" w:space="0" w:color="auto"/>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Condition</w:t>
            </w:r>
          </w:p>
        </w:tc>
        <w:tc>
          <w:tcPr>
            <w:tcW w:w="1103"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Rating</w:t>
            </w:r>
          </w:p>
        </w:tc>
        <w:tc>
          <w:tcPr>
            <w:tcW w:w="956" w:type="dxa"/>
            <w:tcBorders>
              <w:bottom w:val="single" w:sz="4" w:space="0" w:color="000000" w:themeColor="text1"/>
            </w:tcBorders>
            <w:shd w:val="clear" w:color="auto" w:fill="C6D9F1" w:themeFill="text2" w:themeFillTint="33"/>
          </w:tcPr>
          <w:p w:rsidR="00DF7EC9" w:rsidRPr="00BC09D1" w:rsidRDefault="00DF7EC9" w:rsidP="00AA2E12">
            <w:pPr>
              <w:pStyle w:val="ListParagraph"/>
              <w:spacing w:after="0" w:line="240" w:lineRule="exact"/>
              <w:ind w:left="0"/>
              <w:jc w:val="center"/>
              <w:rPr>
                <w:rFonts w:cs="Times New Roman"/>
                <w:b/>
                <w:sz w:val="20"/>
                <w:szCs w:val="20"/>
              </w:rPr>
            </w:pPr>
            <w:r w:rsidRPr="00BC09D1">
              <w:rPr>
                <w:rFonts w:cs="Times New Roman"/>
                <w:b/>
                <w:sz w:val="20"/>
                <w:szCs w:val="20"/>
              </w:rPr>
              <w:t>Exam</w:t>
            </w:r>
          </w:p>
        </w:tc>
      </w:tr>
      <w:tr w:rsidR="00DF7EC9" w:rsidTr="004A645E">
        <w:trPr>
          <w:trHeight w:val="210"/>
        </w:trPr>
        <w:tc>
          <w:tcPr>
            <w:tcW w:w="1980" w:type="dxa"/>
            <w:vMerge w:val="restart"/>
            <w:shd w:val="clear" w:color="auto" w:fill="FFFFFF" w:themeFill="background1"/>
          </w:tcPr>
          <w:p w:rsidR="00DF7EC9" w:rsidRPr="00766148" w:rsidRDefault="00DF7EC9" w:rsidP="00AA2E12">
            <w:pPr>
              <w:pStyle w:val="ListParagraph"/>
              <w:spacing w:after="0" w:line="240" w:lineRule="exact"/>
              <w:ind w:left="0"/>
              <w:rPr>
                <w:rFonts w:cs="Times New Roman"/>
                <w:sz w:val="18"/>
                <w:szCs w:val="18"/>
              </w:rPr>
            </w:pPr>
            <w:r w:rsidRPr="00766148">
              <w:rPr>
                <w:rFonts w:cs="Times New Roman"/>
                <w:sz w:val="18"/>
                <w:szCs w:val="18"/>
              </w:rPr>
              <w:t>Chronic Neck Pain</w:t>
            </w:r>
          </w:p>
        </w:tc>
        <w:tc>
          <w:tcPr>
            <w:tcW w:w="1024" w:type="dxa"/>
            <w:vMerge w:val="restart"/>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5299-5242</w:t>
            </w:r>
          </w:p>
        </w:tc>
        <w:tc>
          <w:tcPr>
            <w:tcW w:w="776" w:type="dxa"/>
            <w:vMerge w:val="restart"/>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10%</w:t>
            </w:r>
          </w:p>
        </w:tc>
        <w:tc>
          <w:tcPr>
            <w:tcW w:w="1024" w:type="dxa"/>
            <w:vMerge w:val="restart"/>
            <w:tcBorders>
              <w:right w:val="thinThickThinSmallGap" w:sz="24" w:space="0" w:color="auto"/>
            </w:tcBorders>
            <w:shd w:val="clear" w:color="auto" w:fill="FFFFFF" w:themeFill="background1"/>
          </w:tcPr>
          <w:p w:rsidR="00DF7EC9" w:rsidRPr="002E333A" w:rsidRDefault="00DF7EC9" w:rsidP="00AA2E12">
            <w:pPr>
              <w:pStyle w:val="ListParagraph"/>
              <w:spacing w:after="0" w:line="240" w:lineRule="exact"/>
              <w:ind w:left="0"/>
              <w:jc w:val="center"/>
              <w:rPr>
                <w:rFonts w:cs="Times New Roman"/>
                <w:sz w:val="18"/>
                <w:szCs w:val="18"/>
              </w:rPr>
            </w:pPr>
            <w:r>
              <w:rPr>
                <w:rFonts w:cs="Times New Roman"/>
                <w:sz w:val="18"/>
                <w:szCs w:val="18"/>
              </w:rPr>
              <w:t>20060203</w:t>
            </w:r>
          </w:p>
        </w:tc>
        <w:tc>
          <w:tcPr>
            <w:tcW w:w="2227" w:type="dxa"/>
            <w:tcBorders>
              <w:left w:val="thinThickThinSmallGap" w:sz="24" w:space="0" w:color="auto"/>
              <w:bottom w:val="single" w:sz="4" w:space="0" w:color="auto"/>
              <w:right w:val="single" w:sz="4" w:space="0" w:color="auto"/>
            </w:tcBorders>
            <w:shd w:val="clear" w:color="auto" w:fill="FFFFFF" w:themeFill="background1"/>
          </w:tcPr>
          <w:p w:rsidR="00DF7EC9" w:rsidRPr="00BC09D1" w:rsidRDefault="00DF7EC9" w:rsidP="00AA2E12">
            <w:pPr>
              <w:pStyle w:val="ListParagraph"/>
              <w:spacing w:after="0" w:line="240" w:lineRule="exact"/>
              <w:ind w:left="0"/>
              <w:rPr>
                <w:rFonts w:cs="Times New Roman"/>
                <w:sz w:val="18"/>
                <w:szCs w:val="18"/>
              </w:rPr>
            </w:pPr>
            <w:r>
              <w:rPr>
                <w:rFonts w:cs="Times New Roman"/>
                <w:sz w:val="18"/>
                <w:szCs w:val="18"/>
              </w:rPr>
              <w:t>Neck Pain</w:t>
            </w:r>
          </w:p>
        </w:tc>
        <w:tc>
          <w:tcPr>
            <w:tcW w:w="1103" w:type="dxa"/>
            <w:tcBorders>
              <w:left w:val="single" w:sz="4" w:space="0" w:color="auto"/>
              <w:bottom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5242-5243</w:t>
            </w:r>
          </w:p>
        </w:tc>
        <w:tc>
          <w:tcPr>
            <w:tcW w:w="810" w:type="dxa"/>
            <w:tcBorders>
              <w:bottom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20%</w:t>
            </w:r>
          </w:p>
        </w:tc>
        <w:tc>
          <w:tcPr>
            <w:tcW w:w="956" w:type="dxa"/>
            <w:tcBorders>
              <w:bottom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20060124</w:t>
            </w:r>
          </w:p>
        </w:tc>
      </w:tr>
      <w:tr w:rsidR="00DF7EC9" w:rsidTr="004A645E">
        <w:trPr>
          <w:trHeight w:val="214"/>
        </w:trPr>
        <w:tc>
          <w:tcPr>
            <w:tcW w:w="1980" w:type="dxa"/>
            <w:vMerge/>
            <w:shd w:val="clear" w:color="auto" w:fill="FFFFFF" w:themeFill="background1"/>
          </w:tcPr>
          <w:p w:rsidR="00DF7EC9" w:rsidRPr="00766148" w:rsidRDefault="00DF7EC9" w:rsidP="00AA2E12">
            <w:pPr>
              <w:pStyle w:val="ListParagraph"/>
              <w:spacing w:after="0" w:line="240" w:lineRule="exact"/>
              <w:ind w:left="0"/>
              <w:rPr>
                <w:rFonts w:cs="Times New Roman"/>
                <w:sz w:val="18"/>
                <w:szCs w:val="18"/>
              </w:rPr>
            </w:pPr>
          </w:p>
        </w:tc>
        <w:tc>
          <w:tcPr>
            <w:tcW w:w="1024" w:type="dxa"/>
            <w:vMerge/>
            <w:shd w:val="clear" w:color="auto" w:fill="FFFFFF" w:themeFill="background1"/>
          </w:tcPr>
          <w:p w:rsidR="00DF7EC9" w:rsidRDefault="00DF7EC9" w:rsidP="00AA2E12">
            <w:pPr>
              <w:pStyle w:val="ListParagraph"/>
              <w:spacing w:after="0" w:line="240" w:lineRule="exact"/>
              <w:ind w:left="0"/>
              <w:jc w:val="center"/>
              <w:rPr>
                <w:rFonts w:cs="Times New Roman"/>
                <w:sz w:val="18"/>
                <w:szCs w:val="18"/>
              </w:rPr>
            </w:pPr>
          </w:p>
        </w:tc>
        <w:tc>
          <w:tcPr>
            <w:tcW w:w="776" w:type="dxa"/>
            <w:vMerge/>
            <w:shd w:val="clear" w:color="auto" w:fill="FFFFFF" w:themeFill="background1"/>
          </w:tcPr>
          <w:p w:rsidR="00DF7EC9" w:rsidRDefault="00DF7EC9" w:rsidP="00AA2E12">
            <w:pPr>
              <w:pStyle w:val="ListParagraph"/>
              <w:spacing w:after="0" w:line="240" w:lineRule="exact"/>
              <w:ind w:left="0"/>
              <w:jc w:val="center"/>
              <w:rPr>
                <w:rFonts w:cs="Times New Roman"/>
                <w:sz w:val="18"/>
                <w:szCs w:val="18"/>
              </w:rPr>
            </w:pPr>
          </w:p>
        </w:tc>
        <w:tc>
          <w:tcPr>
            <w:tcW w:w="1024" w:type="dxa"/>
            <w:vMerge/>
            <w:tcBorders>
              <w:right w:val="thinThickThinSmallGap" w:sz="24" w:space="0" w:color="auto"/>
            </w:tcBorders>
            <w:shd w:val="clear" w:color="auto" w:fill="FFFFFF" w:themeFill="background1"/>
          </w:tcPr>
          <w:p w:rsidR="00DF7EC9" w:rsidRDefault="00DF7EC9" w:rsidP="00AA2E12">
            <w:pPr>
              <w:pStyle w:val="ListParagraph"/>
              <w:spacing w:after="0" w:line="240" w:lineRule="exact"/>
              <w:ind w:left="0"/>
              <w:jc w:val="center"/>
              <w:rPr>
                <w:rFonts w:cs="Times New Roman"/>
                <w:sz w:val="18"/>
                <w:szCs w:val="18"/>
              </w:rPr>
            </w:pPr>
          </w:p>
        </w:tc>
        <w:tc>
          <w:tcPr>
            <w:tcW w:w="2227" w:type="dxa"/>
            <w:tcBorders>
              <w:top w:val="single" w:sz="4" w:space="0" w:color="auto"/>
              <w:left w:val="thinThickThinSmallGap" w:sz="24" w:space="0" w:color="auto"/>
              <w:right w:val="single" w:sz="4" w:space="0" w:color="auto"/>
            </w:tcBorders>
            <w:shd w:val="clear" w:color="auto" w:fill="FFFFFF" w:themeFill="background1"/>
          </w:tcPr>
          <w:p w:rsidR="00DF7EC9" w:rsidRPr="00BC09D1" w:rsidRDefault="00DF7EC9" w:rsidP="00AA2E12">
            <w:pPr>
              <w:pStyle w:val="ListParagraph"/>
              <w:spacing w:after="0" w:line="240" w:lineRule="exact"/>
              <w:ind w:left="0"/>
              <w:rPr>
                <w:rFonts w:cs="Times New Roman"/>
                <w:sz w:val="18"/>
                <w:szCs w:val="18"/>
              </w:rPr>
            </w:pPr>
            <w:r>
              <w:rPr>
                <w:rFonts w:cs="Times New Roman"/>
                <w:sz w:val="18"/>
                <w:szCs w:val="18"/>
              </w:rPr>
              <w:t xml:space="preserve">Cervical </w:t>
            </w:r>
            <w:proofErr w:type="spellStart"/>
            <w:r>
              <w:rPr>
                <w:rFonts w:cs="Times New Roman"/>
                <w:sz w:val="18"/>
                <w:szCs w:val="18"/>
              </w:rPr>
              <w:t>Radiculitis</w:t>
            </w:r>
            <w:proofErr w:type="spellEnd"/>
          </w:p>
        </w:tc>
        <w:tc>
          <w:tcPr>
            <w:tcW w:w="1103" w:type="dxa"/>
            <w:tcBorders>
              <w:top w:val="single" w:sz="4" w:space="0" w:color="auto"/>
              <w:left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8599-8515</w:t>
            </w:r>
          </w:p>
        </w:tc>
        <w:tc>
          <w:tcPr>
            <w:tcW w:w="810" w:type="dxa"/>
            <w:tcBorders>
              <w:top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10%</w:t>
            </w:r>
          </w:p>
        </w:tc>
        <w:tc>
          <w:tcPr>
            <w:tcW w:w="956" w:type="dxa"/>
            <w:tcBorders>
              <w:top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20060124</w:t>
            </w:r>
          </w:p>
        </w:tc>
      </w:tr>
      <w:tr w:rsidR="00DF7EC9" w:rsidTr="004A645E">
        <w:trPr>
          <w:trHeight w:val="210"/>
        </w:trPr>
        <w:tc>
          <w:tcPr>
            <w:tcW w:w="1980" w:type="dxa"/>
            <w:vMerge w:val="restart"/>
            <w:shd w:val="clear" w:color="auto" w:fill="FFFFFF" w:themeFill="background1"/>
          </w:tcPr>
          <w:p w:rsidR="00DF7EC9" w:rsidRPr="00BC09D1" w:rsidRDefault="00DF7EC9" w:rsidP="00AA2E12">
            <w:pPr>
              <w:pStyle w:val="ListParagraph"/>
              <w:spacing w:after="0" w:line="240" w:lineRule="exact"/>
              <w:ind w:left="0"/>
              <w:rPr>
                <w:rFonts w:cs="Times New Roman"/>
                <w:sz w:val="18"/>
                <w:szCs w:val="18"/>
              </w:rPr>
            </w:pPr>
            <w:r>
              <w:rPr>
                <w:rFonts w:cs="Times New Roman"/>
                <w:sz w:val="18"/>
                <w:szCs w:val="18"/>
              </w:rPr>
              <w:t xml:space="preserve">Bilateral </w:t>
            </w:r>
            <w:proofErr w:type="spellStart"/>
            <w:r>
              <w:rPr>
                <w:rFonts w:cs="Times New Roman"/>
                <w:sz w:val="18"/>
                <w:szCs w:val="18"/>
              </w:rPr>
              <w:t>Patellofemoral</w:t>
            </w:r>
            <w:proofErr w:type="spellEnd"/>
            <w:r>
              <w:rPr>
                <w:rFonts w:cs="Times New Roman"/>
                <w:sz w:val="18"/>
                <w:szCs w:val="18"/>
              </w:rPr>
              <w:t xml:space="preserve"> Syndrome</w:t>
            </w:r>
          </w:p>
        </w:tc>
        <w:tc>
          <w:tcPr>
            <w:tcW w:w="1800" w:type="dxa"/>
            <w:gridSpan w:val="2"/>
            <w:vMerge w:val="restart"/>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sidRPr="00BC09D1">
              <w:rPr>
                <w:rFonts w:cs="Times New Roman"/>
                <w:sz w:val="18"/>
                <w:szCs w:val="18"/>
              </w:rPr>
              <w:t>Not Unfitting</w:t>
            </w:r>
          </w:p>
        </w:tc>
        <w:tc>
          <w:tcPr>
            <w:tcW w:w="1024" w:type="dxa"/>
            <w:vMerge w:val="restart"/>
            <w:tcBorders>
              <w:right w:val="thinThickThinSmallGap" w:sz="24" w:space="0" w:color="auto"/>
            </w:tcBorders>
            <w:shd w:val="clear" w:color="auto" w:fill="FFFFFF" w:themeFill="background1"/>
          </w:tcPr>
          <w:p w:rsidR="00DF7EC9" w:rsidRPr="009A372A" w:rsidRDefault="00DF7EC9" w:rsidP="00AA2E12">
            <w:pPr>
              <w:spacing w:line="240" w:lineRule="exact"/>
              <w:jc w:val="center"/>
              <w:rPr>
                <w:color w:val="auto"/>
              </w:rPr>
            </w:pPr>
            <w:r w:rsidRPr="009A372A">
              <w:rPr>
                <w:rFonts w:cs="Times New Roman"/>
                <w:color w:val="auto"/>
                <w:sz w:val="18"/>
                <w:szCs w:val="18"/>
              </w:rPr>
              <w:t>20060203</w:t>
            </w:r>
          </w:p>
        </w:tc>
        <w:tc>
          <w:tcPr>
            <w:tcW w:w="2227" w:type="dxa"/>
            <w:tcBorders>
              <w:left w:val="thinThickThinSmallGap" w:sz="24" w:space="0" w:color="auto"/>
              <w:bottom w:val="single" w:sz="4" w:space="0" w:color="auto"/>
              <w:right w:val="single" w:sz="4" w:space="0" w:color="auto"/>
            </w:tcBorders>
            <w:shd w:val="clear" w:color="auto" w:fill="FFFFFF" w:themeFill="background1"/>
          </w:tcPr>
          <w:p w:rsidR="00DF7EC9" w:rsidRPr="00BC09D1" w:rsidRDefault="00DF7EC9" w:rsidP="00AA2E12">
            <w:pPr>
              <w:pStyle w:val="ListParagraph"/>
              <w:spacing w:after="0" w:line="240" w:lineRule="exact"/>
              <w:ind w:left="0"/>
              <w:rPr>
                <w:rFonts w:cs="Times New Roman"/>
                <w:sz w:val="18"/>
                <w:szCs w:val="18"/>
              </w:rPr>
            </w:pPr>
            <w:r>
              <w:rPr>
                <w:rFonts w:cs="Times New Roman"/>
                <w:sz w:val="18"/>
                <w:szCs w:val="18"/>
              </w:rPr>
              <w:t xml:space="preserve">R </w:t>
            </w:r>
            <w:proofErr w:type="spellStart"/>
            <w:r>
              <w:rPr>
                <w:rFonts w:cs="Times New Roman"/>
                <w:sz w:val="18"/>
                <w:szCs w:val="18"/>
              </w:rPr>
              <w:t>Patellofemoral</w:t>
            </w:r>
            <w:proofErr w:type="spellEnd"/>
            <w:r>
              <w:rPr>
                <w:rFonts w:cs="Times New Roman"/>
                <w:sz w:val="18"/>
                <w:szCs w:val="18"/>
              </w:rPr>
              <w:t xml:space="preserve"> Syndrome</w:t>
            </w:r>
          </w:p>
        </w:tc>
        <w:tc>
          <w:tcPr>
            <w:tcW w:w="1103" w:type="dxa"/>
            <w:tcBorders>
              <w:left w:val="single" w:sz="4" w:space="0" w:color="auto"/>
              <w:bottom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5099-5024</w:t>
            </w:r>
          </w:p>
        </w:tc>
        <w:tc>
          <w:tcPr>
            <w:tcW w:w="810" w:type="dxa"/>
            <w:tcBorders>
              <w:bottom w:val="single" w:sz="4" w:space="0" w:color="auto"/>
            </w:tcBorders>
            <w:shd w:val="clear" w:color="auto" w:fill="FFFFFF" w:themeFill="background1"/>
          </w:tcPr>
          <w:p w:rsidR="00DF7EC9" w:rsidRPr="00BC09D1" w:rsidRDefault="00DF7EC9" w:rsidP="00AA2E12">
            <w:pPr>
              <w:pStyle w:val="ListParagraph"/>
              <w:spacing w:after="0" w:line="240" w:lineRule="exact"/>
              <w:ind w:left="0"/>
              <w:jc w:val="center"/>
              <w:rPr>
                <w:rFonts w:cs="Times New Roman"/>
                <w:sz w:val="18"/>
                <w:szCs w:val="18"/>
              </w:rPr>
            </w:pPr>
            <w:r>
              <w:rPr>
                <w:rFonts w:cs="Times New Roman"/>
                <w:sz w:val="18"/>
                <w:szCs w:val="18"/>
              </w:rPr>
              <w:t>0%</w:t>
            </w:r>
          </w:p>
        </w:tc>
        <w:tc>
          <w:tcPr>
            <w:tcW w:w="956" w:type="dxa"/>
            <w:tcBorders>
              <w:bottom w:val="single" w:sz="4" w:space="0" w:color="auto"/>
            </w:tcBorders>
            <w:shd w:val="clear" w:color="auto" w:fill="FFFFFF" w:themeFill="background1"/>
          </w:tcPr>
          <w:p w:rsidR="00DF7EC9" w:rsidRPr="009A372A" w:rsidRDefault="00DF7EC9" w:rsidP="00AA2E12">
            <w:pPr>
              <w:spacing w:line="240" w:lineRule="exact"/>
              <w:jc w:val="center"/>
              <w:rPr>
                <w:color w:val="auto"/>
              </w:rPr>
            </w:pPr>
            <w:r w:rsidRPr="009A372A">
              <w:rPr>
                <w:rFonts w:cs="Times New Roman"/>
                <w:color w:val="auto"/>
                <w:sz w:val="18"/>
                <w:szCs w:val="18"/>
              </w:rPr>
              <w:t>20060124</w:t>
            </w:r>
          </w:p>
        </w:tc>
      </w:tr>
      <w:tr w:rsidR="00137BBA" w:rsidTr="004A645E">
        <w:trPr>
          <w:trHeight w:val="170"/>
        </w:trPr>
        <w:tc>
          <w:tcPr>
            <w:tcW w:w="1980" w:type="dxa"/>
            <w:vMerge/>
            <w:shd w:val="clear" w:color="auto" w:fill="FFFFFF" w:themeFill="background1"/>
          </w:tcPr>
          <w:p w:rsidR="00137BBA" w:rsidRDefault="00137BBA" w:rsidP="00AA2E12">
            <w:pPr>
              <w:pStyle w:val="ListParagraph"/>
              <w:spacing w:after="0" w:line="240" w:lineRule="exact"/>
              <w:ind w:left="0"/>
              <w:rPr>
                <w:rFonts w:cs="Times New Roman"/>
                <w:sz w:val="18"/>
                <w:szCs w:val="18"/>
              </w:rPr>
            </w:pPr>
          </w:p>
        </w:tc>
        <w:tc>
          <w:tcPr>
            <w:tcW w:w="1800" w:type="dxa"/>
            <w:gridSpan w:val="2"/>
            <w:vMerge/>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p>
        </w:tc>
        <w:tc>
          <w:tcPr>
            <w:tcW w:w="1024" w:type="dxa"/>
            <w:vMerge/>
            <w:tcBorders>
              <w:right w:val="thinThickThinSmallGap" w:sz="24" w:space="0" w:color="auto"/>
            </w:tcBorders>
            <w:shd w:val="clear" w:color="auto" w:fill="FFFFFF" w:themeFill="background1"/>
          </w:tcPr>
          <w:p w:rsidR="00137BBA" w:rsidRPr="009A372A" w:rsidRDefault="00137BBA" w:rsidP="00AA2E12">
            <w:pPr>
              <w:pStyle w:val="ListParagraph"/>
              <w:spacing w:after="0" w:line="240" w:lineRule="exact"/>
              <w:ind w:left="0"/>
              <w:jc w:val="center"/>
              <w:rPr>
                <w:rFonts w:cs="Times New Roman"/>
                <w:sz w:val="18"/>
                <w:szCs w:val="18"/>
              </w:rPr>
            </w:pPr>
          </w:p>
        </w:tc>
        <w:tc>
          <w:tcPr>
            <w:tcW w:w="2227" w:type="dxa"/>
            <w:tcBorders>
              <w:top w:val="single" w:sz="4" w:space="0" w:color="auto"/>
              <w:left w:val="thinThickThinSmallGap" w:sz="24" w:space="0" w:color="auto"/>
              <w:right w:val="single" w:sz="4" w:space="0" w:color="auto"/>
            </w:tcBorders>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r>
              <w:rPr>
                <w:rFonts w:cs="Times New Roman"/>
                <w:sz w:val="18"/>
                <w:szCs w:val="18"/>
              </w:rPr>
              <w:t xml:space="preserve">L </w:t>
            </w:r>
            <w:proofErr w:type="spellStart"/>
            <w:r>
              <w:rPr>
                <w:rFonts w:cs="Times New Roman"/>
                <w:sz w:val="18"/>
                <w:szCs w:val="18"/>
              </w:rPr>
              <w:t>Patellofemoral</w:t>
            </w:r>
            <w:proofErr w:type="spellEnd"/>
            <w:r>
              <w:rPr>
                <w:rFonts w:cs="Times New Roman"/>
                <w:sz w:val="18"/>
                <w:szCs w:val="18"/>
              </w:rPr>
              <w:t xml:space="preserve"> Syndrome</w:t>
            </w:r>
          </w:p>
        </w:tc>
        <w:tc>
          <w:tcPr>
            <w:tcW w:w="1103" w:type="dxa"/>
            <w:tcBorders>
              <w:top w:val="single" w:sz="4" w:space="0" w:color="auto"/>
              <w:left w:val="single" w:sz="4" w:space="0" w:color="auto"/>
            </w:tcBorders>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5099-5024</w:t>
            </w:r>
          </w:p>
        </w:tc>
        <w:tc>
          <w:tcPr>
            <w:tcW w:w="810" w:type="dxa"/>
            <w:tcBorders>
              <w:top w:val="single" w:sz="4" w:space="0" w:color="auto"/>
            </w:tcBorders>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0%</w:t>
            </w:r>
          </w:p>
        </w:tc>
        <w:tc>
          <w:tcPr>
            <w:tcW w:w="956" w:type="dxa"/>
            <w:tcBorders>
              <w:top w:val="single" w:sz="4" w:space="0" w:color="auto"/>
            </w:tcBorders>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20060124</w:t>
            </w:r>
          </w:p>
        </w:tc>
      </w:tr>
      <w:tr w:rsidR="00137BBA" w:rsidTr="004A645E">
        <w:trPr>
          <w:trHeight w:val="188"/>
        </w:trPr>
        <w:tc>
          <w:tcPr>
            <w:tcW w:w="1980" w:type="dxa"/>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proofErr w:type="spellStart"/>
            <w:r>
              <w:rPr>
                <w:sz w:val="18"/>
                <w:szCs w:val="18"/>
              </w:rPr>
              <w:t>Dyspnea</w:t>
            </w:r>
            <w:proofErr w:type="spellEnd"/>
          </w:p>
        </w:tc>
        <w:tc>
          <w:tcPr>
            <w:tcW w:w="1800" w:type="dxa"/>
            <w:gridSpan w:val="2"/>
            <w:shd w:val="clear" w:color="auto" w:fill="FFFFFF" w:themeFill="background1"/>
          </w:tcPr>
          <w:p w:rsidR="00137BBA" w:rsidRPr="00766148" w:rsidRDefault="00137BBA" w:rsidP="00AA2E12">
            <w:pPr>
              <w:spacing w:line="240" w:lineRule="exact"/>
              <w:jc w:val="center"/>
              <w:rPr>
                <w:color w:val="auto"/>
              </w:rPr>
            </w:pPr>
            <w:r w:rsidRPr="00766148">
              <w:rPr>
                <w:rFonts w:cs="Times New Roman"/>
                <w:color w:val="auto"/>
                <w:sz w:val="18"/>
                <w:szCs w:val="18"/>
              </w:rPr>
              <w:t>Not Unfitting</w:t>
            </w:r>
          </w:p>
        </w:tc>
        <w:tc>
          <w:tcPr>
            <w:tcW w:w="1024" w:type="dxa"/>
            <w:tcBorders>
              <w:right w:val="thinThickThinSmallGap" w:sz="24" w:space="0" w:color="auto"/>
            </w:tcBorders>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20060203</w:t>
            </w:r>
          </w:p>
        </w:tc>
        <w:tc>
          <w:tcPr>
            <w:tcW w:w="2227" w:type="dxa"/>
            <w:tcBorders>
              <w:left w:val="thinThickThinSmallGap" w:sz="24" w:space="0" w:color="auto"/>
            </w:tcBorders>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proofErr w:type="spellStart"/>
            <w:r>
              <w:rPr>
                <w:rFonts w:cs="Times New Roman"/>
                <w:sz w:val="18"/>
                <w:szCs w:val="18"/>
              </w:rPr>
              <w:t>Dyspnea</w:t>
            </w:r>
            <w:proofErr w:type="spellEnd"/>
          </w:p>
        </w:tc>
        <w:tc>
          <w:tcPr>
            <w:tcW w:w="1103"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sz w:val="18"/>
                <w:szCs w:val="18"/>
              </w:rPr>
              <w:t>6699-6604</w:t>
            </w:r>
          </w:p>
        </w:tc>
        <w:tc>
          <w:tcPr>
            <w:tcW w:w="810"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NSC</w:t>
            </w:r>
          </w:p>
        </w:tc>
        <w:tc>
          <w:tcPr>
            <w:tcW w:w="956" w:type="dxa"/>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20060124</w:t>
            </w:r>
          </w:p>
        </w:tc>
      </w:tr>
      <w:tr w:rsidR="00137BBA" w:rsidTr="004A645E">
        <w:trPr>
          <w:trHeight w:val="188"/>
        </w:trPr>
        <w:tc>
          <w:tcPr>
            <w:tcW w:w="1980" w:type="dxa"/>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r>
              <w:rPr>
                <w:sz w:val="18"/>
                <w:szCs w:val="18"/>
              </w:rPr>
              <w:t>Chronic Abdominal Pain</w:t>
            </w:r>
          </w:p>
        </w:tc>
        <w:tc>
          <w:tcPr>
            <w:tcW w:w="1800" w:type="dxa"/>
            <w:gridSpan w:val="2"/>
            <w:shd w:val="clear" w:color="auto" w:fill="FFFFFF" w:themeFill="background1"/>
          </w:tcPr>
          <w:p w:rsidR="00137BBA" w:rsidRPr="00766148" w:rsidRDefault="00137BBA" w:rsidP="00AA2E12">
            <w:pPr>
              <w:spacing w:line="240" w:lineRule="exact"/>
              <w:jc w:val="center"/>
              <w:rPr>
                <w:color w:val="auto"/>
              </w:rPr>
            </w:pPr>
            <w:r w:rsidRPr="00766148">
              <w:rPr>
                <w:rFonts w:cs="Times New Roman"/>
                <w:color w:val="auto"/>
                <w:sz w:val="18"/>
                <w:szCs w:val="18"/>
              </w:rPr>
              <w:t>Not Unfitting</w:t>
            </w:r>
          </w:p>
        </w:tc>
        <w:tc>
          <w:tcPr>
            <w:tcW w:w="1024" w:type="dxa"/>
            <w:tcBorders>
              <w:right w:val="thinThickThinSmallGap" w:sz="24" w:space="0" w:color="auto"/>
            </w:tcBorders>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20060203</w:t>
            </w:r>
          </w:p>
        </w:tc>
        <w:tc>
          <w:tcPr>
            <w:tcW w:w="2227" w:type="dxa"/>
            <w:tcBorders>
              <w:left w:val="thinThickThinSmallGap" w:sz="24" w:space="0" w:color="auto"/>
            </w:tcBorders>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r>
              <w:rPr>
                <w:sz w:val="18"/>
                <w:szCs w:val="18"/>
              </w:rPr>
              <w:t>Abdominal Pain</w:t>
            </w:r>
          </w:p>
        </w:tc>
        <w:tc>
          <w:tcPr>
            <w:tcW w:w="1103"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sz w:val="18"/>
                <w:szCs w:val="18"/>
              </w:rPr>
              <w:t>7399-7319</w:t>
            </w:r>
          </w:p>
        </w:tc>
        <w:tc>
          <w:tcPr>
            <w:tcW w:w="810"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NSC</w:t>
            </w:r>
          </w:p>
        </w:tc>
        <w:tc>
          <w:tcPr>
            <w:tcW w:w="956" w:type="dxa"/>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20060124</w:t>
            </w:r>
          </w:p>
        </w:tc>
      </w:tr>
      <w:tr w:rsidR="00137BBA" w:rsidTr="004A645E">
        <w:trPr>
          <w:trHeight w:val="188"/>
        </w:trPr>
        <w:tc>
          <w:tcPr>
            <w:tcW w:w="1980" w:type="dxa"/>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r>
              <w:rPr>
                <w:rFonts w:cs="Times New Roman"/>
                <w:sz w:val="18"/>
                <w:szCs w:val="18"/>
              </w:rPr>
              <w:t>Hearing Loss</w:t>
            </w:r>
          </w:p>
        </w:tc>
        <w:tc>
          <w:tcPr>
            <w:tcW w:w="1800" w:type="dxa"/>
            <w:gridSpan w:val="2"/>
            <w:shd w:val="clear" w:color="auto" w:fill="FFFFFF" w:themeFill="background1"/>
          </w:tcPr>
          <w:p w:rsidR="00137BBA" w:rsidRPr="00766148" w:rsidRDefault="00137BBA" w:rsidP="00AA2E12">
            <w:pPr>
              <w:spacing w:line="240" w:lineRule="exact"/>
              <w:jc w:val="center"/>
              <w:rPr>
                <w:color w:val="auto"/>
              </w:rPr>
            </w:pPr>
            <w:r w:rsidRPr="00766148">
              <w:rPr>
                <w:rFonts w:cs="Times New Roman"/>
                <w:color w:val="auto"/>
                <w:sz w:val="18"/>
                <w:szCs w:val="18"/>
              </w:rPr>
              <w:t>Not Unfitting</w:t>
            </w:r>
          </w:p>
        </w:tc>
        <w:tc>
          <w:tcPr>
            <w:tcW w:w="1024" w:type="dxa"/>
            <w:tcBorders>
              <w:right w:val="thinThickThinSmallGap" w:sz="24" w:space="0" w:color="auto"/>
            </w:tcBorders>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20060203</w:t>
            </w:r>
          </w:p>
        </w:tc>
        <w:tc>
          <w:tcPr>
            <w:tcW w:w="2227" w:type="dxa"/>
            <w:tcBorders>
              <w:left w:val="thinThickThinSmallGap" w:sz="24" w:space="0" w:color="auto"/>
            </w:tcBorders>
            <w:shd w:val="clear" w:color="auto" w:fill="FFFFFF" w:themeFill="background1"/>
          </w:tcPr>
          <w:p w:rsidR="00137BBA" w:rsidRPr="00BC09D1" w:rsidRDefault="00137BBA" w:rsidP="00AA2E12">
            <w:pPr>
              <w:pStyle w:val="ListParagraph"/>
              <w:spacing w:after="0" w:line="240" w:lineRule="exact"/>
              <w:ind w:left="0"/>
              <w:rPr>
                <w:rFonts w:cs="Times New Roman"/>
                <w:sz w:val="18"/>
                <w:szCs w:val="18"/>
              </w:rPr>
            </w:pPr>
            <w:r>
              <w:rPr>
                <w:rFonts w:cs="Times New Roman"/>
                <w:sz w:val="18"/>
                <w:szCs w:val="18"/>
              </w:rPr>
              <w:t>Bilateral Hearing Loss</w:t>
            </w:r>
          </w:p>
        </w:tc>
        <w:tc>
          <w:tcPr>
            <w:tcW w:w="1103"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6100</w:t>
            </w:r>
          </w:p>
        </w:tc>
        <w:tc>
          <w:tcPr>
            <w:tcW w:w="810"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0%</w:t>
            </w:r>
          </w:p>
        </w:tc>
        <w:tc>
          <w:tcPr>
            <w:tcW w:w="956" w:type="dxa"/>
            <w:shd w:val="clear" w:color="auto" w:fill="FFFFFF" w:themeFill="background1"/>
          </w:tcPr>
          <w:p w:rsidR="00137BBA" w:rsidRPr="009A372A" w:rsidRDefault="00137BBA" w:rsidP="00AA2E12">
            <w:pPr>
              <w:spacing w:line="240" w:lineRule="exact"/>
              <w:jc w:val="center"/>
              <w:rPr>
                <w:color w:val="auto"/>
              </w:rPr>
            </w:pPr>
            <w:r w:rsidRPr="009A372A">
              <w:rPr>
                <w:rFonts w:cs="Times New Roman"/>
                <w:color w:val="auto"/>
                <w:sz w:val="18"/>
                <w:szCs w:val="18"/>
              </w:rPr>
              <w:t>20060124</w:t>
            </w:r>
          </w:p>
        </w:tc>
      </w:tr>
      <w:tr w:rsidR="00137BBA" w:rsidTr="00137BBA">
        <w:trPr>
          <w:trHeight w:val="197"/>
        </w:trPr>
        <w:tc>
          <w:tcPr>
            <w:tcW w:w="4804" w:type="dxa"/>
            <w:gridSpan w:val="4"/>
            <w:tcBorders>
              <w:right w:val="thinThickThinSmallGap" w:sz="24" w:space="0" w:color="auto"/>
            </w:tcBorders>
            <w:shd w:val="clear" w:color="auto" w:fill="FFFFFF" w:themeFill="background1"/>
          </w:tcPr>
          <w:p w:rsidR="00137BBA" w:rsidRPr="00BC09D1" w:rsidRDefault="00137BBA" w:rsidP="00AA2E12">
            <w:pPr>
              <w:pStyle w:val="ListParagraph"/>
              <w:spacing w:after="0" w:line="240" w:lineRule="exact"/>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4140" w:type="dxa"/>
            <w:gridSpan w:val="3"/>
            <w:tcBorders>
              <w:left w:val="thinThickThinSmallGap" w:sz="24" w:space="0" w:color="auto"/>
            </w:tcBorders>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2</w:t>
            </w:r>
            <w:r w:rsidRPr="00BC09D1">
              <w:rPr>
                <w:rFonts w:cs="Times New Roman"/>
                <w:sz w:val="18"/>
                <w:szCs w:val="18"/>
              </w:rPr>
              <w:t xml:space="preserve"> / NSC X </w:t>
            </w:r>
            <w:r>
              <w:rPr>
                <w:rFonts w:cs="Times New Roman"/>
                <w:sz w:val="18"/>
                <w:szCs w:val="18"/>
              </w:rPr>
              <w:t>2</w:t>
            </w:r>
          </w:p>
        </w:tc>
        <w:tc>
          <w:tcPr>
            <w:tcW w:w="956" w:type="dxa"/>
            <w:shd w:val="clear" w:color="auto" w:fill="FFFFFF" w:themeFill="background1"/>
          </w:tcPr>
          <w:p w:rsidR="00137BBA" w:rsidRPr="00BC09D1" w:rsidRDefault="00137BBA" w:rsidP="00AA2E12">
            <w:pPr>
              <w:pStyle w:val="ListParagraph"/>
              <w:spacing w:after="0" w:line="240" w:lineRule="exact"/>
              <w:ind w:left="0"/>
              <w:jc w:val="center"/>
              <w:rPr>
                <w:rFonts w:cs="Times New Roman"/>
                <w:sz w:val="18"/>
                <w:szCs w:val="18"/>
              </w:rPr>
            </w:pPr>
            <w:r>
              <w:rPr>
                <w:rFonts w:cs="Times New Roman"/>
                <w:sz w:val="18"/>
                <w:szCs w:val="18"/>
              </w:rPr>
              <w:t>20060124</w:t>
            </w:r>
          </w:p>
        </w:tc>
      </w:tr>
      <w:tr w:rsidR="006178CD" w:rsidTr="0069674A">
        <w:trPr>
          <w:trHeight w:val="242"/>
        </w:trPr>
        <w:tc>
          <w:tcPr>
            <w:tcW w:w="4804" w:type="dxa"/>
            <w:gridSpan w:val="4"/>
            <w:tcBorders>
              <w:right w:val="thinThickThinSmallGap" w:sz="24" w:space="0" w:color="auto"/>
            </w:tcBorders>
            <w:shd w:val="clear" w:color="auto" w:fill="C6D9F1" w:themeFill="text2" w:themeFillTint="33"/>
          </w:tcPr>
          <w:p w:rsidR="006178CD" w:rsidRPr="00BC09D1" w:rsidRDefault="006178CD" w:rsidP="00AA2E12">
            <w:pPr>
              <w:pStyle w:val="ListParagraph"/>
              <w:spacing w:after="0" w:line="240" w:lineRule="exact"/>
              <w:ind w:left="0"/>
              <w:jc w:val="center"/>
              <w:rPr>
                <w:rFonts w:cs="Times New Roman"/>
                <w:b/>
                <w:sz w:val="20"/>
                <w:szCs w:val="20"/>
              </w:rPr>
            </w:pPr>
            <w:r w:rsidRPr="00BC09D1">
              <w:rPr>
                <w:rFonts w:cs="Times New Roman"/>
                <w:b/>
                <w:sz w:val="20"/>
                <w:szCs w:val="20"/>
              </w:rPr>
              <w:t xml:space="preserve">TOTAL Combined:  </w:t>
            </w:r>
            <w:r>
              <w:rPr>
                <w:rFonts w:cs="Times New Roman"/>
                <w:b/>
                <w:sz w:val="20"/>
                <w:szCs w:val="20"/>
              </w:rPr>
              <w:t>1</w:t>
            </w:r>
            <w:r w:rsidRPr="00BC09D1">
              <w:rPr>
                <w:rFonts w:cs="Times New Roman"/>
                <w:b/>
                <w:sz w:val="20"/>
                <w:szCs w:val="20"/>
              </w:rPr>
              <w:t>0%</w:t>
            </w:r>
          </w:p>
        </w:tc>
        <w:tc>
          <w:tcPr>
            <w:tcW w:w="5096" w:type="dxa"/>
            <w:gridSpan w:val="4"/>
            <w:tcBorders>
              <w:left w:val="thinThickThinSmallGap" w:sz="24" w:space="0" w:color="auto"/>
            </w:tcBorders>
            <w:shd w:val="clear" w:color="auto" w:fill="C6D9F1" w:themeFill="text2" w:themeFillTint="33"/>
          </w:tcPr>
          <w:p w:rsidR="006178CD" w:rsidRPr="00BC09D1" w:rsidRDefault="006178CD" w:rsidP="00AA2E12">
            <w:pPr>
              <w:pStyle w:val="ListParagraph"/>
              <w:spacing w:after="0" w:line="240" w:lineRule="exact"/>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4</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AA2E12">
      <w:pPr>
        <w:tabs>
          <w:tab w:val="left" w:pos="288"/>
          <w:tab w:val="left" w:pos="4752"/>
        </w:tabs>
        <w:spacing w:line="240" w:lineRule="exact"/>
        <w:jc w:val="both"/>
        <w:rPr>
          <w:color w:val="000080"/>
        </w:rPr>
      </w:pPr>
    </w:p>
    <w:p w:rsidR="002C6E5B" w:rsidRPr="0079681C" w:rsidRDefault="002C6E5B" w:rsidP="00AA2E12">
      <w:pPr>
        <w:tabs>
          <w:tab w:val="left" w:pos="288"/>
          <w:tab w:val="left" w:pos="4752"/>
        </w:tabs>
        <w:spacing w:line="240" w:lineRule="exact"/>
        <w:jc w:val="both"/>
        <w:rPr>
          <w:color w:val="000080"/>
        </w:rPr>
      </w:pPr>
      <w:r w:rsidRPr="0079681C">
        <w:rPr>
          <w:color w:val="000080"/>
          <w:u w:val="single"/>
        </w:rPr>
        <w:t>ANALYSIS SUMMARY</w:t>
      </w:r>
      <w:r w:rsidRPr="0079681C">
        <w:rPr>
          <w:color w:val="000080"/>
        </w:rPr>
        <w:t>:</w:t>
      </w:r>
    </w:p>
    <w:p w:rsidR="002C6E5B" w:rsidRPr="0079681C" w:rsidRDefault="002C6E5B" w:rsidP="00AA2E12">
      <w:pPr>
        <w:tabs>
          <w:tab w:val="left" w:pos="288"/>
          <w:tab w:val="left" w:pos="4752"/>
        </w:tabs>
        <w:spacing w:line="240" w:lineRule="exact"/>
        <w:jc w:val="both"/>
        <w:rPr>
          <w:color w:val="000080"/>
        </w:rPr>
      </w:pPr>
    </w:p>
    <w:p w:rsidR="001A53E2" w:rsidRPr="0079681C" w:rsidRDefault="002402F1" w:rsidP="00AA2E12">
      <w:pPr>
        <w:tabs>
          <w:tab w:val="left" w:pos="288"/>
          <w:tab w:val="left" w:pos="4752"/>
        </w:tabs>
        <w:spacing w:line="240" w:lineRule="exact"/>
        <w:jc w:val="both"/>
        <w:rPr>
          <w:color w:val="000080"/>
        </w:rPr>
      </w:pPr>
      <w:proofErr w:type="gramStart"/>
      <w:r w:rsidRPr="0079681C">
        <w:rPr>
          <w:color w:val="000080"/>
          <w:u w:val="single"/>
        </w:rPr>
        <w:t>Neck</w:t>
      </w:r>
      <w:r w:rsidR="002C6E5B" w:rsidRPr="0079681C">
        <w:rPr>
          <w:color w:val="000080"/>
          <w:u w:val="single"/>
        </w:rPr>
        <w:t xml:space="preserve"> Condition</w:t>
      </w:r>
      <w:r w:rsidR="002C6E5B" w:rsidRPr="0079681C">
        <w:rPr>
          <w:color w:val="000080"/>
        </w:rPr>
        <w:t>.</w:t>
      </w:r>
      <w:proofErr w:type="gramEnd"/>
      <w:r w:rsidR="002C6E5B" w:rsidRPr="0079681C">
        <w:rPr>
          <w:color w:val="000080"/>
        </w:rPr>
        <w:t xml:space="preserve">  The</w:t>
      </w:r>
      <w:r w:rsidR="009132C9" w:rsidRPr="0079681C">
        <w:rPr>
          <w:color w:val="000080"/>
        </w:rPr>
        <w:t xml:space="preserve">re are three </w:t>
      </w:r>
      <w:r w:rsidR="003E0826" w:rsidRPr="0079681C">
        <w:rPr>
          <w:color w:val="000080"/>
        </w:rPr>
        <w:t xml:space="preserve">fairly concurrent goniometric range-of-motion (ROM) examinations in evidence.  In addition to the </w:t>
      </w:r>
      <w:r w:rsidR="001B5F77" w:rsidRPr="0079681C">
        <w:rPr>
          <w:color w:val="000080"/>
        </w:rPr>
        <w:t>measurements performed</w:t>
      </w:r>
      <w:r w:rsidR="003E0826" w:rsidRPr="0079681C">
        <w:rPr>
          <w:color w:val="000080"/>
        </w:rPr>
        <w:t xml:space="preserve"> by the MEB examiner, there was </w:t>
      </w:r>
      <w:r w:rsidR="001B5F77" w:rsidRPr="0079681C">
        <w:rPr>
          <w:color w:val="000080"/>
        </w:rPr>
        <w:t>a goniometric exam by</w:t>
      </w:r>
      <w:r w:rsidR="003E0826" w:rsidRPr="0079681C">
        <w:rPr>
          <w:color w:val="000080"/>
        </w:rPr>
        <w:t xml:space="preserve"> Physical Therapy (P.T.) about a month later and the VA (pre-separation) rating examination.</w:t>
      </w:r>
      <w:r w:rsidR="00F469A3" w:rsidRPr="0079681C">
        <w:rPr>
          <w:color w:val="000080"/>
        </w:rPr>
        <w:t xml:space="preserve">  They are summarized in the chart below.</w:t>
      </w:r>
    </w:p>
    <w:p w:rsidR="00F469A3" w:rsidRDefault="00F469A3" w:rsidP="00AA2E12">
      <w:pPr>
        <w:tabs>
          <w:tab w:val="left" w:pos="288"/>
          <w:tab w:val="left" w:pos="4752"/>
        </w:tabs>
        <w:spacing w:line="240" w:lineRule="exact"/>
        <w:rPr>
          <w:rFonts w:asciiTheme="minorHAnsi" w:hAnsiTheme="minorHAnsi"/>
          <w:color w:val="auto"/>
          <w:szCs w:val="24"/>
        </w:rPr>
      </w:pPr>
    </w:p>
    <w:tbl>
      <w:tblPr>
        <w:tblW w:w="648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4"/>
        <w:gridCol w:w="1747"/>
        <w:gridCol w:w="1459"/>
        <w:gridCol w:w="1800"/>
      </w:tblGrid>
      <w:tr w:rsidR="00A7178F" w:rsidRPr="007862B0" w:rsidTr="0069674A">
        <w:tc>
          <w:tcPr>
            <w:tcW w:w="1474" w:type="dxa"/>
            <w:shd w:val="clear" w:color="auto" w:fill="C6D9F1" w:themeFill="text2" w:themeFillTint="33"/>
          </w:tcPr>
          <w:p w:rsidR="00A7178F" w:rsidRPr="00E04A6C"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 xml:space="preserve">Cervical </w:t>
            </w:r>
            <w:r w:rsidRPr="00E04A6C">
              <w:rPr>
                <w:rFonts w:ascii="Calibri" w:eastAsia="Calibri" w:hAnsi="Calibri" w:cs="Times New Roman"/>
              </w:rPr>
              <w:t>ROM</w:t>
            </w:r>
          </w:p>
        </w:tc>
        <w:tc>
          <w:tcPr>
            <w:tcW w:w="1747" w:type="dxa"/>
            <w:shd w:val="clear" w:color="auto" w:fill="C6D9F1" w:themeFill="text2" w:themeFillTint="33"/>
          </w:tcPr>
          <w:p w:rsidR="00A7178F"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MEB - 12/14/05</w:t>
            </w:r>
          </w:p>
        </w:tc>
        <w:tc>
          <w:tcPr>
            <w:tcW w:w="1459" w:type="dxa"/>
            <w:shd w:val="clear" w:color="auto" w:fill="C6D9F1" w:themeFill="text2" w:themeFillTint="33"/>
          </w:tcPr>
          <w:p w:rsidR="00A7178F" w:rsidRPr="007862B0"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P.T. - 1/23/06</w:t>
            </w:r>
          </w:p>
        </w:tc>
        <w:tc>
          <w:tcPr>
            <w:tcW w:w="1800" w:type="dxa"/>
            <w:shd w:val="clear" w:color="auto" w:fill="C6D9F1" w:themeFill="text2" w:themeFillTint="33"/>
          </w:tcPr>
          <w:p w:rsidR="00A7178F" w:rsidRPr="003D4DAE" w:rsidRDefault="00A7178F" w:rsidP="00AA2E12">
            <w:pPr>
              <w:pStyle w:val="ListParagraph"/>
              <w:spacing w:after="0" w:line="240" w:lineRule="exact"/>
              <w:ind w:left="0"/>
              <w:jc w:val="center"/>
              <w:rPr>
                <w:rFonts w:ascii="Calibri" w:hAnsi="Calibri"/>
              </w:rPr>
            </w:pPr>
            <w:r>
              <w:rPr>
                <w:rFonts w:ascii="Calibri" w:eastAsia="Calibri" w:hAnsi="Calibri" w:cs="Times New Roman"/>
              </w:rPr>
              <w:t>VA</w:t>
            </w:r>
            <w:r>
              <w:rPr>
                <w:rFonts w:ascii="Calibri" w:hAnsi="Calibri"/>
              </w:rPr>
              <w:t xml:space="preserve"> C&amp;P - </w:t>
            </w:r>
            <w:r w:rsidR="000B31E1">
              <w:rPr>
                <w:rFonts w:ascii="Calibri" w:hAnsi="Calibri"/>
              </w:rPr>
              <w:t>1/24</w:t>
            </w:r>
            <w:r>
              <w:rPr>
                <w:rFonts w:ascii="Calibri" w:hAnsi="Calibri"/>
              </w:rPr>
              <w:t>/06</w:t>
            </w:r>
          </w:p>
        </w:tc>
      </w:tr>
      <w:tr w:rsidR="00A7178F" w:rsidRPr="00140096" w:rsidTr="00A7178F">
        <w:tc>
          <w:tcPr>
            <w:tcW w:w="1474" w:type="dxa"/>
          </w:tcPr>
          <w:p w:rsidR="00A7178F" w:rsidRPr="00140096" w:rsidRDefault="00A7178F" w:rsidP="00AA2E12">
            <w:pPr>
              <w:pStyle w:val="ListParagraph"/>
              <w:spacing w:after="0" w:line="240" w:lineRule="exact"/>
              <w:ind w:left="0"/>
              <w:rPr>
                <w:rFonts w:ascii="Calibri" w:eastAsia="Calibri" w:hAnsi="Calibri" w:cs="Times New Roman"/>
              </w:rPr>
            </w:pPr>
            <w:r w:rsidRPr="00140096">
              <w:rPr>
                <w:rFonts w:ascii="Calibri" w:eastAsia="Calibri" w:hAnsi="Calibri" w:cs="Times New Roman"/>
              </w:rPr>
              <w:t>Flex</w:t>
            </w:r>
            <w:r>
              <w:rPr>
                <w:rFonts w:ascii="Calibri" w:eastAsia="Calibri" w:hAnsi="Calibri" w:cs="Times New Roman"/>
              </w:rPr>
              <w:t>ion</w:t>
            </w:r>
          </w:p>
        </w:tc>
        <w:tc>
          <w:tcPr>
            <w:tcW w:w="1747" w:type="dxa"/>
          </w:tcPr>
          <w:p w:rsidR="00A7178F"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40⁰</w:t>
            </w:r>
          </w:p>
        </w:tc>
        <w:tc>
          <w:tcPr>
            <w:tcW w:w="1459" w:type="dxa"/>
          </w:tcPr>
          <w:p w:rsidR="00A7178F" w:rsidRPr="00140096"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15⁰</w:t>
            </w:r>
          </w:p>
        </w:tc>
        <w:tc>
          <w:tcPr>
            <w:tcW w:w="1800" w:type="dxa"/>
          </w:tcPr>
          <w:p w:rsidR="00A7178F" w:rsidRPr="00140096" w:rsidRDefault="000B31E1"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20</w:t>
            </w:r>
            <w:r w:rsidR="00A7178F">
              <w:rPr>
                <w:rFonts w:ascii="Calibri" w:eastAsia="Calibri" w:hAnsi="Calibri" w:cs="Times New Roman"/>
              </w:rPr>
              <w:t>⁰</w:t>
            </w:r>
          </w:p>
        </w:tc>
      </w:tr>
      <w:tr w:rsidR="00A7178F" w:rsidRPr="00D340CE" w:rsidTr="00A7178F">
        <w:tc>
          <w:tcPr>
            <w:tcW w:w="1474" w:type="dxa"/>
          </w:tcPr>
          <w:p w:rsidR="00A7178F" w:rsidRPr="00140096" w:rsidRDefault="00A7178F" w:rsidP="00AA2E12">
            <w:pPr>
              <w:pStyle w:val="ListParagraph"/>
              <w:spacing w:after="0" w:line="240" w:lineRule="exact"/>
              <w:ind w:left="0"/>
              <w:rPr>
                <w:rFonts w:ascii="Calibri" w:eastAsia="Calibri" w:hAnsi="Calibri" w:cs="Times New Roman"/>
              </w:rPr>
            </w:pPr>
            <w:r>
              <w:rPr>
                <w:rFonts w:ascii="Calibri" w:eastAsia="Calibri" w:hAnsi="Calibri" w:cs="Times New Roman"/>
              </w:rPr>
              <w:t>Combined</w:t>
            </w:r>
          </w:p>
        </w:tc>
        <w:tc>
          <w:tcPr>
            <w:tcW w:w="1747" w:type="dxa"/>
          </w:tcPr>
          <w:p w:rsidR="00A7178F" w:rsidRDefault="00A7178F"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 xml:space="preserve">235⁰ </w:t>
            </w:r>
          </w:p>
        </w:tc>
        <w:tc>
          <w:tcPr>
            <w:tcW w:w="1459" w:type="dxa"/>
          </w:tcPr>
          <w:p w:rsidR="00A7178F" w:rsidRPr="00D340CE" w:rsidRDefault="000B31E1"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65</w:t>
            </w:r>
            <w:r w:rsidR="00A7178F">
              <w:rPr>
                <w:rFonts w:ascii="Calibri" w:eastAsia="Calibri" w:hAnsi="Calibri" w:cs="Times New Roman"/>
              </w:rPr>
              <w:t>⁰</w:t>
            </w:r>
          </w:p>
        </w:tc>
        <w:tc>
          <w:tcPr>
            <w:tcW w:w="1800" w:type="dxa"/>
          </w:tcPr>
          <w:p w:rsidR="00A7178F" w:rsidRPr="00D340CE" w:rsidRDefault="0057104D"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7</w:t>
            </w:r>
            <w:r w:rsidR="000B31E1">
              <w:rPr>
                <w:rFonts w:ascii="Calibri" w:eastAsia="Calibri" w:hAnsi="Calibri" w:cs="Times New Roman"/>
              </w:rPr>
              <w:t>0</w:t>
            </w:r>
            <w:r w:rsidR="00A7178F">
              <w:rPr>
                <w:rFonts w:ascii="Calibri" w:eastAsia="Calibri" w:hAnsi="Calibri" w:cs="Times New Roman"/>
              </w:rPr>
              <w:t>⁰</w:t>
            </w:r>
          </w:p>
        </w:tc>
      </w:tr>
      <w:tr w:rsidR="00EB606D" w:rsidRPr="00D340CE" w:rsidTr="00A7178F">
        <w:tc>
          <w:tcPr>
            <w:tcW w:w="1474" w:type="dxa"/>
          </w:tcPr>
          <w:p w:rsidR="00EB606D" w:rsidRDefault="00EB606D" w:rsidP="00AA2E12">
            <w:pPr>
              <w:pStyle w:val="ListParagraph"/>
              <w:spacing w:after="0" w:line="240" w:lineRule="exact"/>
              <w:ind w:left="0"/>
              <w:rPr>
                <w:rFonts w:ascii="Calibri" w:eastAsia="Calibri" w:hAnsi="Calibri" w:cs="Times New Roman"/>
              </w:rPr>
            </w:pPr>
            <w:r>
              <w:rPr>
                <w:rFonts w:ascii="Calibri" w:eastAsia="Calibri" w:hAnsi="Calibri" w:cs="Times New Roman"/>
              </w:rPr>
              <w:t>§4.71a Rating</w:t>
            </w:r>
          </w:p>
        </w:tc>
        <w:tc>
          <w:tcPr>
            <w:tcW w:w="1747" w:type="dxa"/>
          </w:tcPr>
          <w:p w:rsidR="00EB606D" w:rsidRDefault="00EB606D"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10%</w:t>
            </w:r>
          </w:p>
        </w:tc>
        <w:tc>
          <w:tcPr>
            <w:tcW w:w="1459" w:type="dxa"/>
          </w:tcPr>
          <w:p w:rsidR="00EB606D" w:rsidRDefault="00EB606D"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30%</w:t>
            </w:r>
          </w:p>
        </w:tc>
        <w:tc>
          <w:tcPr>
            <w:tcW w:w="1800" w:type="dxa"/>
          </w:tcPr>
          <w:p w:rsidR="00EB606D" w:rsidRDefault="00EB606D" w:rsidP="00AA2E12">
            <w:pPr>
              <w:pStyle w:val="ListParagraph"/>
              <w:spacing w:after="0" w:line="240" w:lineRule="exact"/>
              <w:ind w:left="0"/>
              <w:jc w:val="center"/>
              <w:rPr>
                <w:rFonts w:ascii="Calibri" w:eastAsia="Calibri" w:hAnsi="Calibri" w:cs="Times New Roman"/>
              </w:rPr>
            </w:pPr>
            <w:r>
              <w:rPr>
                <w:rFonts w:ascii="Calibri" w:eastAsia="Calibri" w:hAnsi="Calibri" w:cs="Times New Roman"/>
              </w:rPr>
              <w:t>20%</w:t>
            </w:r>
          </w:p>
        </w:tc>
      </w:tr>
    </w:tbl>
    <w:p w:rsidR="001A53E2" w:rsidRDefault="001A53E2" w:rsidP="00AA2E12">
      <w:pPr>
        <w:tabs>
          <w:tab w:val="left" w:pos="288"/>
          <w:tab w:val="left" w:pos="4752"/>
        </w:tabs>
        <w:spacing w:line="240" w:lineRule="exact"/>
        <w:rPr>
          <w:rFonts w:asciiTheme="minorHAnsi" w:hAnsiTheme="minorHAnsi"/>
          <w:color w:val="000080"/>
          <w:szCs w:val="24"/>
          <w:u w:val="single"/>
        </w:rPr>
      </w:pPr>
    </w:p>
    <w:p w:rsidR="00F469A3" w:rsidRPr="0079681C" w:rsidRDefault="00F469A3" w:rsidP="00AA2E12">
      <w:pPr>
        <w:tabs>
          <w:tab w:val="left" w:pos="288"/>
          <w:tab w:val="left" w:pos="4752"/>
        </w:tabs>
        <w:spacing w:line="240" w:lineRule="exact"/>
        <w:jc w:val="both"/>
        <w:rPr>
          <w:color w:val="000080"/>
        </w:rPr>
      </w:pPr>
      <w:r w:rsidRPr="0079681C">
        <w:rPr>
          <w:color w:val="000080"/>
        </w:rPr>
        <w:t>Two of the exams c</w:t>
      </w:r>
      <w:r w:rsidR="00055AAC" w:rsidRPr="0079681C">
        <w:rPr>
          <w:color w:val="000080"/>
        </w:rPr>
        <w:t xml:space="preserve">ommented on spasm or tenderness; none documented abnormal contour.  </w:t>
      </w:r>
      <w:r w:rsidRPr="0079681C">
        <w:rPr>
          <w:color w:val="000080"/>
        </w:rPr>
        <w:t>The MEB examiner did not specify if pain was the end-point of measurement or if the measurements were active or passive.</w:t>
      </w:r>
      <w:r w:rsidR="00055AAC" w:rsidRPr="0079681C">
        <w:rPr>
          <w:color w:val="000080"/>
        </w:rPr>
        <w:t xml:space="preserve">  The P.T. exam stated that all ROM’s were, ‘limited due to pain/guarding’.  The VA examiner specified pain threshold</w:t>
      </w:r>
      <w:r w:rsidR="001B5F77" w:rsidRPr="0079681C">
        <w:rPr>
          <w:color w:val="000080"/>
        </w:rPr>
        <w:t>s</w:t>
      </w:r>
      <w:r w:rsidR="00055AAC" w:rsidRPr="0079681C">
        <w:rPr>
          <w:color w:val="000080"/>
        </w:rPr>
        <w:t xml:space="preserve"> and deducted for </w:t>
      </w:r>
      <w:r w:rsidR="001B5F77" w:rsidRPr="0079681C">
        <w:rPr>
          <w:color w:val="000080"/>
        </w:rPr>
        <w:t xml:space="preserve">declines on </w:t>
      </w:r>
      <w:r w:rsidR="00055AAC" w:rsidRPr="0079681C">
        <w:rPr>
          <w:color w:val="000080"/>
        </w:rPr>
        <w:t xml:space="preserve">repetitive motion (deductions did not affect rating).  The PEB rating was based on the MEB measurements as forwarded in the NARSUM.  It was IAW VASRD §4.71a based on that evidence and did not reflect application of the USAPDA pain policy.  </w:t>
      </w:r>
      <w:r w:rsidR="007D4D37" w:rsidRPr="0079681C">
        <w:rPr>
          <w:color w:val="000080"/>
        </w:rPr>
        <w:t>The P.T. measurements would yield a §4.71a rating of 30%, based on the 15</w:t>
      </w:r>
      <w:r w:rsidR="00EB606D">
        <w:rPr>
          <w:rFonts w:ascii="Calibri" w:hAnsi="Calibri"/>
          <w:color w:val="000080"/>
        </w:rPr>
        <w:t>⁰</w:t>
      </w:r>
      <w:r w:rsidR="007D4D37" w:rsidRPr="0079681C">
        <w:rPr>
          <w:color w:val="000080"/>
        </w:rPr>
        <w:t xml:space="preserve"> flexion.  The VA examination (with a higher probative value </w:t>
      </w:r>
      <w:r w:rsidR="00EB606D">
        <w:rPr>
          <w:color w:val="000080"/>
        </w:rPr>
        <w:t>premised</w:t>
      </w:r>
      <w:r w:rsidR="007D4D37" w:rsidRPr="0079681C">
        <w:rPr>
          <w:color w:val="000080"/>
        </w:rPr>
        <w:t xml:space="preserve"> on documented conformity with all of the VASRD rating details) was accurately rated 20%.  It is noted that the two worse exams were only a day apart, and could reflect a period of exacerbation.</w:t>
      </w:r>
      <w:r w:rsidR="00333DD5" w:rsidRPr="0079681C">
        <w:rPr>
          <w:color w:val="000080"/>
        </w:rPr>
        <w:t xml:space="preserve">  Based on review of all the records, however, there is no way to make a ‘good day, bad day’ distinction without resorting to speculation.  The P.T. examination favoring a 30% rating does not carry enough probative value on its own to support a recommendation for that rating.  Based on the totality of the evidence, </w:t>
      </w:r>
      <w:r w:rsidR="00536E38" w:rsidRPr="0079681C">
        <w:rPr>
          <w:color w:val="000080"/>
        </w:rPr>
        <w:t>however</w:t>
      </w:r>
      <w:r w:rsidR="00333DD5" w:rsidRPr="0079681C">
        <w:rPr>
          <w:color w:val="000080"/>
        </w:rPr>
        <w:t xml:space="preserve">, there is more than enough reasonable doubt in the CI’s favor to justify a Board recommendation of a 20% rating for the cervical condition.  </w:t>
      </w:r>
      <w:r w:rsidR="00536E38" w:rsidRPr="0079681C">
        <w:rPr>
          <w:color w:val="000080"/>
        </w:rPr>
        <w:t xml:space="preserve">The pathology is a hybrid of the 5242 and 5243 VASRD codes as reflected in the VA rating </w:t>
      </w:r>
      <w:r w:rsidR="00536E38" w:rsidRPr="0079681C">
        <w:rPr>
          <w:color w:val="000080"/>
        </w:rPr>
        <w:lastRenderedPageBreak/>
        <w:t xml:space="preserve">decision, but degenerative disc disease over several levels is well encompassed by a non-hyphenated 5242 code.  </w:t>
      </w:r>
    </w:p>
    <w:p w:rsidR="00536E38" w:rsidRPr="0079681C" w:rsidRDefault="00536E38" w:rsidP="00AA2E12">
      <w:pPr>
        <w:tabs>
          <w:tab w:val="left" w:pos="288"/>
          <w:tab w:val="left" w:pos="4752"/>
        </w:tabs>
        <w:spacing w:line="240" w:lineRule="exact"/>
        <w:jc w:val="both"/>
        <w:rPr>
          <w:color w:val="000080"/>
        </w:rPr>
      </w:pPr>
    </w:p>
    <w:p w:rsidR="00993671" w:rsidRPr="0079681C" w:rsidRDefault="00FF2F36" w:rsidP="00AA2E12">
      <w:pPr>
        <w:tabs>
          <w:tab w:val="left" w:pos="288"/>
          <w:tab w:val="left" w:pos="4752"/>
        </w:tabs>
        <w:spacing w:line="240" w:lineRule="exact"/>
        <w:jc w:val="both"/>
        <w:rPr>
          <w:color w:val="000080"/>
        </w:rPr>
      </w:pPr>
      <w:proofErr w:type="gramStart"/>
      <w:r w:rsidRPr="0079681C">
        <w:rPr>
          <w:color w:val="000080"/>
          <w:u w:val="single"/>
        </w:rPr>
        <w:t xml:space="preserve">Cervical </w:t>
      </w:r>
      <w:proofErr w:type="spellStart"/>
      <w:r w:rsidRPr="0079681C">
        <w:rPr>
          <w:color w:val="000080"/>
          <w:u w:val="single"/>
        </w:rPr>
        <w:t>Radiculitis</w:t>
      </w:r>
      <w:proofErr w:type="spellEnd"/>
      <w:r w:rsidRPr="0079681C">
        <w:rPr>
          <w:color w:val="000080"/>
        </w:rPr>
        <w:t>.</w:t>
      </w:r>
      <w:proofErr w:type="gramEnd"/>
      <w:r w:rsidRPr="0079681C">
        <w:rPr>
          <w:color w:val="000080"/>
        </w:rPr>
        <w:t xml:space="preserve">  There is no question from the evidence that there was </w:t>
      </w:r>
      <w:proofErr w:type="gramStart"/>
      <w:r w:rsidRPr="0079681C">
        <w:rPr>
          <w:color w:val="000080"/>
        </w:rPr>
        <w:t xml:space="preserve">a </w:t>
      </w:r>
      <w:r w:rsidR="001B5F77" w:rsidRPr="0079681C">
        <w:rPr>
          <w:color w:val="000080"/>
        </w:rPr>
        <w:t>RUE</w:t>
      </w:r>
      <w:proofErr w:type="gramEnd"/>
      <w:r w:rsidR="00132425" w:rsidRPr="0079681C">
        <w:rPr>
          <w:color w:val="000080"/>
        </w:rPr>
        <w:t xml:space="preserve"> </w:t>
      </w:r>
      <w:r w:rsidRPr="0079681C">
        <w:rPr>
          <w:color w:val="000080"/>
        </w:rPr>
        <w:t>neuralgia and sensory neuropathy associated with the cervical disease.  Radiation of the pain and intermittent sensory symptoms are described in the NARSUM and throughout the record.  The EMG and physical examinations make it clear that there was no motor impairment</w:t>
      </w:r>
      <w:r w:rsidR="005F5BB6" w:rsidRPr="0079681C">
        <w:rPr>
          <w:color w:val="000080"/>
        </w:rPr>
        <w:t>, although the VA examiner noted ‘</w:t>
      </w:r>
      <w:proofErr w:type="spellStart"/>
      <w:r w:rsidR="005F5BB6" w:rsidRPr="0079681C">
        <w:rPr>
          <w:color w:val="000080"/>
        </w:rPr>
        <w:t>paresthesias</w:t>
      </w:r>
      <w:proofErr w:type="spellEnd"/>
      <w:r w:rsidR="005F5BB6" w:rsidRPr="0079681C">
        <w:rPr>
          <w:color w:val="000080"/>
        </w:rPr>
        <w:t xml:space="preserve">’ (which is a symptom, not a finding) in a C6/7 </w:t>
      </w:r>
      <w:proofErr w:type="spellStart"/>
      <w:r w:rsidR="001B5F77" w:rsidRPr="0079681C">
        <w:rPr>
          <w:color w:val="000080"/>
        </w:rPr>
        <w:t>dermatomal</w:t>
      </w:r>
      <w:proofErr w:type="spellEnd"/>
      <w:r w:rsidR="001B5F77" w:rsidRPr="0079681C">
        <w:rPr>
          <w:color w:val="000080"/>
        </w:rPr>
        <w:t xml:space="preserve"> </w:t>
      </w:r>
      <w:r w:rsidR="005F5BB6" w:rsidRPr="0079681C">
        <w:rPr>
          <w:color w:val="000080"/>
        </w:rPr>
        <w:t>distribution</w:t>
      </w:r>
      <w:r w:rsidR="00F763B4" w:rsidRPr="0079681C">
        <w:rPr>
          <w:color w:val="000080"/>
        </w:rPr>
        <w:t xml:space="preserve"> of the right hand</w:t>
      </w:r>
      <w:r w:rsidR="005F5BB6" w:rsidRPr="0079681C">
        <w:rPr>
          <w:color w:val="000080"/>
        </w:rPr>
        <w:t xml:space="preserve">.  The assessment of </w:t>
      </w:r>
      <w:r w:rsidR="00F763B4" w:rsidRPr="0079681C">
        <w:rPr>
          <w:color w:val="000080"/>
        </w:rPr>
        <w:t xml:space="preserve">the </w:t>
      </w:r>
      <w:r w:rsidR="005F5BB6" w:rsidRPr="0079681C">
        <w:rPr>
          <w:color w:val="000080"/>
        </w:rPr>
        <w:t xml:space="preserve">functional impact </w:t>
      </w:r>
      <w:r w:rsidR="00F763B4" w:rsidRPr="0079681C">
        <w:rPr>
          <w:color w:val="000080"/>
        </w:rPr>
        <w:t xml:space="preserve">of this condition </w:t>
      </w:r>
      <w:r w:rsidR="005F5BB6" w:rsidRPr="0079681C">
        <w:rPr>
          <w:color w:val="000080"/>
        </w:rPr>
        <w:t xml:space="preserve">is confused somewhat by the fact that the CI was also diagnosed with </w:t>
      </w:r>
      <w:r w:rsidR="00F763B4" w:rsidRPr="0079681C">
        <w:rPr>
          <w:color w:val="000080"/>
        </w:rPr>
        <w:t xml:space="preserve">RUE </w:t>
      </w:r>
      <w:r w:rsidR="005F5BB6" w:rsidRPr="0079681C">
        <w:rPr>
          <w:color w:val="000080"/>
        </w:rPr>
        <w:t>carpal tunnel syndrome (CTS).</w:t>
      </w:r>
      <w:r w:rsidR="002E5B92" w:rsidRPr="0079681C">
        <w:rPr>
          <w:color w:val="000080"/>
        </w:rPr>
        <w:t xml:space="preserve">  This significantly overlaps with cervical pathology and confuses the etiology of all of the symptoms.  The VA examiner made several references to wrist involvement in his history and physical </w:t>
      </w:r>
      <w:r w:rsidR="00FC5F0E" w:rsidRPr="0079681C">
        <w:rPr>
          <w:color w:val="000080"/>
        </w:rPr>
        <w:t xml:space="preserve">and noted intermittent use of </w:t>
      </w:r>
      <w:r w:rsidR="001B5F77" w:rsidRPr="0079681C">
        <w:rPr>
          <w:color w:val="000080"/>
        </w:rPr>
        <w:t xml:space="preserve">a </w:t>
      </w:r>
      <w:r w:rsidR="00FC5F0E" w:rsidRPr="0079681C">
        <w:rPr>
          <w:color w:val="000080"/>
        </w:rPr>
        <w:t xml:space="preserve">wrist splint.  </w:t>
      </w:r>
      <w:r w:rsidR="005D7C98" w:rsidRPr="0079681C">
        <w:rPr>
          <w:color w:val="000080"/>
        </w:rPr>
        <w:t xml:space="preserve">This was diagnosed as tendonitis and not service connected in the rating decision.  </w:t>
      </w:r>
      <w:r w:rsidR="00FC5F0E" w:rsidRPr="0079681C">
        <w:rPr>
          <w:color w:val="000080"/>
        </w:rPr>
        <w:t>All of this points</w:t>
      </w:r>
      <w:r w:rsidR="002E5B92" w:rsidRPr="0079681C">
        <w:rPr>
          <w:color w:val="000080"/>
        </w:rPr>
        <w:t xml:space="preserve"> to CTS</w:t>
      </w:r>
      <w:r w:rsidR="00FC5F0E" w:rsidRPr="0079681C">
        <w:rPr>
          <w:color w:val="000080"/>
        </w:rPr>
        <w:t xml:space="preserve"> </w:t>
      </w:r>
      <w:r w:rsidR="005D7C98" w:rsidRPr="0079681C">
        <w:rPr>
          <w:color w:val="000080"/>
        </w:rPr>
        <w:t xml:space="preserve">or wrist pathology </w:t>
      </w:r>
      <w:r w:rsidR="00FC5F0E" w:rsidRPr="0079681C">
        <w:rPr>
          <w:color w:val="000080"/>
        </w:rPr>
        <w:t>as a significant component of the RUE symptoms</w:t>
      </w:r>
      <w:r w:rsidR="002E5B92" w:rsidRPr="0079681C">
        <w:rPr>
          <w:color w:val="000080"/>
        </w:rPr>
        <w:t>.</w:t>
      </w:r>
      <w:r w:rsidR="005F5BB6" w:rsidRPr="0079681C">
        <w:rPr>
          <w:color w:val="000080"/>
        </w:rPr>
        <w:t xml:space="preserve"> </w:t>
      </w:r>
      <w:r w:rsidR="002E5B92" w:rsidRPr="0079681C">
        <w:rPr>
          <w:color w:val="000080"/>
        </w:rPr>
        <w:t xml:space="preserve"> </w:t>
      </w:r>
      <w:r w:rsidR="005D7C98" w:rsidRPr="0079681C">
        <w:rPr>
          <w:color w:val="000080"/>
        </w:rPr>
        <w:t>The VA examiner</w:t>
      </w:r>
      <w:r w:rsidR="00132425" w:rsidRPr="0079681C">
        <w:rPr>
          <w:color w:val="000080"/>
        </w:rPr>
        <w:t xml:space="preserve"> made the diagnosis, however, of cervical </w:t>
      </w:r>
      <w:proofErr w:type="spellStart"/>
      <w:r w:rsidR="00132425" w:rsidRPr="0079681C">
        <w:rPr>
          <w:color w:val="000080"/>
        </w:rPr>
        <w:t>radiculitis</w:t>
      </w:r>
      <w:proofErr w:type="spellEnd"/>
      <w:r w:rsidR="00132425" w:rsidRPr="0079681C">
        <w:rPr>
          <w:color w:val="000080"/>
        </w:rPr>
        <w:t xml:space="preserve"> as the cause for the RUE sensory symptoms.  This was the foundation for the VA rating decision to code and rate it as </w:t>
      </w:r>
      <w:r w:rsidR="00F763B4" w:rsidRPr="0079681C">
        <w:rPr>
          <w:color w:val="000080"/>
        </w:rPr>
        <w:t xml:space="preserve">a </w:t>
      </w:r>
      <w:r w:rsidR="00132425" w:rsidRPr="0079681C">
        <w:rPr>
          <w:color w:val="000080"/>
        </w:rPr>
        <w:t xml:space="preserve">peripheral nerve injury.  It is noted that the code chosen designates median nerve (CTS) pathology, not cervical </w:t>
      </w:r>
      <w:proofErr w:type="spellStart"/>
      <w:r w:rsidR="00132425" w:rsidRPr="0079681C">
        <w:rPr>
          <w:color w:val="000080"/>
        </w:rPr>
        <w:t>radicular</w:t>
      </w:r>
      <w:proofErr w:type="spellEnd"/>
      <w:r w:rsidR="00132425" w:rsidRPr="0079681C">
        <w:rPr>
          <w:color w:val="000080"/>
        </w:rPr>
        <w:t xml:space="preserve"> level pathology (which would force a 20% rating</w:t>
      </w:r>
      <w:r w:rsidR="00F763B4" w:rsidRPr="0079681C">
        <w:rPr>
          <w:color w:val="000080"/>
        </w:rPr>
        <w:t xml:space="preserve">).  It is also noted that, in spite of the </w:t>
      </w:r>
      <w:proofErr w:type="spellStart"/>
      <w:r w:rsidR="00F763B4" w:rsidRPr="0079681C">
        <w:rPr>
          <w:color w:val="000080"/>
        </w:rPr>
        <w:t>radiculitis</w:t>
      </w:r>
      <w:proofErr w:type="spellEnd"/>
      <w:r w:rsidR="00F763B4" w:rsidRPr="0079681C">
        <w:rPr>
          <w:color w:val="000080"/>
        </w:rPr>
        <w:t xml:space="preserve"> diagnosis, the VA physical examination of the cervical spine stated, ‘There are no signs of </w:t>
      </w:r>
      <w:proofErr w:type="spellStart"/>
      <w:r w:rsidR="00F763B4" w:rsidRPr="0079681C">
        <w:rPr>
          <w:color w:val="000080"/>
        </w:rPr>
        <w:t>intervertebral</w:t>
      </w:r>
      <w:proofErr w:type="spellEnd"/>
      <w:r w:rsidR="00F763B4" w:rsidRPr="0079681C">
        <w:rPr>
          <w:color w:val="000080"/>
        </w:rPr>
        <w:t xml:space="preserve"> disc syndrome with chronic and permanent nerve root involvement.’</w:t>
      </w:r>
      <w:r w:rsidR="009C7AE4" w:rsidRPr="0079681C">
        <w:rPr>
          <w:color w:val="000080"/>
        </w:rPr>
        <w:t xml:space="preserve">  </w:t>
      </w:r>
    </w:p>
    <w:p w:rsidR="00993671" w:rsidRPr="0079681C" w:rsidRDefault="00993671" w:rsidP="00AA2E12">
      <w:pPr>
        <w:tabs>
          <w:tab w:val="left" w:pos="288"/>
          <w:tab w:val="left" w:pos="4752"/>
        </w:tabs>
        <w:spacing w:line="240" w:lineRule="exact"/>
        <w:jc w:val="both"/>
        <w:rPr>
          <w:color w:val="000080"/>
        </w:rPr>
      </w:pPr>
    </w:p>
    <w:p w:rsidR="00FF2F36" w:rsidRPr="0079681C" w:rsidRDefault="009C7AE4" w:rsidP="00AA2E12">
      <w:pPr>
        <w:tabs>
          <w:tab w:val="left" w:pos="288"/>
          <w:tab w:val="left" w:pos="4752"/>
        </w:tabs>
        <w:spacing w:line="240" w:lineRule="exact"/>
        <w:jc w:val="both"/>
        <w:rPr>
          <w:color w:val="000080"/>
        </w:rPr>
      </w:pPr>
      <w:r w:rsidRPr="0079681C">
        <w:rPr>
          <w:color w:val="000080"/>
        </w:rPr>
        <w:t xml:space="preserve">Even if RUE </w:t>
      </w:r>
      <w:proofErr w:type="spellStart"/>
      <w:r w:rsidRPr="0079681C">
        <w:rPr>
          <w:color w:val="000080"/>
        </w:rPr>
        <w:t>radiculopathy</w:t>
      </w:r>
      <w:proofErr w:type="spellEnd"/>
      <w:r w:rsidRPr="0079681C">
        <w:rPr>
          <w:color w:val="000080"/>
        </w:rPr>
        <w:t xml:space="preserve"> complicating the unfitting cervical condition is conceded, there must be a clearly unfitting component of it to underpin a Board recommendation for adding it as separately unfitting.  The </w:t>
      </w:r>
      <w:r w:rsidR="00B12973" w:rsidRPr="0079681C">
        <w:rPr>
          <w:color w:val="000080"/>
        </w:rPr>
        <w:t xml:space="preserve">Commander’s statement </w:t>
      </w:r>
      <w:r w:rsidRPr="0079681C">
        <w:rPr>
          <w:color w:val="000080"/>
        </w:rPr>
        <w:t>lump</w:t>
      </w:r>
      <w:r w:rsidR="00B12973" w:rsidRPr="0079681C">
        <w:rPr>
          <w:color w:val="000080"/>
        </w:rPr>
        <w:t>s</w:t>
      </w:r>
      <w:r w:rsidRPr="0079681C">
        <w:rPr>
          <w:color w:val="000080"/>
        </w:rPr>
        <w:t xml:space="preserve"> the peripheral </w:t>
      </w:r>
      <w:r w:rsidR="00B12973" w:rsidRPr="0079681C">
        <w:rPr>
          <w:color w:val="000080"/>
        </w:rPr>
        <w:t>nerve symptoms in with the neck pain and ‘shoulder pain’ when describing inter</w:t>
      </w:r>
      <w:r w:rsidR="00C97C56" w:rsidRPr="0079681C">
        <w:rPr>
          <w:color w:val="000080"/>
        </w:rPr>
        <w:t>ference with her performance.  Interference with t</w:t>
      </w:r>
      <w:r w:rsidR="00B12973" w:rsidRPr="0079681C">
        <w:rPr>
          <w:color w:val="000080"/>
        </w:rPr>
        <w:t xml:space="preserve">yping and computer work is specified.  A clear </w:t>
      </w:r>
      <w:r w:rsidR="00A2317B">
        <w:rPr>
          <w:color w:val="000080"/>
        </w:rPr>
        <w:t>adverse impact</w:t>
      </w:r>
      <w:r w:rsidR="00B12973" w:rsidRPr="0079681C">
        <w:rPr>
          <w:color w:val="000080"/>
        </w:rPr>
        <w:t xml:space="preserve"> of her overall condition </w:t>
      </w:r>
      <w:r w:rsidR="00A2317B">
        <w:rPr>
          <w:color w:val="000080"/>
        </w:rPr>
        <w:t>on</w:t>
      </w:r>
      <w:r w:rsidR="00B12973" w:rsidRPr="0079681C">
        <w:rPr>
          <w:color w:val="000080"/>
        </w:rPr>
        <w:t xml:space="preserve"> the keyboard tasks, critical to her MOS, is articulated in the MEB and VA examinations.  </w:t>
      </w:r>
      <w:r w:rsidR="001B7396" w:rsidRPr="0079681C">
        <w:rPr>
          <w:color w:val="000080"/>
        </w:rPr>
        <w:t xml:space="preserve">Neither examiner, however, cones down on the peripheral nerve component as a culprit.  Clearly it contributed to the pain which was the limiting impairment, but pain is subsumed under the general spine rating IAW §4.71a which states, ‘with or without symptoms such as pain (whether or not it radiates)’.  In light of </w:t>
      </w:r>
      <w:r w:rsidR="00984A71" w:rsidRPr="0079681C">
        <w:rPr>
          <w:color w:val="000080"/>
        </w:rPr>
        <w:t xml:space="preserve">the </w:t>
      </w:r>
      <w:r w:rsidR="001B7396" w:rsidRPr="0079681C">
        <w:rPr>
          <w:color w:val="000080"/>
        </w:rPr>
        <w:t xml:space="preserve">EMG and physical exams, it is hard to make a convincing argument that the sensory component was involved more than trivially with the </w:t>
      </w:r>
      <w:r w:rsidR="00984A71" w:rsidRPr="0079681C">
        <w:rPr>
          <w:color w:val="000080"/>
        </w:rPr>
        <w:t xml:space="preserve">CI’s ability to perform the </w:t>
      </w:r>
      <w:r w:rsidR="001B7396" w:rsidRPr="0079681C">
        <w:rPr>
          <w:color w:val="000080"/>
        </w:rPr>
        <w:t>keyboard tasks.</w:t>
      </w:r>
      <w:r w:rsidR="00984A71" w:rsidRPr="0079681C">
        <w:rPr>
          <w:color w:val="000080"/>
        </w:rPr>
        <w:t xml:space="preserve">  The DA 199 statement ‘without significant neurologic or </w:t>
      </w:r>
      <w:proofErr w:type="spellStart"/>
      <w:r w:rsidR="00984A71" w:rsidRPr="0079681C">
        <w:rPr>
          <w:color w:val="000080"/>
        </w:rPr>
        <w:t>electrodiagnostic</w:t>
      </w:r>
      <w:proofErr w:type="spellEnd"/>
      <w:r w:rsidR="00984A71" w:rsidRPr="0079681C">
        <w:rPr>
          <w:color w:val="000080"/>
        </w:rPr>
        <w:t xml:space="preserve"> abnormality’ was an accurate one.  All evidence considered</w:t>
      </w:r>
      <w:proofErr w:type="gramStart"/>
      <w:r w:rsidR="00984A71" w:rsidRPr="0079681C">
        <w:rPr>
          <w:color w:val="000080"/>
        </w:rPr>
        <w:t>,</w:t>
      </w:r>
      <w:proofErr w:type="gramEnd"/>
      <w:r w:rsidR="00984A71" w:rsidRPr="0079681C">
        <w:rPr>
          <w:color w:val="000080"/>
        </w:rPr>
        <w:t xml:space="preserve"> there is not reasonable doubt in the CI’s favor supporting a Board recommendation to add a </w:t>
      </w:r>
      <w:r w:rsidR="00984A71" w:rsidRPr="0079681C">
        <w:rPr>
          <w:color w:val="000080"/>
        </w:rPr>
        <w:lastRenderedPageBreak/>
        <w:t>peripheral nerve code rating to her separation disability rating.</w:t>
      </w:r>
    </w:p>
    <w:p w:rsidR="00F469A3" w:rsidRPr="0079681C" w:rsidRDefault="00F469A3" w:rsidP="00AA2E12">
      <w:pPr>
        <w:tabs>
          <w:tab w:val="left" w:pos="288"/>
          <w:tab w:val="left" w:pos="4752"/>
        </w:tabs>
        <w:spacing w:line="240" w:lineRule="exact"/>
        <w:jc w:val="both"/>
        <w:rPr>
          <w:color w:val="000080"/>
        </w:rPr>
      </w:pPr>
    </w:p>
    <w:p w:rsidR="004F0DAF" w:rsidRPr="0079681C" w:rsidRDefault="00993671" w:rsidP="00AA2E12">
      <w:pPr>
        <w:tabs>
          <w:tab w:val="left" w:pos="288"/>
          <w:tab w:val="left" w:pos="4752"/>
        </w:tabs>
        <w:spacing w:line="240" w:lineRule="exact"/>
        <w:jc w:val="both"/>
        <w:rPr>
          <w:color w:val="000080"/>
        </w:rPr>
      </w:pPr>
      <w:proofErr w:type="gramStart"/>
      <w:r w:rsidRPr="0079681C">
        <w:rPr>
          <w:color w:val="000080"/>
          <w:u w:val="single"/>
        </w:rPr>
        <w:t>Additional DA 3947 Conditions</w:t>
      </w:r>
      <w:r w:rsidRPr="0079681C">
        <w:rPr>
          <w:color w:val="000080"/>
        </w:rPr>
        <w:t>.</w:t>
      </w:r>
      <w:proofErr w:type="gramEnd"/>
      <w:r w:rsidRPr="0079681C">
        <w:rPr>
          <w:color w:val="000080"/>
        </w:rPr>
        <w:t xml:space="preserve">  The CI suffered from bilateral knee pain which had developed without trauma over the last two years of her military service.  This was aggravated by running and stair climbing, diagnosed as </w:t>
      </w:r>
      <w:proofErr w:type="spellStart"/>
      <w:r w:rsidRPr="0079681C">
        <w:rPr>
          <w:color w:val="000080"/>
        </w:rPr>
        <w:t>patellofemoral</w:t>
      </w:r>
      <w:proofErr w:type="spellEnd"/>
      <w:r w:rsidRPr="0079681C">
        <w:rPr>
          <w:color w:val="000080"/>
        </w:rPr>
        <w:t xml:space="preserve"> pain syndrome and managed conservatively.  </w:t>
      </w:r>
      <w:r w:rsidR="000F71D9" w:rsidRPr="0079681C">
        <w:rPr>
          <w:color w:val="000080"/>
        </w:rPr>
        <w:t>Her physical profile was L1 and</w:t>
      </w:r>
      <w:r w:rsidR="004E5C9A" w:rsidRPr="0079681C">
        <w:rPr>
          <w:color w:val="000080"/>
        </w:rPr>
        <w:t xml:space="preserve"> it was not noted in the Commander’s statement</w:t>
      </w:r>
      <w:r w:rsidR="000F71D9" w:rsidRPr="0079681C">
        <w:rPr>
          <w:color w:val="000080"/>
        </w:rPr>
        <w:t xml:space="preserve">. </w:t>
      </w:r>
      <w:r w:rsidR="004E5C9A" w:rsidRPr="0079681C">
        <w:rPr>
          <w:color w:val="000080"/>
        </w:rPr>
        <w:t xml:space="preserve"> </w:t>
      </w:r>
      <w:r w:rsidRPr="0079681C">
        <w:rPr>
          <w:color w:val="000080"/>
        </w:rPr>
        <w:t xml:space="preserve">She suffered from </w:t>
      </w:r>
      <w:proofErr w:type="spellStart"/>
      <w:r w:rsidRPr="0079681C">
        <w:rPr>
          <w:color w:val="000080"/>
        </w:rPr>
        <w:t>dyspnea</w:t>
      </w:r>
      <w:proofErr w:type="spellEnd"/>
      <w:r w:rsidRPr="0079681C">
        <w:rPr>
          <w:color w:val="000080"/>
        </w:rPr>
        <w:t xml:space="preserve"> (shortness of breath) with exertion, but cardiovascular and pulmonary work-ups were negative.  </w:t>
      </w:r>
      <w:r w:rsidR="000F71D9" w:rsidRPr="0079681C">
        <w:rPr>
          <w:color w:val="000080"/>
        </w:rPr>
        <w:t xml:space="preserve">Her physical profile was P1 and </w:t>
      </w:r>
      <w:r w:rsidR="00A2317B">
        <w:rPr>
          <w:color w:val="000080"/>
        </w:rPr>
        <w:t>the condition</w:t>
      </w:r>
      <w:r w:rsidR="000F71D9" w:rsidRPr="0079681C">
        <w:rPr>
          <w:color w:val="000080"/>
        </w:rPr>
        <w:t xml:space="preserve"> was not noted in the Commander’s statement.  </w:t>
      </w:r>
      <w:r w:rsidRPr="0079681C">
        <w:rPr>
          <w:color w:val="000080"/>
        </w:rPr>
        <w:t>She underwent numerous gynecologic and gastroenterology sp</w:t>
      </w:r>
      <w:r w:rsidR="00A2317B">
        <w:rPr>
          <w:color w:val="000080"/>
        </w:rPr>
        <w:t>ecialty evaluations for chronic</w:t>
      </w:r>
      <w:r w:rsidRPr="0079681C">
        <w:rPr>
          <w:color w:val="000080"/>
        </w:rPr>
        <w:t xml:space="preserve"> intermittent abdominal pain</w:t>
      </w:r>
      <w:r w:rsidR="00A2317B">
        <w:rPr>
          <w:color w:val="000080"/>
        </w:rPr>
        <w:t xml:space="preserve"> </w:t>
      </w:r>
      <w:r w:rsidR="00A2317B" w:rsidRPr="0079681C">
        <w:rPr>
          <w:color w:val="000080"/>
        </w:rPr>
        <w:t>(onset 1982)</w:t>
      </w:r>
      <w:r w:rsidRPr="0079681C">
        <w:rPr>
          <w:color w:val="000080"/>
        </w:rPr>
        <w:t xml:space="preserve">.  </w:t>
      </w:r>
      <w:r w:rsidR="00A2317B">
        <w:rPr>
          <w:color w:val="000080"/>
        </w:rPr>
        <w:t>The condition</w:t>
      </w:r>
      <w:r w:rsidR="000F71D9" w:rsidRPr="0079681C">
        <w:rPr>
          <w:color w:val="000080"/>
        </w:rPr>
        <w:t xml:space="preserve"> was not noted in the physical profile </w:t>
      </w:r>
      <w:r w:rsidR="00C97C56" w:rsidRPr="0079681C">
        <w:rPr>
          <w:color w:val="000080"/>
        </w:rPr>
        <w:t>or</w:t>
      </w:r>
      <w:r w:rsidR="000F71D9" w:rsidRPr="0079681C">
        <w:rPr>
          <w:color w:val="000080"/>
        </w:rPr>
        <w:t xml:space="preserve"> in the Commander’s statement.  </w:t>
      </w:r>
      <w:r w:rsidRPr="0079681C">
        <w:rPr>
          <w:color w:val="000080"/>
        </w:rPr>
        <w:t xml:space="preserve">She was additionally diagnosed with hearing impairment and fitted for a hearing aid in 2006.  </w:t>
      </w:r>
      <w:r w:rsidR="000F71D9" w:rsidRPr="0079681C">
        <w:rPr>
          <w:color w:val="000080"/>
        </w:rPr>
        <w:t xml:space="preserve">She carried an H2 profile for the condition, but there is no link to fitness in evidence and it was not noted in the Commander’s statement.  </w:t>
      </w:r>
      <w:r w:rsidRPr="0079681C">
        <w:rPr>
          <w:color w:val="000080"/>
        </w:rPr>
        <w:t xml:space="preserve">All four of these conditions, as </w:t>
      </w:r>
      <w:r w:rsidR="00C97C56" w:rsidRPr="0079681C">
        <w:rPr>
          <w:color w:val="000080"/>
        </w:rPr>
        <w:t>noted in the summary</w:t>
      </w:r>
      <w:r w:rsidRPr="0079681C">
        <w:rPr>
          <w:color w:val="000080"/>
        </w:rPr>
        <w:t xml:space="preserve">, were forwarded to the PEB as medically acceptable on the DA 3947.  </w:t>
      </w:r>
      <w:r w:rsidR="000F71D9" w:rsidRPr="0079681C">
        <w:rPr>
          <w:color w:val="000080"/>
        </w:rPr>
        <w:t xml:space="preserve">She received non-compensable ratings from the VA for the knee and hearing conditions.  The </w:t>
      </w:r>
      <w:proofErr w:type="spellStart"/>
      <w:r w:rsidR="000F71D9" w:rsidRPr="0079681C">
        <w:rPr>
          <w:color w:val="000080"/>
        </w:rPr>
        <w:t>dyspnea</w:t>
      </w:r>
      <w:proofErr w:type="spellEnd"/>
      <w:r w:rsidR="000F71D9" w:rsidRPr="0079681C">
        <w:rPr>
          <w:color w:val="000080"/>
        </w:rPr>
        <w:t xml:space="preserve"> and abdominal pain were not service connected.  </w:t>
      </w:r>
      <w:r w:rsidR="004F0DAF" w:rsidRPr="0079681C">
        <w:rPr>
          <w:color w:val="000080"/>
        </w:rPr>
        <w:t>All evidence considered</w:t>
      </w:r>
      <w:proofErr w:type="gramStart"/>
      <w:r w:rsidR="004F0DAF" w:rsidRPr="0079681C">
        <w:rPr>
          <w:color w:val="000080"/>
        </w:rPr>
        <w:t>,</w:t>
      </w:r>
      <w:proofErr w:type="gramEnd"/>
      <w:r w:rsidR="004F0DAF" w:rsidRPr="0079681C">
        <w:rPr>
          <w:color w:val="000080"/>
        </w:rPr>
        <w:t xml:space="preserve"> there is not reasonable doubt in the CI’s favor supporting </w:t>
      </w:r>
      <w:proofErr w:type="spellStart"/>
      <w:r w:rsidR="004F0DAF" w:rsidRPr="0079681C">
        <w:rPr>
          <w:color w:val="000080"/>
        </w:rPr>
        <w:t>recharacterization</w:t>
      </w:r>
      <w:proofErr w:type="spellEnd"/>
      <w:r w:rsidR="004F0DAF" w:rsidRPr="0079681C">
        <w:rPr>
          <w:color w:val="000080"/>
        </w:rPr>
        <w:t xml:space="preserve"> of the PEB fitness adjudications for any of these other MEB conditions.</w:t>
      </w:r>
    </w:p>
    <w:p w:rsidR="003F30A0" w:rsidRPr="0079681C" w:rsidRDefault="003F30A0" w:rsidP="00AA2E12">
      <w:pPr>
        <w:tabs>
          <w:tab w:val="left" w:pos="288"/>
          <w:tab w:val="left" w:pos="4752"/>
        </w:tabs>
        <w:spacing w:line="240" w:lineRule="exact"/>
        <w:jc w:val="both"/>
        <w:rPr>
          <w:color w:val="000080"/>
        </w:rPr>
      </w:pPr>
    </w:p>
    <w:p w:rsidR="004F0DAF" w:rsidRPr="0079681C" w:rsidRDefault="002C6E5B" w:rsidP="00AA2E12">
      <w:pPr>
        <w:tabs>
          <w:tab w:val="left" w:pos="288"/>
          <w:tab w:val="left" w:pos="4752"/>
        </w:tabs>
        <w:spacing w:line="240" w:lineRule="exact"/>
        <w:jc w:val="both"/>
        <w:rPr>
          <w:color w:val="000080"/>
        </w:rPr>
      </w:pPr>
      <w:proofErr w:type="gramStart"/>
      <w:r w:rsidRPr="00A2317B">
        <w:rPr>
          <w:color w:val="000080"/>
          <w:u w:val="single"/>
        </w:rPr>
        <w:t>Other Conditions</w:t>
      </w:r>
      <w:r w:rsidRPr="0079681C">
        <w:rPr>
          <w:color w:val="000080"/>
        </w:rPr>
        <w:t>.</w:t>
      </w:r>
      <w:proofErr w:type="gramEnd"/>
      <w:r w:rsidRPr="0079681C">
        <w:rPr>
          <w:color w:val="000080"/>
        </w:rPr>
        <w:t xml:space="preserve">  </w:t>
      </w:r>
      <w:r w:rsidR="005F0CA5" w:rsidRPr="0079681C">
        <w:rPr>
          <w:color w:val="000080"/>
        </w:rPr>
        <w:t xml:space="preserve">The CI’s Board application notes a bilateral shoulder condition with a 20% rating.  She was not coded or rated for a shoulder condition in the VA rating decision at separation.  </w:t>
      </w:r>
      <w:r w:rsidR="00FC5F0E" w:rsidRPr="0079681C">
        <w:rPr>
          <w:color w:val="000080"/>
        </w:rPr>
        <w:t>She did note a shoulder problem on her MEB physical and shoulder pain was mentioned in the Commander’s statement.  Shoulder pain (</w:t>
      </w:r>
      <w:r w:rsidR="005D7C98" w:rsidRPr="0079681C">
        <w:rPr>
          <w:color w:val="000080"/>
        </w:rPr>
        <w:t xml:space="preserve">usually on the right) </w:t>
      </w:r>
      <w:r w:rsidR="00FC5F0E" w:rsidRPr="0079681C">
        <w:rPr>
          <w:color w:val="000080"/>
        </w:rPr>
        <w:t>is mentioned in some exam notes in evidence</w:t>
      </w:r>
      <w:r w:rsidR="006762CB" w:rsidRPr="0079681C">
        <w:rPr>
          <w:color w:val="000080"/>
        </w:rPr>
        <w:t>, generally in the context of the cervical condition.  Some bilateral tenderness of shoulder musculature is noted on the VA rating examination, but no specific condition was identified.</w:t>
      </w:r>
      <w:r w:rsidR="00FC5F0E" w:rsidRPr="0079681C">
        <w:rPr>
          <w:color w:val="000080"/>
        </w:rPr>
        <w:t xml:space="preserve"> </w:t>
      </w:r>
      <w:r w:rsidR="006762CB" w:rsidRPr="0079681C">
        <w:rPr>
          <w:color w:val="000080"/>
        </w:rPr>
        <w:t xml:space="preserve"> A specific shoulder condition was not diagnosed on active duty and shoulder impairment was not specified in the U3 profile.  The CI </w:t>
      </w:r>
      <w:r w:rsidR="001668A8" w:rsidRPr="0079681C">
        <w:rPr>
          <w:color w:val="000080"/>
        </w:rPr>
        <w:t xml:space="preserve">also notes tinnitus in her application.  This was rated 10% by the VA.  Although tinnitus is mentioned in some audiology notes in the record, it was not cited on MEB physical or noted in the DES packet.  It is not therefore eligible for Board review.  Regardless, it </w:t>
      </w:r>
      <w:r w:rsidR="00CE67B7" w:rsidRPr="0079681C">
        <w:rPr>
          <w:color w:val="000080"/>
        </w:rPr>
        <w:t xml:space="preserve">is </w:t>
      </w:r>
      <w:r w:rsidR="001668A8" w:rsidRPr="0079681C">
        <w:rPr>
          <w:color w:val="000080"/>
        </w:rPr>
        <w:t>rarely considered unfitting.  The only other condition rated and service-connected by the VA is a headache condition.</w:t>
      </w:r>
      <w:r w:rsidR="00CE67B7" w:rsidRPr="0079681C">
        <w:rPr>
          <w:color w:val="000080"/>
        </w:rPr>
        <w:t xml:space="preserve">  It was identified on the MEB physical and therefore is eligible for Board review.  </w:t>
      </w:r>
      <w:r w:rsidR="00972237" w:rsidRPr="0079681C">
        <w:rPr>
          <w:color w:val="000080"/>
        </w:rPr>
        <w:t xml:space="preserve">She was seen by a neurologist in 2003 for headaches and a normal brain MRI was documented.  She was prescribed a prophylactic regimen, but no headache treatment was noted on her NARSUM medication list.  The VA examiner noted chronic headaches with onset prior to enlistment.  A frequency of one headache every ‘1.5 months’ was documented.  </w:t>
      </w:r>
      <w:r w:rsidR="0029676F" w:rsidRPr="0079681C">
        <w:rPr>
          <w:color w:val="000080"/>
        </w:rPr>
        <w:t>The condition was rated 10</w:t>
      </w:r>
      <w:r w:rsidR="00A27F4E">
        <w:rPr>
          <w:color w:val="000080"/>
        </w:rPr>
        <w:t>%</w:t>
      </w:r>
      <w:r w:rsidR="0029676F" w:rsidRPr="0079681C">
        <w:rPr>
          <w:color w:val="000080"/>
        </w:rPr>
        <w:t xml:space="preserve"> by the VA</w:t>
      </w:r>
      <w:r w:rsidR="00A27F4E" w:rsidRPr="0079681C">
        <w:rPr>
          <w:color w:val="000080"/>
        </w:rPr>
        <w:t xml:space="preserve"> (service </w:t>
      </w:r>
      <w:r w:rsidR="00A27F4E" w:rsidRPr="0079681C">
        <w:rPr>
          <w:color w:val="000080"/>
        </w:rPr>
        <w:lastRenderedPageBreak/>
        <w:t>aggravated)</w:t>
      </w:r>
      <w:r w:rsidR="0029676F" w:rsidRPr="0079681C">
        <w:rPr>
          <w:color w:val="000080"/>
        </w:rPr>
        <w:t xml:space="preserve">.  </w:t>
      </w:r>
      <w:r w:rsidR="00972237" w:rsidRPr="0079681C">
        <w:rPr>
          <w:color w:val="000080"/>
        </w:rPr>
        <w:t>Headache was not listed on the physical profile or mentioned in the Commander’s statement.</w:t>
      </w:r>
    </w:p>
    <w:p w:rsidR="0029676F" w:rsidRPr="0079681C" w:rsidRDefault="0029676F" w:rsidP="00AA2E12">
      <w:pPr>
        <w:tabs>
          <w:tab w:val="left" w:pos="288"/>
          <w:tab w:val="left" w:pos="4752"/>
        </w:tabs>
        <w:spacing w:line="240" w:lineRule="exact"/>
        <w:jc w:val="both"/>
        <w:rPr>
          <w:color w:val="000080"/>
        </w:rPr>
      </w:pPr>
    </w:p>
    <w:p w:rsidR="0029676F" w:rsidRPr="0079681C" w:rsidRDefault="0029676F" w:rsidP="00AA2E12">
      <w:pPr>
        <w:tabs>
          <w:tab w:val="left" w:pos="288"/>
          <w:tab w:val="left" w:pos="4752"/>
        </w:tabs>
        <w:spacing w:line="240" w:lineRule="exact"/>
        <w:jc w:val="both"/>
        <w:rPr>
          <w:color w:val="000080"/>
        </w:rPr>
      </w:pPr>
      <w:r w:rsidRPr="0079681C">
        <w:rPr>
          <w:color w:val="000080"/>
        </w:rPr>
        <w:t xml:space="preserve">The Board has no reasonable basis for recommending the shoulder or headache conditions </w:t>
      </w:r>
      <w:r w:rsidR="00C97C56" w:rsidRPr="0079681C">
        <w:rPr>
          <w:color w:val="000080"/>
        </w:rPr>
        <w:t>as additional</w:t>
      </w:r>
      <w:r w:rsidRPr="0079681C">
        <w:rPr>
          <w:color w:val="000080"/>
        </w:rPr>
        <w:t xml:space="preserve"> unfitting conditions for separation rating, and does not have jurisdiction for considering tinnitus.</w:t>
      </w:r>
    </w:p>
    <w:p w:rsidR="00A90D55" w:rsidRPr="00D91DA6"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AA2E12">
      <w:pPr>
        <w:tabs>
          <w:tab w:val="left" w:pos="288"/>
          <w:tab w:val="left" w:pos="4752"/>
        </w:tabs>
        <w:spacing w:line="240" w:lineRule="exact"/>
        <w:jc w:val="both"/>
        <w:rPr>
          <w:color w:val="000080"/>
        </w:rPr>
      </w:pPr>
    </w:p>
    <w:p w:rsidR="00731E35" w:rsidRPr="0079681C" w:rsidRDefault="00C56FC8" w:rsidP="00AA2E12">
      <w:pPr>
        <w:tabs>
          <w:tab w:val="left" w:pos="288"/>
          <w:tab w:val="left" w:pos="4752"/>
        </w:tabs>
        <w:spacing w:line="240" w:lineRule="exact"/>
        <w:jc w:val="both"/>
        <w:rPr>
          <w:color w:val="000080"/>
        </w:rPr>
      </w:pPr>
      <w:r w:rsidRPr="0079681C">
        <w:rPr>
          <w:color w:val="000080"/>
          <w:u w:val="single"/>
        </w:rPr>
        <w:t>BOARD FINDINGS</w:t>
      </w:r>
      <w:r w:rsidRPr="0079681C">
        <w:rPr>
          <w:color w:val="000080"/>
        </w:rPr>
        <w:t xml:space="preserve">:  IAW </w:t>
      </w:r>
      <w:proofErr w:type="spellStart"/>
      <w:r w:rsidRPr="0079681C">
        <w:rPr>
          <w:color w:val="000080"/>
        </w:rPr>
        <w:t>DoDI</w:t>
      </w:r>
      <w:proofErr w:type="spellEnd"/>
      <w:r w:rsidRPr="0079681C">
        <w:rPr>
          <w:color w:val="000080"/>
        </w:rPr>
        <w:t xml:space="preserve"> 6040.44, provisions of DoD or Military Department regulations or guidelines relied upon by the PEB will not be considered by the Board to the extent they were inconsistent with the VASRD in effect at the time of the adjudication. </w:t>
      </w:r>
      <w:r w:rsidR="001D68CF" w:rsidRPr="0079681C">
        <w:rPr>
          <w:color w:val="000080"/>
        </w:rPr>
        <w:t xml:space="preserve"> </w:t>
      </w:r>
      <w:r w:rsidR="0029676F" w:rsidRPr="0079681C">
        <w:rPr>
          <w:color w:val="000080"/>
        </w:rPr>
        <w:t xml:space="preserve">The Board did not surmise from the record or PEB ruling in this case that any prerogatives outside the VASRD were exercised.  In the matter of the </w:t>
      </w:r>
      <w:r w:rsidR="00731E35" w:rsidRPr="0079681C">
        <w:rPr>
          <w:color w:val="000080"/>
        </w:rPr>
        <w:t>neck</w:t>
      </w:r>
      <w:r w:rsidR="0029676F" w:rsidRPr="0079681C">
        <w:rPr>
          <w:color w:val="000080"/>
        </w:rPr>
        <w:t xml:space="preserve"> condition, the Board unanimously recommends a rating of </w:t>
      </w:r>
      <w:r w:rsidR="00731E35" w:rsidRPr="0079681C">
        <w:rPr>
          <w:color w:val="000080"/>
        </w:rPr>
        <w:t>2</w:t>
      </w:r>
      <w:r w:rsidR="0029676F" w:rsidRPr="0079681C">
        <w:rPr>
          <w:color w:val="000080"/>
        </w:rPr>
        <w:t xml:space="preserve">0% coded </w:t>
      </w:r>
      <w:r w:rsidR="00731E35" w:rsidRPr="0079681C">
        <w:rPr>
          <w:color w:val="000080"/>
        </w:rPr>
        <w:t>5242</w:t>
      </w:r>
      <w:r w:rsidR="0029676F" w:rsidRPr="0079681C">
        <w:rPr>
          <w:color w:val="000080"/>
        </w:rPr>
        <w:t xml:space="preserve"> IAW VASRD §</w:t>
      </w:r>
      <w:r w:rsidR="00731E35" w:rsidRPr="0079681C">
        <w:rPr>
          <w:color w:val="000080"/>
        </w:rPr>
        <w:t>4.71a</w:t>
      </w:r>
      <w:r w:rsidR="0029676F" w:rsidRPr="0079681C">
        <w:rPr>
          <w:color w:val="000080"/>
        </w:rPr>
        <w:t xml:space="preserve">.  </w:t>
      </w:r>
      <w:r w:rsidR="00731E35" w:rsidRPr="0079681C">
        <w:rPr>
          <w:color w:val="000080"/>
        </w:rPr>
        <w:t xml:space="preserve">In the matter of the cervical </w:t>
      </w:r>
      <w:proofErr w:type="spellStart"/>
      <w:r w:rsidR="00731E35" w:rsidRPr="0079681C">
        <w:rPr>
          <w:color w:val="000080"/>
        </w:rPr>
        <w:t>radiculitis</w:t>
      </w:r>
      <w:proofErr w:type="spellEnd"/>
      <w:r w:rsidR="00731E35" w:rsidRPr="0079681C">
        <w:rPr>
          <w:color w:val="000080"/>
        </w:rPr>
        <w:t xml:space="preserve"> condition </w:t>
      </w:r>
      <w:r w:rsidR="00AE5AEF" w:rsidRPr="0079681C">
        <w:rPr>
          <w:color w:val="000080"/>
        </w:rPr>
        <w:t>related to the unfitting neck condition</w:t>
      </w:r>
      <w:r w:rsidR="00731E35" w:rsidRPr="0079681C">
        <w:rPr>
          <w:color w:val="000080"/>
        </w:rPr>
        <w:t xml:space="preserve">, the Board unanimously agrees that it cannot recommend a finding </w:t>
      </w:r>
      <w:r w:rsidR="00AE5AEF" w:rsidRPr="0079681C">
        <w:rPr>
          <w:color w:val="000080"/>
        </w:rPr>
        <w:t>of separately</w:t>
      </w:r>
      <w:r w:rsidR="00731E35" w:rsidRPr="0079681C">
        <w:rPr>
          <w:color w:val="000080"/>
        </w:rPr>
        <w:t xml:space="preserve"> unfit</w:t>
      </w:r>
      <w:r w:rsidR="00AE5AEF" w:rsidRPr="0079681C">
        <w:rPr>
          <w:color w:val="000080"/>
        </w:rPr>
        <w:t>ting</w:t>
      </w:r>
      <w:r w:rsidR="00731E35" w:rsidRPr="0079681C">
        <w:rPr>
          <w:color w:val="000080"/>
        </w:rPr>
        <w:t xml:space="preserve"> for additional </w:t>
      </w:r>
      <w:r w:rsidR="00AE5AEF" w:rsidRPr="0079681C">
        <w:rPr>
          <w:color w:val="000080"/>
        </w:rPr>
        <w:t xml:space="preserve">disability </w:t>
      </w:r>
      <w:r w:rsidR="00731E35" w:rsidRPr="0079681C">
        <w:rPr>
          <w:color w:val="000080"/>
        </w:rPr>
        <w:t xml:space="preserve">rating.  In the matter of the bilateral </w:t>
      </w:r>
      <w:proofErr w:type="spellStart"/>
      <w:r w:rsidR="00731E35" w:rsidRPr="0079681C">
        <w:rPr>
          <w:color w:val="000080"/>
        </w:rPr>
        <w:t>patellofemoral</w:t>
      </w:r>
      <w:proofErr w:type="spellEnd"/>
      <w:r w:rsidR="00731E35" w:rsidRPr="0079681C">
        <w:rPr>
          <w:color w:val="000080"/>
        </w:rPr>
        <w:t xml:space="preserve"> syndrome, </w:t>
      </w:r>
      <w:proofErr w:type="spellStart"/>
      <w:r w:rsidR="00731E35" w:rsidRPr="0079681C">
        <w:rPr>
          <w:color w:val="000080"/>
        </w:rPr>
        <w:t>dy</w:t>
      </w:r>
      <w:r w:rsidR="00AE5AEF" w:rsidRPr="0079681C">
        <w:rPr>
          <w:color w:val="000080"/>
        </w:rPr>
        <w:t>s</w:t>
      </w:r>
      <w:r w:rsidR="00731E35" w:rsidRPr="0079681C">
        <w:rPr>
          <w:color w:val="000080"/>
        </w:rPr>
        <w:t>pnea</w:t>
      </w:r>
      <w:proofErr w:type="spellEnd"/>
      <w:r w:rsidR="00AE5AEF" w:rsidRPr="0079681C">
        <w:rPr>
          <w:color w:val="000080"/>
        </w:rPr>
        <w:t>, chronic abdominal pain, hearing loss, shoulder and headache conditions</w:t>
      </w:r>
      <w:r w:rsidR="00731E35" w:rsidRPr="0079681C">
        <w:rPr>
          <w:color w:val="000080"/>
        </w:rPr>
        <w:t>; the Board unanimously agrees that it cannot recommend any findings of unfit for additional rating at separation.</w:t>
      </w:r>
      <w:r w:rsidR="00AE5AEF" w:rsidRPr="0079681C">
        <w:rPr>
          <w:color w:val="000080"/>
        </w:rPr>
        <w:t xml:space="preserve">  The tinnitus condition identified on the CI’s application to the Board remains eligible for ABMCR consideration.</w:t>
      </w:r>
    </w:p>
    <w:p w:rsidR="00FB593A" w:rsidRPr="00D91DA6"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AA2E12">
      <w:pPr>
        <w:tabs>
          <w:tab w:val="left" w:pos="288"/>
          <w:tab w:val="left" w:pos="4752"/>
        </w:tabs>
        <w:spacing w:line="240" w:lineRule="exact"/>
        <w:jc w:val="both"/>
        <w:rPr>
          <w:color w:val="000080"/>
        </w:rPr>
      </w:pPr>
    </w:p>
    <w:p w:rsidR="00C56FC8" w:rsidRPr="0079681C" w:rsidRDefault="00C56FC8" w:rsidP="00AA2E12">
      <w:pPr>
        <w:tabs>
          <w:tab w:val="left" w:pos="288"/>
          <w:tab w:val="left" w:pos="4752"/>
        </w:tabs>
        <w:spacing w:line="240" w:lineRule="exact"/>
        <w:jc w:val="both"/>
        <w:rPr>
          <w:color w:val="000080"/>
        </w:rPr>
      </w:pPr>
      <w:r w:rsidRPr="0079681C">
        <w:rPr>
          <w:color w:val="000080"/>
          <w:u w:val="single"/>
        </w:rPr>
        <w:t>RECOMMENDATION</w:t>
      </w:r>
      <w:r w:rsidRPr="0079681C">
        <w:rPr>
          <w:color w:val="000080"/>
        </w:rPr>
        <w:t xml:space="preserve">: </w:t>
      </w:r>
      <w:r w:rsidR="00D922EA" w:rsidRPr="0079681C">
        <w:rPr>
          <w:color w:val="000080"/>
        </w:rPr>
        <w:t xml:space="preserve"> </w:t>
      </w:r>
      <w:r w:rsidRPr="0079681C">
        <w:rPr>
          <w:color w:val="000080"/>
        </w:rPr>
        <w:t>The Board recommends that the CI’s prior determination be modified as follows, effective as of the date of her prior medical separation.</w:t>
      </w:r>
    </w:p>
    <w:p w:rsidR="004101B2" w:rsidRPr="00D922EA" w:rsidRDefault="004101B2" w:rsidP="00AA2E12">
      <w:pPr>
        <w:spacing w:line="240" w:lineRule="exact"/>
        <w:jc w:val="both"/>
        <w:rPr>
          <w:rFonts w:asciiTheme="minorHAnsi" w:hAnsiTheme="minorHAnsi"/>
          <w:color w:val="FF000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4101B2" w:rsidRPr="00533FB5" w:rsidTr="004101B2">
        <w:trPr>
          <w:trHeight w:val="287"/>
        </w:trPr>
        <w:tc>
          <w:tcPr>
            <w:tcW w:w="6660" w:type="dxa"/>
            <w:shd w:val="clear" w:color="auto" w:fill="D9D9D9"/>
          </w:tcPr>
          <w:p w:rsidR="004101B2" w:rsidRPr="00A867F0" w:rsidRDefault="004101B2" w:rsidP="00AA2E12">
            <w:pPr>
              <w:tabs>
                <w:tab w:val="left" w:pos="288"/>
                <w:tab w:val="left" w:pos="4752"/>
              </w:tabs>
              <w:spacing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AA2E12">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AA2E12">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4101B2" w:rsidRPr="00533FB5" w:rsidTr="004101B2">
        <w:tc>
          <w:tcPr>
            <w:tcW w:w="6660" w:type="dxa"/>
          </w:tcPr>
          <w:p w:rsidR="004101B2" w:rsidRPr="00A867F0" w:rsidRDefault="00731E35" w:rsidP="00AA2E12">
            <w:pPr>
              <w:tabs>
                <w:tab w:val="left" w:pos="288"/>
                <w:tab w:val="left" w:pos="4752"/>
              </w:tabs>
              <w:spacing w:line="240" w:lineRule="exact"/>
              <w:jc w:val="both"/>
              <w:rPr>
                <w:color w:val="000080"/>
                <w:szCs w:val="24"/>
              </w:rPr>
            </w:pPr>
            <w:r>
              <w:rPr>
                <w:color w:val="000080"/>
                <w:szCs w:val="24"/>
              </w:rPr>
              <w:t>Cervical Pain with Degenerative Disc Disease and Right Upper Extremity Radiation</w:t>
            </w:r>
          </w:p>
        </w:tc>
        <w:tc>
          <w:tcPr>
            <w:tcW w:w="1706" w:type="dxa"/>
          </w:tcPr>
          <w:p w:rsidR="004101B2" w:rsidRPr="00A867F0" w:rsidRDefault="00731E35" w:rsidP="00AA2E12">
            <w:pPr>
              <w:tabs>
                <w:tab w:val="left" w:pos="288"/>
                <w:tab w:val="left" w:pos="4752"/>
              </w:tabs>
              <w:spacing w:line="240" w:lineRule="exact"/>
              <w:jc w:val="center"/>
              <w:rPr>
                <w:color w:val="000080"/>
                <w:szCs w:val="24"/>
              </w:rPr>
            </w:pPr>
            <w:r>
              <w:rPr>
                <w:color w:val="000080"/>
                <w:szCs w:val="24"/>
              </w:rPr>
              <w:t>5242</w:t>
            </w:r>
          </w:p>
        </w:tc>
        <w:tc>
          <w:tcPr>
            <w:tcW w:w="1084" w:type="dxa"/>
          </w:tcPr>
          <w:p w:rsidR="004101B2" w:rsidRPr="00A867F0" w:rsidRDefault="00731E35" w:rsidP="00AA2E12">
            <w:pPr>
              <w:tabs>
                <w:tab w:val="left" w:pos="288"/>
                <w:tab w:val="left" w:pos="4752"/>
              </w:tabs>
              <w:spacing w:line="240" w:lineRule="exact"/>
              <w:jc w:val="center"/>
              <w:rPr>
                <w:color w:val="000080"/>
                <w:szCs w:val="24"/>
              </w:rPr>
            </w:pPr>
            <w:r>
              <w:rPr>
                <w:color w:val="000080"/>
                <w:szCs w:val="24"/>
              </w:rPr>
              <w:t>20</w:t>
            </w:r>
            <w:r w:rsidR="00182A4C">
              <w:rPr>
                <w:color w:val="000080"/>
                <w:szCs w:val="24"/>
              </w:rPr>
              <w:t>%</w:t>
            </w:r>
          </w:p>
        </w:tc>
      </w:tr>
      <w:tr w:rsidR="004101B2" w:rsidRPr="00533FB5" w:rsidTr="004101B2">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AA2E12">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731E35" w:rsidP="00AA2E12">
            <w:pPr>
              <w:tabs>
                <w:tab w:val="left" w:pos="288"/>
                <w:tab w:val="left" w:pos="4752"/>
              </w:tabs>
              <w:spacing w:line="240" w:lineRule="exact"/>
              <w:jc w:val="center"/>
              <w:rPr>
                <w:b/>
                <w:color w:val="000080"/>
                <w:szCs w:val="24"/>
              </w:rPr>
            </w:pPr>
            <w:r>
              <w:rPr>
                <w:b/>
                <w:color w:val="000080"/>
                <w:szCs w:val="24"/>
              </w:rPr>
              <w:t>20</w:t>
            </w:r>
            <w:r w:rsidR="004101B2" w:rsidRPr="005A258C">
              <w:rPr>
                <w:b/>
                <w:color w:val="000080"/>
                <w:szCs w:val="24"/>
              </w:rPr>
              <w:t>%</w:t>
            </w:r>
          </w:p>
        </w:tc>
      </w:tr>
    </w:tbl>
    <w:p w:rsidR="00B522CD" w:rsidRDefault="008B5D31" w:rsidP="00AA2E12">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AA2E12">
      <w:pPr>
        <w:tabs>
          <w:tab w:val="left" w:pos="288"/>
          <w:tab w:val="left" w:pos="4752"/>
        </w:tabs>
        <w:spacing w:line="240" w:lineRule="exact"/>
        <w:jc w:val="both"/>
        <w:rPr>
          <w:color w:val="000080"/>
        </w:rPr>
      </w:pPr>
    </w:p>
    <w:p w:rsidR="00D91DA6" w:rsidRDefault="00114F20" w:rsidP="00AA2E12">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AA2E12">
      <w:pPr>
        <w:tabs>
          <w:tab w:val="left" w:pos="288"/>
          <w:tab w:val="left" w:pos="4752"/>
        </w:tabs>
        <w:spacing w:line="240" w:lineRule="exact"/>
        <w:jc w:val="both"/>
        <w:rPr>
          <w:color w:val="000080"/>
        </w:rPr>
      </w:pPr>
    </w:p>
    <w:p w:rsidR="00114F20" w:rsidRDefault="0051146C" w:rsidP="00AA2E12">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0E0993">
        <w:rPr>
          <w:color w:val="000080"/>
        </w:rPr>
        <w:t>0122</w:t>
      </w:r>
      <w:r w:rsidR="00114F20">
        <w:rPr>
          <w:color w:val="000080"/>
        </w:rPr>
        <w:t>, w/</w:t>
      </w:r>
      <w:proofErr w:type="spellStart"/>
      <w:r w:rsidR="00114F20">
        <w:rPr>
          <w:color w:val="000080"/>
        </w:rPr>
        <w:t>atchs</w:t>
      </w:r>
      <w:proofErr w:type="spellEnd"/>
      <w:r w:rsidR="00114F20">
        <w:rPr>
          <w:color w:val="000080"/>
        </w:rPr>
        <w:t>.</w:t>
      </w:r>
    </w:p>
    <w:p w:rsidR="00114F20" w:rsidRDefault="00114F20" w:rsidP="00AA2E12">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AA2E12">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AA2E12">
      <w:pPr>
        <w:tabs>
          <w:tab w:val="left" w:pos="288"/>
          <w:tab w:val="left" w:pos="4752"/>
        </w:tabs>
        <w:spacing w:line="240" w:lineRule="exact"/>
        <w:jc w:val="both"/>
        <w:rPr>
          <w:color w:val="000080"/>
        </w:rPr>
      </w:pPr>
    </w:p>
    <w:p w:rsidR="00114F20" w:rsidRDefault="00114F20" w:rsidP="00AA2E12">
      <w:pPr>
        <w:tabs>
          <w:tab w:val="left" w:pos="288"/>
          <w:tab w:val="left" w:pos="4752"/>
        </w:tabs>
        <w:spacing w:line="240" w:lineRule="exact"/>
        <w:jc w:val="both"/>
        <w:rPr>
          <w:color w:val="000080"/>
        </w:rPr>
      </w:pPr>
    </w:p>
    <w:p w:rsidR="00114F20" w:rsidRDefault="00114F20" w:rsidP="00AA2E12">
      <w:pPr>
        <w:tabs>
          <w:tab w:val="left" w:pos="288"/>
          <w:tab w:val="left" w:pos="4752"/>
        </w:tabs>
        <w:spacing w:line="240" w:lineRule="exact"/>
        <w:jc w:val="both"/>
        <w:rPr>
          <w:color w:val="000080"/>
        </w:rPr>
      </w:pPr>
    </w:p>
    <w:p w:rsidR="00114F20" w:rsidRPr="00D91DA6" w:rsidRDefault="00114F20" w:rsidP="00AA2E12">
      <w:pPr>
        <w:tabs>
          <w:tab w:val="left" w:pos="288"/>
          <w:tab w:val="left" w:pos="4752"/>
        </w:tabs>
        <w:spacing w:line="240" w:lineRule="exact"/>
        <w:jc w:val="both"/>
        <w:rPr>
          <w:color w:val="000080"/>
        </w:rPr>
      </w:pPr>
    </w:p>
    <w:p w:rsidR="00D91DA6" w:rsidRDefault="00C30A97" w:rsidP="00AA2E12">
      <w:pPr>
        <w:tabs>
          <w:tab w:val="left" w:pos="0"/>
          <w:tab w:val="left" w:pos="4320"/>
        </w:tabs>
        <w:spacing w:line="240" w:lineRule="exact"/>
        <w:jc w:val="both"/>
        <w:rPr>
          <w:color w:val="000080"/>
        </w:rPr>
      </w:pPr>
      <w:r>
        <w:rPr>
          <w:color w:val="000080"/>
        </w:rPr>
        <w:t xml:space="preserve">                             </w:t>
      </w:r>
      <w:r w:rsidR="00D91DA6" w:rsidRPr="00D91DA6">
        <w:rPr>
          <w:color w:val="000080"/>
        </w:rPr>
        <w:t xml:space="preserve">MICHAEL F. </w:t>
      </w:r>
      <w:proofErr w:type="spellStart"/>
      <w:r w:rsidR="00D91DA6" w:rsidRPr="00D91DA6">
        <w:rPr>
          <w:color w:val="000080"/>
        </w:rPr>
        <w:t>LoGRANDE</w:t>
      </w:r>
      <w:proofErr w:type="spellEnd"/>
    </w:p>
    <w:p w:rsidR="00D91DA6" w:rsidRPr="00D91DA6" w:rsidRDefault="00C30A97" w:rsidP="00AA2E12">
      <w:pPr>
        <w:tabs>
          <w:tab w:val="left" w:pos="0"/>
          <w:tab w:val="left" w:pos="4320"/>
        </w:tabs>
        <w:spacing w:line="240" w:lineRule="exact"/>
        <w:jc w:val="both"/>
        <w:rPr>
          <w:color w:val="000080"/>
        </w:rPr>
      </w:pPr>
      <w:r>
        <w:rPr>
          <w:color w:val="000080"/>
        </w:rPr>
        <w:t xml:space="preserve">                             </w:t>
      </w:r>
      <w:r w:rsidR="00D91DA6" w:rsidRPr="00D91DA6">
        <w:rPr>
          <w:color w:val="000080"/>
        </w:rPr>
        <w:t>President</w:t>
      </w:r>
    </w:p>
    <w:p w:rsidR="00B522CD" w:rsidRDefault="00C30A97" w:rsidP="00AA2E12">
      <w:pPr>
        <w:tabs>
          <w:tab w:val="left" w:pos="288"/>
          <w:tab w:val="left" w:pos="4320"/>
          <w:tab w:val="left" w:pos="4410"/>
          <w:tab w:val="left" w:pos="4770"/>
          <w:tab w:val="left" w:pos="4860"/>
          <w:tab w:val="left" w:pos="5040"/>
        </w:tabs>
        <w:spacing w:line="240" w:lineRule="exact"/>
        <w:jc w:val="both"/>
        <w:rPr>
          <w:color w:val="000080"/>
        </w:rPr>
      </w:pPr>
      <w:r>
        <w:rPr>
          <w:color w:val="000080"/>
        </w:rPr>
        <w:tab/>
        <w:t xml:space="preserve">                           </w:t>
      </w:r>
      <w:r w:rsidR="00D91DA6" w:rsidRPr="00D91DA6">
        <w:rPr>
          <w:color w:val="000080"/>
        </w:rPr>
        <w:t>Physical Disability</w:t>
      </w:r>
      <w:r w:rsidR="00D91DA6">
        <w:rPr>
          <w:color w:val="000080"/>
        </w:rPr>
        <w:t xml:space="preserve"> </w:t>
      </w:r>
      <w:r w:rsidR="00D91DA6" w:rsidRPr="00D91DA6">
        <w:rPr>
          <w:color w:val="000080"/>
        </w:rPr>
        <w:t>Board of Review</w:t>
      </w:r>
    </w:p>
    <w:p w:rsidR="00AA04B3" w:rsidRPr="000B3B22" w:rsidRDefault="000B3B22" w:rsidP="000B3B22">
      <w:pPr>
        <w:pStyle w:val="Default"/>
        <w:ind w:left="-1440"/>
      </w:pPr>
      <w:r>
        <w:rPr>
          <w:noProof/>
        </w:rPr>
        <w:lastRenderedPageBreak/>
        <w:drawing>
          <wp:inline distT="0" distB="0" distL="0" distR="0">
            <wp:extent cx="780097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677525"/>
                    </a:xfrm>
                    <a:prstGeom prst="rect">
                      <a:avLst/>
                    </a:prstGeom>
                    <a:noFill/>
                    <a:ln w="9525">
                      <a:noFill/>
                      <a:miter lim="800000"/>
                      <a:headEnd/>
                      <a:tailEnd/>
                    </a:ln>
                  </pic:spPr>
                </pic:pic>
              </a:graphicData>
            </a:graphic>
          </wp:inline>
        </w:drawing>
      </w:r>
    </w:p>
    <w:sectPr w:rsidR="00AA04B3" w:rsidRPr="000B3B22"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59" w:rsidRDefault="00D14259">
      <w:r>
        <w:separator/>
      </w:r>
    </w:p>
  </w:endnote>
  <w:endnote w:type="continuationSeparator" w:id="0">
    <w:p w:rsidR="00D14259" w:rsidRDefault="00D1425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4546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4546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0B3B22">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0E0993">
      <w:rPr>
        <w:caps/>
        <w:color w:val="000080"/>
      </w:rPr>
      <w:t>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59" w:rsidRDefault="00D14259">
      <w:r>
        <w:separator/>
      </w:r>
    </w:p>
  </w:footnote>
  <w:footnote w:type="continuationSeparator" w:id="0">
    <w:p w:rsidR="00D14259" w:rsidRDefault="00D14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26D1B"/>
    <w:rsid w:val="00035C3A"/>
    <w:rsid w:val="000379D0"/>
    <w:rsid w:val="00040FC4"/>
    <w:rsid w:val="000416F8"/>
    <w:rsid w:val="00051622"/>
    <w:rsid w:val="00053D7C"/>
    <w:rsid w:val="00055AAC"/>
    <w:rsid w:val="00072433"/>
    <w:rsid w:val="0008708B"/>
    <w:rsid w:val="000A2BCE"/>
    <w:rsid w:val="000A4BBA"/>
    <w:rsid w:val="000B31E1"/>
    <w:rsid w:val="000B3B22"/>
    <w:rsid w:val="000C7DE4"/>
    <w:rsid w:val="000D15E7"/>
    <w:rsid w:val="000D248A"/>
    <w:rsid w:val="000D43F9"/>
    <w:rsid w:val="000D4717"/>
    <w:rsid w:val="000D7D55"/>
    <w:rsid w:val="000E0993"/>
    <w:rsid w:val="000F02BE"/>
    <w:rsid w:val="000F427B"/>
    <w:rsid w:val="000F71D9"/>
    <w:rsid w:val="0010417F"/>
    <w:rsid w:val="0010530E"/>
    <w:rsid w:val="001103CD"/>
    <w:rsid w:val="00114F20"/>
    <w:rsid w:val="001231DC"/>
    <w:rsid w:val="001315DD"/>
    <w:rsid w:val="00132425"/>
    <w:rsid w:val="00135385"/>
    <w:rsid w:val="00135ED8"/>
    <w:rsid w:val="001364D1"/>
    <w:rsid w:val="00137BBA"/>
    <w:rsid w:val="00145464"/>
    <w:rsid w:val="001541C5"/>
    <w:rsid w:val="001668A8"/>
    <w:rsid w:val="00177659"/>
    <w:rsid w:val="00182A4C"/>
    <w:rsid w:val="00185ECB"/>
    <w:rsid w:val="0019273F"/>
    <w:rsid w:val="00196927"/>
    <w:rsid w:val="001A32CD"/>
    <w:rsid w:val="001A53E2"/>
    <w:rsid w:val="001A7538"/>
    <w:rsid w:val="001B5B59"/>
    <w:rsid w:val="001B5F77"/>
    <w:rsid w:val="001B7396"/>
    <w:rsid w:val="001C181A"/>
    <w:rsid w:val="001C2053"/>
    <w:rsid w:val="001C28D1"/>
    <w:rsid w:val="001C7418"/>
    <w:rsid w:val="001D0051"/>
    <w:rsid w:val="001D2224"/>
    <w:rsid w:val="001D68CF"/>
    <w:rsid w:val="001D6A8C"/>
    <w:rsid w:val="001D7A56"/>
    <w:rsid w:val="001E18E2"/>
    <w:rsid w:val="0020481A"/>
    <w:rsid w:val="002060B6"/>
    <w:rsid w:val="00216049"/>
    <w:rsid w:val="00217C09"/>
    <w:rsid w:val="00225196"/>
    <w:rsid w:val="00225CB4"/>
    <w:rsid w:val="002338CA"/>
    <w:rsid w:val="002402F1"/>
    <w:rsid w:val="0024227D"/>
    <w:rsid w:val="00246860"/>
    <w:rsid w:val="0025183C"/>
    <w:rsid w:val="00255049"/>
    <w:rsid w:val="0026318D"/>
    <w:rsid w:val="0027159C"/>
    <w:rsid w:val="00274549"/>
    <w:rsid w:val="00274E46"/>
    <w:rsid w:val="00276C86"/>
    <w:rsid w:val="0029676F"/>
    <w:rsid w:val="002B03B2"/>
    <w:rsid w:val="002B0749"/>
    <w:rsid w:val="002C6E5B"/>
    <w:rsid w:val="002D18B4"/>
    <w:rsid w:val="002E1C31"/>
    <w:rsid w:val="002E333A"/>
    <w:rsid w:val="002E3474"/>
    <w:rsid w:val="002E5B92"/>
    <w:rsid w:val="002E764B"/>
    <w:rsid w:val="002F287E"/>
    <w:rsid w:val="002F7F81"/>
    <w:rsid w:val="00314B41"/>
    <w:rsid w:val="00323E70"/>
    <w:rsid w:val="00333DD5"/>
    <w:rsid w:val="0033555E"/>
    <w:rsid w:val="003366DB"/>
    <w:rsid w:val="003372F6"/>
    <w:rsid w:val="00337351"/>
    <w:rsid w:val="00341A54"/>
    <w:rsid w:val="00363362"/>
    <w:rsid w:val="0037520D"/>
    <w:rsid w:val="00377BD2"/>
    <w:rsid w:val="003857D4"/>
    <w:rsid w:val="00385D6F"/>
    <w:rsid w:val="00393651"/>
    <w:rsid w:val="003A41BA"/>
    <w:rsid w:val="003A6A99"/>
    <w:rsid w:val="003B227A"/>
    <w:rsid w:val="003D2BA3"/>
    <w:rsid w:val="003D7DDB"/>
    <w:rsid w:val="003E02C7"/>
    <w:rsid w:val="003E0543"/>
    <w:rsid w:val="003E0826"/>
    <w:rsid w:val="003F2770"/>
    <w:rsid w:val="003F30A0"/>
    <w:rsid w:val="003F58B0"/>
    <w:rsid w:val="004007E9"/>
    <w:rsid w:val="004011DC"/>
    <w:rsid w:val="00401BBC"/>
    <w:rsid w:val="00404B45"/>
    <w:rsid w:val="00406CC5"/>
    <w:rsid w:val="004074A4"/>
    <w:rsid w:val="004101B2"/>
    <w:rsid w:val="004172DB"/>
    <w:rsid w:val="00421965"/>
    <w:rsid w:val="00422B75"/>
    <w:rsid w:val="00427B70"/>
    <w:rsid w:val="0043503A"/>
    <w:rsid w:val="0044384F"/>
    <w:rsid w:val="004543BC"/>
    <w:rsid w:val="004574C6"/>
    <w:rsid w:val="00457BCF"/>
    <w:rsid w:val="004718E7"/>
    <w:rsid w:val="004761CC"/>
    <w:rsid w:val="00495350"/>
    <w:rsid w:val="004A2045"/>
    <w:rsid w:val="004A24D2"/>
    <w:rsid w:val="004A4136"/>
    <w:rsid w:val="004A645E"/>
    <w:rsid w:val="004B03F3"/>
    <w:rsid w:val="004B2344"/>
    <w:rsid w:val="004B7169"/>
    <w:rsid w:val="004C21EC"/>
    <w:rsid w:val="004C6CDA"/>
    <w:rsid w:val="004E32EA"/>
    <w:rsid w:val="004E5C9A"/>
    <w:rsid w:val="004F0DAF"/>
    <w:rsid w:val="00510588"/>
    <w:rsid w:val="0051146C"/>
    <w:rsid w:val="005222E7"/>
    <w:rsid w:val="00523E04"/>
    <w:rsid w:val="0052590B"/>
    <w:rsid w:val="00526591"/>
    <w:rsid w:val="005350A5"/>
    <w:rsid w:val="00536379"/>
    <w:rsid w:val="00536E38"/>
    <w:rsid w:val="00540BEF"/>
    <w:rsid w:val="005436C2"/>
    <w:rsid w:val="00545AF0"/>
    <w:rsid w:val="0055288D"/>
    <w:rsid w:val="0057104D"/>
    <w:rsid w:val="00593043"/>
    <w:rsid w:val="005A258C"/>
    <w:rsid w:val="005A3560"/>
    <w:rsid w:val="005A6C99"/>
    <w:rsid w:val="005B011A"/>
    <w:rsid w:val="005D3E41"/>
    <w:rsid w:val="005D7C98"/>
    <w:rsid w:val="005E27AE"/>
    <w:rsid w:val="005F0CA5"/>
    <w:rsid w:val="005F1115"/>
    <w:rsid w:val="005F27F2"/>
    <w:rsid w:val="005F424D"/>
    <w:rsid w:val="005F5BB6"/>
    <w:rsid w:val="00615641"/>
    <w:rsid w:val="006178CD"/>
    <w:rsid w:val="006307BA"/>
    <w:rsid w:val="00634C4A"/>
    <w:rsid w:val="006418C9"/>
    <w:rsid w:val="00645046"/>
    <w:rsid w:val="00662F08"/>
    <w:rsid w:val="00663589"/>
    <w:rsid w:val="00670DDC"/>
    <w:rsid w:val="0067443B"/>
    <w:rsid w:val="006762CB"/>
    <w:rsid w:val="00684E2B"/>
    <w:rsid w:val="00690FDA"/>
    <w:rsid w:val="00696476"/>
    <w:rsid w:val="0069674A"/>
    <w:rsid w:val="006A10FA"/>
    <w:rsid w:val="006A400A"/>
    <w:rsid w:val="006A40E6"/>
    <w:rsid w:val="006A5C07"/>
    <w:rsid w:val="006A75FA"/>
    <w:rsid w:val="006B07D5"/>
    <w:rsid w:val="006B5923"/>
    <w:rsid w:val="006B5E46"/>
    <w:rsid w:val="006B6C14"/>
    <w:rsid w:val="006C49C2"/>
    <w:rsid w:val="006D2D39"/>
    <w:rsid w:val="006E06D1"/>
    <w:rsid w:val="006E7356"/>
    <w:rsid w:val="006F1A46"/>
    <w:rsid w:val="007116BC"/>
    <w:rsid w:val="007165CE"/>
    <w:rsid w:val="00720968"/>
    <w:rsid w:val="00721D12"/>
    <w:rsid w:val="00721F8B"/>
    <w:rsid w:val="00731E35"/>
    <w:rsid w:val="0073545F"/>
    <w:rsid w:val="00736A49"/>
    <w:rsid w:val="00744EBB"/>
    <w:rsid w:val="00746AE2"/>
    <w:rsid w:val="00750C82"/>
    <w:rsid w:val="0076100C"/>
    <w:rsid w:val="007651ED"/>
    <w:rsid w:val="00766148"/>
    <w:rsid w:val="00781BD4"/>
    <w:rsid w:val="00784832"/>
    <w:rsid w:val="00791F1E"/>
    <w:rsid w:val="0079681C"/>
    <w:rsid w:val="007A0B39"/>
    <w:rsid w:val="007A14A4"/>
    <w:rsid w:val="007A168F"/>
    <w:rsid w:val="007A28E4"/>
    <w:rsid w:val="007A5AD1"/>
    <w:rsid w:val="007B0A06"/>
    <w:rsid w:val="007B5C5C"/>
    <w:rsid w:val="007B7C41"/>
    <w:rsid w:val="007C433E"/>
    <w:rsid w:val="007D0292"/>
    <w:rsid w:val="007D4D37"/>
    <w:rsid w:val="007E2046"/>
    <w:rsid w:val="007E4736"/>
    <w:rsid w:val="007E4FBB"/>
    <w:rsid w:val="00811D5B"/>
    <w:rsid w:val="00817713"/>
    <w:rsid w:val="00830999"/>
    <w:rsid w:val="00830D5E"/>
    <w:rsid w:val="00830F69"/>
    <w:rsid w:val="00834458"/>
    <w:rsid w:val="00837465"/>
    <w:rsid w:val="00841457"/>
    <w:rsid w:val="0084374E"/>
    <w:rsid w:val="00844842"/>
    <w:rsid w:val="0085206E"/>
    <w:rsid w:val="00852BA8"/>
    <w:rsid w:val="00853718"/>
    <w:rsid w:val="008541EF"/>
    <w:rsid w:val="0086162B"/>
    <w:rsid w:val="00865207"/>
    <w:rsid w:val="00871262"/>
    <w:rsid w:val="00875B51"/>
    <w:rsid w:val="00875F2D"/>
    <w:rsid w:val="008A63A9"/>
    <w:rsid w:val="008B04DB"/>
    <w:rsid w:val="008B5D31"/>
    <w:rsid w:val="008D7B07"/>
    <w:rsid w:val="008E2D99"/>
    <w:rsid w:val="008E4A60"/>
    <w:rsid w:val="009026E8"/>
    <w:rsid w:val="0090793A"/>
    <w:rsid w:val="009132C9"/>
    <w:rsid w:val="00914ADB"/>
    <w:rsid w:val="00923B25"/>
    <w:rsid w:val="00942645"/>
    <w:rsid w:val="009506CE"/>
    <w:rsid w:val="0095340A"/>
    <w:rsid w:val="00954581"/>
    <w:rsid w:val="0095466C"/>
    <w:rsid w:val="00954FF2"/>
    <w:rsid w:val="0096168C"/>
    <w:rsid w:val="00962F2D"/>
    <w:rsid w:val="00972237"/>
    <w:rsid w:val="009732B8"/>
    <w:rsid w:val="00977CB4"/>
    <w:rsid w:val="00984A71"/>
    <w:rsid w:val="00985099"/>
    <w:rsid w:val="00993671"/>
    <w:rsid w:val="009A0DE3"/>
    <w:rsid w:val="009A372A"/>
    <w:rsid w:val="009B1534"/>
    <w:rsid w:val="009B3841"/>
    <w:rsid w:val="009B4ADC"/>
    <w:rsid w:val="009B69D3"/>
    <w:rsid w:val="009B7BA7"/>
    <w:rsid w:val="009C0938"/>
    <w:rsid w:val="009C3F82"/>
    <w:rsid w:val="009C7AE4"/>
    <w:rsid w:val="009C7DF5"/>
    <w:rsid w:val="009D1ADE"/>
    <w:rsid w:val="009E1283"/>
    <w:rsid w:val="00A1105B"/>
    <w:rsid w:val="00A16876"/>
    <w:rsid w:val="00A200AA"/>
    <w:rsid w:val="00A2186F"/>
    <w:rsid w:val="00A2270B"/>
    <w:rsid w:val="00A2317B"/>
    <w:rsid w:val="00A2496E"/>
    <w:rsid w:val="00A258B7"/>
    <w:rsid w:val="00A27F4E"/>
    <w:rsid w:val="00A47CF1"/>
    <w:rsid w:val="00A50418"/>
    <w:rsid w:val="00A608FB"/>
    <w:rsid w:val="00A70E7B"/>
    <w:rsid w:val="00A7178F"/>
    <w:rsid w:val="00A76094"/>
    <w:rsid w:val="00A86CB6"/>
    <w:rsid w:val="00A90D55"/>
    <w:rsid w:val="00AA04B3"/>
    <w:rsid w:val="00AA2E12"/>
    <w:rsid w:val="00AB2E3D"/>
    <w:rsid w:val="00AC439D"/>
    <w:rsid w:val="00AE2D29"/>
    <w:rsid w:val="00AE5AEF"/>
    <w:rsid w:val="00B12973"/>
    <w:rsid w:val="00B23436"/>
    <w:rsid w:val="00B309C0"/>
    <w:rsid w:val="00B32179"/>
    <w:rsid w:val="00B40A3E"/>
    <w:rsid w:val="00B522CD"/>
    <w:rsid w:val="00B55917"/>
    <w:rsid w:val="00B72303"/>
    <w:rsid w:val="00B82277"/>
    <w:rsid w:val="00B95833"/>
    <w:rsid w:val="00BA2D98"/>
    <w:rsid w:val="00BA30D1"/>
    <w:rsid w:val="00BA4609"/>
    <w:rsid w:val="00BA5BE2"/>
    <w:rsid w:val="00BA7F46"/>
    <w:rsid w:val="00BB0A0A"/>
    <w:rsid w:val="00BB3200"/>
    <w:rsid w:val="00BC09D1"/>
    <w:rsid w:val="00BD6806"/>
    <w:rsid w:val="00BD7831"/>
    <w:rsid w:val="00BD7C10"/>
    <w:rsid w:val="00BE0DEB"/>
    <w:rsid w:val="00BE6365"/>
    <w:rsid w:val="00C13B34"/>
    <w:rsid w:val="00C261C6"/>
    <w:rsid w:val="00C2715D"/>
    <w:rsid w:val="00C30A97"/>
    <w:rsid w:val="00C31DDC"/>
    <w:rsid w:val="00C34326"/>
    <w:rsid w:val="00C368E8"/>
    <w:rsid w:val="00C5019E"/>
    <w:rsid w:val="00C53E8A"/>
    <w:rsid w:val="00C54DF3"/>
    <w:rsid w:val="00C56FC8"/>
    <w:rsid w:val="00C71BEC"/>
    <w:rsid w:val="00C84AD1"/>
    <w:rsid w:val="00C85579"/>
    <w:rsid w:val="00C97C56"/>
    <w:rsid w:val="00CA068D"/>
    <w:rsid w:val="00CA282D"/>
    <w:rsid w:val="00CA5861"/>
    <w:rsid w:val="00CA6FEA"/>
    <w:rsid w:val="00CB23DC"/>
    <w:rsid w:val="00CB28E2"/>
    <w:rsid w:val="00CB7FF7"/>
    <w:rsid w:val="00CC2044"/>
    <w:rsid w:val="00CC69EC"/>
    <w:rsid w:val="00CD34C7"/>
    <w:rsid w:val="00CD63C8"/>
    <w:rsid w:val="00CE67B7"/>
    <w:rsid w:val="00CF158D"/>
    <w:rsid w:val="00CF4394"/>
    <w:rsid w:val="00D0000C"/>
    <w:rsid w:val="00D14259"/>
    <w:rsid w:val="00D14BAE"/>
    <w:rsid w:val="00D1648B"/>
    <w:rsid w:val="00D16819"/>
    <w:rsid w:val="00D20AC0"/>
    <w:rsid w:val="00D336C8"/>
    <w:rsid w:val="00D339E8"/>
    <w:rsid w:val="00D40B1F"/>
    <w:rsid w:val="00D50C8C"/>
    <w:rsid w:val="00D52393"/>
    <w:rsid w:val="00D53F14"/>
    <w:rsid w:val="00D76AB2"/>
    <w:rsid w:val="00D829AD"/>
    <w:rsid w:val="00D87788"/>
    <w:rsid w:val="00D910C2"/>
    <w:rsid w:val="00D9189B"/>
    <w:rsid w:val="00D91DA6"/>
    <w:rsid w:val="00D922EA"/>
    <w:rsid w:val="00D972D4"/>
    <w:rsid w:val="00DA195B"/>
    <w:rsid w:val="00DB0015"/>
    <w:rsid w:val="00DB2AAD"/>
    <w:rsid w:val="00DC3E16"/>
    <w:rsid w:val="00DD3593"/>
    <w:rsid w:val="00DE7E74"/>
    <w:rsid w:val="00DF7EC9"/>
    <w:rsid w:val="00E00A69"/>
    <w:rsid w:val="00E017F0"/>
    <w:rsid w:val="00E041E4"/>
    <w:rsid w:val="00E14581"/>
    <w:rsid w:val="00E15539"/>
    <w:rsid w:val="00E16541"/>
    <w:rsid w:val="00E2632B"/>
    <w:rsid w:val="00E405EA"/>
    <w:rsid w:val="00E42789"/>
    <w:rsid w:val="00E464F0"/>
    <w:rsid w:val="00E50BEB"/>
    <w:rsid w:val="00E6092F"/>
    <w:rsid w:val="00E6200C"/>
    <w:rsid w:val="00E629DA"/>
    <w:rsid w:val="00E738CB"/>
    <w:rsid w:val="00E82B6D"/>
    <w:rsid w:val="00EA11B6"/>
    <w:rsid w:val="00EA2DD8"/>
    <w:rsid w:val="00EA681F"/>
    <w:rsid w:val="00EB606D"/>
    <w:rsid w:val="00EB76E4"/>
    <w:rsid w:val="00EC0E65"/>
    <w:rsid w:val="00EC50C9"/>
    <w:rsid w:val="00ED44E9"/>
    <w:rsid w:val="00EE0B44"/>
    <w:rsid w:val="00EF608E"/>
    <w:rsid w:val="00F01C16"/>
    <w:rsid w:val="00F0706C"/>
    <w:rsid w:val="00F11EBE"/>
    <w:rsid w:val="00F1516A"/>
    <w:rsid w:val="00F22A26"/>
    <w:rsid w:val="00F24072"/>
    <w:rsid w:val="00F32139"/>
    <w:rsid w:val="00F34E08"/>
    <w:rsid w:val="00F41D91"/>
    <w:rsid w:val="00F42363"/>
    <w:rsid w:val="00F46964"/>
    <w:rsid w:val="00F469A3"/>
    <w:rsid w:val="00F5126A"/>
    <w:rsid w:val="00F718A8"/>
    <w:rsid w:val="00F72183"/>
    <w:rsid w:val="00F763B4"/>
    <w:rsid w:val="00F82981"/>
    <w:rsid w:val="00F8311F"/>
    <w:rsid w:val="00F83248"/>
    <w:rsid w:val="00F853AE"/>
    <w:rsid w:val="00F93DCC"/>
    <w:rsid w:val="00F9435D"/>
    <w:rsid w:val="00FB593A"/>
    <w:rsid w:val="00FB6E42"/>
    <w:rsid w:val="00FB6E82"/>
    <w:rsid w:val="00FC4576"/>
    <w:rsid w:val="00FC5F0E"/>
    <w:rsid w:val="00FC7DBC"/>
    <w:rsid w:val="00FD1D5A"/>
    <w:rsid w:val="00FF2F36"/>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B3B2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9353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170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2010-01-25T19:46:00Z</cp:lastPrinted>
  <dcterms:created xsi:type="dcterms:W3CDTF">2012-01-09T13:39:00Z</dcterms:created>
  <dcterms:modified xsi:type="dcterms:W3CDTF">2012-01-09T13:39:00Z</dcterms:modified>
</cp:coreProperties>
</file>