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047E9B">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047E9B">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047E9B">
      <w:pPr>
        <w:tabs>
          <w:tab w:val="left" w:pos="288"/>
          <w:tab w:val="left" w:pos="4752"/>
        </w:tabs>
        <w:spacing w:line="240" w:lineRule="exact"/>
        <w:jc w:val="both"/>
        <w:rPr>
          <w:color w:val="000080"/>
        </w:rPr>
      </w:pPr>
    </w:p>
    <w:p w:rsidR="006507C7" w:rsidRPr="006507C7" w:rsidRDefault="00E06B7E" w:rsidP="00047E9B">
      <w:pPr>
        <w:tabs>
          <w:tab w:val="left" w:pos="288"/>
          <w:tab w:val="left" w:pos="4752"/>
        </w:tabs>
        <w:spacing w:line="240" w:lineRule="exact"/>
        <w:rPr>
          <w:color w:val="000080"/>
        </w:rPr>
      </w:pPr>
      <w:r>
        <w:rPr>
          <w:color w:val="000080"/>
        </w:rPr>
        <w:t>NAME:</w:t>
      </w:r>
      <w:r w:rsidR="006507C7" w:rsidRPr="006507C7">
        <w:rPr>
          <w:color w:val="000080"/>
        </w:rPr>
        <w:tab/>
      </w:r>
      <w:r w:rsidR="006507C7" w:rsidRPr="006507C7">
        <w:rPr>
          <w:color w:val="000080"/>
        </w:rPr>
        <w:tab/>
        <w:t>BRANCH OF SERVICE: ARMY</w:t>
      </w:r>
    </w:p>
    <w:p w:rsidR="002916AA" w:rsidRDefault="006507C7" w:rsidP="00047E9B">
      <w:pPr>
        <w:tabs>
          <w:tab w:val="left" w:pos="288"/>
          <w:tab w:val="left" w:pos="4752"/>
        </w:tabs>
        <w:spacing w:line="240" w:lineRule="exact"/>
        <w:rPr>
          <w:color w:val="000080"/>
        </w:rPr>
      </w:pPr>
      <w:r w:rsidRPr="006507C7">
        <w:rPr>
          <w:color w:val="000080"/>
        </w:rPr>
        <w:t>CASE NUMBER:  PD0900009</w:t>
      </w:r>
      <w:r w:rsidRPr="006507C7">
        <w:rPr>
          <w:color w:val="000080"/>
        </w:rPr>
        <w:tab/>
      </w:r>
      <w:r w:rsidRPr="006507C7">
        <w:rPr>
          <w:color w:val="000080"/>
        </w:rPr>
        <w:tab/>
        <w:t>BOARD DATE: 2010</w:t>
      </w:r>
      <w:r w:rsidR="00C74127">
        <w:rPr>
          <w:color w:val="000080"/>
        </w:rPr>
        <w:t>0217</w:t>
      </w:r>
    </w:p>
    <w:p w:rsidR="006507C7" w:rsidRPr="006507C7" w:rsidRDefault="006507C7" w:rsidP="00047E9B">
      <w:pPr>
        <w:tabs>
          <w:tab w:val="left" w:pos="288"/>
          <w:tab w:val="left" w:pos="4752"/>
        </w:tabs>
        <w:spacing w:line="240" w:lineRule="exact"/>
        <w:rPr>
          <w:color w:val="000080"/>
        </w:rPr>
      </w:pPr>
      <w:r w:rsidRPr="006507C7">
        <w:rPr>
          <w:color w:val="000080"/>
        </w:rPr>
        <w:t>SEPARATION DATE: 20070629</w:t>
      </w:r>
    </w:p>
    <w:p w:rsidR="00540BEF" w:rsidRPr="00D91DA6" w:rsidRDefault="00540BEF" w:rsidP="00047E9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047E9B">
      <w:pPr>
        <w:tabs>
          <w:tab w:val="left" w:pos="288"/>
          <w:tab w:val="left" w:pos="4752"/>
        </w:tabs>
        <w:spacing w:line="240" w:lineRule="exact"/>
        <w:jc w:val="both"/>
        <w:rPr>
          <w:color w:val="000080"/>
        </w:rPr>
      </w:pPr>
    </w:p>
    <w:p w:rsidR="008B04DB" w:rsidRPr="00A6738B" w:rsidRDefault="002C6E5B" w:rsidP="00047E9B">
      <w:pPr>
        <w:tabs>
          <w:tab w:val="left" w:pos="288"/>
          <w:tab w:val="left" w:pos="4752"/>
        </w:tabs>
        <w:spacing w:line="240" w:lineRule="exact"/>
        <w:jc w:val="both"/>
        <w:rPr>
          <w:color w:val="000080"/>
        </w:rPr>
      </w:pPr>
      <w:r w:rsidRPr="00A6738B">
        <w:rPr>
          <w:color w:val="000080"/>
          <w:u w:val="single"/>
        </w:rPr>
        <w:t>SUMMARY OF CASE</w:t>
      </w:r>
      <w:r w:rsidRPr="00A6738B">
        <w:rPr>
          <w:color w:val="000080"/>
        </w:rPr>
        <w:t xml:space="preserve">:  This covered individual (CI) was </w:t>
      </w:r>
      <w:r w:rsidR="00874310" w:rsidRPr="00A6738B">
        <w:rPr>
          <w:color w:val="000080"/>
        </w:rPr>
        <w:t xml:space="preserve">a Guard </w:t>
      </w:r>
      <w:r w:rsidR="0026651A" w:rsidRPr="00A6738B">
        <w:rPr>
          <w:color w:val="000080"/>
        </w:rPr>
        <w:t>MSG</w:t>
      </w:r>
      <w:r w:rsidR="003601C8">
        <w:rPr>
          <w:color w:val="000080"/>
        </w:rPr>
        <w:t>/E-8</w:t>
      </w:r>
      <w:r w:rsidR="00874310" w:rsidRPr="00A6738B">
        <w:rPr>
          <w:color w:val="000080"/>
        </w:rPr>
        <w:t xml:space="preserve"> (Signal)</w:t>
      </w:r>
      <w:r w:rsidRPr="00A6738B">
        <w:rPr>
          <w:color w:val="000080"/>
        </w:rPr>
        <w:t xml:space="preserve"> medically separated from the Army in 200</w:t>
      </w:r>
      <w:r w:rsidR="00874310" w:rsidRPr="00A6738B">
        <w:rPr>
          <w:color w:val="000080"/>
        </w:rPr>
        <w:t>7</w:t>
      </w:r>
      <w:r w:rsidRPr="00A6738B">
        <w:rPr>
          <w:color w:val="000080"/>
        </w:rPr>
        <w:t xml:space="preserve"> after </w:t>
      </w:r>
      <w:r w:rsidR="00874310" w:rsidRPr="00A6738B">
        <w:rPr>
          <w:color w:val="000080"/>
        </w:rPr>
        <w:t>27</w:t>
      </w:r>
      <w:r w:rsidRPr="00A6738B">
        <w:rPr>
          <w:color w:val="000080"/>
        </w:rPr>
        <w:t xml:space="preserve"> years of </w:t>
      </w:r>
      <w:r w:rsidR="00874310" w:rsidRPr="00A6738B">
        <w:rPr>
          <w:color w:val="000080"/>
        </w:rPr>
        <w:t xml:space="preserve">combined </w:t>
      </w:r>
      <w:r w:rsidRPr="00A6738B">
        <w:rPr>
          <w:color w:val="000080"/>
        </w:rPr>
        <w:t xml:space="preserve">service.  The medical basis for </w:t>
      </w:r>
      <w:r w:rsidR="00C74127" w:rsidRPr="00A6738B">
        <w:rPr>
          <w:color w:val="000080"/>
        </w:rPr>
        <w:t>the</w:t>
      </w:r>
      <w:r w:rsidR="00C74127">
        <w:rPr>
          <w:color w:val="000080"/>
        </w:rPr>
        <w:t xml:space="preserve"> </w:t>
      </w:r>
      <w:r w:rsidR="00C74127" w:rsidRPr="00A6738B">
        <w:rPr>
          <w:color w:val="000080"/>
        </w:rPr>
        <w:t>separation</w:t>
      </w:r>
      <w:r w:rsidRPr="00A6738B">
        <w:rPr>
          <w:color w:val="000080"/>
        </w:rPr>
        <w:t xml:space="preserve"> was </w:t>
      </w:r>
      <w:r w:rsidR="00874310" w:rsidRPr="00A6738B">
        <w:rPr>
          <w:color w:val="000080"/>
        </w:rPr>
        <w:t xml:space="preserve">a neck condition.  </w:t>
      </w:r>
      <w:r w:rsidR="00204911" w:rsidRPr="00A6738B">
        <w:rPr>
          <w:color w:val="000080"/>
        </w:rPr>
        <w:t xml:space="preserve">This first became symptomatic during a 2004 OIF deployment.  He also developed an exacerbation of right shoulder and left knee pain during the deployment.  </w:t>
      </w:r>
      <w:r w:rsidR="0026651A" w:rsidRPr="00A6738B">
        <w:rPr>
          <w:color w:val="000080"/>
        </w:rPr>
        <w:t>All of the complaints</w:t>
      </w:r>
      <w:r w:rsidR="00204911" w:rsidRPr="00A6738B">
        <w:rPr>
          <w:color w:val="000080"/>
        </w:rPr>
        <w:t xml:space="preserve"> were treated conservatively in theater, but he was placed on medical hold after demobilization.  A</w:t>
      </w:r>
      <w:r w:rsidR="00C97A48" w:rsidRPr="00A6738B">
        <w:rPr>
          <w:color w:val="000080"/>
        </w:rPr>
        <w:t xml:space="preserve"> cervical</w:t>
      </w:r>
      <w:r w:rsidR="00204911" w:rsidRPr="00A6738B">
        <w:rPr>
          <w:color w:val="000080"/>
        </w:rPr>
        <w:t xml:space="preserve"> MRI diagnosed </w:t>
      </w:r>
      <w:proofErr w:type="spellStart"/>
      <w:r w:rsidR="00204911" w:rsidRPr="00A6738B">
        <w:rPr>
          <w:color w:val="000080"/>
        </w:rPr>
        <w:t>Klippel-</w:t>
      </w:r>
      <w:r w:rsidR="00914EE3" w:rsidRPr="00A6738B">
        <w:rPr>
          <w:color w:val="000080"/>
        </w:rPr>
        <w:t>Feil</w:t>
      </w:r>
      <w:proofErr w:type="spellEnd"/>
      <w:r w:rsidR="00914EE3" w:rsidRPr="00A6738B">
        <w:rPr>
          <w:color w:val="000080"/>
        </w:rPr>
        <w:t xml:space="preserve"> deformity (congenital spine disorder) and multilevel degenerative disc changes.  This was not surgical and did not respond adequately to conservative management for continued MOS performance.  In 2006 he underwent arthroscopic </w:t>
      </w:r>
      <w:proofErr w:type="spellStart"/>
      <w:r w:rsidR="00914EE3" w:rsidRPr="00A6738B">
        <w:rPr>
          <w:color w:val="000080"/>
        </w:rPr>
        <w:t>meniscal</w:t>
      </w:r>
      <w:proofErr w:type="spellEnd"/>
      <w:r w:rsidR="00914EE3" w:rsidRPr="00A6738B">
        <w:rPr>
          <w:color w:val="000080"/>
        </w:rPr>
        <w:t xml:space="preserve"> debridement (cartilage repair) of the left knee </w:t>
      </w:r>
      <w:r w:rsidR="005D24CF" w:rsidRPr="00A6738B">
        <w:rPr>
          <w:color w:val="000080"/>
        </w:rPr>
        <w:t>as well as</w:t>
      </w:r>
      <w:r w:rsidR="00914EE3" w:rsidRPr="00A6738B">
        <w:rPr>
          <w:color w:val="000080"/>
        </w:rPr>
        <w:t xml:space="preserve"> </w:t>
      </w:r>
      <w:r w:rsidR="005D24CF" w:rsidRPr="00A6738B">
        <w:rPr>
          <w:color w:val="000080"/>
        </w:rPr>
        <w:t xml:space="preserve">arthroscopic surgery for the </w:t>
      </w:r>
      <w:r w:rsidR="00914EE3" w:rsidRPr="00A6738B">
        <w:rPr>
          <w:color w:val="000080"/>
        </w:rPr>
        <w:t>right shoulder.</w:t>
      </w:r>
      <w:r w:rsidR="003E3DF0" w:rsidRPr="00A6738B">
        <w:rPr>
          <w:color w:val="000080"/>
        </w:rPr>
        <w:t xml:space="preserve">  He was placed on a permanent U3/L3 profile for all three conditions and underwent a </w:t>
      </w:r>
      <w:r w:rsidR="00C74127">
        <w:rPr>
          <w:color w:val="000080"/>
        </w:rPr>
        <w:t>Medical Evaluation Board (</w:t>
      </w:r>
      <w:r w:rsidR="003E3DF0" w:rsidRPr="00A6738B">
        <w:rPr>
          <w:color w:val="000080"/>
        </w:rPr>
        <w:t>MEB</w:t>
      </w:r>
      <w:r w:rsidR="00C74127">
        <w:rPr>
          <w:color w:val="000080"/>
        </w:rPr>
        <w:t>)</w:t>
      </w:r>
      <w:r w:rsidR="003E3DF0" w:rsidRPr="00A6738B">
        <w:rPr>
          <w:color w:val="000080"/>
        </w:rPr>
        <w:t>.  During the MEB period he was diagnosed with new-onset diabetes</w:t>
      </w:r>
      <w:r w:rsidR="00572761">
        <w:rPr>
          <w:color w:val="000080"/>
        </w:rPr>
        <w:t xml:space="preserve"> mellitus</w:t>
      </w:r>
      <w:r w:rsidR="003E3DF0" w:rsidRPr="00A6738B">
        <w:rPr>
          <w:color w:val="000080"/>
        </w:rPr>
        <w:t xml:space="preserve"> (DM), obstructive sleep apnea (OSA) and irritable bowel syndrome (IBS).  In addition he was evaluated for psychiatric symptoms </w:t>
      </w:r>
      <w:r w:rsidR="0026651A" w:rsidRPr="00A6738B">
        <w:rPr>
          <w:color w:val="000080"/>
        </w:rPr>
        <w:t>related to the</w:t>
      </w:r>
      <w:r w:rsidR="003E3DF0" w:rsidRPr="00A6738B">
        <w:rPr>
          <w:color w:val="000080"/>
        </w:rPr>
        <w:t xml:space="preserve"> deployment and received Axis I diagnoses of anxiety, depression and </w:t>
      </w:r>
      <w:r w:rsidR="00C74127">
        <w:rPr>
          <w:color w:val="000080"/>
        </w:rPr>
        <w:t>post-traumatic stress disorder (</w:t>
      </w:r>
      <w:r w:rsidR="003E3DF0" w:rsidRPr="00A6738B">
        <w:rPr>
          <w:color w:val="000080"/>
        </w:rPr>
        <w:t>PTSD</w:t>
      </w:r>
      <w:r w:rsidR="00C74127">
        <w:rPr>
          <w:color w:val="000080"/>
        </w:rPr>
        <w:t>)</w:t>
      </w:r>
      <w:r w:rsidR="003E3DF0" w:rsidRPr="00A6738B">
        <w:rPr>
          <w:color w:val="000080"/>
        </w:rPr>
        <w:t>.</w:t>
      </w:r>
      <w:r w:rsidR="0026651A" w:rsidRPr="00A6738B">
        <w:rPr>
          <w:color w:val="000080"/>
        </w:rPr>
        <w:t xml:space="preserve">  The cervical, knee, shoulder, DM, OSA and IBS conditions were all forwarded to the </w:t>
      </w:r>
      <w:r w:rsidR="00C74127">
        <w:rPr>
          <w:color w:val="000080"/>
        </w:rPr>
        <w:t>Physical Evaluation Board (</w:t>
      </w:r>
      <w:r w:rsidR="0026651A" w:rsidRPr="00A6738B">
        <w:rPr>
          <w:color w:val="000080"/>
        </w:rPr>
        <w:t>PEB</w:t>
      </w:r>
      <w:r w:rsidR="00C74127">
        <w:rPr>
          <w:color w:val="000080"/>
        </w:rPr>
        <w:t>)</w:t>
      </w:r>
      <w:r w:rsidR="0026651A" w:rsidRPr="00A6738B">
        <w:rPr>
          <w:color w:val="000080"/>
        </w:rPr>
        <w:t xml:space="preserve"> as medically unacceptable IAW AR-40-501 on the DA </w:t>
      </w:r>
      <w:r w:rsidR="00C74127">
        <w:rPr>
          <w:color w:val="000080"/>
        </w:rPr>
        <w:t xml:space="preserve">Form </w:t>
      </w:r>
      <w:r w:rsidR="0026651A" w:rsidRPr="00A6738B">
        <w:rPr>
          <w:color w:val="000080"/>
        </w:rPr>
        <w:t xml:space="preserve">3947.  The three psychiatric conditions were forwarded </w:t>
      </w:r>
      <w:r w:rsidR="00C97A48" w:rsidRPr="00A6738B">
        <w:rPr>
          <w:color w:val="000080"/>
        </w:rPr>
        <w:t>individually</w:t>
      </w:r>
      <w:r w:rsidR="0026651A" w:rsidRPr="00A6738B">
        <w:rPr>
          <w:color w:val="000080"/>
        </w:rPr>
        <w:t xml:space="preserve"> as medically acceptable conditions.  The PEB adjudicated only the cervical condition as unfitting and the CI was medically separated with a 10% disability rating.  </w:t>
      </w:r>
      <w:r w:rsidR="00C97A48" w:rsidRPr="00A6738B">
        <w:rPr>
          <w:color w:val="000080"/>
        </w:rPr>
        <w:t xml:space="preserve">An initial </w:t>
      </w:r>
      <w:r w:rsidR="00C74127">
        <w:rPr>
          <w:color w:val="000080"/>
        </w:rPr>
        <w:t>Army Board for Correction of Military Records (</w:t>
      </w:r>
      <w:r w:rsidR="00C97A48" w:rsidRPr="00A6738B">
        <w:rPr>
          <w:color w:val="000080"/>
        </w:rPr>
        <w:t>AB</w:t>
      </w:r>
      <w:r w:rsidR="00C74127">
        <w:rPr>
          <w:color w:val="000080"/>
        </w:rPr>
        <w:t>CM</w:t>
      </w:r>
      <w:r w:rsidR="00C97A48" w:rsidRPr="00A6738B">
        <w:rPr>
          <w:color w:val="000080"/>
        </w:rPr>
        <w:t>R</w:t>
      </w:r>
      <w:r w:rsidR="00C74127">
        <w:rPr>
          <w:color w:val="000080"/>
        </w:rPr>
        <w:t>)</w:t>
      </w:r>
      <w:r w:rsidR="00C97A48" w:rsidRPr="00A6738B">
        <w:rPr>
          <w:color w:val="000080"/>
        </w:rPr>
        <w:t xml:space="preserve"> appeal was re-directed to the PDBR.</w:t>
      </w:r>
    </w:p>
    <w:p w:rsidR="00923B25" w:rsidRPr="00D91DA6" w:rsidRDefault="008B5D31" w:rsidP="00047E9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047E9B">
      <w:pPr>
        <w:tabs>
          <w:tab w:val="left" w:pos="288"/>
          <w:tab w:val="left" w:pos="4752"/>
        </w:tabs>
        <w:spacing w:line="240" w:lineRule="exact"/>
        <w:jc w:val="both"/>
        <w:rPr>
          <w:color w:val="000080"/>
        </w:rPr>
      </w:pPr>
    </w:p>
    <w:p w:rsidR="00A90D55" w:rsidRPr="00A6738B" w:rsidRDefault="002C6E5B" w:rsidP="00047E9B">
      <w:pPr>
        <w:tabs>
          <w:tab w:val="left" w:pos="288"/>
          <w:tab w:val="left" w:pos="4752"/>
        </w:tabs>
        <w:spacing w:line="240" w:lineRule="exact"/>
        <w:jc w:val="both"/>
        <w:rPr>
          <w:color w:val="000080"/>
        </w:rPr>
      </w:pPr>
      <w:r w:rsidRPr="00A6738B">
        <w:rPr>
          <w:color w:val="000080"/>
          <w:u w:val="single"/>
        </w:rPr>
        <w:t>CI CONTENTION</w:t>
      </w:r>
      <w:r w:rsidRPr="00A6738B">
        <w:rPr>
          <w:color w:val="000080"/>
        </w:rPr>
        <w:t xml:space="preserve">:  The CI </w:t>
      </w:r>
      <w:r w:rsidR="00845F48" w:rsidRPr="00A6738B">
        <w:rPr>
          <w:color w:val="000080"/>
        </w:rPr>
        <w:t>requests that ‘I be medically retired and placed on the Permanent Disability Retirement List (PDRL) with a disability rating consistent with my Department of Veterans Affairs rating which is based upon my diagnosed chronic neck and shoulder pain, sleep apnea, post-traumatic stress disorder, and type II diabetes mellitus.’</w:t>
      </w:r>
    </w:p>
    <w:p w:rsidR="00A90D55" w:rsidRPr="00D91DA6" w:rsidRDefault="008B5D31" w:rsidP="00047E9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047E9B">
      <w:pPr>
        <w:tabs>
          <w:tab w:val="left" w:pos="288"/>
          <w:tab w:val="left" w:pos="4752"/>
        </w:tabs>
        <w:spacing w:line="240" w:lineRule="exact"/>
        <w:jc w:val="both"/>
        <w:rPr>
          <w:color w:val="000080"/>
        </w:rPr>
      </w:pPr>
    </w:p>
    <w:p w:rsidR="00353908" w:rsidRDefault="00353908" w:rsidP="00047E9B">
      <w:pPr>
        <w:spacing w:line="240" w:lineRule="exact"/>
        <w:rPr>
          <w:rFonts w:ascii="Calibri" w:hAnsi="Calibri"/>
          <w:color w:val="000080"/>
          <w:u w:val="single"/>
        </w:rPr>
      </w:pPr>
      <w:r>
        <w:rPr>
          <w:rFonts w:ascii="Calibri" w:hAnsi="Calibri"/>
          <w:color w:val="000080"/>
          <w:u w:val="single"/>
        </w:rPr>
        <w:br w:type="page"/>
      </w:r>
    </w:p>
    <w:p w:rsidR="002338CA" w:rsidRPr="00A6738B" w:rsidRDefault="002C6E5B" w:rsidP="00047E9B">
      <w:pPr>
        <w:tabs>
          <w:tab w:val="left" w:pos="288"/>
          <w:tab w:val="left" w:pos="4752"/>
        </w:tabs>
        <w:spacing w:line="240" w:lineRule="exact"/>
        <w:jc w:val="both"/>
        <w:rPr>
          <w:color w:val="000080"/>
        </w:rPr>
      </w:pPr>
      <w:r w:rsidRPr="00A6738B">
        <w:rPr>
          <w:color w:val="000080"/>
          <w:u w:val="single"/>
        </w:rPr>
        <w:lastRenderedPageBreak/>
        <w:t>RATING COMPARISON</w:t>
      </w:r>
      <w:r w:rsidRPr="00A6738B">
        <w:rPr>
          <w:color w:val="000080"/>
        </w:rPr>
        <w:t>:</w:t>
      </w:r>
    </w:p>
    <w:p w:rsidR="00F82981" w:rsidRDefault="00F82981" w:rsidP="00047E9B">
      <w:pPr>
        <w:tabs>
          <w:tab w:val="left" w:pos="288"/>
          <w:tab w:val="left" w:pos="4752"/>
        </w:tabs>
        <w:spacing w:line="240" w:lineRule="exact"/>
        <w:jc w:val="both"/>
        <w:rPr>
          <w:color w:val="000080"/>
        </w:rPr>
      </w:pPr>
    </w:p>
    <w:tbl>
      <w:tblPr>
        <w:tblStyle w:val="TableGrid"/>
        <w:tblW w:w="9900" w:type="dxa"/>
        <w:tblLayout w:type="fixed"/>
        <w:tblLook w:val="04A0"/>
      </w:tblPr>
      <w:tblGrid>
        <w:gridCol w:w="2524"/>
        <w:gridCol w:w="720"/>
        <w:gridCol w:w="810"/>
        <w:gridCol w:w="990"/>
        <w:gridCol w:w="1976"/>
        <w:gridCol w:w="180"/>
        <w:gridCol w:w="900"/>
        <w:gridCol w:w="810"/>
        <w:gridCol w:w="990"/>
      </w:tblGrid>
      <w:tr w:rsidR="00684E2B" w:rsidTr="00353908">
        <w:trPr>
          <w:trHeight w:val="233"/>
        </w:trPr>
        <w:tc>
          <w:tcPr>
            <w:tcW w:w="5044" w:type="dxa"/>
            <w:gridSpan w:val="4"/>
            <w:tcBorders>
              <w:right w:val="thinThickThinSmallGap" w:sz="24" w:space="0" w:color="auto"/>
            </w:tcBorders>
            <w:shd w:val="clear" w:color="auto" w:fill="C6D9F1" w:themeFill="text2" w:themeFillTint="33"/>
          </w:tcPr>
          <w:p w:rsidR="00684E2B" w:rsidRPr="00BC09D1" w:rsidRDefault="00684E2B" w:rsidP="00047E9B">
            <w:pPr>
              <w:pStyle w:val="ListParagraph"/>
              <w:spacing w:after="0" w:line="240" w:lineRule="exact"/>
              <w:ind w:left="0"/>
              <w:jc w:val="center"/>
              <w:rPr>
                <w:rFonts w:cs="Times New Roman"/>
                <w:b/>
                <w:sz w:val="20"/>
                <w:szCs w:val="20"/>
              </w:rPr>
            </w:pPr>
            <w:r w:rsidRPr="00BC09D1">
              <w:rPr>
                <w:rFonts w:cs="Times New Roman"/>
                <w:b/>
                <w:sz w:val="20"/>
                <w:szCs w:val="20"/>
              </w:rPr>
              <w:t>Service PEB</w:t>
            </w:r>
          </w:p>
        </w:tc>
        <w:tc>
          <w:tcPr>
            <w:tcW w:w="4856" w:type="dxa"/>
            <w:gridSpan w:val="5"/>
            <w:tcBorders>
              <w:left w:val="thinThickThinSmallGap" w:sz="24" w:space="0" w:color="auto"/>
            </w:tcBorders>
            <w:shd w:val="clear" w:color="auto" w:fill="C6D9F1" w:themeFill="text2" w:themeFillTint="33"/>
          </w:tcPr>
          <w:p w:rsidR="00684E2B" w:rsidRPr="00BC09D1" w:rsidRDefault="00684E2B" w:rsidP="00047E9B">
            <w:pPr>
              <w:pStyle w:val="ListParagraph"/>
              <w:spacing w:after="0" w:line="240" w:lineRule="exact"/>
              <w:ind w:left="0"/>
              <w:jc w:val="center"/>
              <w:rPr>
                <w:rFonts w:cs="Times New Roman"/>
                <w:b/>
                <w:sz w:val="20"/>
                <w:szCs w:val="20"/>
              </w:rPr>
            </w:pPr>
            <w:r w:rsidRPr="00BC09D1">
              <w:rPr>
                <w:rFonts w:cs="Times New Roman"/>
                <w:b/>
                <w:sz w:val="20"/>
                <w:szCs w:val="20"/>
              </w:rPr>
              <w:t>VA (</w:t>
            </w:r>
            <w:r w:rsidR="00633F78">
              <w:rPr>
                <w:rFonts w:cs="Times New Roman"/>
                <w:b/>
                <w:sz w:val="20"/>
                <w:szCs w:val="20"/>
              </w:rPr>
              <w:t>6</w:t>
            </w:r>
            <w:r w:rsidRPr="00BC09D1">
              <w:rPr>
                <w:rFonts w:cs="Times New Roman"/>
                <w:b/>
                <w:sz w:val="20"/>
                <w:szCs w:val="20"/>
              </w:rPr>
              <w:t xml:space="preserve"> Mo. after Separation)</w:t>
            </w:r>
            <w:r w:rsidR="000C3C13">
              <w:rPr>
                <w:rFonts w:cs="Times New Roman"/>
                <w:b/>
                <w:sz w:val="20"/>
                <w:szCs w:val="20"/>
              </w:rPr>
              <w:t xml:space="preserve"> – All Effective </w:t>
            </w:r>
            <w:r w:rsidR="00633F78">
              <w:rPr>
                <w:rFonts w:cs="Times New Roman"/>
                <w:b/>
                <w:sz w:val="20"/>
                <w:szCs w:val="20"/>
              </w:rPr>
              <w:t>20070630</w:t>
            </w:r>
          </w:p>
        </w:tc>
      </w:tr>
      <w:tr w:rsidR="005C4675" w:rsidTr="00353908">
        <w:trPr>
          <w:trHeight w:val="233"/>
        </w:trPr>
        <w:tc>
          <w:tcPr>
            <w:tcW w:w="2524" w:type="dxa"/>
            <w:tcBorders>
              <w:bottom w:val="single" w:sz="4" w:space="0" w:color="000000" w:themeColor="text1"/>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Date</w:t>
            </w:r>
          </w:p>
        </w:tc>
        <w:tc>
          <w:tcPr>
            <w:tcW w:w="2156" w:type="dxa"/>
            <w:gridSpan w:val="2"/>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Condition</w:t>
            </w:r>
          </w:p>
        </w:tc>
        <w:tc>
          <w:tcPr>
            <w:tcW w:w="900" w:type="dxa"/>
            <w:tcBorders>
              <w:bottom w:val="single" w:sz="4" w:space="0" w:color="000000" w:themeColor="text1"/>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Code</w:t>
            </w:r>
          </w:p>
        </w:tc>
        <w:tc>
          <w:tcPr>
            <w:tcW w:w="810" w:type="dxa"/>
            <w:tcBorders>
              <w:top w:val="single" w:sz="4" w:space="0" w:color="auto"/>
              <w:bottom w:val="single" w:sz="4" w:space="0" w:color="000000" w:themeColor="text1"/>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047E9B">
            <w:pPr>
              <w:pStyle w:val="ListParagraph"/>
              <w:spacing w:after="0" w:line="240" w:lineRule="exact"/>
              <w:ind w:left="0"/>
              <w:jc w:val="center"/>
              <w:rPr>
                <w:rFonts w:cs="Times New Roman"/>
                <w:b/>
                <w:sz w:val="20"/>
                <w:szCs w:val="20"/>
              </w:rPr>
            </w:pPr>
            <w:r w:rsidRPr="00BC09D1">
              <w:rPr>
                <w:rFonts w:cs="Times New Roman"/>
                <w:b/>
                <w:sz w:val="20"/>
                <w:szCs w:val="20"/>
              </w:rPr>
              <w:t>Exam</w:t>
            </w:r>
          </w:p>
        </w:tc>
      </w:tr>
      <w:tr w:rsidR="005C4675" w:rsidTr="00353908">
        <w:trPr>
          <w:trHeight w:val="152"/>
        </w:trPr>
        <w:tc>
          <w:tcPr>
            <w:tcW w:w="2524" w:type="dxa"/>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sidRPr="00A304D0">
              <w:rPr>
                <w:sz w:val="18"/>
                <w:szCs w:val="18"/>
              </w:rPr>
              <w:t>Chronic Neck and Shoulder Pain</w:t>
            </w:r>
            <w:r>
              <w:rPr>
                <w:sz w:val="18"/>
                <w:szCs w:val="18"/>
              </w:rPr>
              <w:t>…</w:t>
            </w:r>
          </w:p>
        </w:tc>
        <w:tc>
          <w:tcPr>
            <w:tcW w:w="720" w:type="dxa"/>
            <w:shd w:val="clear" w:color="auto" w:fill="FFFFFF" w:themeFill="background1"/>
          </w:tcPr>
          <w:p w:rsidR="005C4675" w:rsidRPr="00A304D0" w:rsidRDefault="005C4675" w:rsidP="00047E9B">
            <w:pPr>
              <w:pStyle w:val="ListParagraph"/>
              <w:spacing w:after="0" w:line="240" w:lineRule="exact"/>
              <w:ind w:left="0"/>
              <w:jc w:val="center"/>
              <w:rPr>
                <w:sz w:val="18"/>
                <w:szCs w:val="18"/>
              </w:rPr>
            </w:pPr>
            <w:r w:rsidRPr="00A304D0">
              <w:rPr>
                <w:sz w:val="18"/>
                <w:szCs w:val="18"/>
              </w:rPr>
              <w:t>5299-5237</w:t>
            </w:r>
          </w:p>
        </w:tc>
        <w:tc>
          <w:tcPr>
            <w:tcW w:w="810" w:type="dxa"/>
            <w:shd w:val="clear" w:color="auto" w:fill="FFFFFF" w:themeFill="background1"/>
          </w:tcPr>
          <w:p w:rsidR="005C4675" w:rsidRPr="00A304D0" w:rsidRDefault="005C4675" w:rsidP="00047E9B">
            <w:pPr>
              <w:pStyle w:val="ListParagraph"/>
              <w:spacing w:after="0" w:line="240" w:lineRule="exact"/>
              <w:ind w:left="0"/>
              <w:jc w:val="center"/>
              <w:rPr>
                <w:sz w:val="18"/>
                <w:szCs w:val="18"/>
              </w:rPr>
            </w:pPr>
            <w:r w:rsidRPr="00A304D0">
              <w:rPr>
                <w:sz w:val="18"/>
                <w:szCs w:val="18"/>
              </w:rPr>
              <w:t>10</w:t>
            </w:r>
            <w:r>
              <w:rPr>
                <w:sz w:val="18"/>
                <w:szCs w:val="18"/>
              </w:rPr>
              <w:t>%</w:t>
            </w:r>
          </w:p>
        </w:tc>
        <w:tc>
          <w:tcPr>
            <w:tcW w:w="990" w:type="dxa"/>
            <w:tcBorders>
              <w:right w:val="thinThickThinSmallGap" w:sz="24" w:space="0" w:color="auto"/>
            </w:tcBorders>
            <w:shd w:val="clear" w:color="auto" w:fill="FFFFFF" w:themeFill="background1"/>
          </w:tcPr>
          <w:p w:rsidR="005C4675" w:rsidRPr="00B000F7" w:rsidRDefault="005C4675" w:rsidP="00047E9B">
            <w:pPr>
              <w:pStyle w:val="ListParagraph"/>
              <w:spacing w:after="0" w:line="240" w:lineRule="exact"/>
              <w:ind w:left="0"/>
              <w:rPr>
                <w:sz w:val="18"/>
                <w:szCs w:val="18"/>
              </w:rPr>
            </w:pPr>
            <w:r w:rsidRPr="00B000F7">
              <w:rPr>
                <w:sz w:val="18"/>
                <w:szCs w:val="18"/>
              </w:rPr>
              <w:t>20070</w:t>
            </w:r>
            <w:r>
              <w:rPr>
                <w:sz w:val="18"/>
                <w:szCs w:val="18"/>
              </w:rPr>
              <w:t>525</w:t>
            </w:r>
          </w:p>
        </w:tc>
        <w:tc>
          <w:tcPr>
            <w:tcW w:w="2156" w:type="dxa"/>
            <w:gridSpan w:val="2"/>
            <w:tcBorders>
              <w:left w:val="thinThickThinSmallGap" w:sz="24" w:space="0" w:color="auto"/>
            </w:tcBorders>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proofErr w:type="spellStart"/>
            <w:r>
              <w:rPr>
                <w:rFonts w:cs="Times New Roman"/>
                <w:sz w:val="18"/>
                <w:szCs w:val="18"/>
              </w:rPr>
              <w:t>Klippel</w:t>
            </w:r>
            <w:proofErr w:type="spellEnd"/>
            <w:r>
              <w:rPr>
                <w:rFonts w:cs="Times New Roman"/>
                <w:sz w:val="18"/>
                <w:szCs w:val="18"/>
              </w:rPr>
              <w:t xml:space="preserve"> </w:t>
            </w:r>
            <w:proofErr w:type="spellStart"/>
            <w:r>
              <w:rPr>
                <w:rFonts w:cs="Times New Roman"/>
                <w:sz w:val="18"/>
                <w:szCs w:val="18"/>
              </w:rPr>
              <w:t>Feil</w:t>
            </w:r>
            <w:proofErr w:type="spellEnd"/>
            <w:r>
              <w:rPr>
                <w:rFonts w:cs="Times New Roman"/>
                <w:sz w:val="18"/>
                <w:szCs w:val="18"/>
              </w:rPr>
              <w:t xml:space="preserve"> Syndrome…</w:t>
            </w:r>
          </w:p>
        </w:tc>
        <w:tc>
          <w:tcPr>
            <w:tcW w:w="900" w:type="dxa"/>
            <w:shd w:val="clear" w:color="auto" w:fill="FFFFFF" w:themeFill="background1"/>
          </w:tcPr>
          <w:p w:rsidR="005C4675" w:rsidRPr="00F75C69" w:rsidRDefault="005C4675" w:rsidP="00047E9B">
            <w:pPr>
              <w:pStyle w:val="ListParagraph"/>
              <w:spacing w:after="0" w:line="240" w:lineRule="exact"/>
              <w:ind w:left="0"/>
              <w:jc w:val="center"/>
              <w:rPr>
                <w:sz w:val="18"/>
                <w:szCs w:val="18"/>
              </w:rPr>
            </w:pPr>
            <w:r w:rsidRPr="00F75C69">
              <w:rPr>
                <w:sz w:val="18"/>
                <w:szCs w:val="18"/>
              </w:rPr>
              <w:t>5237</w:t>
            </w:r>
          </w:p>
        </w:tc>
        <w:tc>
          <w:tcPr>
            <w:tcW w:w="810" w:type="dxa"/>
            <w:shd w:val="clear" w:color="auto" w:fill="FFFFFF" w:themeFill="background1"/>
          </w:tcPr>
          <w:p w:rsidR="005C4675" w:rsidRPr="00A304D0" w:rsidRDefault="005C4675" w:rsidP="00047E9B">
            <w:pPr>
              <w:pStyle w:val="ListParagraph"/>
              <w:spacing w:after="0" w:line="240" w:lineRule="exact"/>
              <w:ind w:left="0"/>
              <w:jc w:val="center"/>
              <w:rPr>
                <w:sz w:val="18"/>
                <w:szCs w:val="18"/>
              </w:rPr>
            </w:pPr>
            <w:r>
              <w:rPr>
                <w:sz w:val="18"/>
                <w:szCs w:val="18"/>
              </w:rPr>
              <w:t>10%</w:t>
            </w:r>
          </w:p>
        </w:tc>
        <w:tc>
          <w:tcPr>
            <w:tcW w:w="990" w:type="dxa"/>
            <w:shd w:val="clear" w:color="auto" w:fill="FFFFFF" w:themeFill="background1"/>
          </w:tcPr>
          <w:p w:rsidR="005C4675" w:rsidRPr="00B000F7" w:rsidRDefault="005C4675" w:rsidP="00047E9B">
            <w:pPr>
              <w:pStyle w:val="ListParagraph"/>
              <w:spacing w:after="0" w:line="240" w:lineRule="exact"/>
              <w:ind w:left="0"/>
              <w:jc w:val="center"/>
              <w:rPr>
                <w:sz w:val="18"/>
                <w:szCs w:val="18"/>
              </w:rPr>
            </w:pPr>
            <w:r w:rsidRPr="00B000F7">
              <w:rPr>
                <w:sz w:val="18"/>
                <w:szCs w:val="18"/>
              </w:rPr>
              <w:t>20071212</w:t>
            </w:r>
          </w:p>
        </w:tc>
      </w:tr>
      <w:tr w:rsidR="005C4675" w:rsidTr="00353908">
        <w:trPr>
          <w:trHeight w:val="188"/>
        </w:trPr>
        <w:tc>
          <w:tcPr>
            <w:tcW w:w="2524" w:type="dxa"/>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Pr>
                <w:sz w:val="18"/>
                <w:szCs w:val="18"/>
              </w:rPr>
              <w:t xml:space="preserve">Right </w:t>
            </w:r>
            <w:r w:rsidRPr="00A304D0">
              <w:rPr>
                <w:sz w:val="18"/>
                <w:szCs w:val="18"/>
              </w:rPr>
              <w:t>Shoulder Impingement</w:t>
            </w:r>
            <w:r>
              <w:rPr>
                <w:sz w:val="18"/>
                <w:szCs w:val="18"/>
              </w:rPr>
              <w:t>…</w:t>
            </w:r>
          </w:p>
        </w:tc>
        <w:tc>
          <w:tcPr>
            <w:tcW w:w="1530" w:type="dxa"/>
            <w:gridSpan w:val="2"/>
            <w:shd w:val="clear" w:color="auto" w:fill="FFFFFF" w:themeFill="background1"/>
          </w:tcPr>
          <w:p w:rsidR="005C4675" w:rsidRPr="00BC09D1" w:rsidRDefault="005C4675" w:rsidP="00047E9B">
            <w:pPr>
              <w:pStyle w:val="ListParagraph"/>
              <w:spacing w:after="0" w:line="240" w:lineRule="exact"/>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5C4675" w:rsidRPr="00633F78" w:rsidRDefault="005C4675" w:rsidP="00047E9B">
            <w:pPr>
              <w:spacing w:line="240" w:lineRule="exact"/>
              <w:jc w:val="center"/>
              <w:rPr>
                <w:color w:val="auto"/>
              </w:rPr>
            </w:pPr>
            <w:r w:rsidRPr="00633F78">
              <w:rPr>
                <w:color w:val="auto"/>
                <w:sz w:val="18"/>
                <w:szCs w:val="18"/>
              </w:rPr>
              <w:t>20070525</w:t>
            </w:r>
          </w:p>
        </w:tc>
        <w:tc>
          <w:tcPr>
            <w:tcW w:w="2156" w:type="dxa"/>
            <w:gridSpan w:val="2"/>
            <w:tcBorders>
              <w:left w:val="thinThickThinSmallGap" w:sz="24" w:space="0" w:color="auto"/>
              <w:bottom w:val="single" w:sz="4" w:space="0" w:color="auto"/>
            </w:tcBorders>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Pr>
                <w:rFonts w:cs="Times New Roman"/>
                <w:sz w:val="18"/>
                <w:szCs w:val="18"/>
              </w:rPr>
              <w:t xml:space="preserve">Right SLAP </w:t>
            </w:r>
            <w:proofErr w:type="spellStart"/>
            <w:r>
              <w:rPr>
                <w:rFonts w:cs="Times New Roman"/>
                <w:sz w:val="18"/>
                <w:szCs w:val="18"/>
              </w:rPr>
              <w:t>Labral</w:t>
            </w:r>
            <w:proofErr w:type="spellEnd"/>
            <w:r>
              <w:rPr>
                <w:rFonts w:cs="Times New Roman"/>
                <w:sz w:val="18"/>
                <w:szCs w:val="18"/>
              </w:rPr>
              <w:t xml:space="preserve"> Tear…</w:t>
            </w:r>
          </w:p>
        </w:tc>
        <w:tc>
          <w:tcPr>
            <w:tcW w:w="900" w:type="dxa"/>
            <w:shd w:val="clear" w:color="auto" w:fill="FFFFFF" w:themeFill="background1"/>
          </w:tcPr>
          <w:p w:rsidR="005C4675" w:rsidRPr="00F75C69" w:rsidRDefault="005C4675" w:rsidP="00047E9B">
            <w:pPr>
              <w:pStyle w:val="ListParagraph"/>
              <w:spacing w:after="0" w:line="240" w:lineRule="exact"/>
              <w:ind w:left="0"/>
              <w:jc w:val="center"/>
              <w:rPr>
                <w:sz w:val="18"/>
                <w:szCs w:val="18"/>
              </w:rPr>
            </w:pPr>
            <w:r w:rsidRPr="00F75C69">
              <w:rPr>
                <w:sz w:val="18"/>
                <w:szCs w:val="18"/>
              </w:rPr>
              <w:t>5201</w:t>
            </w:r>
          </w:p>
        </w:tc>
        <w:tc>
          <w:tcPr>
            <w:tcW w:w="810" w:type="dxa"/>
            <w:shd w:val="clear" w:color="auto" w:fill="FFFFFF" w:themeFill="background1"/>
          </w:tcPr>
          <w:p w:rsidR="005C4675" w:rsidRPr="00A304D0" w:rsidRDefault="005C4675" w:rsidP="00047E9B">
            <w:pPr>
              <w:pStyle w:val="ListParagraph"/>
              <w:spacing w:after="0" w:line="240" w:lineRule="exact"/>
              <w:ind w:left="0"/>
              <w:jc w:val="center"/>
              <w:rPr>
                <w:sz w:val="18"/>
                <w:szCs w:val="18"/>
              </w:rPr>
            </w:pPr>
            <w:r w:rsidRPr="00A304D0">
              <w:rPr>
                <w:sz w:val="18"/>
                <w:szCs w:val="18"/>
              </w:rPr>
              <w:t xml:space="preserve">  0%  </w:t>
            </w:r>
          </w:p>
        </w:tc>
        <w:tc>
          <w:tcPr>
            <w:tcW w:w="990" w:type="dxa"/>
            <w:shd w:val="clear" w:color="auto" w:fill="FFFFFF" w:themeFill="background1"/>
          </w:tcPr>
          <w:p w:rsidR="005C4675" w:rsidRPr="00B000F7" w:rsidRDefault="005C4675" w:rsidP="00047E9B">
            <w:pPr>
              <w:spacing w:line="240" w:lineRule="exact"/>
              <w:jc w:val="center"/>
              <w:rPr>
                <w:sz w:val="18"/>
                <w:szCs w:val="18"/>
              </w:rPr>
            </w:pPr>
            <w:r w:rsidRPr="00B000F7">
              <w:rPr>
                <w:color w:val="auto"/>
                <w:sz w:val="18"/>
                <w:szCs w:val="18"/>
              </w:rPr>
              <w:t>20071212</w:t>
            </w:r>
          </w:p>
        </w:tc>
      </w:tr>
      <w:tr w:rsidR="005C4675" w:rsidTr="00353908">
        <w:trPr>
          <w:trHeight w:val="188"/>
        </w:trPr>
        <w:tc>
          <w:tcPr>
            <w:tcW w:w="2524" w:type="dxa"/>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Pr>
                <w:rFonts w:cs="Times New Roman"/>
                <w:sz w:val="18"/>
                <w:szCs w:val="18"/>
              </w:rPr>
              <w:t>Left Knee Pain…</w:t>
            </w:r>
          </w:p>
        </w:tc>
        <w:tc>
          <w:tcPr>
            <w:tcW w:w="1530" w:type="dxa"/>
            <w:gridSpan w:val="2"/>
            <w:shd w:val="clear" w:color="auto" w:fill="FFFFFF" w:themeFill="background1"/>
          </w:tcPr>
          <w:p w:rsidR="005C4675" w:rsidRPr="00633F78" w:rsidRDefault="005C4675" w:rsidP="00047E9B">
            <w:pPr>
              <w:spacing w:line="240" w:lineRule="exact"/>
              <w:jc w:val="center"/>
              <w:rPr>
                <w:color w:val="auto"/>
              </w:rPr>
            </w:pPr>
            <w:r w:rsidRPr="00633F78">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5C4675" w:rsidRPr="00633F78" w:rsidRDefault="005C4675" w:rsidP="00047E9B">
            <w:pPr>
              <w:spacing w:line="240" w:lineRule="exact"/>
              <w:jc w:val="center"/>
              <w:rPr>
                <w:color w:val="auto"/>
              </w:rPr>
            </w:pPr>
            <w:r w:rsidRPr="00633F78">
              <w:rPr>
                <w:color w:val="auto"/>
                <w:sz w:val="18"/>
                <w:szCs w:val="18"/>
              </w:rPr>
              <w:t>20070525</w:t>
            </w:r>
          </w:p>
        </w:tc>
        <w:tc>
          <w:tcPr>
            <w:tcW w:w="1976" w:type="dxa"/>
            <w:tcBorders>
              <w:left w:val="thinThickThinSmallGap" w:sz="24" w:space="0" w:color="auto"/>
              <w:right w:val="single" w:sz="4" w:space="0" w:color="auto"/>
            </w:tcBorders>
            <w:shd w:val="clear" w:color="auto" w:fill="FFFFFF" w:themeFill="background1"/>
          </w:tcPr>
          <w:p w:rsidR="005C4675" w:rsidRPr="005C4675" w:rsidRDefault="005C4675" w:rsidP="00047E9B">
            <w:pPr>
              <w:pStyle w:val="ListParagraph"/>
              <w:spacing w:after="0" w:line="240" w:lineRule="exact"/>
              <w:ind w:left="0"/>
              <w:rPr>
                <w:rFonts w:cs="Times New Roman"/>
                <w:sz w:val="18"/>
                <w:szCs w:val="18"/>
              </w:rPr>
            </w:pPr>
            <w:r>
              <w:rPr>
                <w:rFonts w:cs="Times New Roman"/>
                <w:sz w:val="18"/>
                <w:szCs w:val="18"/>
              </w:rPr>
              <w:t>L Knee Osteoarthritis…</w:t>
            </w:r>
          </w:p>
        </w:tc>
        <w:tc>
          <w:tcPr>
            <w:tcW w:w="1080" w:type="dxa"/>
            <w:gridSpan w:val="2"/>
            <w:tcBorders>
              <w:left w:val="single" w:sz="4" w:space="0" w:color="auto"/>
            </w:tcBorders>
            <w:shd w:val="clear" w:color="auto" w:fill="FFFFFF" w:themeFill="background1"/>
          </w:tcPr>
          <w:p w:rsidR="005C4675" w:rsidRPr="005C4675" w:rsidRDefault="005C4675" w:rsidP="00047E9B">
            <w:pPr>
              <w:pStyle w:val="ListParagraph"/>
              <w:spacing w:after="0" w:line="240" w:lineRule="exact"/>
              <w:ind w:left="0"/>
              <w:rPr>
                <w:rFonts w:cs="Times New Roman"/>
                <w:sz w:val="18"/>
                <w:szCs w:val="18"/>
              </w:rPr>
            </w:pPr>
            <w:r w:rsidRPr="00F75C69">
              <w:rPr>
                <w:sz w:val="18"/>
                <w:szCs w:val="18"/>
              </w:rPr>
              <w:t>5003-5257</w:t>
            </w:r>
          </w:p>
        </w:tc>
        <w:tc>
          <w:tcPr>
            <w:tcW w:w="810" w:type="dxa"/>
            <w:shd w:val="clear" w:color="auto" w:fill="FFFFFF" w:themeFill="background1"/>
          </w:tcPr>
          <w:p w:rsidR="005C4675" w:rsidRPr="00A304D0" w:rsidRDefault="005C4675" w:rsidP="00047E9B">
            <w:pPr>
              <w:pStyle w:val="ListParagraph"/>
              <w:spacing w:after="0" w:line="240" w:lineRule="exact"/>
              <w:ind w:left="0"/>
              <w:jc w:val="center"/>
              <w:rPr>
                <w:sz w:val="18"/>
                <w:szCs w:val="18"/>
              </w:rPr>
            </w:pPr>
            <w:r w:rsidRPr="00A304D0">
              <w:rPr>
                <w:sz w:val="18"/>
                <w:szCs w:val="18"/>
              </w:rPr>
              <w:t>10%</w:t>
            </w:r>
          </w:p>
        </w:tc>
        <w:tc>
          <w:tcPr>
            <w:tcW w:w="990" w:type="dxa"/>
            <w:shd w:val="clear" w:color="auto" w:fill="FFFFFF" w:themeFill="background1"/>
          </w:tcPr>
          <w:p w:rsidR="005C4675" w:rsidRPr="00B000F7" w:rsidRDefault="005C4675" w:rsidP="00047E9B">
            <w:pPr>
              <w:spacing w:line="240" w:lineRule="exact"/>
              <w:jc w:val="center"/>
            </w:pPr>
            <w:r w:rsidRPr="00B000F7">
              <w:rPr>
                <w:color w:val="auto"/>
                <w:sz w:val="18"/>
                <w:szCs w:val="18"/>
              </w:rPr>
              <w:t>20071212</w:t>
            </w:r>
          </w:p>
        </w:tc>
      </w:tr>
      <w:tr w:rsidR="005C4675" w:rsidTr="00353908">
        <w:trPr>
          <w:trHeight w:val="188"/>
        </w:trPr>
        <w:tc>
          <w:tcPr>
            <w:tcW w:w="2524" w:type="dxa"/>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Pr>
                <w:rFonts w:cs="Times New Roman"/>
                <w:sz w:val="18"/>
                <w:szCs w:val="18"/>
              </w:rPr>
              <w:t>IBS</w:t>
            </w:r>
          </w:p>
        </w:tc>
        <w:tc>
          <w:tcPr>
            <w:tcW w:w="1530" w:type="dxa"/>
            <w:gridSpan w:val="2"/>
            <w:shd w:val="clear" w:color="auto" w:fill="FFFFFF" w:themeFill="background1"/>
          </w:tcPr>
          <w:p w:rsidR="005C4675" w:rsidRPr="00633F78" w:rsidRDefault="005C4675" w:rsidP="00047E9B">
            <w:pPr>
              <w:spacing w:line="240" w:lineRule="exact"/>
              <w:jc w:val="center"/>
              <w:rPr>
                <w:color w:val="auto"/>
              </w:rPr>
            </w:pPr>
            <w:r w:rsidRPr="00633F78">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5C4675" w:rsidRPr="00633F78" w:rsidRDefault="005C4675" w:rsidP="00047E9B">
            <w:pPr>
              <w:spacing w:line="240" w:lineRule="exact"/>
              <w:jc w:val="center"/>
              <w:rPr>
                <w:color w:val="auto"/>
              </w:rPr>
            </w:pPr>
            <w:r w:rsidRPr="00633F78">
              <w:rPr>
                <w:color w:val="auto"/>
                <w:sz w:val="18"/>
                <w:szCs w:val="18"/>
              </w:rPr>
              <w:t>20070525</w:t>
            </w:r>
          </w:p>
        </w:tc>
        <w:tc>
          <w:tcPr>
            <w:tcW w:w="2156" w:type="dxa"/>
            <w:gridSpan w:val="2"/>
            <w:tcBorders>
              <w:left w:val="thinThickThinSmallGap" w:sz="24" w:space="0" w:color="auto"/>
            </w:tcBorders>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Pr>
                <w:rFonts w:cs="Times New Roman"/>
                <w:sz w:val="18"/>
                <w:szCs w:val="18"/>
              </w:rPr>
              <w:t>IBS</w:t>
            </w:r>
          </w:p>
        </w:tc>
        <w:tc>
          <w:tcPr>
            <w:tcW w:w="900" w:type="dxa"/>
            <w:shd w:val="clear" w:color="auto" w:fill="FFFFFF" w:themeFill="background1"/>
          </w:tcPr>
          <w:p w:rsidR="005C4675" w:rsidRPr="00F75C69" w:rsidRDefault="005C4675" w:rsidP="00047E9B">
            <w:pPr>
              <w:pStyle w:val="ListParagraph"/>
              <w:spacing w:after="0" w:line="240" w:lineRule="exact"/>
              <w:ind w:left="0"/>
              <w:jc w:val="center"/>
              <w:rPr>
                <w:sz w:val="18"/>
                <w:szCs w:val="18"/>
              </w:rPr>
            </w:pPr>
            <w:r w:rsidRPr="00F75C69">
              <w:rPr>
                <w:sz w:val="18"/>
                <w:szCs w:val="18"/>
              </w:rPr>
              <w:t>7319</w:t>
            </w:r>
          </w:p>
        </w:tc>
        <w:tc>
          <w:tcPr>
            <w:tcW w:w="810" w:type="dxa"/>
            <w:shd w:val="clear" w:color="auto" w:fill="FFFFFF" w:themeFill="background1"/>
          </w:tcPr>
          <w:p w:rsidR="005C4675" w:rsidRPr="00A304D0" w:rsidRDefault="005C4675" w:rsidP="00047E9B">
            <w:pPr>
              <w:pStyle w:val="ListParagraph"/>
              <w:spacing w:after="0" w:line="240" w:lineRule="exact"/>
              <w:ind w:left="0"/>
              <w:jc w:val="center"/>
              <w:rPr>
                <w:sz w:val="18"/>
                <w:szCs w:val="18"/>
              </w:rPr>
            </w:pPr>
            <w:r w:rsidRPr="00A304D0">
              <w:rPr>
                <w:sz w:val="18"/>
                <w:szCs w:val="18"/>
              </w:rPr>
              <w:t>0%</w:t>
            </w:r>
          </w:p>
        </w:tc>
        <w:tc>
          <w:tcPr>
            <w:tcW w:w="990" w:type="dxa"/>
            <w:shd w:val="clear" w:color="auto" w:fill="FFFFFF" w:themeFill="background1"/>
          </w:tcPr>
          <w:p w:rsidR="005C4675" w:rsidRPr="00B000F7" w:rsidRDefault="005C4675" w:rsidP="00047E9B">
            <w:pPr>
              <w:spacing w:line="240" w:lineRule="exact"/>
              <w:jc w:val="center"/>
            </w:pPr>
            <w:r w:rsidRPr="00B000F7">
              <w:rPr>
                <w:color w:val="auto"/>
                <w:sz w:val="18"/>
                <w:szCs w:val="18"/>
              </w:rPr>
              <w:t>20071212</w:t>
            </w:r>
          </w:p>
        </w:tc>
      </w:tr>
      <w:tr w:rsidR="005C4675" w:rsidTr="00353908">
        <w:trPr>
          <w:trHeight w:val="188"/>
        </w:trPr>
        <w:tc>
          <w:tcPr>
            <w:tcW w:w="2524" w:type="dxa"/>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Pr>
                <w:rFonts w:cs="Times New Roman"/>
                <w:sz w:val="18"/>
                <w:szCs w:val="18"/>
              </w:rPr>
              <w:t>Type II DM</w:t>
            </w:r>
          </w:p>
        </w:tc>
        <w:tc>
          <w:tcPr>
            <w:tcW w:w="1530" w:type="dxa"/>
            <w:gridSpan w:val="2"/>
            <w:shd w:val="clear" w:color="auto" w:fill="FFFFFF" w:themeFill="background1"/>
          </w:tcPr>
          <w:p w:rsidR="005C4675" w:rsidRPr="00633F78" w:rsidRDefault="005C4675" w:rsidP="00047E9B">
            <w:pPr>
              <w:spacing w:line="240" w:lineRule="exact"/>
              <w:jc w:val="center"/>
              <w:rPr>
                <w:color w:val="auto"/>
              </w:rPr>
            </w:pPr>
            <w:r w:rsidRPr="00633F78">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5C4675" w:rsidRPr="00633F78" w:rsidRDefault="005C4675" w:rsidP="00047E9B">
            <w:pPr>
              <w:spacing w:line="240" w:lineRule="exact"/>
              <w:jc w:val="center"/>
              <w:rPr>
                <w:color w:val="auto"/>
              </w:rPr>
            </w:pPr>
            <w:r w:rsidRPr="00633F78">
              <w:rPr>
                <w:color w:val="auto"/>
                <w:sz w:val="18"/>
                <w:szCs w:val="18"/>
              </w:rPr>
              <w:t>20070525</w:t>
            </w:r>
          </w:p>
        </w:tc>
        <w:tc>
          <w:tcPr>
            <w:tcW w:w="2156" w:type="dxa"/>
            <w:gridSpan w:val="2"/>
            <w:tcBorders>
              <w:left w:val="thinThickThinSmallGap" w:sz="24" w:space="0" w:color="auto"/>
            </w:tcBorders>
            <w:shd w:val="clear" w:color="auto" w:fill="FFFFFF" w:themeFill="background1"/>
          </w:tcPr>
          <w:p w:rsidR="005C4675" w:rsidRPr="00BC09D1" w:rsidRDefault="005C4675" w:rsidP="00047E9B">
            <w:pPr>
              <w:pStyle w:val="ListParagraph"/>
              <w:spacing w:after="0" w:line="240" w:lineRule="exact"/>
              <w:ind w:left="0"/>
              <w:rPr>
                <w:rFonts w:cs="Times New Roman"/>
                <w:sz w:val="18"/>
                <w:szCs w:val="18"/>
              </w:rPr>
            </w:pPr>
            <w:r>
              <w:rPr>
                <w:rFonts w:cs="Times New Roman"/>
                <w:sz w:val="18"/>
                <w:szCs w:val="18"/>
              </w:rPr>
              <w:t>DM, Type 2</w:t>
            </w:r>
          </w:p>
        </w:tc>
        <w:tc>
          <w:tcPr>
            <w:tcW w:w="900" w:type="dxa"/>
            <w:shd w:val="clear" w:color="auto" w:fill="FFFFFF" w:themeFill="background1"/>
          </w:tcPr>
          <w:p w:rsidR="005C4675" w:rsidRPr="00F75C69" w:rsidRDefault="005C4675" w:rsidP="00047E9B">
            <w:pPr>
              <w:pStyle w:val="ListParagraph"/>
              <w:spacing w:after="0" w:line="240" w:lineRule="exact"/>
              <w:ind w:left="0"/>
              <w:jc w:val="center"/>
              <w:rPr>
                <w:sz w:val="18"/>
                <w:szCs w:val="18"/>
              </w:rPr>
            </w:pPr>
            <w:r w:rsidRPr="00F75C69">
              <w:rPr>
                <w:sz w:val="18"/>
                <w:szCs w:val="18"/>
              </w:rPr>
              <w:t>7913</w:t>
            </w:r>
          </w:p>
        </w:tc>
        <w:tc>
          <w:tcPr>
            <w:tcW w:w="810" w:type="dxa"/>
            <w:shd w:val="clear" w:color="auto" w:fill="FFFFFF" w:themeFill="background1"/>
          </w:tcPr>
          <w:p w:rsidR="005C4675" w:rsidRPr="00A304D0" w:rsidRDefault="005C4675" w:rsidP="00047E9B">
            <w:pPr>
              <w:pStyle w:val="ListParagraph"/>
              <w:spacing w:after="0" w:line="240" w:lineRule="exact"/>
              <w:ind w:left="0"/>
              <w:jc w:val="center"/>
              <w:rPr>
                <w:sz w:val="18"/>
                <w:szCs w:val="18"/>
              </w:rPr>
            </w:pPr>
            <w:r w:rsidRPr="00A304D0">
              <w:rPr>
                <w:sz w:val="18"/>
                <w:szCs w:val="18"/>
              </w:rPr>
              <w:t>20%</w:t>
            </w:r>
          </w:p>
        </w:tc>
        <w:tc>
          <w:tcPr>
            <w:tcW w:w="990" w:type="dxa"/>
            <w:shd w:val="clear" w:color="auto" w:fill="FFFFFF" w:themeFill="background1"/>
          </w:tcPr>
          <w:p w:rsidR="005C4675" w:rsidRPr="00B000F7" w:rsidRDefault="005C4675" w:rsidP="00047E9B">
            <w:pPr>
              <w:spacing w:line="240" w:lineRule="exact"/>
              <w:jc w:val="center"/>
            </w:pPr>
            <w:r w:rsidRPr="00B000F7">
              <w:rPr>
                <w:color w:val="auto"/>
                <w:sz w:val="18"/>
                <w:szCs w:val="18"/>
              </w:rPr>
              <w:t>20071212</w:t>
            </w:r>
          </w:p>
        </w:tc>
      </w:tr>
      <w:tr w:rsidR="00353908" w:rsidTr="00353908">
        <w:trPr>
          <w:trHeight w:val="188"/>
        </w:trPr>
        <w:tc>
          <w:tcPr>
            <w:tcW w:w="2524" w:type="dxa"/>
            <w:shd w:val="clear" w:color="auto" w:fill="FFFFFF" w:themeFill="background1"/>
          </w:tcPr>
          <w:p w:rsidR="00353908" w:rsidRPr="00BC09D1" w:rsidRDefault="00353908" w:rsidP="00047E9B">
            <w:pPr>
              <w:pStyle w:val="ListParagraph"/>
              <w:spacing w:after="0" w:line="240" w:lineRule="exact"/>
              <w:ind w:left="0"/>
              <w:rPr>
                <w:rFonts w:cs="Times New Roman"/>
                <w:sz w:val="18"/>
                <w:szCs w:val="18"/>
              </w:rPr>
            </w:pPr>
            <w:r>
              <w:rPr>
                <w:rFonts w:cs="Times New Roman"/>
                <w:sz w:val="18"/>
                <w:szCs w:val="18"/>
              </w:rPr>
              <w:t>OSA</w:t>
            </w:r>
          </w:p>
        </w:tc>
        <w:tc>
          <w:tcPr>
            <w:tcW w:w="1530" w:type="dxa"/>
            <w:gridSpan w:val="2"/>
            <w:shd w:val="clear" w:color="auto" w:fill="FFFFFF" w:themeFill="background1"/>
          </w:tcPr>
          <w:p w:rsidR="00353908" w:rsidRPr="00633F78" w:rsidRDefault="00353908" w:rsidP="00047E9B">
            <w:pPr>
              <w:spacing w:line="240" w:lineRule="exact"/>
              <w:jc w:val="center"/>
              <w:rPr>
                <w:color w:val="auto"/>
              </w:rPr>
            </w:pPr>
            <w:r w:rsidRPr="00633F78">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353908" w:rsidRPr="00633F78" w:rsidRDefault="00353908" w:rsidP="00047E9B">
            <w:pPr>
              <w:spacing w:line="240" w:lineRule="exact"/>
              <w:jc w:val="center"/>
              <w:rPr>
                <w:color w:val="auto"/>
              </w:rPr>
            </w:pPr>
            <w:r w:rsidRPr="00633F78">
              <w:rPr>
                <w:color w:val="auto"/>
                <w:sz w:val="18"/>
                <w:szCs w:val="18"/>
              </w:rPr>
              <w:t>20070525</w:t>
            </w:r>
          </w:p>
        </w:tc>
        <w:tc>
          <w:tcPr>
            <w:tcW w:w="2156" w:type="dxa"/>
            <w:gridSpan w:val="2"/>
            <w:tcBorders>
              <w:left w:val="thinThickThinSmallGap" w:sz="24" w:space="0" w:color="auto"/>
            </w:tcBorders>
            <w:shd w:val="clear" w:color="auto" w:fill="FFFFFF" w:themeFill="background1"/>
          </w:tcPr>
          <w:p w:rsidR="00353908" w:rsidRPr="00BC09D1" w:rsidRDefault="00353908" w:rsidP="00047E9B">
            <w:pPr>
              <w:pStyle w:val="ListParagraph"/>
              <w:spacing w:after="0" w:line="240" w:lineRule="exact"/>
              <w:ind w:left="0"/>
              <w:rPr>
                <w:rFonts w:cs="Times New Roman"/>
                <w:sz w:val="18"/>
                <w:szCs w:val="18"/>
              </w:rPr>
            </w:pPr>
            <w:r>
              <w:rPr>
                <w:rFonts w:cs="Times New Roman"/>
                <w:sz w:val="18"/>
                <w:szCs w:val="18"/>
              </w:rPr>
              <w:t>OSA</w:t>
            </w:r>
          </w:p>
        </w:tc>
        <w:tc>
          <w:tcPr>
            <w:tcW w:w="900" w:type="dxa"/>
            <w:shd w:val="clear" w:color="auto" w:fill="FFFFFF" w:themeFill="background1"/>
          </w:tcPr>
          <w:p w:rsidR="00353908" w:rsidRPr="00F75C69" w:rsidRDefault="00353908" w:rsidP="00047E9B">
            <w:pPr>
              <w:pStyle w:val="ListParagraph"/>
              <w:spacing w:after="0" w:line="240" w:lineRule="exact"/>
              <w:ind w:left="0"/>
              <w:jc w:val="center"/>
              <w:rPr>
                <w:sz w:val="18"/>
                <w:szCs w:val="18"/>
              </w:rPr>
            </w:pPr>
            <w:r w:rsidRPr="00F75C69">
              <w:rPr>
                <w:sz w:val="18"/>
                <w:szCs w:val="18"/>
              </w:rPr>
              <w:t>6847</w:t>
            </w:r>
          </w:p>
        </w:tc>
        <w:tc>
          <w:tcPr>
            <w:tcW w:w="810" w:type="dxa"/>
            <w:shd w:val="clear" w:color="auto" w:fill="FFFFFF" w:themeFill="background1"/>
          </w:tcPr>
          <w:p w:rsidR="00353908" w:rsidRPr="008640A4" w:rsidRDefault="00353908" w:rsidP="00047E9B">
            <w:pPr>
              <w:pStyle w:val="ListParagraph"/>
              <w:spacing w:after="0" w:line="240" w:lineRule="exact"/>
              <w:ind w:left="0"/>
              <w:jc w:val="center"/>
              <w:rPr>
                <w:sz w:val="18"/>
                <w:szCs w:val="18"/>
              </w:rPr>
            </w:pPr>
            <w:r w:rsidRPr="008640A4">
              <w:rPr>
                <w:sz w:val="18"/>
                <w:szCs w:val="18"/>
              </w:rPr>
              <w:t>50%</w:t>
            </w:r>
          </w:p>
        </w:tc>
        <w:tc>
          <w:tcPr>
            <w:tcW w:w="990" w:type="dxa"/>
            <w:shd w:val="clear" w:color="auto" w:fill="FFFFFF" w:themeFill="background1"/>
          </w:tcPr>
          <w:p w:rsidR="00353908" w:rsidRPr="00B000F7" w:rsidRDefault="00353908" w:rsidP="00047E9B">
            <w:pPr>
              <w:spacing w:line="240" w:lineRule="exact"/>
              <w:jc w:val="center"/>
            </w:pPr>
            <w:r w:rsidRPr="00B000F7">
              <w:rPr>
                <w:color w:val="auto"/>
                <w:sz w:val="18"/>
                <w:szCs w:val="18"/>
              </w:rPr>
              <w:t>20071212</w:t>
            </w:r>
          </w:p>
        </w:tc>
      </w:tr>
      <w:tr w:rsidR="00353908" w:rsidTr="00353908">
        <w:trPr>
          <w:trHeight w:val="188"/>
        </w:trPr>
        <w:tc>
          <w:tcPr>
            <w:tcW w:w="2524" w:type="dxa"/>
            <w:shd w:val="clear" w:color="auto" w:fill="FFFFFF" w:themeFill="background1"/>
          </w:tcPr>
          <w:p w:rsidR="00353908" w:rsidRPr="00BC09D1" w:rsidRDefault="00353908" w:rsidP="00047E9B">
            <w:pPr>
              <w:pStyle w:val="ListParagraph"/>
              <w:spacing w:after="0" w:line="240" w:lineRule="exact"/>
              <w:ind w:left="0"/>
              <w:rPr>
                <w:rFonts w:cs="Times New Roman"/>
                <w:sz w:val="18"/>
                <w:szCs w:val="18"/>
              </w:rPr>
            </w:pPr>
            <w:r>
              <w:rPr>
                <w:sz w:val="18"/>
                <w:szCs w:val="18"/>
              </w:rPr>
              <w:t>Generalized Anxiety D</w:t>
            </w:r>
            <w:r w:rsidRPr="00A304D0">
              <w:rPr>
                <w:sz w:val="18"/>
                <w:szCs w:val="18"/>
              </w:rPr>
              <w:t>isorder</w:t>
            </w:r>
          </w:p>
        </w:tc>
        <w:tc>
          <w:tcPr>
            <w:tcW w:w="1530" w:type="dxa"/>
            <w:gridSpan w:val="2"/>
            <w:shd w:val="clear" w:color="auto" w:fill="FFFFFF" w:themeFill="background1"/>
          </w:tcPr>
          <w:p w:rsidR="00353908" w:rsidRPr="00633F78" w:rsidRDefault="00353908" w:rsidP="00047E9B">
            <w:pPr>
              <w:spacing w:line="240" w:lineRule="exact"/>
              <w:jc w:val="center"/>
              <w:rPr>
                <w:color w:val="auto"/>
              </w:rPr>
            </w:pPr>
            <w:r w:rsidRPr="00633F78">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353908" w:rsidRPr="00633F78" w:rsidRDefault="00353908" w:rsidP="00047E9B">
            <w:pPr>
              <w:spacing w:line="240" w:lineRule="exact"/>
              <w:jc w:val="center"/>
              <w:rPr>
                <w:color w:val="auto"/>
              </w:rPr>
            </w:pPr>
            <w:r w:rsidRPr="00633F78">
              <w:rPr>
                <w:color w:val="auto"/>
                <w:sz w:val="18"/>
                <w:szCs w:val="18"/>
              </w:rPr>
              <w:t>20070525</w:t>
            </w:r>
          </w:p>
        </w:tc>
        <w:tc>
          <w:tcPr>
            <w:tcW w:w="2156" w:type="dxa"/>
            <w:gridSpan w:val="2"/>
            <w:vMerge w:val="restart"/>
            <w:tcBorders>
              <w:left w:val="thinThickThinSmallGap" w:sz="24" w:space="0" w:color="auto"/>
            </w:tcBorders>
            <w:shd w:val="clear" w:color="auto" w:fill="FFFFFF" w:themeFill="background1"/>
          </w:tcPr>
          <w:p w:rsidR="00353908" w:rsidRDefault="00353908" w:rsidP="00047E9B">
            <w:pPr>
              <w:pStyle w:val="ListParagraph"/>
              <w:spacing w:after="0" w:line="240" w:lineRule="exact"/>
              <w:ind w:left="0"/>
              <w:rPr>
                <w:rFonts w:cs="Times New Roman"/>
                <w:sz w:val="18"/>
                <w:szCs w:val="18"/>
              </w:rPr>
            </w:pPr>
          </w:p>
          <w:p w:rsidR="00353908" w:rsidRPr="00BC09D1" w:rsidRDefault="00353908" w:rsidP="00047E9B">
            <w:pPr>
              <w:pStyle w:val="ListParagraph"/>
              <w:spacing w:after="0" w:line="240" w:lineRule="exact"/>
              <w:ind w:left="0"/>
              <w:rPr>
                <w:rFonts w:cs="Times New Roman"/>
                <w:sz w:val="18"/>
                <w:szCs w:val="18"/>
              </w:rPr>
            </w:pPr>
            <w:r>
              <w:rPr>
                <w:rFonts w:cs="Times New Roman"/>
                <w:sz w:val="18"/>
                <w:szCs w:val="18"/>
              </w:rPr>
              <w:t>PTSD</w:t>
            </w:r>
          </w:p>
        </w:tc>
        <w:tc>
          <w:tcPr>
            <w:tcW w:w="900" w:type="dxa"/>
            <w:vMerge w:val="restart"/>
            <w:shd w:val="clear" w:color="auto" w:fill="FFFFFF" w:themeFill="background1"/>
          </w:tcPr>
          <w:p w:rsidR="00353908" w:rsidRDefault="00353908" w:rsidP="00047E9B">
            <w:pPr>
              <w:pStyle w:val="ListParagraph"/>
              <w:spacing w:after="0" w:line="240" w:lineRule="exact"/>
              <w:ind w:left="0"/>
              <w:jc w:val="center"/>
              <w:rPr>
                <w:rFonts w:cs="Times New Roman"/>
                <w:sz w:val="18"/>
                <w:szCs w:val="18"/>
              </w:rPr>
            </w:pPr>
          </w:p>
          <w:p w:rsidR="00353908" w:rsidRPr="00BC09D1" w:rsidRDefault="00353908" w:rsidP="00047E9B">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vMerge w:val="restart"/>
            <w:shd w:val="clear" w:color="auto" w:fill="FFFFFF" w:themeFill="background1"/>
          </w:tcPr>
          <w:p w:rsidR="00353908" w:rsidRDefault="00353908" w:rsidP="00047E9B">
            <w:pPr>
              <w:pStyle w:val="ListParagraph"/>
              <w:spacing w:after="0" w:line="240" w:lineRule="exact"/>
              <w:ind w:left="0"/>
              <w:jc w:val="center"/>
              <w:rPr>
                <w:rFonts w:cs="Times New Roman"/>
                <w:sz w:val="18"/>
                <w:szCs w:val="18"/>
              </w:rPr>
            </w:pPr>
          </w:p>
          <w:p w:rsidR="00353908" w:rsidRPr="00BC09D1" w:rsidRDefault="00353908" w:rsidP="00047E9B">
            <w:pPr>
              <w:pStyle w:val="ListParagraph"/>
              <w:spacing w:after="0" w:line="240" w:lineRule="exact"/>
              <w:ind w:left="0"/>
              <w:jc w:val="center"/>
              <w:rPr>
                <w:rFonts w:cs="Times New Roman"/>
                <w:sz w:val="18"/>
                <w:szCs w:val="18"/>
              </w:rPr>
            </w:pPr>
            <w:r>
              <w:rPr>
                <w:rFonts w:cs="Times New Roman"/>
                <w:sz w:val="18"/>
                <w:szCs w:val="18"/>
              </w:rPr>
              <w:t>70%</w:t>
            </w:r>
          </w:p>
        </w:tc>
        <w:tc>
          <w:tcPr>
            <w:tcW w:w="990" w:type="dxa"/>
            <w:vMerge w:val="restart"/>
            <w:shd w:val="clear" w:color="auto" w:fill="FFFFFF" w:themeFill="background1"/>
          </w:tcPr>
          <w:p w:rsidR="00353908" w:rsidRDefault="00353908" w:rsidP="00047E9B">
            <w:pPr>
              <w:pStyle w:val="ListParagraph"/>
              <w:spacing w:after="0" w:line="240" w:lineRule="exact"/>
              <w:ind w:left="0"/>
              <w:jc w:val="center"/>
              <w:rPr>
                <w:sz w:val="18"/>
                <w:szCs w:val="18"/>
              </w:rPr>
            </w:pPr>
          </w:p>
          <w:p w:rsidR="00353908" w:rsidRPr="00BC09D1" w:rsidRDefault="00353908" w:rsidP="00047E9B">
            <w:pPr>
              <w:pStyle w:val="ListParagraph"/>
              <w:spacing w:after="0" w:line="240" w:lineRule="exact"/>
              <w:ind w:left="0"/>
              <w:jc w:val="center"/>
              <w:rPr>
                <w:rFonts w:cs="Times New Roman"/>
                <w:sz w:val="18"/>
                <w:szCs w:val="18"/>
              </w:rPr>
            </w:pPr>
            <w:r w:rsidRPr="00B000F7">
              <w:rPr>
                <w:sz w:val="18"/>
                <w:szCs w:val="18"/>
              </w:rPr>
              <w:t>2007121</w:t>
            </w:r>
            <w:r>
              <w:rPr>
                <w:sz w:val="18"/>
                <w:szCs w:val="18"/>
              </w:rPr>
              <w:t>7</w:t>
            </w:r>
          </w:p>
        </w:tc>
      </w:tr>
      <w:tr w:rsidR="00353908" w:rsidTr="00353908">
        <w:trPr>
          <w:trHeight w:val="188"/>
        </w:trPr>
        <w:tc>
          <w:tcPr>
            <w:tcW w:w="2524" w:type="dxa"/>
            <w:shd w:val="clear" w:color="auto" w:fill="FFFFFF" w:themeFill="background1"/>
          </w:tcPr>
          <w:p w:rsidR="00353908" w:rsidRPr="00BC09D1" w:rsidRDefault="00353908" w:rsidP="00047E9B">
            <w:pPr>
              <w:pStyle w:val="ListParagraph"/>
              <w:spacing w:after="0" w:line="240" w:lineRule="exact"/>
              <w:ind w:left="0"/>
              <w:rPr>
                <w:rFonts w:cs="Times New Roman"/>
                <w:sz w:val="18"/>
                <w:szCs w:val="18"/>
              </w:rPr>
            </w:pPr>
            <w:r w:rsidRPr="00A304D0">
              <w:rPr>
                <w:sz w:val="18"/>
                <w:szCs w:val="18"/>
              </w:rPr>
              <w:t>Depressive Disorder, NOS</w:t>
            </w:r>
          </w:p>
        </w:tc>
        <w:tc>
          <w:tcPr>
            <w:tcW w:w="1530" w:type="dxa"/>
            <w:gridSpan w:val="2"/>
            <w:shd w:val="clear" w:color="auto" w:fill="FFFFFF" w:themeFill="background1"/>
          </w:tcPr>
          <w:p w:rsidR="00353908" w:rsidRPr="00633F78" w:rsidRDefault="00353908" w:rsidP="00047E9B">
            <w:pPr>
              <w:spacing w:line="240" w:lineRule="exact"/>
              <w:jc w:val="center"/>
              <w:rPr>
                <w:color w:val="auto"/>
              </w:rPr>
            </w:pPr>
            <w:r w:rsidRPr="00633F78">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353908" w:rsidRPr="00633F78" w:rsidRDefault="00353908" w:rsidP="00047E9B">
            <w:pPr>
              <w:spacing w:line="240" w:lineRule="exact"/>
              <w:jc w:val="center"/>
              <w:rPr>
                <w:color w:val="auto"/>
              </w:rPr>
            </w:pPr>
            <w:r w:rsidRPr="00633F78">
              <w:rPr>
                <w:color w:val="auto"/>
                <w:sz w:val="18"/>
                <w:szCs w:val="18"/>
              </w:rPr>
              <w:t>20070525</w:t>
            </w:r>
          </w:p>
        </w:tc>
        <w:tc>
          <w:tcPr>
            <w:tcW w:w="2156" w:type="dxa"/>
            <w:gridSpan w:val="2"/>
            <w:vMerge/>
            <w:tcBorders>
              <w:left w:val="thinThickThinSmallGap" w:sz="24" w:space="0" w:color="auto"/>
            </w:tcBorders>
            <w:shd w:val="clear" w:color="auto" w:fill="FFFFFF" w:themeFill="background1"/>
          </w:tcPr>
          <w:p w:rsidR="00353908" w:rsidRPr="00BC09D1" w:rsidRDefault="00353908" w:rsidP="00047E9B">
            <w:pPr>
              <w:pStyle w:val="ListParagraph"/>
              <w:spacing w:after="0" w:line="240" w:lineRule="exact"/>
              <w:ind w:left="0"/>
              <w:rPr>
                <w:rFonts w:cs="Times New Roman"/>
                <w:sz w:val="18"/>
                <w:szCs w:val="18"/>
              </w:rPr>
            </w:pPr>
          </w:p>
        </w:tc>
        <w:tc>
          <w:tcPr>
            <w:tcW w:w="900" w:type="dxa"/>
            <w:vMerge/>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p>
        </w:tc>
      </w:tr>
      <w:tr w:rsidR="00353908" w:rsidTr="00353908">
        <w:trPr>
          <w:trHeight w:val="188"/>
        </w:trPr>
        <w:tc>
          <w:tcPr>
            <w:tcW w:w="2524" w:type="dxa"/>
            <w:shd w:val="clear" w:color="auto" w:fill="FFFFFF" w:themeFill="background1"/>
          </w:tcPr>
          <w:p w:rsidR="00353908" w:rsidRPr="00BC09D1" w:rsidRDefault="00353908" w:rsidP="00047E9B">
            <w:pPr>
              <w:pStyle w:val="ListParagraph"/>
              <w:spacing w:after="0" w:line="240" w:lineRule="exact"/>
              <w:ind w:left="0"/>
              <w:rPr>
                <w:rFonts w:cs="Times New Roman"/>
                <w:sz w:val="18"/>
                <w:szCs w:val="18"/>
              </w:rPr>
            </w:pPr>
            <w:r>
              <w:rPr>
                <w:rFonts w:cs="Times New Roman"/>
                <w:sz w:val="18"/>
                <w:szCs w:val="18"/>
              </w:rPr>
              <w:t>PTSD</w:t>
            </w:r>
          </w:p>
        </w:tc>
        <w:tc>
          <w:tcPr>
            <w:tcW w:w="1530" w:type="dxa"/>
            <w:gridSpan w:val="2"/>
            <w:shd w:val="clear" w:color="auto" w:fill="FFFFFF" w:themeFill="background1"/>
          </w:tcPr>
          <w:p w:rsidR="00353908" w:rsidRPr="00633F78" w:rsidRDefault="00353908" w:rsidP="00047E9B">
            <w:pPr>
              <w:spacing w:line="240" w:lineRule="exact"/>
              <w:jc w:val="center"/>
              <w:rPr>
                <w:color w:val="auto"/>
              </w:rPr>
            </w:pPr>
            <w:r w:rsidRPr="00633F78">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353908" w:rsidRPr="00633F78" w:rsidRDefault="00353908" w:rsidP="00047E9B">
            <w:pPr>
              <w:spacing w:line="240" w:lineRule="exact"/>
              <w:jc w:val="center"/>
              <w:rPr>
                <w:color w:val="auto"/>
              </w:rPr>
            </w:pPr>
            <w:r w:rsidRPr="00633F78">
              <w:rPr>
                <w:color w:val="auto"/>
                <w:sz w:val="18"/>
                <w:szCs w:val="18"/>
              </w:rPr>
              <w:t>20070525</w:t>
            </w:r>
          </w:p>
        </w:tc>
        <w:tc>
          <w:tcPr>
            <w:tcW w:w="2156" w:type="dxa"/>
            <w:gridSpan w:val="2"/>
            <w:vMerge/>
            <w:tcBorders>
              <w:left w:val="thinThickThinSmallGap" w:sz="24" w:space="0" w:color="auto"/>
            </w:tcBorders>
            <w:shd w:val="clear" w:color="auto" w:fill="FFFFFF" w:themeFill="background1"/>
          </w:tcPr>
          <w:p w:rsidR="00353908" w:rsidRPr="00BC09D1" w:rsidRDefault="00353908" w:rsidP="00047E9B">
            <w:pPr>
              <w:pStyle w:val="ListParagraph"/>
              <w:spacing w:after="0" w:line="240" w:lineRule="exact"/>
              <w:ind w:left="0"/>
              <w:rPr>
                <w:rFonts w:cs="Times New Roman"/>
                <w:sz w:val="18"/>
                <w:szCs w:val="18"/>
              </w:rPr>
            </w:pPr>
          </w:p>
        </w:tc>
        <w:tc>
          <w:tcPr>
            <w:tcW w:w="900" w:type="dxa"/>
            <w:vMerge/>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p>
        </w:tc>
      </w:tr>
      <w:tr w:rsidR="00353908" w:rsidTr="00353908">
        <w:trPr>
          <w:trHeight w:val="197"/>
        </w:trPr>
        <w:tc>
          <w:tcPr>
            <w:tcW w:w="5044" w:type="dxa"/>
            <w:gridSpan w:val="4"/>
            <w:tcBorders>
              <w:right w:val="thinThickThinSmallGap" w:sz="24" w:space="0" w:color="auto"/>
            </w:tcBorders>
            <w:shd w:val="clear" w:color="auto" w:fill="FFFFFF" w:themeFill="background1"/>
          </w:tcPr>
          <w:p w:rsidR="00353908" w:rsidRPr="00BC09D1" w:rsidRDefault="00353908" w:rsidP="00047E9B">
            <w:pPr>
              <w:pStyle w:val="ListParagraph"/>
              <w:spacing w:after="0" w:line="240" w:lineRule="exact"/>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866" w:type="dxa"/>
            <w:gridSpan w:val="4"/>
            <w:tcBorders>
              <w:left w:val="thinThickThinSmallGap" w:sz="24" w:space="0" w:color="auto"/>
            </w:tcBorders>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sidR="00AF7864">
              <w:rPr>
                <w:rFonts w:cs="Times New Roman"/>
                <w:sz w:val="18"/>
                <w:szCs w:val="18"/>
              </w:rPr>
              <w:t xml:space="preserve">3 </w:t>
            </w:r>
            <w:r w:rsidRPr="00BC09D1">
              <w:rPr>
                <w:rFonts w:cs="Times New Roman"/>
                <w:sz w:val="18"/>
                <w:szCs w:val="18"/>
              </w:rPr>
              <w:t xml:space="preserve">/ NSC X </w:t>
            </w:r>
            <w:r>
              <w:rPr>
                <w:rFonts w:cs="Times New Roman"/>
                <w:sz w:val="18"/>
                <w:szCs w:val="18"/>
              </w:rPr>
              <w:t>3</w:t>
            </w:r>
          </w:p>
        </w:tc>
        <w:tc>
          <w:tcPr>
            <w:tcW w:w="990" w:type="dxa"/>
            <w:shd w:val="clear" w:color="auto" w:fill="FFFFFF" w:themeFill="background1"/>
          </w:tcPr>
          <w:p w:rsidR="00353908" w:rsidRPr="00BC09D1" w:rsidRDefault="00353908" w:rsidP="00047E9B">
            <w:pPr>
              <w:pStyle w:val="ListParagraph"/>
              <w:spacing w:after="0" w:line="240" w:lineRule="exact"/>
              <w:ind w:left="0"/>
              <w:jc w:val="center"/>
              <w:rPr>
                <w:rFonts w:cs="Times New Roman"/>
                <w:sz w:val="18"/>
                <w:szCs w:val="18"/>
              </w:rPr>
            </w:pPr>
          </w:p>
        </w:tc>
      </w:tr>
      <w:tr w:rsidR="00353908" w:rsidTr="00353908">
        <w:trPr>
          <w:trHeight w:val="242"/>
        </w:trPr>
        <w:tc>
          <w:tcPr>
            <w:tcW w:w="5044" w:type="dxa"/>
            <w:gridSpan w:val="4"/>
            <w:tcBorders>
              <w:right w:val="thinThickThinSmallGap" w:sz="24" w:space="0" w:color="auto"/>
            </w:tcBorders>
            <w:shd w:val="clear" w:color="auto" w:fill="C6D9F1" w:themeFill="text2" w:themeFillTint="33"/>
          </w:tcPr>
          <w:p w:rsidR="00353908" w:rsidRPr="00BC09D1" w:rsidRDefault="00353908" w:rsidP="00047E9B">
            <w:pPr>
              <w:pStyle w:val="ListParagraph"/>
              <w:spacing w:after="0" w:line="240" w:lineRule="exact"/>
              <w:ind w:left="0"/>
              <w:jc w:val="center"/>
              <w:rPr>
                <w:rFonts w:cs="Times New Roman"/>
                <w:b/>
                <w:sz w:val="20"/>
                <w:szCs w:val="20"/>
              </w:rPr>
            </w:pPr>
            <w:r w:rsidRPr="00BC09D1">
              <w:rPr>
                <w:rFonts w:cs="Times New Roman"/>
                <w:b/>
                <w:sz w:val="20"/>
                <w:szCs w:val="20"/>
              </w:rPr>
              <w:t xml:space="preserve">TOTAL Combined:  </w:t>
            </w:r>
            <w:r>
              <w:rPr>
                <w:rFonts w:cs="Times New Roman"/>
                <w:b/>
                <w:sz w:val="20"/>
                <w:szCs w:val="20"/>
              </w:rPr>
              <w:t>1</w:t>
            </w:r>
            <w:r w:rsidRPr="00BC09D1">
              <w:rPr>
                <w:rFonts w:cs="Times New Roman"/>
                <w:b/>
                <w:sz w:val="20"/>
                <w:szCs w:val="20"/>
              </w:rPr>
              <w:t>0%</w:t>
            </w:r>
          </w:p>
        </w:tc>
        <w:tc>
          <w:tcPr>
            <w:tcW w:w="4856" w:type="dxa"/>
            <w:gridSpan w:val="5"/>
            <w:tcBorders>
              <w:left w:val="thinThickThinSmallGap" w:sz="24" w:space="0" w:color="auto"/>
            </w:tcBorders>
            <w:shd w:val="clear" w:color="auto" w:fill="C6D9F1" w:themeFill="text2" w:themeFillTint="33"/>
          </w:tcPr>
          <w:p w:rsidR="00353908" w:rsidRPr="00BC09D1" w:rsidRDefault="00353908" w:rsidP="00047E9B">
            <w:pPr>
              <w:pStyle w:val="ListParagraph"/>
              <w:spacing w:after="0" w:line="240" w:lineRule="exact"/>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Pr>
                <w:rFonts w:cs="Times New Roman"/>
                <w:b/>
                <w:sz w:val="20"/>
                <w:szCs w:val="20"/>
              </w:rPr>
              <w:t>9</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047E9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047E9B">
      <w:pPr>
        <w:tabs>
          <w:tab w:val="left" w:pos="288"/>
          <w:tab w:val="left" w:pos="4752"/>
        </w:tabs>
        <w:spacing w:line="240" w:lineRule="exact"/>
        <w:jc w:val="both"/>
        <w:rPr>
          <w:color w:val="000080"/>
        </w:rPr>
      </w:pPr>
    </w:p>
    <w:p w:rsidR="002C6E5B" w:rsidRPr="00A6738B" w:rsidRDefault="002C6E5B" w:rsidP="00047E9B">
      <w:pPr>
        <w:tabs>
          <w:tab w:val="left" w:pos="288"/>
          <w:tab w:val="left" w:pos="4752"/>
        </w:tabs>
        <w:spacing w:line="240" w:lineRule="exact"/>
        <w:jc w:val="both"/>
        <w:rPr>
          <w:color w:val="000080"/>
        </w:rPr>
      </w:pPr>
      <w:r w:rsidRPr="00A6738B">
        <w:rPr>
          <w:color w:val="000080"/>
          <w:u w:val="single"/>
        </w:rPr>
        <w:t>ANALYSIS SUMMARY</w:t>
      </w:r>
      <w:r w:rsidRPr="00A6738B">
        <w:rPr>
          <w:color w:val="000080"/>
        </w:rPr>
        <w:t>:</w:t>
      </w:r>
    </w:p>
    <w:p w:rsidR="002C6E5B" w:rsidRPr="00A6738B" w:rsidRDefault="002C6E5B" w:rsidP="00047E9B">
      <w:pPr>
        <w:tabs>
          <w:tab w:val="left" w:pos="288"/>
          <w:tab w:val="left" w:pos="4752"/>
        </w:tabs>
        <w:spacing w:line="240" w:lineRule="exact"/>
        <w:jc w:val="both"/>
        <w:rPr>
          <w:color w:val="000080"/>
        </w:rPr>
      </w:pPr>
    </w:p>
    <w:p w:rsidR="002C6E5B" w:rsidRPr="00A6738B" w:rsidRDefault="00C97A48" w:rsidP="00047E9B">
      <w:pPr>
        <w:tabs>
          <w:tab w:val="left" w:pos="288"/>
          <w:tab w:val="left" w:pos="4752"/>
        </w:tabs>
        <w:spacing w:line="240" w:lineRule="exact"/>
        <w:jc w:val="both"/>
        <w:rPr>
          <w:color w:val="000080"/>
        </w:rPr>
      </w:pPr>
      <w:proofErr w:type="gramStart"/>
      <w:r w:rsidRPr="00A6738B">
        <w:rPr>
          <w:color w:val="000080"/>
          <w:u w:val="single"/>
        </w:rPr>
        <w:t>Cervical</w:t>
      </w:r>
      <w:r w:rsidR="002C6E5B" w:rsidRPr="00A6738B">
        <w:rPr>
          <w:color w:val="000080"/>
          <w:u w:val="single"/>
        </w:rPr>
        <w:t xml:space="preserve"> Condition</w:t>
      </w:r>
      <w:r w:rsidR="002C6E5B" w:rsidRPr="00A6738B">
        <w:rPr>
          <w:color w:val="000080"/>
        </w:rPr>
        <w:t>.</w:t>
      </w:r>
      <w:proofErr w:type="gramEnd"/>
      <w:r w:rsidR="002C6E5B" w:rsidRPr="00A6738B">
        <w:rPr>
          <w:color w:val="000080"/>
        </w:rPr>
        <w:t xml:space="preserve">  The</w:t>
      </w:r>
      <w:r w:rsidR="00620245" w:rsidRPr="00A6738B">
        <w:rPr>
          <w:color w:val="000080"/>
        </w:rPr>
        <w:t xml:space="preserve"> wording of the DA </w:t>
      </w:r>
      <w:r w:rsidR="00C74127">
        <w:rPr>
          <w:color w:val="000080"/>
        </w:rPr>
        <w:t xml:space="preserve">Form </w:t>
      </w:r>
      <w:r w:rsidR="00620245" w:rsidRPr="00A6738B">
        <w:rPr>
          <w:color w:val="000080"/>
        </w:rPr>
        <w:t xml:space="preserve">199 implied application of the </w:t>
      </w:r>
      <w:r w:rsidR="00C74127">
        <w:rPr>
          <w:color w:val="000080"/>
        </w:rPr>
        <w:t>US Army Physical Disability Agency (</w:t>
      </w:r>
      <w:r w:rsidR="00620245" w:rsidRPr="00A6738B">
        <w:rPr>
          <w:color w:val="000080"/>
        </w:rPr>
        <w:t>USAPDA</w:t>
      </w:r>
      <w:r w:rsidR="00C74127">
        <w:rPr>
          <w:color w:val="000080"/>
        </w:rPr>
        <w:t>)</w:t>
      </w:r>
      <w:r w:rsidR="00620245" w:rsidRPr="00A6738B">
        <w:rPr>
          <w:color w:val="000080"/>
        </w:rPr>
        <w:t xml:space="preserve"> pain policy to the cervical rating, but the 10% rating determination would have been unaffected by rating strictly IAW </w:t>
      </w:r>
      <w:r w:rsidR="00F857D6">
        <w:rPr>
          <w:color w:val="000080"/>
        </w:rPr>
        <w:t>Veterans Administration Schedule for Rating Disabilities (</w:t>
      </w:r>
      <w:r w:rsidR="00620245" w:rsidRPr="00A6738B">
        <w:rPr>
          <w:color w:val="000080"/>
        </w:rPr>
        <w:t>VASRD</w:t>
      </w:r>
      <w:r w:rsidR="00F857D6">
        <w:rPr>
          <w:color w:val="000080"/>
        </w:rPr>
        <w:t>)</w:t>
      </w:r>
      <w:r w:rsidR="00620245" w:rsidRPr="00A6738B">
        <w:rPr>
          <w:color w:val="000080"/>
        </w:rPr>
        <w:t xml:space="preserve"> §4.71a.  The PEB acknowledged that the condition </w:t>
      </w:r>
      <w:r w:rsidR="00572761">
        <w:rPr>
          <w:color w:val="000080"/>
        </w:rPr>
        <w:t>existed prior to service (E</w:t>
      </w:r>
      <w:r w:rsidR="00620245" w:rsidRPr="00A6738B">
        <w:rPr>
          <w:color w:val="000080"/>
        </w:rPr>
        <w:t>PTS</w:t>
      </w:r>
      <w:r w:rsidR="00572761">
        <w:rPr>
          <w:color w:val="000080"/>
        </w:rPr>
        <w:t>)</w:t>
      </w:r>
      <w:r w:rsidR="00620245" w:rsidRPr="00A6738B">
        <w:rPr>
          <w:color w:val="000080"/>
        </w:rPr>
        <w:t xml:space="preserve"> (</w:t>
      </w:r>
      <w:r w:rsidR="005D24CF" w:rsidRPr="00A6738B">
        <w:rPr>
          <w:color w:val="000080"/>
        </w:rPr>
        <w:t xml:space="preserve">the congenital </w:t>
      </w:r>
      <w:proofErr w:type="spellStart"/>
      <w:r w:rsidR="005D24CF" w:rsidRPr="00A6738B">
        <w:rPr>
          <w:color w:val="000080"/>
        </w:rPr>
        <w:t>Klippel-Feil</w:t>
      </w:r>
      <w:proofErr w:type="spellEnd"/>
      <w:r w:rsidR="005D24CF" w:rsidRPr="00A6738B">
        <w:rPr>
          <w:color w:val="000080"/>
        </w:rPr>
        <w:t xml:space="preserve"> anomaly</w:t>
      </w:r>
      <w:r w:rsidR="00620245" w:rsidRPr="00A6738B">
        <w:rPr>
          <w:color w:val="000080"/>
        </w:rPr>
        <w:t>) but appropriately attributed service aggravation.  The MEB and VA goniometric range-of-motion (ROM) exams are summarized in the chart below.</w:t>
      </w:r>
    </w:p>
    <w:p w:rsidR="00560D57" w:rsidRDefault="00560D57" w:rsidP="00047E9B">
      <w:pPr>
        <w:tabs>
          <w:tab w:val="left" w:pos="288"/>
          <w:tab w:val="left" w:pos="4752"/>
        </w:tabs>
        <w:spacing w:line="240" w:lineRule="exact"/>
        <w:rPr>
          <w:rFonts w:asciiTheme="minorHAnsi" w:hAnsiTheme="minorHAnsi"/>
          <w:color w:val="auto"/>
          <w:szCs w:val="24"/>
        </w:rPr>
      </w:pPr>
    </w:p>
    <w:tbl>
      <w:tblPr>
        <w:tblW w:w="5134"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710"/>
        <w:gridCol w:w="1980"/>
      </w:tblGrid>
      <w:tr w:rsidR="00D8077F" w:rsidRPr="007862B0" w:rsidTr="00D8077F">
        <w:tc>
          <w:tcPr>
            <w:tcW w:w="1444" w:type="dxa"/>
            <w:shd w:val="clear" w:color="auto" w:fill="C6D9F1" w:themeFill="text2" w:themeFillTint="33"/>
          </w:tcPr>
          <w:p w:rsidR="00D8077F" w:rsidRPr="00E04A6C" w:rsidRDefault="00D8077F" w:rsidP="00047E9B">
            <w:pPr>
              <w:pStyle w:val="ListParagraph"/>
              <w:spacing w:after="0" w:line="240" w:lineRule="exact"/>
              <w:ind w:left="0"/>
              <w:jc w:val="center"/>
              <w:rPr>
                <w:rFonts w:ascii="Calibri" w:eastAsia="Calibri" w:hAnsi="Calibri" w:cs="Times New Roman"/>
              </w:rPr>
            </w:pPr>
            <w:r>
              <w:rPr>
                <w:rFonts w:ascii="Calibri" w:eastAsia="Calibri" w:hAnsi="Calibri" w:cs="Times New Roman"/>
              </w:rPr>
              <w:t xml:space="preserve">Cervical </w:t>
            </w:r>
            <w:r w:rsidRPr="00E04A6C">
              <w:rPr>
                <w:rFonts w:ascii="Calibri" w:eastAsia="Calibri" w:hAnsi="Calibri" w:cs="Times New Roman"/>
              </w:rPr>
              <w:t>ROM</w:t>
            </w:r>
          </w:p>
        </w:tc>
        <w:tc>
          <w:tcPr>
            <w:tcW w:w="1710" w:type="dxa"/>
            <w:shd w:val="clear" w:color="auto" w:fill="C6D9F1" w:themeFill="text2" w:themeFillTint="33"/>
          </w:tcPr>
          <w:p w:rsidR="00D8077F" w:rsidRDefault="00D8077F" w:rsidP="00047E9B">
            <w:pPr>
              <w:pStyle w:val="ListParagraph"/>
              <w:spacing w:after="0" w:line="240" w:lineRule="exact"/>
              <w:ind w:left="0"/>
              <w:jc w:val="center"/>
              <w:rPr>
                <w:rFonts w:ascii="Calibri" w:eastAsia="Calibri" w:hAnsi="Calibri" w:cs="Times New Roman"/>
              </w:rPr>
            </w:pPr>
            <w:r>
              <w:rPr>
                <w:rFonts w:ascii="Calibri" w:eastAsia="Calibri" w:hAnsi="Calibri" w:cs="Times New Roman"/>
              </w:rPr>
              <w:t>MEB – 04/30/07</w:t>
            </w:r>
          </w:p>
        </w:tc>
        <w:tc>
          <w:tcPr>
            <w:tcW w:w="1980" w:type="dxa"/>
            <w:shd w:val="clear" w:color="auto" w:fill="C6D9F1" w:themeFill="text2" w:themeFillTint="33"/>
          </w:tcPr>
          <w:p w:rsidR="00D8077F" w:rsidRPr="003D4DAE" w:rsidRDefault="00D8077F" w:rsidP="00047E9B">
            <w:pPr>
              <w:pStyle w:val="ListParagraph"/>
              <w:spacing w:after="0" w:line="240" w:lineRule="exact"/>
              <w:ind w:left="0"/>
              <w:jc w:val="center"/>
              <w:rPr>
                <w:rFonts w:ascii="Calibri" w:hAnsi="Calibri"/>
              </w:rPr>
            </w:pPr>
            <w:r>
              <w:rPr>
                <w:rFonts w:ascii="Calibri" w:eastAsia="Calibri" w:hAnsi="Calibri" w:cs="Times New Roman"/>
              </w:rPr>
              <w:t>VA</w:t>
            </w:r>
            <w:r>
              <w:rPr>
                <w:rFonts w:ascii="Calibri" w:hAnsi="Calibri"/>
              </w:rPr>
              <w:t xml:space="preserve"> C&amp;P – </w:t>
            </w:r>
            <w:r>
              <w:rPr>
                <w:rFonts w:ascii="Calibri" w:eastAsia="Calibri" w:hAnsi="Calibri" w:cs="Times New Roman"/>
              </w:rPr>
              <w:t>12/</w:t>
            </w:r>
            <w:r w:rsidR="00F86CE0">
              <w:rPr>
                <w:rFonts w:ascii="Calibri" w:eastAsia="Calibri" w:hAnsi="Calibri" w:cs="Times New Roman"/>
              </w:rPr>
              <w:t>12</w:t>
            </w:r>
            <w:r>
              <w:rPr>
                <w:rFonts w:ascii="Calibri" w:eastAsia="Calibri" w:hAnsi="Calibri" w:cs="Times New Roman"/>
              </w:rPr>
              <w:t>/07</w:t>
            </w:r>
          </w:p>
        </w:tc>
      </w:tr>
      <w:tr w:rsidR="00D8077F" w:rsidRPr="00140096" w:rsidTr="00D8077F">
        <w:tc>
          <w:tcPr>
            <w:tcW w:w="1444" w:type="dxa"/>
          </w:tcPr>
          <w:p w:rsidR="00D8077F" w:rsidRPr="00140096" w:rsidRDefault="00D8077F" w:rsidP="00047E9B">
            <w:pPr>
              <w:pStyle w:val="ListParagraph"/>
              <w:spacing w:after="0" w:line="240" w:lineRule="exact"/>
              <w:ind w:left="0"/>
              <w:rPr>
                <w:rFonts w:ascii="Calibri" w:eastAsia="Calibri" w:hAnsi="Calibri" w:cs="Times New Roman"/>
              </w:rPr>
            </w:pPr>
            <w:r w:rsidRPr="00140096">
              <w:rPr>
                <w:rFonts w:ascii="Calibri" w:eastAsia="Calibri" w:hAnsi="Calibri" w:cs="Times New Roman"/>
              </w:rPr>
              <w:t>Flex</w:t>
            </w:r>
            <w:r>
              <w:rPr>
                <w:rFonts w:ascii="Calibri" w:eastAsia="Calibri" w:hAnsi="Calibri" w:cs="Times New Roman"/>
              </w:rPr>
              <w:t>ion</w:t>
            </w:r>
          </w:p>
        </w:tc>
        <w:tc>
          <w:tcPr>
            <w:tcW w:w="1710" w:type="dxa"/>
          </w:tcPr>
          <w:p w:rsidR="00D8077F" w:rsidRDefault="00D8077F" w:rsidP="00047E9B">
            <w:pPr>
              <w:pStyle w:val="ListParagraph"/>
              <w:spacing w:after="0" w:line="240" w:lineRule="exact"/>
              <w:ind w:left="0"/>
              <w:jc w:val="center"/>
              <w:rPr>
                <w:rFonts w:ascii="Calibri" w:eastAsia="Calibri" w:hAnsi="Calibri" w:cs="Times New Roman"/>
              </w:rPr>
            </w:pPr>
            <w:r>
              <w:rPr>
                <w:rFonts w:ascii="Calibri" w:eastAsia="Calibri" w:hAnsi="Calibri" w:cs="Times New Roman"/>
              </w:rPr>
              <w:t>35⁰</w:t>
            </w:r>
          </w:p>
        </w:tc>
        <w:tc>
          <w:tcPr>
            <w:tcW w:w="1980" w:type="dxa"/>
          </w:tcPr>
          <w:p w:rsidR="00D8077F" w:rsidRPr="00140096" w:rsidRDefault="00D8077F" w:rsidP="00047E9B">
            <w:pPr>
              <w:pStyle w:val="ListParagraph"/>
              <w:spacing w:after="0" w:line="240" w:lineRule="exact"/>
              <w:ind w:left="0"/>
              <w:jc w:val="center"/>
              <w:rPr>
                <w:rFonts w:ascii="Calibri" w:eastAsia="Calibri" w:hAnsi="Calibri" w:cs="Times New Roman"/>
              </w:rPr>
            </w:pPr>
            <w:r>
              <w:rPr>
                <w:rFonts w:ascii="Calibri" w:eastAsia="Calibri" w:hAnsi="Calibri" w:cs="Times New Roman"/>
              </w:rPr>
              <w:t>35⁰</w:t>
            </w:r>
          </w:p>
        </w:tc>
      </w:tr>
      <w:tr w:rsidR="00D8077F" w:rsidRPr="00D340CE" w:rsidTr="00D8077F">
        <w:tc>
          <w:tcPr>
            <w:tcW w:w="1444" w:type="dxa"/>
          </w:tcPr>
          <w:p w:rsidR="00D8077F" w:rsidRPr="00140096" w:rsidRDefault="00D8077F" w:rsidP="00047E9B">
            <w:pPr>
              <w:pStyle w:val="ListParagraph"/>
              <w:spacing w:after="0" w:line="240" w:lineRule="exact"/>
              <w:ind w:left="0"/>
              <w:rPr>
                <w:rFonts w:ascii="Calibri" w:eastAsia="Calibri" w:hAnsi="Calibri" w:cs="Times New Roman"/>
              </w:rPr>
            </w:pPr>
            <w:r>
              <w:rPr>
                <w:rFonts w:ascii="Calibri" w:eastAsia="Calibri" w:hAnsi="Calibri" w:cs="Times New Roman"/>
              </w:rPr>
              <w:t>Combined</w:t>
            </w:r>
          </w:p>
        </w:tc>
        <w:tc>
          <w:tcPr>
            <w:tcW w:w="1710" w:type="dxa"/>
          </w:tcPr>
          <w:p w:rsidR="00D8077F" w:rsidRDefault="00D8077F" w:rsidP="00047E9B">
            <w:pPr>
              <w:pStyle w:val="ListParagraph"/>
              <w:spacing w:after="0" w:line="240" w:lineRule="exact"/>
              <w:ind w:left="0"/>
              <w:jc w:val="center"/>
              <w:rPr>
                <w:rFonts w:ascii="Calibri" w:eastAsia="Calibri" w:hAnsi="Calibri" w:cs="Times New Roman"/>
              </w:rPr>
            </w:pPr>
            <w:r>
              <w:rPr>
                <w:rFonts w:ascii="Calibri" w:eastAsia="Calibri" w:hAnsi="Calibri" w:cs="Times New Roman"/>
              </w:rPr>
              <w:t xml:space="preserve">200⁰ </w:t>
            </w:r>
          </w:p>
        </w:tc>
        <w:tc>
          <w:tcPr>
            <w:tcW w:w="1980" w:type="dxa"/>
          </w:tcPr>
          <w:p w:rsidR="00D8077F" w:rsidRPr="00D340CE" w:rsidRDefault="00F86CE0" w:rsidP="00047E9B">
            <w:pPr>
              <w:pStyle w:val="ListParagraph"/>
              <w:spacing w:after="0" w:line="240" w:lineRule="exact"/>
              <w:ind w:left="0"/>
              <w:jc w:val="center"/>
              <w:rPr>
                <w:rFonts w:ascii="Calibri" w:eastAsia="Calibri" w:hAnsi="Calibri" w:cs="Times New Roman"/>
              </w:rPr>
            </w:pPr>
            <w:r>
              <w:rPr>
                <w:rFonts w:ascii="Calibri" w:eastAsia="Calibri" w:hAnsi="Calibri" w:cs="Times New Roman"/>
              </w:rPr>
              <w:t>18</w:t>
            </w:r>
            <w:r w:rsidR="00D8077F">
              <w:rPr>
                <w:rFonts w:ascii="Calibri" w:eastAsia="Calibri" w:hAnsi="Calibri" w:cs="Times New Roman"/>
              </w:rPr>
              <w:t>0⁰</w:t>
            </w:r>
          </w:p>
        </w:tc>
      </w:tr>
      <w:tr w:rsidR="00D8077F" w:rsidRPr="004E0248" w:rsidTr="00D8077F">
        <w:tc>
          <w:tcPr>
            <w:tcW w:w="1444" w:type="dxa"/>
          </w:tcPr>
          <w:p w:rsidR="00D8077F" w:rsidRPr="00384866" w:rsidRDefault="00D8077F" w:rsidP="00047E9B">
            <w:pPr>
              <w:tabs>
                <w:tab w:val="left" w:pos="288"/>
                <w:tab w:val="left" w:pos="4752"/>
              </w:tabs>
              <w:spacing w:line="240" w:lineRule="exact"/>
              <w:rPr>
                <w:rFonts w:asciiTheme="minorHAnsi" w:eastAsiaTheme="minorHAnsi" w:hAnsiTheme="minorHAnsi"/>
                <w:color w:val="auto"/>
                <w:sz w:val="22"/>
                <w:szCs w:val="22"/>
              </w:rPr>
            </w:pPr>
            <w:r w:rsidRPr="00384866">
              <w:rPr>
                <w:rFonts w:asciiTheme="minorHAnsi" w:eastAsiaTheme="minorHAnsi" w:hAnsiTheme="minorHAnsi"/>
                <w:color w:val="auto"/>
                <w:sz w:val="22"/>
                <w:szCs w:val="22"/>
              </w:rPr>
              <w:t>§4.71a Rating</w:t>
            </w:r>
          </w:p>
        </w:tc>
        <w:tc>
          <w:tcPr>
            <w:tcW w:w="1710" w:type="dxa"/>
          </w:tcPr>
          <w:p w:rsidR="00D8077F" w:rsidRPr="00384866" w:rsidRDefault="00D8077F" w:rsidP="00047E9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384866">
              <w:rPr>
                <w:rFonts w:asciiTheme="minorHAnsi" w:eastAsiaTheme="minorHAnsi" w:hAnsiTheme="minorHAnsi"/>
                <w:color w:val="auto"/>
                <w:sz w:val="22"/>
                <w:szCs w:val="22"/>
              </w:rPr>
              <w:t>0%</w:t>
            </w:r>
          </w:p>
        </w:tc>
        <w:tc>
          <w:tcPr>
            <w:tcW w:w="1980" w:type="dxa"/>
          </w:tcPr>
          <w:p w:rsidR="00D8077F" w:rsidRPr="00384866" w:rsidRDefault="00D8077F" w:rsidP="00047E9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384866">
              <w:rPr>
                <w:rFonts w:asciiTheme="minorHAnsi" w:eastAsiaTheme="minorHAnsi" w:hAnsiTheme="minorHAnsi"/>
                <w:color w:val="auto"/>
                <w:sz w:val="22"/>
                <w:szCs w:val="22"/>
              </w:rPr>
              <w:t>0%</w:t>
            </w:r>
          </w:p>
        </w:tc>
      </w:tr>
    </w:tbl>
    <w:p w:rsidR="00560D57" w:rsidRDefault="00560D57" w:rsidP="00047E9B">
      <w:pPr>
        <w:tabs>
          <w:tab w:val="left" w:pos="288"/>
          <w:tab w:val="left" w:pos="4752"/>
        </w:tabs>
        <w:spacing w:line="240" w:lineRule="exact"/>
        <w:rPr>
          <w:rFonts w:asciiTheme="minorHAnsi" w:eastAsiaTheme="minorHAnsi" w:hAnsiTheme="minorHAnsi"/>
          <w:color w:val="auto"/>
          <w:szCs w:val="24"/>
        </w:rPr>
      </w:pPr>
    </w:p>
    <w:p w:rsidR="003D7089" w:rsidRPr="00A6738B" w:rsidRDefault="00C865F3" w:rsidP="00047E9B">
      <w:pPr>
        <w:tabs>
          <w:tab w:val="left" w:pos="288"/>
          <w:tab w:val="left" w:pos="4752"/>
        </w:tabs>
        <w:spacing w:line="240" w:lineRule="exact"/>
        <w:jc w:val="both"/>
        <w:rPr>
          <w:color w:val="000080"/>
        </w:rPr>
      </w:pPr>
      <w:r w:rsidRPr="00A6738B">
        <w:rPr>
          <w:color w:val="000080"/>
        </w:rPr>
        <w:t xml:space="preserve">The MEB exam did not specify pain end-points but reflects the average of three measurements for active ROM and is adequate for rating purposes.  The VA examiner specified pain thresholds.  Both exams identified tenderness and/or spasm; neither noted abnormal contour.  Both examinations are consistent with 10% ratings </w:t>
      </w:r>
      <w:r w:rsidR="00DD6214" w:rsidRPr="00A6738B">
        <w:rPr>
          <w:color w:val="000080"/>
        </w:rPr>
        <w:t xml:space="preserve">IAW the VASRD </w:t>
      </w:r>
      <w:r w:rsidRPr="00A6738B">
        <w:rPr>
          <w:color w:val="000080"/>
        </w:rPr>
        <w:t xml:space="preserve">and there are no entries in the medical record suggesting they were not reflective of the </w:t>
      </w:r>
      <w:r w:rsidR="003B73F5" w:rsidRPr="00A6738B">
        <w:rPr>
          <w:color w:val="000080"/>
        </w:rPr>
        <w:t xml:space="preserve">severity of the cervical condition.  </w:t>
      </w:r>
      <w:r w:rsidR="003D7089" w:rsidRPr="00A6738B">
        <w:rPr>
          <w:color w:val="000080"/>
        </w:rPr>
        <w:t xml:space="preserve">There was no evidence of ratable peripheral nerve impairment in this case.  There is no reasonable doubt in the CI’s favor, therefore, to justify a Board recommendation for other than the 10% rating assigned by the PEB for the </w:t>
      </w:r>
      <w:r w:rsidR="003B73F5" w:rsidRPr="00A6738B">
        <w:rPr>
          <w:color w:val="000080"/>
        </w:rPr>
        <w:t>ne</w:t>
      </w:r>
      <w:r w:rsidR="003D7089" w:rsidRPr="00A6738B">
        <w:rPr>
          <w:color w:val="000080"/>
        </w:rPr>
        <w:t xml:space="preserve">ck condition.  </w:t>
      </w:r>
      <w:r w:rsidR="000912A9" w:rsidRPr="00A6738B">
        <w:rPr>
          <w:color w:val="000080"/>
        </w:rPr>
        <w:t>PEB coding was appropriate</w:t>
      </w:r>
      <w:r w:rsidR="00E06B7E" w:rsidRPr="00A6738B">
        <w:rPr>
          <w:color w:val="000080"/>
        </w:rPr>
        <w:t>, although the 5299 prefix is unnecessary</w:t>
      </w:r>
      <w:r w:rsidR="000912A9" w:rsidRPr="00A6738B">
        <w:rPr>
          <w:color w:val="000080"/>
        </w:rPr>
        <w:t>.</w:t>
      </w:r>
    </w:p>
    <w:p w:rsidR="00DD083A" w:rsidRPr="00A6738B" w:rsidRDefault="00DD083A" w:rsidP="00047E9B">
      <w:pPr>
        <w:tabs>
          <w:tab w:val="left" w:pos="288"/>
          <w:tab w:val="left" w:pos="4752"/>
        </w:tabs>
        <w:spacing w:line="240" w:lineRule="exact"/>
        <w:jc w:val="both"/>
        <w:rPr>
          <w:color w:val="000080"/>
        </w:rPr>
      </w:pPr>
    </w:p>
    <w:p w:rsidR="00DD6214" w:rsidRPr="00A6738B" w:rsidRDefault="00DD083A" w:rsidP="00047E9B">
      <w:pPr>
        <w:tabs>
          <w:tab w:val="left" w:pos="288"/>
          <w:tab w:val="left" w:pos="4752"/>
        </w:tabs>
        <w:spacing w:line="240" w:lineRule="exact"/>
        <w:jc w:val="both"/>
        <w:rPr>
          <w:color w:val="000080"/>
        </w:rPr>
      </w:pPr>
      <w:proofErr w:type="gramStart"/>
      <w:r w:rsidRPr="00A6738B">
        <w:rPr>
          <w:color w:val="000080"/>
          <w:u w:val="single"/>
        </w:rPr>
        <w:t>Right Shoulder Condition</w:t>
      </w:r>
      <w:r w:rsidRPr="00A6738B">
        <w:rPr>
          <w:color w:val="000080"/>
        </w:rPr>
        <w:t>.</w:t>
      </w:r>
      <w:proofErr w:type="gramEnd"/>
      <w:r w:rsidRPr="00A6738B">
        <w:rPr>
          <w:color w:val="000080"/>
        </w:rPr>
        <w:t xml:space="preserve">  </w:t>
      </w:r>
      <w:r w:rsidR="000E3E26" w:rsidRPr="00A6738B">
        <w:rPr>
          <w:color w:val="000080"/>
        </w:rPr>
        <w:t xml:space="preserve">The CI stated to the VA examiner that his shoulder pain dated to 2000 and was initially associated with weight lifting.  It was significantly exacerbated during </w:t>
      </w:r>
      <w:r w:rsidR="000E3E26" w:rsidRPr="00A6738B">
        <w:rPr>
          <w:color w:val="000080"/>
        </w:rPr>
        <w:lastRenderedPageBreak/>
        <w:t xml:space="preserve">deployment with lifting and the requirement for protective equipment.  The initial diagnosis was a </w:t>
      </w:r>
      <w:proofErr w:type="spellStart"/>
      <w:r w:rsidR="000E3E26" w:rsidRPr="00A6738B">
        <w:rPr>
          <w:color w:val="000080"/>
        </w:rPr>
        <w:t>labral</w:t>
      </w:r>
      <w:proofErr w:type="spellEnd"/>
      <w:r w:rsidR="000E3E26" w:rsidRPr="00A6738B">
        <w:rPr>
          <w:color w:val="000080"/>
        </w:rPr>
        <w:t xml:space="preserve"> (joint lip) tear and impingement syndrome</w:t>
      </w:r>
      <w:r w:rsidR="00DD6214" w:rsidRPr="00A6738B">
        <w:rPr>
          <w:color w:val="000080"/>
        </w:rPr>
        <w:t xml:space="preserve"> from AC (</w:t>
      </w:r>
      <w:proofErr w:type="spellStart"/>
      <w:r w:rsidR="00DD6214" w:rsidRPr="00A6738B">
        <w:rPr>
          <w:color w:val="000080"/>
        </w:rPr>
        <w:t>acromioclavicular</w:t>
      </w:r>
      <w:proofErr w:type="spellEnd"/>
      <w:r w:rsidR="00DD6214" w:rsidRPr="00A6738B">
        <w:rPr>
          <w:color w:val="000080"/>
        </w:rPr>
        <w:t xml:space="preserve">) </w:t>
      </w:r>
      <w:proofErr w:type="spellStart"/>
      <w:r w:rsidR="00DD6214" w:rsidRPr="00A6738B">
        <w:rPr>
          <w:color w:val="000080"/>
        </w:rPr>
        <w:t>arthrosis</w:t>
      </w:r>
      <w:proofErr w:type="spellEnd"/>
      <w:r w:rsidR="000E3E26" w:rsidRPr="00A6738B">
        <w:rPr>
          <w:color w:val="000080"/>
        </w:rPr>
        <w:t xml:space="preserve">.  The surgery in 2006 entailed a partial resection of the </w:t>
      </w:r>
      <w:proofErr w:type="spellStart"/>
      <w:r w:rsidR="00AF7864" w:rsidRPr="00A6738B">
        <w:rPr>
          <w:color w:val="000080"/>
        </w:rPr>
        <w:t>clavicular</w:t>
      </w:r>
      <w:proofErr w:type="spellEnd"/>
      <w:r w:rsidR="00AF7864" w:rsidRPr="00A6738B">
        <w:rPr>
          <w:color w:val="000080"/>
        </w:rPr>
        <w:t xml:space="preserve"> head.</w:t>
      </w:r>
      <w:r w:rsidR="000E3E26" w:rsidRPr="00A6738B">
        <w:rPr>
          <w:color w:val="000080"/>
        </w:rPr>
        <w:t xml:space="preserve"> </w:t>
      </w:r>
      <w:r w:rsidR="00AF7864" w:rsidRPr="00A6738B">
        <w:rPr>
          <w:color w:val="000080"/>
        </w:rPr>
        <w:t xml:space="preserve">  Significant improvement after surgery was evidenced in the MEB and VA exams.  </w:t>
      </w:r>
    </w:p>
    <w:p w:rsidR="00DD6214" w:rsidRPr="00A6738B" w:rsidRDefault="00DD6214" w:rsidP="00047E9B">
      <w:pPr>
        <w:tabs>
          <w:tab w:val="left" w:pos="288"/>
          <w:tab w:val="left" w:pos="4752"/>
        </w:tabs>
        <w:spacing w:line="240" w:lineRule="exact"/>
        <w:jc w:val="both"/>
        <w:rPr>
          <w:color w:val="000080"/>
        </w:rPr>
      </w:pPr>
    </w:p>
    <w:p w:rsidR="00C4640A" w:rsidRPr="00A6738B" w:rsidRDefault="00AF7864" w:rsidP="00F857D6">
      <w:pPr>
        <w:tabs>
          <w:tab w:val="left" w:pos="288"/>
          <w:tab w:val="left" w:pos="4752"/>
        </w:tabs>
        <w:spacing w:line="240" w:lineRule="exact"/>
        <w:ind w:right="-90"/>
        <w:jc w:val="both"/>
        <w:rPr>
          <w:color w:val="000080"/>
        </w:rPr>
      </w:pPr>
      <w:r w:rsidRPr="00A6738B">
        <w:rPr>
          <w:color w:val="000080"/>
        </w:rPr>
        <w:t xml:space="preserve">The initial Board consideration is directed to the </w:t>
      </w:r>
      <w:r w:rsidR="00F857D6">
        <w:rPr>
          <w:color w:val="000080"/>
        </w:rPr>
        <w:t xml:space="preserve">PEB fitness adjudication.  </w:t>
      </w:r>
      <w:r w:rsidR="00C4640A" w:rsidRPr="00A6738B">
        <w:rPr>
          <w:color w:val="000080"/>
        </w:rPr>
        <w:t>In explanation of the not unfitting</w:t>
      </w:r>
      <w:r w:rsidR="00F857D6">
        <w:rPr>
          <w:color w:val="000080"/>
        </w:rPr>
        <w:t xml:space="preserve"> </w:t>
      </w:r>
      <w:r w:rsidR="00C4640A" w:rsidRPr="00A6738B">
        <w:rPr>
          <w:color w:val="000080"/>
        </w:rPr>
        <w:t>determinations for the shoulder and other conditions, the DA</w:t>
      </w:r>
      <w:r w:rsidR="00F857D6">
        <w:rPr>
          <w:color w:val="000080"/>
        </w:rPr>
        <w:t xml:space="preserve"> Form </w:t>
      </w:r>
      <w:r w:rsidR="00C4640A" w:rsidRPr="00A6738B">
        <w:rPr>
          <w:color w:val="000080"/>
        </w:rPr>
        <w:t xml:space="preserve">199 stated, ‘Although the Soldier has these conditions and presently requires treatment, the Soldier also had these conditions in the past, and the evidence provided does not indicate that he could not perform his assigned duties at that time because of these conditions.’  </w:t>
      </w:r>
      <w:r w:rsidR="00A62354" w:rsidRPr="00A6738B">
        <w:rPr>
          <w:color w:val="000080"/>
        </w:rPr>
        <w:t>This may have reflected an opinion in</w:t>
      </w:r>
      <w:r w:rsidR="00DD6214" w:rsidRPr="00A6738B">
        <w:rPr>
          <w:color w:val="000080"/>
        </w:rPr>
        <w:t xml:space="preserve"> the Commander’s statement that ‘</w:t>
      </w:r>
      <w:proofErr w:type="gramStart"/>
      <w:r w:rsidR="00DD6214" w:rsidRPr="00A6738B">
        <w:rPr>
          <w:color w:val="000080"/>
        </w:rPr>
        <w:t>None</w:t>
      </w:r>
      <w:proofErr w:type="gramEnd"/>
      <w:r w:rsidR="00DD6214" w:rsidRPr="00A6738B">
        <w:rPr>
          <w:color w:val="000080"/>
        </w:rPr>
        <w:t xml:space="preserve"> of these complaints affected his ability to perform exceptionally well in Iraq</w:t>
      </w:r>
      <w:r w:rsidR="00A62354" w:rsidRPr="00A6738B">
        <w:rPr>
          <w:color w:val="000080"/>
        </w:rPr>
        <w:t xml:space="preserve">.’  The PEB rationale and the Commander’s statement would also have been equally applicable to </w:t>
      </w:r>
      <w:r w:rsidR="00E06B7E" w:rsidRPr="00A6738B">
        <w:rPr>
          <w:color w:val="000080"/>
        </w:rPr>
        <w:t xml:space="preserve">the </w:t>
      </w:r>
      <w:r w:rsidR="00A62354" w:rsidRPr="00A6738B">
        <w:rPr>
          <w:color w:val="000080"/>
        </w:rPr>
        <w:t xml:space="preserve">cervical condition which was </w:t>
      </w:r>
      <w:r w:rsidR="00E06B7E" w:rsidRPr="00A6738B">
        <w:rPr>
          <w:color w:val="000080"/>
        </w:rPr>
        <w:t xml:space="preserve">conversely </w:t>
      </w:r>
      <w:r w:rsidR="00A62354" w:rsidRPr="00A6738B">
        <w:rPr>
          <w:color w:val="000080"/>
        </w:rPr>
        <w:t xml:space="preserve">deemed unfitting.  </w:t>
      </w:r>
      <w:r w:rsidR="0091360E" w:rsidRPr="00A6738B">
        <w:rPr>
          <w:color w:val="000080"/>
        </w:rPr>
        <w:t>Regard</w:t>
      </w:r>
      <w:r w:rsidR="00A62354" w:rsidRPr="00A6738B">
        <w:rPr>
          <w:color w:val="000080"/>
        </w:rPr>
        <w:t>ing the shoulder condition, the</w:t>
      </w:r>
      <w:r w:rsidR="0091360E" w:rsidRPr="00A6738B">
        <w:rPr>
          <w:color w:val="000080"/>
        </w:rPr>
        <w:t xml:space="preserve"> </w:t>
      </w:r>
      <w:r w:rsidR="00A62354" w:rsidRPr="00A6738B">
        <w:rPr>
          <w:color w:val="000080"/>
        </w:rPr>
        <w:t xml:space="preserve">PEB’s </w:t>
      </w:r>
      <w:r w:rsidR="0091360E" w:rsidRPr="00A6738B">
        <w:rPr>
          <w:color w:val="000080"/>
        </w:rPr>
        <w:t xml:space="preserve">rationale is </w:t>
      </w:r>
      <w:r w:rsidR="00A62354" w:rsidRPr="00A6738B">
        <w:rPr>
          <w:color w:val="000080"/>
        </w:rPr>
        <w:t xml:space="preserve">further </w:t>
      </w:r>
      <w:r w:rsidR="0091360E" w:rsidRPr="00A6738B">
        <w:rPr>
          <w:color w:val="000080"/>
        </w:rPr>
        <w:t xml:space="preserve">undermined by the fact that the shoulder was significantly </w:t>
      </w:r>
      <w:r w:rsidR="0043215A" w:rsidRPr="00A6738B">
        <w:rPr>
          <w:color w:val="000080"/>
        </w:rPr>
        <w:t xml:space="preserve">worse after deployment.  This is evidenced by </w:t>
      </w:r>
      <w:r w:rsidR="0091360E" w:rsidRPr="00A6738B">
        <w:rPr>
          <w:color w:val="000080"/>
        </w:rPr>
        <w:t xml:space="preserve">the fact that surgery was not required until after deployment.  It is true that the post-operative course was favorable and that the condition may have improved to the prior baseline (or better), but that </w:t>
      </w:r>
      <w:r w:rsidR="00483DC4" w:rsidRPr="00A6738B">
        <w:rPr>
          <w:color w:val="000080"/>
        </w:rPr>
        <w:t xml:space="preserve">entails a degree of </w:t>
      </w:r>
      <w:r w:rsidR="0091360E" w:rsidRPr="00A6738B">
        <w:rPr>
          <w:color w:val="000080"/>
        </w:rPr>
        <w:t>speculation</w:t>
      </w:r>
      <w:r w:rsidR="00483DC4" w:rsidRPr="00A6738B">
        <w:rPr>
          <w:color w:val="000080"/>
        </w:rPr>
        <w:t xml:space="preserve">.  </w:t>
      </w:r>
      <w:r w:rsidR="003601C8">
        <w:rPr>
          <w:color w:val="000080"/>
        </w:rPr>
        <w:t>Albeit there were several</w:t>
      </w:r>
      <w:r w:rsidR="007D7D30" w:rsidRPr="00A6738B">
        <w:rPr>
          <w:color w:val="000080"/>
        </w:rPr>
        <w:t xml:space="preserve"> non-orthopedic conditions, the </w:t>
      </w:r>
      <w:r w:rsidR="00F857D6">
        <w:rPr>
          <w:color w:val="000080"/>
        </w:rPr>
        <w:t>narrative summary (</w:t>
      </w:r>
      <w:r w:rsidR="007D7D30" w:rsidRPr="00A6738B">
        <w:rPr>
          <w:color w:val="000080"/>
        </w:rPr>
        <w:t>NARSUM</w:t>
      </w:r>
      <w:r w:rsidR="00F857D6">
        <w:rPr>
          <w:color w:val="000080"/>
        </w:rPr>
        <w:t>)</w:t>
      </w:r>
      <w:r w:rsidR="007D7D30" w:rsidRPr="00A6738B">
        <w:rPr>
          <w:color w:val="000080"/>
        </w:rPr>
        <w:t xml:space="preserve"> focused on the cervical, right shoulder and left knee conditions.  </w:t>
      </w:r>
      <w:r w:rsidR="001538B0">
        <w:rPr>
          <w:color w:val="000080"/>
        </w:rPr>
        <w:t>The MEB was initiated for the orthopedic conditions and t</w:t>
      </w:r>
      <w:r w:rsidR="007D7D30" w:rsidRPr="00A6738B">
        <w:rPr>
          <w:color w:val="000080"/>
        </w:rPr>
        <w:t>he orthopedist clearly opined that all three conditions were medically unacceptable</w:t>
      </w:r>
      <w:r w:rsidR="001538B0">
        <w:rPr>
          <w:color w:val="000080"/>
        </w:rPr>
        <w:t>.</w:t>
      </w:r>
      <w:r w:rsidR="007D7D30" w:rsidRPr="00A6738B">
        <w:rPr>
          <w:color w:val="000080"/>
        </w:rPr>
        <w:t xml:space="preserve"> </w:t>
      </w:r>
      <w:r w:rsidR="001538B0">
        <w:rPr>
          <w:color w:val="000080"/>
        </w:rPr>
        <w:t xml:space="preserve"> S</w:t>
      </w:r>
      <w:r w:rsidR="007D7D30" w:rsidRPr="00A6738B">
        <w:rPr>
          <w:color w:val="000080"/>
        </w:rPr>
        <w:t xml:space="preserve">pecifically the </w:t>
      </w:r>
      <w:r w:rsidR="001538B0">
        <w:rPr>
          <w:color w:val="000080"/>
        </w:rPr>
        <w:t xml:space="preserve">NARSUM stated that the </w:t>
      </w:r>
      <w:r w:rsidR="007D7D30" w:rsidRPr="00A6738B">
        <w:rPr>
          <w:color w:val="000080"/>
        </w:rPr>
        <w:t xml:space="preserve">cervical and shoulder pain prohibited use of Kevlar and body armor.  </w:t>
      </w:r>
      <w:r w:rsidR="00483DC4" w:rsidRPr="00A6738B">
        <w:rPr>
          <w:color w:val="000080"/>
        </w:rPr>
        <w:t xml:space="preserve">Although the MEB’s judgment that a condition does not meet </w:t>
      </w:r>
      <w:r w:rsidR="00665252">
        <w:rPr>
          <w:color w:val="000080"/>
        </w:rPr>
        <w:t xml:space="preserve">     </w:t>
      </w:r>
      <w:r w:rsidR="00483DC4" w:rsidRPr="00A6738B">
        <w:rPr>
          <w:color w:val="000080"/>
        </w:rPr>
        <w:t>AR</w:t>
      </w:r>
      <w:r w:rsidR="00665252">
        <w:rPr>
          <w:color w:val="000080"/>
        </w:rPr>
        <w:t xml:space="preserve"> </w:t>
      </w:r>
      <w:r w:rsidR="00483DC4" w:rsidRPr="00A6738B">
        <w:rPr>
          <w:color w:val="000080"/>
        </w:rPr>
        <w:t xml:space="preserve">40-501 retention standards is but a factor in the PEB’s fitness </w:t>
      </w:r>
      <w:r w:rsidR="00C968B3" w:rsidRPr="00A6738B">
        <w:rPr>
          <w:color w:val="000080"/>
        </w:rPr>
        <w:t>determination</w:t>
      </w:r>
      <w:r w:rsidR="00483DC4" w:rsidRPr="00A6738B">
        <w:rPr>
          <w:color w:val="000080"/>
        </w:rPr>
        <w:t xml:space="preserve">, it </w:t>
      </w:r>
      <w:r w:rsidR="00C16A4F" w:rsidRPr="00A6738B">
        <w:rPr>
          <w:color w:val="000080"/>
        </w:rPr>
        <w:t xml:space="preserve">raises the bar for </w:t>
      </w:r>
      <w:r w:rsidR="00C968B3" w:rsidRPr="00A6738B">
        <w:rPr>
          <w:color w:val="000080"/>
        </w:rPr>
        <w:t xml:space="preserve">an adjudication of not unfitting.  The permanent U3 physical profile </w:t>
      </w:r>
      <w:r w:rsidR="001538B0">
        <w:rPr>
          <w:color w:val="000080"/>
        </w:rPr>
        <w:t>included</w:t>
      </w:r>
      <w:r w:rsidR="00C968B3" w:rsidRPr="00A6738B">
        <w:rPr>
          <w:color w:val="000080"/>
        </w:rPr>
        <w:t xml:space="preserve"> the right shoulder condition </w:t>
      </w:r>
      <w:r w:rsidR="001538B0">
        <w:rPr>
          <w:color w:val="000080"/>
        </w:rPr>
        <w:t>and</w:t>
      </w:r>
      <w:r w:rsidR="00C968B3" w:rsidRPr="00A6738B">
        <w:rPr>
          <w:color w:val="000080"/>
        </w:rPr>
        <w:t xml:space="preserve"> the cervical condition.  </w:t>
      </w:r>
      <w:r w:rsidR="00576358" w:rsidRPr="00A6738B">
        <w:rPr>
          <w:color w:val="000080"/>
        </w:rPr>
        <w:t>The Commander’s performance statement included the shoulder limitations in her assessment that the CI was no longer able to perform in h</w:t>
      </w:r>
      <w:r w:rsidR="00572761">
        <w:rPr>
          <w:color w:val="000080"/>
        </w:rPr>
        <w:t>is MOS.  All evidence considered</w:t>
      </w:r>
      <w:proofErr w:type="gramStart"/>
      <w:r w:rsidR="00576358" w:rsidRPr="00A6738B">
        <w:rPr>
          <w:color w:val="000080"/>
        </w:rPr>
        <w:t>,</w:t>
      </w:r>
      <w:proofErr w:type="gramEnd"/>
      <w:r w:rsidR="00576358" w:rsidRPr="00A6738B">
        <w:rPr>
          <w:color w:val="000080"/>
        </w:rPr>
        <w:t xml:space="preserve"> the Board cannot find enough strength in the PEB position to </w:t>
      </w:r>
      <w:r w:rsidR="00FC6959" w:rsidRPr="00A6738B">
        <w:rPr>
          <w:color w:val="000080"/>
        </w:rPr>
        <w:t xml:space="preserve">overcome </w:t>
      </w:r>
      <w:r w:rsidR="0043215A" w:rsidRPr="00A6738B">
        <w:rPr>
          <w:color w:val="000080"/>
        </w:rPr>
        <w:t xml:space="preserve">a good deal of </w:t>
      </w:r>
      <w:r w:rsidR="00FC6959" w:rsidRPr="00A6738B">
        <w:rPr>
          <w:color w:val="000080"/>
        </w:rPr>
        <w:t xml:space="preserve">reasonable doubt </w:t>
      </w:r>
      <w:r w:rsidR="0043215A" w:rsidRPr="00A6738B">
        <w:rPr>
          <w:color w:val="000080"/>
        </w:rPr>
        <w:t>in</w:t>
      </w:r>
      <w:r w:rsidR="00FC6959" w:rsidRPr="00A6738B">
        <w:rPr>
          <w:color w:val="000080"/>
        </w:rPr>
        <w:t xml:space="preserve"> the CI</w:t>
      </w:r>
      <w:r w:rsidR="0043215A" w:rsidRPr="00A6738B">
        <w:rPr>
          <w:color w:val="000080"/>
        </w:rPr>
        <w:t>’s favor</w:t>
      </w:r>
      <w:r w:rsidR="00FC6959" w:rsidRPr="00A6738B">
        <w:rPr>
          <w:color w:val="000080"/>
        </w:rPr>
        <w:t xml:space="preserve"> regarding the fitness adjudication for the right shoulder condition.  The Board, therefore, recommends that it be rated as an additionally unfitting condition.</w:t>
      </w:r>
    </w:p>
    <w:p w:rsidR="00FC6959" w:rsidRPr="00A6738B" w:rsidRDefault="00FC6959" w:rsidP="00047E9B">
      <w:pPr>
        <w:tabs>
          <w:tab w:val="left" w:pos="288"/>
          <w:tab w:val="left" w:pos="4752"/>
        </w:tabs>
        <w:spacing w:line="240" w:lineRule="exact"/>
        <w:jc w:val="both"/>
        <w:rPr>
          <w:color w:val="000080"/>
        </w:rPr>
      </w:pPr>
    </w:p>
    <w:p w:rsidR="00FC6959" w:rsidRPr="00A6738B" w:rsidRDefault="00FC6959" w:rsidP="00047E9B">
      <w:pPr>
        <w:tabs>
          <w:tab w:val="left" w:pos="288"/>
          <w:tab w:val="left" w:pos="4752"/>
        </w:tabs>
        <w:spacing w:line="240" w:lineRule="exact"/>
        <w:jc w:val="both"/>
        <w:rPr>
          <w:color w:val="000080"/>
        </w:rPr>
      </w:pPr>
      <w:r w:rsidRPr="00A6738B">
        <w:rPr>
          <w:color w:val="000080"/>
        </w:rPr>
        <w:t xml:space="preserve">The </w:t>
      </w:r>
      <w:r w:rsidR="00AE6F56" w:rsidRPr="00A6738B">
        <w:rPr>
          <w:color w:val="000080"/>
        </w:rPr>
        <w:t xml:space="preserve">Board </w:t>
      </w:r>
      <w:r w:rsidR="001538B0">
        <w:rPr>
          <w:color w:val="000080"/>
        </w:rPr>
        <w:t xml:space="preserve">now </w:t>
      </w:r>
      <w:r w:rsidR="00AE6F56" w:rsidRPr="00A6738B">
        <w:rPr>
          <w:color w:val="000080"/>
        </w:rPr>
        <w:t>directs its attention to the</w:t>
      </w:r>
      <w:r w:rsidRPr="00A6738B">
        <w:rPr>
          <w:color w:val="000080"/>
        </w:rPr>
        <w:t xml:space="preserve"> coding and rating recommendation for the </w:t>
      </w:r>
      <w:r w:rsidR="00AE6F56" w:rsidRPr="00A6738B">
        <w:rPr>
          <w:color w:val="000080"/>
        </w:rPr>
        <w:t xml:space="preserve">right </w:t>
      </w:r>
      <w:r w:rsidRPr="00A6738B">
        <w:rPr>
          <w:color w:val="000080"/>
        </w:rPr>
        <w:t xml:space="preserve">shoulder condition.  </w:t>
      </w:r>
      <w:r w:rsidR="00836616" w:rsidRPr="00A6738B">
        <w:rPr>
          <w:color w:val="000080"/>
        </w:rPr>
        <w:t>The MEB goniometric mea</w:t>
      </w:r>
      <w:r w:rsidR="00824C3F" w:rsidRPr="00A6738B">
        <w:rPr>
          <w:color w:val="000080"/>
        </w:rPr>
        <w:t>surement for active abduction was 130</w:t>
      </w:r>
      <w:r w:rsidR="00A6738B">
        <w:rPr>
          <w:rFonts w:ascii="Calibri" w:hAnsi="Calibri"/>
          <w:color w:val="000080"/>
        </w:rPr>
        <w:t>⁰</w:t>
      </w:r>
      <w:r w:rsidR="00824C3F" w:rsidRPr="00A6738B">
        <w:rPr>
          <w:color w:val="000080"/>
        </w:rPr>
        <w:t>.  The VA rating examination documented pain beginning at 150</w:t>
      </w:r>
      <w:r w:rsidR="00A6738B">
        <w:rPr>
          <w:rFonts w:ascii="Calibri" w:hAnsi="Calibri"/>
          <w:color w:val="000080"/>
        </w:rPr>
        <w:t>⁰</w:t>
      </w:r>
      <w:r w:rsidR="00824C3F" w:rsidRPr="00A6738B">
        <w:rPr>
          <w:color w:val="000080"/>
        </w:rPr>
        <w:t xml:space="preserve"> abduction.</w:t>
      </w:r>
      <w:r w:rsidR="00836616" w:rsidRPr="00A6738B">
        <w:rPr>
          <w:color w:val="000080"/>
        </w:rPr>
        <w:t xml:space="preserve"> </w:t>
      </w:r>
      <w:r w:rsidR="00824C3F" w:rsidRPr="00A6738B">
        <w:rPr>
          <w:color w:val="000080"/>
        </w:rPr>
        <w:t xml:space="preserve"> Both exams reflected impairment relative to the VASRD normal of 165</w:t>
      </w:r>
      <w:r w:rsidR="00A6738B">
        <w:rPr>
          <w:rFonts w:ascii="Calibri" w:hAnsi="Calibri"/>
          <w:color w:val="000080"/>
        </w:rPr>
        <w:t>⁰</w:t>
      </w:r>
      <w:r w:rsidR="00E74A5D" w:rsidRPr="00A6738B">
        <w:rPr>
          <w:color w:val="000080"/>
        </w:rPr>
        <w:t xml:space="preserve"> (180</w:t>
      </w:r>
      <w:r w:rsidR="00A6738B">
        <w:rPr>
          <w:rFonts w:ascii="Calibri" w:hAnsi="Calibri"/>
          <w:color w:val="000080"/>
        </w:rPr>
        <w:t>⁰</w:t>
      </w:r>
      <w:r w:rsidR="00E74A5D" w:rsidRPr="00A6738B">
        <w:rPr>
          <w:color w:val="000080"/>
        </w:rPr>
        <w:t xml:space="preserve"> is usual)</w:t>
      </w:r>
      <w:r w:rsidR="00824C3F" w:rsidRPr="00A6738B">
        <w:rPr>
          <w:color w:val="000080"/>
        </w:rPr>
        <w:t>.  Th</w:t>
      </w:r>
      <w:r w:rsidR="001538B0">
        <w:rPr>
          <w:color w:val="000080"/>
        </w:rPr>
        <w:t>e ROM wa</w:t>
      </w:r>
      <w:r w:rsidR="00824C3F" w:rsidRPr="00A6738B">
        <w:rPr>
          <w:color w:val="000080"/>
        </w:rPr>
        <w:t>s</w:t>
      </w:r>
      <w:r w:rsidR="00E74A5D" w:rsidRPr="00A6738B">
        <w:rPr>
          <w:color w:val="000080"/>
        </w:rPr>
        <w:t xml:space="preserve"> </w:t>
      </w:r>
      <w:r w:rsidR="001538B0">
        <w:rPr>
          <w:color w:val="000080"/>
        </w:rPr>
        <w:t>nevertheless</w:t>
      </w:r>
      <w:r w:rsidR="00824C3F" w:rsidRPr="00A6738B">
        <w:rPr>
          <w:color w:val="000080"/>
        </w:rPr>
        <w:t xml:space="preserve"> </w:t>
      </w:r>
      <w:r w:rsidR="00836616" w:rsidRPr="00A6738B">
        <w:rPr>
          <w:color w:val="000080"/>
        </w:rPr>
        <w:t>in excess of the compensable threshold of 90</w:t>
      </w:r>
      <w:r w:rsidR="00A6738B">
        <w:rPr>
          <w:rFonts w:ascii="Calibri" w:hAnsi="Calibri"/>
          <w:color w:val="000080"/>
        </w:rPr>
        <w:t>⁰</w:t>
      </w:r>
      <w:r w:rsidR="00836616" w:rsidRPr="00A6738B">
        <w:rPr>
          <w:color w:val="000080"/>
        </w:rPr>
        <w:t xml:space="preserve"> stipulated in the only </w:t>
      </w:r>
      <w:r w:rsidR="001538B0">
        <w:rPr>
          <w:color w:val="000080"/>
        </w:rPr>
        <w:t>shoulder</w:t>
      </w:r>
      <w:r w:rsidR="00836616" w:rsidRPr="00A6738B">
        <w:rPr>
          <w:color w:val="000080"/>
        </w:rPr>
        <w:t xml:space="preserve"> code </w:t>
      </w:r>
      <w:r w:rsidR="00824C3F" w:rsidRPr="00A6738B">
        <w:rPr>
          <w:color w:val="000080"/>
        </w:rPr>
        <w:t>based on ROM, i.e</w:t>
      </w:r>
      <w:r w:rsidR="00E74A5D" w:rsidRPr="00A6738B">
        <w:rPr>
          <w:color w:val="000080"/>
        </w:rPr>
        <w:t>.,</w:t>
      </w:r>
      <w:r w:rsidR="00824C3F" w:rsidRPr="00A6738B">
        <w:rPr>
          <w:color w:val="000080"/>
        </w:rPr>
        <w:t xml:space="preserve"> 5201 </w:t>
      </w:r>
      <w:r w:rsidR="001538B0">
        <w:rPr>
          <w:color w:val="000080"/>
        </w:rPr>
        <w:t>(minimum rating is</w:t>
      </w:r>
      <w:r w:rsidR="00824C3F" w:rsidRPr="00A6738B">
        <w:rPr>
          <w:color w:val="000080"/>
        </w:rPr>
        <w:t xml:space="preserve"> 20%</w:t>
      </w:r>
      <w:r w:rsidR="001538B0">
        <w:rPr>
          <w:color w:val="000080"/>
        </w:rPr>
        <w:t>)</w:t>
      </w:r>
      <w:r w:rsidR="00824C3F" w:rsidRPr="00A6738B">
        <w:rPr>
          <w:color w:val="000080"/>
        </w:rPr>
        <w:t xml:space="preserve">.  </w:t>
      </w:r>
      <w:r w:rsidR="00836616" w:rsidRPr="00A6738B">
        <w:rPr>
          <w:color w:val="000080"/>
        </w:rPr>
        <w:t xml:space="preserve">The VA </w:t>
      </w:r>
      <w:r w:rsidR="00836616" w:rsidRPr="00A6738B">
        <w:rPr>
          <w:color w:val="000080"/>
        </w:rPr>
        <w:lastRenderedPageBreak/>
        <w:t xml:space="preserve">applied the 5201 code and, disregarding painful motion, assigned a non-compensable rating </w:t>
      </w:r>
      <w:r w:rsidR="00E74A5D" w:rsidRPr="00A6738B">
        <w:rPr>
          <w:color w:val="000080"/>
        </w:rPr>
        <w:t>for the reported ROM</w:t>
      </w:r>
      <w:r w:rsidR="00836616" w:rsidRPr="00A6738B">
        <w:rPr>
          <w:color w:val="000080"/>
        </w:rPr>
        <w:t>.  Both the MEB exam and the VA exam documented painful motion</w:t>
      </w:r>
      <w:r w:rsidR="00E74A5D" w:rsidRPr="00A6738B">
        <w:rPr>
          <w:color w:val="000080"/>
        </w:rPr>
        <w:t>, however</w:t>
      </w:r>
      <w:r w:rsidR="00836616" w:rsidRPr="00A6738B">
        <w:rPr>
          <w:color w:val="000080"/>
        </w:rPr>
        <w:t xml:space="preserve">.  </w:t>
      </w:r>
      <w:proofErr w:type="gramStart"/>
      <w:r w:rsidR="00836616" w:rsidRPr="00A6738B">
        <w:rPr>
          <w:color w:val="000080"/>
        </w:rPr>
        <w:t xml:space="preserve">VASRD §4.59 </w:t>
      </w:r>
      <w:r w:rsidR="00E74A5D" w:rsidRPr="00A6738B">
        <w:rPr>
          <w:color w:val="000080"/>
        </w:rPr>
        <w:t>(</w:t>
      </w:r>
      <w:r w:rsidR="00DE30B7" w:rsidRPr="00A6738B">
        <w:rPr>
          <w:color w:val="000080"/>
        </w:rPr>
        <w:t>painful motion</w:t>
      </w:r>
      <w:r w:rsidR="00E74A5D" w:rsidRPr="00A6738B">
        <w:rPr>
          <w:color w:val="000080"/>
        </w:rPr>
        <w:t>)</w:t>
      </w:r>
      <w:r w:rsidR="00DE30B7" w:rsidRPr="00A6738B">
        <w:rPr>
          <w:color w:val="000080"/>
        </w:rPr>
        <w:t xml:space="preserve"> states that joints so affected are ‘entitled to at least the minimum compensable rating for the joint’.</w:t>
      </w:r>
      <w:proofErr w:type="gramEnd"/>
      <w:r w:rsidR="00DE30B7" w:rsidRPr="00A6738B">
        <w:rPr>
          <w:color w:val="000080"/>
        </w:rPr>
        <w:t xml:space="preserve">  Strict application of §4.59 to the 5201 code would result in a 20% rating</w:t>
      </w:r>
      <w:r w:rsidR="00AA2C6D">
        <w:rPr>
          <w:color w:val="000080"/>
        </w:rPr>
        <w:t>, but 5201 is not the best clinical fit for the condition</w:t>
      </w:r>
      <w:r w:rsidR="00DE30B7" w:rsidRPr="00A6738B">
        <w:rPr>
          <w:color w:val="000080"/>
        </w:rPr>
        <w:t xml:space="preserve">.  </w:t>
      </w:r>
      <w:r w:rsidR="00AA2C6D">
        <w:rPr>
          <w:color w:val="000080"/>
        </w:rPr>
        <w:t>A</w:t>
      </w:r>
      <w:r w:rsidR="00DE30B7" w:rsidRPr="00A6738B">
        <w:rPr>
          <w:color w:val="000080"/>
        </w:rPr>
        <w:t xml:space="preserve">nalogous coding to 5203 (clavicle or scapula, impairment of) </w:t>
      </w:r>
      <w:r w:rsidR="00AA2C6D">
        <w:rPr>
          <w:color w:val="000080"/>
        </w:rPr>
        <w:t xml:space="preserve">is more accurate </w:t>
      </w:r>
      <w:r w:rsidR="00DE30B7" w:rsidRPr="00A6738B">
        <w:rPr>
          <w:color w:val="000080"/>
        </w:rPr>
        <w:t xml:space="preserve">since impingement and </w:t>
      </w:r>
      <w:proofErr w:type="spellStart"/>
      <w:r w:rsidR="00DE30B7" w:rsidRPr="00A6738B">
        <w:rPr>
          <w:color w:val="000080"/>
        </w:rPr>
        <w:t>arthrosis</w:t>
      </w:r>
      <w:proofErr w:type="spellEnd"/>
      <w:r w:rsidR="00DE30B7" w:rsidRPr="00A6738B">
        <w:rPr>
          <w:color w:val="000080"/>
        </w:rPr>
        <w:t xml:space="preserve"> at the </w:t>
      </w:r>
      <w:r w:rsidR="0035310C" w:rsidRPr="00A6738B">
        <w:rPr>
          <w:color w:val="000080"/>
        </w:rPr>
        <w:t>AC</w:t>
      </w:r>
      <w:r w:rsidR="00DE30B7" w:rsidRPr="00A6738B">
        <w:rPr>
          <w:color w:val="000080"/>
        </w:rPr>
        <w:t xml:space="preserve"> joint </w:t>
      </w:r>
      <w:r w:rsidR="0035310C" w:rsidRPr="00A6738B">
        <w:rPr>
          <w:color w:val="000080"/>
        </w:rPr>
        <w:t>was the specific pathology identified in the NARSUM</w:t>
      </w:r>
      <w:r w:rsidR="000912A9" w:rsidRPr="00A6738B">
        <w:rPr>
          <w:color w:val="000080"/>
        </w:rPr>
        <w:t xml:space="preserve"> and DA </w:t>
      </w:r>
      <w:r w:rsidR="00F857D6">
        <w:rPr>
          <w:color w:val="000080"/>
        </w:rPr>
        <w:t xml:space="preserve">Form </w:t>
      </w:r>
      <w:r w:rsidR="000912A9" w:rsidRPr="00A6738B">
        <w:rPr>
          <w:color w:val="000080"/>
        </w:rPr>
        <w:t>3947</w:t>
      </w:r>
      <w:r w:rsidR="0035310C" w:rsidRPr="00A6738B">
        <w:rPr>
          <w:color w:val="000080"/>
        </w:rPr>
        <w:t xml:space="preserve">.  It should </w:t>
      </w:r>
      <w:r w:rsidR="00E74A5D" w:rsidRPr="00A6738B">
        <w:rPr>
          <w:color w:val="000080"/>
        </w:rPr>
        <w:t xml:space="preserve">also </w:t>
      </w:r>
      <w:r w:rsidR="0035310C" w:rsidRPr="00A6738B">
        <w:rPr>
          <w:color w:val="000080"/>
        </w:rPr>
        <w:t>be recalled that the surgery entailed</w:t>
      </w:r>
      <w:r w:rsidR="00DE30B7" w:rsidRPr="00A6738B">
        <w:rPr>
          <w:color w:val="000080"/>
        </w:rPr>
        <w:t xml:space="preserve"> partial resection of the </w:t>
      </w:r>
      <w:r w:rsidR="0035310C" w:rsidRPr="00A6738B">
        <w:rPr>
          <w:color w:val="000080"/>
        </w:rPr>
        <w:t xml:space="preserve">distal clavicle.  Although nonunion or </w:t>
      </w:r>
      <w:proofErr w:type="spellStart"/>
      <w:r w:rsidR="0035310C" w:rsidRPr="00A6738B">
        <w:rPr>
          <w:color w:val="000080"/>
        </w:rPr>
        <w:t>malunion</w:t>
      </w:r>
      <w:proofErr w:type="spellEnd"/>
      <w:r w:rsidR="0035310C" w:rsidRPr="00A6738B">
        <w:rPr>
          <w:color w:val="000080"/>
        </w:rPr>
        <w:t xml:space="preserve"> as specified in 5203 w</w:t>
      </w:r>
      <w:r w:rsidR="00E74A5D" w:rsidRPr="00A6738B">
        <w:rPr>
          <w:color w:val="000080"/>
        </w:rPr>
        <w:t xml:space="preserve">as not present in this case, </w:t>
      </w:r>
      <w:r w:rsidR="0035310C" w:rsidRPr="00A6738B">
        <w:rPr>
          <w:color w:val="000080"/>
        </w:rPr>
        <w:t xml:space="preserve">it is a </w:t>
      </w:r>
      <w:r w:rsidR="00AA2C6D">
        <w:rPr>
          <w:color w:val="000080"/>
        </w:rPr>
        <w:t>good match</w:t>
      </w:r>
      <w:r w:rsidR="009523D1" w:rsidRPr="00A6738B">
        <w:rPr>
          <w:color w:val="000080"/>
        </w:rPr>
        <w:t xml:space="preserve"> as an analogous code</w:t>
      </w:r>
      <w:r w:rsidR="0035310C" w:rsidRPr="00A6738B">
        <w:rPr>
          <w:color w:val="000080"/>
        </w:rPr>
        <w:t xml:space="preserve">.  The Board therefore recommends </w:t>
      </w:r>
      <w:r w:rsidR="009523D1" w:rsidRPr="00A6738B">
        <w:rPr>
          <w:color w:val="000080"/>
        </w:rPr>
        <w:t>the minimum</w:t>
      </w:r>
      <w:r w:rsidR="00EC53FC" w:rsidRPr="00A6738B">
        <w:rPr>
          <w:color w:val="000080"/>
        </w:rPr>
        <w:t xml:space="preserve"> rating under 5299-5203, i.e. 10%, </w:t>
      </w:r>
      <w:r w:rsidR="0035310C" w:rsidRPr="00A6738B">
        <w:rPr>
          <w:color w:val="000080"/>
        </w:rPr>
        <w:t xml:space="preserve">for </w:t>
      </w:r>
      <w:r w:rsidR="00EC53FC" w:rsidRPr="00A6738B">
        <w:rPr>
          <w:color w:val="000080"/>
        </w:rPr>
        <w:t xml:space="preserve">the </w:t>
      </w:r>
      <w:r w:rsidR="0035310C" w:rsidRPr="00A6738B">
        <w:rPr>
          <w:color w:val="000080"/>
        </w:rPr>
        <w:t xml:space="preserve">right shoulder condition.  </w:t>
      </w:r>
    </w:p>
    <w:p w:rsidR="0091360E" w:rsidRPr="00A6738B" w:rsidRDefault="0091360E" w:rsidP="00047E9B">
      <w:pPr>
        <w:tabs>
          <w:tab w:val="left" w:pos="288"/>
          <w:tab w:val="left" w:pos="4752"/>
        </w:tabs>
        <w:spacing w:line="240" w:lineRule="exact"/>
        <w:jc w:val="both"/>
        <w:rPr>
          <w:color w:val="000080"/>
        </w:rPr>
      </w:pPr>
    </w:p>
    <w:p w:rsidR="009523D1" w:rsidRPr="00A6738B" w:rsidRDefault="00C97A48" w:rsidP="00047E9B">
      <w:pPr>
        <w:tabs>
          <w:tab w:val="left" w:pos="288"/>
          <w:tab w:val="left" w:pos="4752"/>
        </w:tabs>
        <w:spacing w:line="240" w:lineRule="exact"/>
        <w:jc w:val="both"/>
        <w:rPr>
          <w:color w:val="000080"/>
        </w:rPr>
      </w:pPr>
      <w:proofErr w:type="gramStart"/>
      <w:r w:rsidRPr="00A6738B">
        <w:rPr>
          <w:color w:val="000080"/>
          <w:u w:val="single"/>
        </w:rPr>
        <w:t>Left Knee Condition</w:t>
      </w:r>
      <w:r w:rsidRPr="00A6738B">
        <w:rPr>
          <w:color w:val="000080"/>
        </w:rPr>
        <w:t>.</w:t>
      </w:r>
      <w:proofErr w:type="gramEnd"/>
      <w:r w:rsidRPr="00A6738B">
        <w:rPr>
          <w:color w:val="000080"/>
        </w:rPr>
        <w:t xml:space="preserve">  The</w:t>
      </w:r>
      <w:r w:rsidR="00EC53FC" w:rsidRPr="00A6738B">
        <w:rPr>
          <w:color w:val="000080"/>
        </w:rPr>
        <w:t xml:space="preserve"> left knee condition shares much in com</w:t>
      </w:r>
      <w:r w:rsidR="009523D1" w:rsidRPr="00A6738B">
        <w:rPr>
          <w:color w:val="000080"/>
        </w:rPr>
        <w:t>mon with the above discussion addressing</w:t>
      </w:r>
      <w:r w:rsidR="00EC53FC" w:rsidRPr="00A6738B">
        <w:rPr>
          <w:color w:val="000080"/>
        </w:rPr>
        <w:t xml:space="preserve"> the shoulder condition.  </w:t>
      </w:r>
      <w:r w:rsidR="00F406BA" w:rsidRPr="00A6738B">
        <w:rPr>
          <w:color w:val="000080"/>
        </w:rPr>
        <w:t xml:space="preserve">The VA </w:t>
      </w:r>
      <w:r w:rsidR="009523D1" w:rsidRPr="00A6738B">
        <w:rPr>
          <w:color w:val="000080"/>
        </w:rPr>
        <w:t>examiner dated the onset of the knee condition to 2002, noting significant</w:t>
      </w:r>
      <w:r w:rsidR="00F406BA" w:rsidRPr="00A6738B">
        <w:rPr>
          <w:color w:val="000080"/>
        </w:rPr>
        <w:t xml:space="preserve"> exacerbation in Iraq.  As with the shoulder, </w:t>
      </w:r>
      <w:r w:rsidR="00AA2C6D">
        <w:rPr>
          <w:color w:val="000080"/>
        </w:rPr>
        <w:t xml:space="preserve">the evidence does not support </w:t>
      </w:r>
      <w:r w:rsidR="00F406BA" w:rsidRPr="00A6738B">
        <w:rPr>
          <w:color w:val="000080"/>
        </w:rPr>
        <w:t xml:space="preserve">the PEB rationale that it was not unfitting because of </w:t>
      </w:r>
      <w:proofErr w:type="spellStart"/>
      <w:r w:rsidR="00F406BA" w:rsidRPr="00A6738B">
        <w:rPr>
          <w:color w:val="000080"/>
        </w:rPr>
        <w:t>chronicity</w:t>
      </w:r>
      <w:proofErr w:type="spellEnd"/>
      <w:r w:rsidR="00F406BA" w:rsidRPr="00A6738B">
        <w:rPr>
          <w:color w:val="000080"/>
        </w:rPr>
        <w:t xml:space="preserve"> and prior duty performance.  Surgery was required after deployment</w:t>
      </w:r>
      <w:r w:rsidR="00AA2C6D">
        <w:rPr>
          <w:color w:val="000080"/>
        </w:rPr>
        <w:t xml:space="preserve"> and, unlike</w:t>
      </w:r>
      <w:r w:rsidR="008A09D7" w:rsidRPr="00A6738B">
        <w:rPr>
          <w:color w:val="000080"/>
        </w:rPr>
        <w:t xml:space="preserve"> the shoulder, there was no indication tha</w:t>
      </w:r>
      <w:r w:rsidR="009523D1" w:rsidRPr="00A6738B">
        <w:rPr>
          <w:color w:val="000080"/>
        </w:rPr>
        <w:t>t it was improving afterwards</w:t>
      </w:r>
      <w:r w:rsidR="00F406BA" w:rsidRPr="00A6738B">
        <w:rPr>
          <w:color w:val="000080"/>
        </w:rPr>
        <w:t xml:space="preserve">.  As with the shoulder and neck conditions, it was a focus of the MEB and was judged to be below AR 40-501 standards.  </w:t>
      </w:r>
      <w:r w:rsidR="008A09D7" w:rsidRPr="00A6738B">
        <w:rPr>
          <w:color w:val="000080"/>
        </w:rPr>
        <w:t xml:space="preserve">A permanent L3 profile was in place based on the knee condition.  The Commander’s performance statement specifically states, ‘he is still unable to run any distance without pain and swelling in his knee’.  </w:t>
      </w:r>
      <w:r w:rsidR="00AA2C6D">
        <w:rPr>
          <w:color w:val="000080"/>
        </w:rPr>
        <w:t>T</w:t>
      </w:r>
      <w:r w:rsidR="009523D1" w:rsidRPr="00A6738B">
        <w:rPr>
          <w:color w:val="000080"/>
        </w:rPr>
        <w:t xml:space="preserve">here is </w:t>
      </w:r>
      <w:r w:rsidR="00AE6F56" w:rsidRPr="00A6738B">
        <w:rPr>
          <w:color w:val="000080"/>
        </w:rPr>
        <w:t>a surplus of</w:t>
      </w:r>
      <w:r w:rsidR="009523D1" w:rsidRPr="00A6738B">
        <w:rPr>
          <w:color w:val="000080"/>
        </w:rPr>
        <w:t xml:space="preserve"> </w:t>
      </w:r>
      <w:r w:rsidR="00AE6F56" w:rsidRPr="00A6738B">
        <w:rPr>
          <w:color w:val="000080"/>
        </w:rPr>
        <w:t xml:space="preserve">evidence suggesting that the knee condition interfered significantly with MOS performance.  </w:t>
      </w:r>
      <w:r w:rsidR="009523D1" w:rsidRPr="00A6738B">
        <w:rPr>
          <w:color w:val="000080"/>
        </w:rPr>
        <w:t>The Board, therefore, recommends that it be rated as an additionally unfitting condition.</w:t>
      </w:r>
    </w:p>
    <w:p w:rsidR="00AE6F56" w:rsidRPr="00A6738B" w:rsidRDefault="00AE6F56" w:rsidP="00047E9B">
      <w:pPr>
        <w:tabs>
          <w:tab w:val="left" w:pos="288"/>
          <w:tab w:val="left" w:pos="4752"/>
        </w:tabs>
        <w:spacing w:line="240" w:lineRule="exact"/>
        <w:jc w:val="both"/>
        <w:rPr>
          <w:color w:val="000080"/>
        </w:rPr>
      </w:pPr>
    </w:p>
    <w:p w:rsidR="008D4564" w:rsidRPr="00A6738B" w:rsidRDefault="00AE6F56" w:rsidP="00047E9B">
      <w:pPr>
        <w:tabs>
          <w:tab w:val="left" w:pos="288"/>
          <w:tab w:val="left" w:pos="4752"/>
        </w:tabs>
        <w:spacing w:line="240" w:lineRule="exact"/>
        <w:jc w:val="both"/>
        <w:rPr>
          <w:color w:val="000080"/>
        </w:rPr>
      </w:pPr>
      <w:r w:rsidRPr="00A6738B">
        <w:rPr>
          <w:color w:val="000080"/>
        </w:rPr>
        <w:t xml:space="preserve">The </w:t>
      </w:r>
      <w:r w:rsidR="000F268A" w:rsidRPr="00A6738B">
        <w:rPr>
          <w:color w:val="000080"/>
        </w:rPr>
        <w:t xml:space="preserve">Board </w:t>
      </w:r>
      <w:r w:rsidR="003810E6">
        <w:rPr>
          <w:color w:val="000080"/>
        </w:rPr>
        <w:t xml:space="preserve">now </w:t>
      </w:r>
      <w:r w:rsidR="000F268A" w:rsidRPr="00A6738B">
        <w:rPr>
          <w:color w:val="000080"/>
        </w:rPr>
        <w:t>directs its attention to the</w:t>
      </w:r>
      <w:r w:rsidRPr="00A6738B">
        <w:rPr>
          <w:color w:val="000080"/>
        </w:rPr>
        <w:t xml:space="preserve"> coding and rating recommendation for the left knee condition.  </w:t>
      </w:r>
      <w:r w:rsidR="008D4564" w:rsidRPr="00A6738B">
        <w:rPr>
          <w:color w:val="000080"/>
        </w:rPr>
        <w:t xml:space="preserve">Although there was no compensable ROM impairment for the knee, there was documented painful motion in the MEB and VA exams.  The VA coded the knee as osteoarthritis rated as 5257 for </w:t>
      </w:r>
      <w:proofErr w:type="spellStart"/>
      <w:r w:rsidR="008D4564" w:rsidRPr="00A6738B">
        <w:rPr>
          <w:color w:val="000080"/>
        </w:rPr>
        <w:t>subluxation</w:t>
      </w:r>
      <w:proofErr w:type="spellEnd"/>
      <w:r w:rsidR="008D4564" w:rsidRPr="00A6738B">
        <w:rPr>
          <w:color w:val="000080"/>
        </w:rPr>
        <w:t xml:space="preserve"> or instability (of which there was none).  </w:t>
      </w:r>
      <w:r w:rsidR="00863698" w:rsidRPr="00A6738B">
        <w:rPr>
          <w:color w:val="000080"/>
        </w:rPr>
        <w:t xml:space="preserve">More clinically specific coding is reflected under 5259 for surgical residuals of cartilage removal.  This is the pathology and surgery described </w:t>
      </w:r>
      <w:r w:rsidR="000912A9" w:rsidRPr="00A6738B">
        <w:rPr>
          <w:color w:val="000080"/>
        </w:rPr>
        <w:t>in the</w:t>
      </w:r>
      <w:r w:rsidR="00863698" w:rsidRPr="00A6738B">
        <w:rPr>
          <w:color w:val="000080"/>
        </w:rPr>
        <w:t xml:space="preserve"> NARSUM</w:t>
      </w:r>
      <w:r w:rsidR="000912A9" w:rsidRPr="00A6738B">
        <w:rPr>
          <w:color w:val="000080"/>
        </w:rPr>
        <w:t xml:space="preserve"> and the DA </w:t>
      </w:r>
      <w:r w:rsidR="00F857D6">
        <w:rPr>
          <w:color w:val="000080"/>
        </w:rPr>
        <w:t xml:space="preserve">Form </w:t>
      </w:r>
      <w:r w:rsidR="000912A9" w:rsidRPr="00A6738B">
        <w:rPr>
          <w:color w:val="000080"/>
        </w:rPr>
        <w:t>3947</w:t>
      </w:r>
      <w:r w:rsidR="00863698" w:rsidRPr="00A6738B">
        <w:rPr>
          <w:color w:val="000080"/>
        </w:rPr>
        <w:t>.  5259 specifies a singular rating of 10%</w:t>
      </w:r>
      <w:r w:rsidR="003810E6">
        <w:rPr>
          <w:color w:val="000080"/>
        </w:rPr>
        <w:t>, which is t</w:t>
      </w:r>
      <w:r w:rsidR="00863698" w:rsidRPr="00A6738B">
        <w:rPr>
          <w:color w:val="000080"/>
        </w:rPr>
        <w:t>he Board</w:t>
      </w:r>
      <w:r w:rsidR="003810E6">
        <w:rPr>
          <w:color w:val="000080"/>
        </w:rPr>
        <w:t>’s recommendation</w:t>
      </w:r>
      <w:r w:rsidR="00863698" w:rsidRPr="00A6738B">
        <w:rPr>
          <w:color w:val="000080"/>
        </w:rPr>
        <w:t>.</w:t>
      </w:r>
    </w:p>
    <w:p w:rsidR="00C97A48" w:rsidRPr="00A6738B" w:rsidRDefault="00C97A48" w:rsidP="00047E9B">
      <w:pPr>
        <w:tabs>
          <w:tab w:val="left" w:pos="288"/>
          <w:tab w:val="left" w:pos="4752"/>
        </w:tabs>
        <w:spacing w:line="240" w:lineRule="exact"/>
        <w:jc w:val="both"/>
        <w:rPr>
          <w:color w:val="000080"/>
        </w:rPr>
      </w:pPr>
    </w:p>
    <w:p w:rsidR="00C97A48" w:rsidRPr="00A6738B" w:rsidRDefault="00C97A48" w:rsidP="00047E9B">
      <w:pPr>
        <w:tabs>
          <w:tab w:val="left" w:pos="288"/>
          <w:tab w:val="left" w:pos="4752"/>
        </w:tabs>
        <w:spacing w:line="240" w:lineRule="exact"/>
        <w:jc w:val="both"/>
        <w:rPr>
          <w:color w:val="000080"/>
        </w:rPr>
      </w:pPr>
      <w:proofErr w:type="gramStart"/>
      <w:r w:rsidRPr="00A6738B">
        <w:rPr>
          <w:color w:val="000080"/>
          <w:u w:val="single"/>
        </w:rPr>
        <w:t>Psychiatric Conditions</w:t>
      </w:r>
      <w:r w:rsidRPr="00A6738B">
        <w:rPr>
          <w:color w:val="000080"/>
        </w:rPr>
        <w:t>.</w:t>
      </w:r>
      <w:proofErr w:type="gramEnd"/>
      <w:r w:rsidRPr="00A6738B">
        <w:rPr>
          <w:color w:val="000080"/>
        </w:rPr>
        <w:t xml:space="preserve">  The</w:t>
      </w:r>
      <w:r w:rsidR="005F5AFF" w:rsidRPr="00A6738B">
        <w:rPr>
          <w:color w:val="000080"/>
        </w:rPr>
        <w:t xml:space="preserve"> Board’s primary consideration regard</w:t>
      </w:r>
      <w:r w:rsidR="00C671AD" w:rsidRPr="00A6738B">
        <w:rPr>
          <w:color w:val="000080"/>
        </w:rPr>
        <w:t xml:space="preserve">ing </w:t>
      </w:r>
      <w:r w:rsidR="005F5AFF" w:rsidRPr="00A6738B">
        <w:rPr>
          <w:color w:val="000080"/>
        </w:rPr>
        <w:t xml:space="preserve">the psychiatric conditions is the PEB’s determination that </w:t>
      </w:r>
      <w:r w:rsidR="00C671AD" w:rsidRPr="00A6738B">
        <w:rPr>
          <w:color w:val="000080"/>
        </w:rPr>
        <w:t xml:space="preserve">they did not ‘independently, or combined, render the Soldier unfit for his assigned duties.’  The CI </w:t>
      </w:r>
      <w:r w:rsidR="00E00314" w:rsidRPr="00A6738B">
        <w:rPr>
          <w:color w:val="000080"/>
        </w:rPr>
        <w:t>had</w:t>
      </w:r>
      <w:r w:rsidR="00C671AD" w:rsidRPr="00A6738B">
        <w:rPr>
          <w:color w:val="000080"/>
        </w:rPr>
        <w:t xml:space="preserve"> a history </w:t>
      </w:r>
      <w:r w:rsidR="0077237E" w:rsidRPr="00A6738B">
        <w:rPr>
          <w:color w:val="000080"/>
        </w:rPr>
        <w:t xml:space="preserve">of </w:t>
      </w:r>
      <w:r w:rsidR="00D4422B" w:rsidRPr="00A6738B">
        <w:rPr>
          <w:color w:val="000080"/>
        </w:rPr>
        <w:t xml:space="preserve">outpatient psychiatric treatment </w:t>
      </w:r>
      <w:r w:rsidR="0077237E" w:rsidRPr="00A6738B">
        <w:rPr>
          <w:color w:val="000080"/>
        </w:rPr>
        <w:t xml:space="preserve">in </w:t>
      </w:r>
      <w:r w:rsidR="00D4422B" w:rsidRPr="00A6738B">
        <w:rPr>
          <w:color w:val="000080"/>
        </w:rPr>
        <w:t>1999</w:t>
      </w:r>
      <w:r w:rsidR="003810E6">
        <w:rPr>
          <w:color w:val="000080"/>
        </w:rPr>
        <w:t xml:space="preserve"> and s</w:t>
      </w:r>
      <w:r w:rsidR="00E00314" w:rsidRPr="00A6738B">
        <w:rPr>
          <w:color w:val="000080"/>
        </w:rPr>
        <w:t xml:space="preserve">ome of his </w:t>
      </w:r>
      <w:r w:rsidR="003810E6">
        <w:rPr>
          <w:color w:val="000080"/>
        </w:rPr>
        <w:t xml:space="preserve">documented </w:t>
      </w:r>
      <w:r w:rsidR="00C671AD" w:rsidRPr="00A6738B">
        <w:rPr>
          <w:color w:val="000080"/>
        </w:rPr>
        <w:t>PTSD stressors were derived from experiences</w:t>
      </w:r>
      <w:r w:rsidR="00E00314" w:rsidRPr="00A6738B">
        <w:rPr>
          <w:color w:val="000080"/>
        </w:rPr>
        <w:t xml:space="preserve"> </w:t>
      </w:r>
      <w:r w:rsidR="008023FD" w:rsidRPr="00A6738B">
        <w:rPr>
          <w:color w:val="000080"/>
        </w:rPr>
        <w:t>before deployment</w:t>
      </w:r>
      <w:r w:rsidR="003810E6">
        <w:rPr>
          <w:color w:val="000080"/>
        </w:rPr>
        <w:t>.</w:t>
      </w:r>
      <w:r w:rsidR="00D4422B" w:rsidRPr="00A6738B">
        <w:rPr>
          <w:color w:val="000080"/>
        </w:rPr>
        <w:t xml:space="preserve"> </w:t>
      </w:r>
      <w:r w:rsidR="008023FD" w:rsidRPr="00A6738B">
        <w:rPr>
          <w:color w:val="000080"/>
        </w:rPr>
        <w:t xml:space="preserve">He developed sleep disturbance and </w:t>
      </w:r>
      <w:r w:rsidR="005A50A9" w:rsidRPr="00A6738B">
        <w:rPr>
          <w:color w:val="000080"/>
        </w:rPr>
        <w:t xml:space="preserve">mood </w:t>
      </w:r>
      <w:proofErr w:type="spellStart"/>
      <w:r w:rsidR="005A50A9" w:rsidRPr="0056214C">
        <w:rPr>
          <w:color w:val="000080"/>
        </w:rPr>
        <w:t>lability</w:t>
      </w:r>
      <w:proofErr w:type="spellEnd"/>
      <w:r w:rsidR="008023FD" w:rsidRPr="00A6738B">
        <w:rPr>
          <w:color w:val="000080"/>
        </w:rPr>
        <w:t xml:space="preserve"> </w:t>
      </w:r>
      <w:r w:rsidR="008023FD" w:rsidRPr="00A6738B">
        <w:rPr>
          <w:color w:val="000080"/>
        </w:rPr>
        <w:lastRenderedPageBreak/>
        <w:t>during deployment</w:t>
      </w:r>
      <w:r w:rsidR="003810E6">
        <w:rPr>
          <w:color w:val="000080"/>
        </w:rPr>
        <w:t xml:space="preserve"> </w:t>
      </w:r>
      <w:r w:rsidR="003810E6" w:rsidRPr="00A6738B">
        <w:rPr>
          <w:color w:val="000080"/>
        </w:rPr>
        <w:t xml:space="preserve">and </w:t>
      </w:r>
      <w:r w:rsidR="003810E6">
        <w:rPr>
          <w:color w:val="000080"/>
        </w:rPr>
        <w:t xml:space="preserve">much of his stress was </w:t>
      </w:r>
      <w:r w:rsidR="003810E6" w:rsidRPr="00A6738B">
        <w:rPr>
          <w:color w:val="000080"/>
        </w:rPr>
        <w:t>associated with military administrative events rather than combat experiences</w:t>
      </w:r>
      <w:r w:rsidR="003810E6">
        <w:rPr>
          <w:color w:val="000080"/>
        </w:rPr>
        <w:t xml:space="preserve">.  </w:t>
      </w:r>
      <w:r w:rsidR="005A50A9" w:rsidRPr="00A6738B">
        <w:rPr>
          <w:color w:val="000080"/>
        </w:rPr>
        <w:t xml:space="preserve">On his post-deployment health assessment, he responded affirmatively to several PTSD-related questions but denied direct combat or witnessing dead or wounded casualties.   </w:t>
      </w:r>
      <w:r w:rsidR="00E00314" w:rsidRPr="00A6738B">
        <w:rPr>
          <w:color w:val="000080"/>
        </w:rPr>
        <w:t xml:space="preserve">As noted in the summary, he had mixed Axis I diagnoses rather than primary PTSD.  He participated in outpatient Behavioral Health groups and psychotherapy, and was </w:t>
      </w:r>
      <w:r w:rsidR="005A50A9" w:rsidRPr="00A6738B">
        <w:rPr>
          <w:color w:val="000080"/>
        </w:rPr>
        <w:t xml:space="preserve">prescribed three psychoactive medications at the time of separation.  There were no psychiatric admissions or episodes of psychosis.  There was a history of suicidal ideation, but no active plans or attempts (notwithstanding a reported event of holding an unloaded gun to his </w:t>
      </w:r>
      <w:r w:rsidR="00D4422B" w:rsidRPr="00A6738B">
        <w:rPr>
          <w:color w:val="000080"/>
        </w:rPr>
        <w:t>head</w:t>
      </w:r>
      <w:r w:rsidR="005A50A9" w:rsidRPr="00A6738B">
        <w:rPr>
          <w:color w:val="000080"/>
        </w:rPr>
        <w:t xml:space="preserve"> after a </w:t>
      </w:r>
      <w:r w:rsidR="00D4422B" w:rsidRPr="00A6738B">
        <w:rPr>
          <w:color w:val="000080"/>
        </w:rPr>
        <w:t>personal stressor</w:t>
      </w:r>
      <w:r w:rsidR="005A50A9" w:rsidRPr="00A6738B">
        <w:rPr>
          <w:color w:val="000080"/>
        </w:rPr>
        <w:t xml:space="preserve">).  </w:t>
      </w:r>
      <w:r w:rsidR="000F3232" w:rsidRPr="00A6738B">
        <w:rPr>
          <w:color w:val="000080"/>
        </w:rPr>
        <w:t xml:space="preserve">The MEB psychiatrist documented a normal mental status examination except for the statement, ‘His mood has been typically irritated or calm, and he has tended to display a broad range of affect and has been tearful and angry at times.’  The VA psychiatric rating examination documented a normal mental status without </w:t>
      </w:r>
      <w:r w:rsidR="002B5C1C" w:rsidRPr="00A6738B">
        <w:rPr>
          <w:color w:val="000080"/>
        </w:rPr>
        <w:t xml:space="preserve">the mood caveat.  </w:t>
      </w:r>
    </w:p>
    <w:p w:rsidR="00194DA7" w:rsidRPr="00A6738B" w:rsidRDefault="00194DA7" w:rsidP="00047E9B">
      <w:pPr>
        <w:tabs>
          <w:tab w:val="left" w:pos="288"/>
          <w:tab w:val="left" w:pos="4752"/>
        </w:tabs>
        <w:spacing w:line="240" w:lineRule="exact"/>
        <w:jc w:val="both"/>
        <w:rPr>
          <w:color w:val="000080"/>
        </w:rPr>
      </w:pPr>
    </w:p>
    <w:p w:rsidR="00DA3575" w:rsidRPr="00A6738B" w:rsidRDefault="00194DA7" w:rsidP="00047E9B">
      <w:pPr>
        <w:tabs>
          <w:tab w:val="left" w:pos="288"/>
          <w:tab w:val="left" w:pos="4752"/>
        </w:tabs>
        <w:spacing w:line="240" w:lineRule="exact"/>
        <w:jc w:val="both"/>
        <w:rPr>
          <w:color w:val="000080"/>
        </w:rPr>
      </w:pPr>
      <w:r w:rsidRPr="00A6738B">
        <w:rPr>
          <w:color w:val="000080"/>
        </w:rPr>
        <w:t xml:space="preserve">As rationale for the </w:t>
      </w:r>
      <w:r w:rsidR="004B1D7A" w:rsidRPr="00A6738B">
        <w:rPr>
          <w:color w:val="000080"/>
        </w:rPr>
        <w:t>fitness</w:t>
      </w:r>
      <w:r w:rsidRPr="00A6738B">
        <w:rPr>
          <w:color w:val="000080"/>
        </w:rPr>
        <w:t xml:space="preserve"> adjudication of the psychiatric conditions, the DA </w:t>
      </w:r>
      <w:r w:rsidR="00F857D6">
        <w:rPr>
          <w:color w:val="000080"/>
        </w:rPr>
        <w:t xml:space="preserve">Form </w:t>
      </w:r>
      <w:r w:rsidRPr="00A6738B">
        <w:rPr>
          <w:color w:val="000080"/>
        </w:rPr>
        <w:t xml:space="preserve">199 states, ‘all meet medical retention standards, are not listed on the Physical Profile as limiting any of the Soldier's functional activities, are not commented upon by the commander as hindering the Soldier's performance, and the case file contains no evidence that these </w:t>
      </w:r>
      <w:proofErr w:type="spellStart"/>
      <w:proofErr w:type="gramStart"/>
      <w:r w:rsidRPr="00A6738B">
        <w:rPr>
          <w:color w:val="000080"/>
        </w:rPr>
        <w:t>Dx</w:t>
      </w:r>
      <w:proofErr w:type="spellEnd"/>
      <w:r w:rsidRPr="00A6738B">
        <w:rPr>
          <w:color w:val="000080"/>
        </w:rPr>
        <w:t>(</w:t>
      </w:r>
      <w:proofErr w:type="spellStart"/>
      <w:proofErr w:type="gramEnd"/>
      <w:r w:rsidRPr="00A6738B">
        <w:rPr>
          <w:color w:val="000080"/>
        </w:rPr>
        <w:t>es</w:t>
      </w:r>
      <w:proofErr w:type="spellEnd"/>
      <w:r w:rsidRPr="00A6738B">
        <w:rPr>
          <w:color w:val="000080"/>
        </w:rPr>
        <w:t xml:space="preserve">) independently; or combined, render the Soldier unfit for his assigned duties.’  Each </w:t>
      </w:r>
      <w:r w:rsidR="004B1D7A" w:rsidRPr="00A6738B">
        <w:rPr>
          <w:color w:val="000080"/>
        </w:rPr>
        <w:t xml:space="preserve">of these </w:t>
      </w:r>
      <w:r w:rsidRPr="00A6738B">
        <w:rPr>
          <w:color w:val="000080"/>
        </w:rPr>
        <w:t>point</w:t>
      </w:r>
      <w:r w:rsidR="004B1D7A" w:rsidRPr="00A6738B">
        <w:rPr>
          <w:color w:val="000080"/>
        </w:rPr>
        <w:t>s</w:t>
      </w:r>
      <w:r w:rsidRPr="00A6738B">
        <w:rPr>
          <w:color w:val="000080"/>
        </w:rPr>
        <w:t xml:space="preserve"> </w:t>
      </w:r>
      <w:r w:rsidR="00720D41">
        <w:rPr>
          <w:color w:val="000080"/>
        </w:rPr>
        <w:t>is supported</w:t>
      </w:r>
      <w:r w:rsidRPr="00A6738B">
        <w:rPr>
          <w:color w:val="000080"/>
        </w:rPr>
        <w:t xml:space="preserve"> by the </w:t>
      </w:r>
      <w:r w:rsidR="00720D41">
        <w:rPr>
          <w:color w:val="000080"/>
        </w:rPr>
        <w:t>evidence</w:t>
      </w:r>
      <w:r w:rsidRPr="00A6738B">
        <w:rPr>
          <w:color w:val="000080"/>
        </w:rPr>
        <w:t>.  The psychiatric addendum to the NARSUM unequivocally opined that there was no significant psychiatric impairment to military duty.</w:t>
      </w:r>
      <w:r w:rsidR="00B74045" w:rsidRPr="00A6738B">
        <w:rPr>
          <w:color w:val="000080"/>
        </w:rPr>
        <w:t xml:space="preserve">  The fol</w:t>
      </w:r>
      <w:r w:rsidR="00A6738B">
        <w:rPr>
          <w:color w:val="000080"/>
        </w:rPr>
        <w:t>lowing comments are included, ‘...</w:t>
      </w:r>
      <w:r w:rsidR="00B74045" w:rsidRPr="00A6738B">
        <w:rPr>
          <w:color w:val="000080"/>
        </w:rPr>
        <w:t xml:space="preserve"> is able to perform the duties of his MOS and to generally function as a soldier to full capacity </w:t>
      </w:r>
      <w:r w:rsidR="00A6738B">
        <w:rPr>
          <w:color w:val="000080"/>
        </w:rPr>
        <w:t>...</w:t>
      </w:r>
      <w:r w:rsidR="00B74045" w:rsidRPr="00A6738B">
        <w:rPr>
          <w:color w:val="000080"/>
        </w:rPr>
        <w:t xml:space="preserve"> currently meets psychiatric retention standards </w:t>
      </w:r>
      <w:r w:rsidR="00A6738B">
        <w:rPr>
          <w:color w:val="000080"/>
        </w:rPr>
        <w:t>...</w:t>
      </w:r>
      <w:r w:rsidR="00B74045" w:rsidRPr="00A6738B">
        <w:rPr>
          <w:color w:val="000080"/>
        </w:rPr>
        <w:t xml:space="preserve"> does have full psychiatric capacity for worldwide deployment’.  The physical profile was </w:t>
      </w:r>
      <w:r w:rsidR="00922B86" w:rsidRPr="00A6738B">
        <w:rPr>
          <w:color w:val="000080"/>
        </w:rPr>
        <w:t xml:space="preserve">S1.  Although the MEB physical form DD 2808 noted an S3, no such profile </w:t>
      </w:r>
      <w:r w:rsidR="00B74045" w:rsidRPr="00A6738B">
        <w:rPr>
          <w:color w:val="000080"/>
        </w:rPr>
        <w:t>was issued</w:t>
      </w:r>
      <w:r w:rsidR="00922B86" w:rsidRPr="00A6738B">
        <w:rPr>
          <w:color w:val="000080"/>
        </w:rPr>
        <w:t xml:space="preserve"> (including one subsequent to the MEB exam).  Although the Commander’s statement included a comment that the CI’s ‘physical and mental health challenges prevent him from being able to contribute to mission accomplishment on a constant basis’, all of the specific limitations she mentioned were physical ones.  The statement also included the observation that he stood watch as Staff Duty NCO and all of his evaluations noted </w:t>
      </w:r>
      <w:r w:rsidR="000F3232" w:rsidRPr="00A6738B">
        <w:rPr>
          <w:color w:val="000080"/>
        </w:rPr>
        <w:t xml:space="preserve">strong leadership and administrative skills.  The VA rating examination </w:t>
      </w:r>
      <w:r w:rsidR="004B1D7A" w:rsidRPr="00A6738B">
        <w:rPr>
          <w:color w:val="000080"/>
        </w:rPr>
        <w:t>stated</w:t>
      </w:r>
      <w:r w:rsidR="000F3232" w:rsidRPr="00A6738B">
        <w:rPr>
          <w:color w:val="000080"/>
        </w:rPr>
        <w:t xml:space="preserve"> that </w:t>
      </w:r>
      <w:r w:rsidR="00A6738B" w:rsidRPr="00A6738B">
        <w:rPr>
          <w:color w:val="000080"/>
        </w:rPr>
        <w:t>he</w:t>
      </w:r>
      <w:r w:rsidR="000F3232" w:rsidRPr="00A6738B">
        <w:rPr>
          <w:color w:val="000080"/>
        </w:rPr>
        <w:t xml:space="preserve"> was employed as a boiler operator since 2002.  </w:t>
      </w:r>
      <w:r w:rsidR="00A6738B" w:rsidRPr="00A6738B">
        <w:rPr>
          <w:color w:val="000080"/>
        </w:rPr>
        <w:t xml:space="preserve">The CI remained well-motivated and performed to the level of his physical ability throughout the MEB period.  </w:t>
      </w:r>
      <w:r w:rsidR="002B5C1C" w:rsidRPr="00A6738B">
        <w:rPr>
          <w:color w:val="000080"/>
        </w:rPr>
        <w:t xml:space="preserve">There are numerous outpatient Behavioral Health notes in evidence, and none that document any significant psychiatric acuity </w:t>
      </w:r>
      <w:r w:rsidR="004B1D7A" w:rsidRPr="00A6738B">
        <w:rPr>
          <w:color w:val="000080"/>
        </w:rPr>
        <w:t>or</w:t>
      </w:r>
      <w:r w:rsidR="002B5C1C" w:rsidRPr="00A6738B">
        <w:rPr>
          <w:color w:val="000080"/>
        </w:rPr>
        <w:t xml:space="preserve"> impairment.  </w:t>
      </w:r>
    </w:p>
    <w:p w:rsidR="00DA3575" w:rsidRPr="00A6738B" w:rsidRDefault="00DA3575" w:rsidP="00047E9B">
      <w:pPr>
        <w:tabs>
          <w:tab w:val="left" w:pos="288"/>
          <w:tab w:val="left" w:pos="4752"/>
        </w:tabs>
        <w:spacing w:line="240" w:lineRule="exact"/>
        <w:jc w:val="both"/>
        <w:rPr>
          <w:color w:val="000080"/>
        </w:rPr>
      </w:pPr>
    </w:p>
    <w:p w:rsidR="00741BF6" w:rsidRPr="00A6738B" w:rsidRDefault="002B5C1C" w:rsidP="00047E9B">
      <w:pPr>
        <w:tabs>
          <w:tab w:val="left" w:pos="288"/>
          <w:tab w:val="left" w:pos="4752"/>
        </w:tabs>
        <w:spacing w:line="240" w:lineRule="exact"/>
        <w:jc w:val="both"/>
        <w:rPr>
          <w:color w:val="000080"/>
        </w:rPr>
      </w:pPr>
      <w:r w:rsidRPr="00A6738B">
        <w:rPr>
          <w:color w:val="000080"/>
        </w:rPr>
        <w:t xml:space="preserve">It is noted that the CI was rated 70% for PTSD by the VA referencing a rating examination performed six months after separation.  </w:t>
      </w:r>
      <w:r w:rsidR="00DA3575" w:rsidRPr="00A6738B">
        <w:rPr>
          <w:color w:val="000080"/>
        </w:rPr>
        <w:t>The VA rating was cited by the CI’s counsel (correspondence to AB</w:t>
      </w:r>
      <w:r w:rsidR="00F857D6">
        <w:rPr>
          <w:color w:val="000080"/>
        </w:rPr>
        <w:t>CM</w:t>
      </w:r>
      <w:r w:rsidR="00DA3575" w:rsidRPr="00A6738B">
        <w:rPr>
          <w:color w:val="000080"/>
        </w:rPr>
        <w:t xml:space="preserve">R of 20081103) as evidence that the </w:t>
      </w:r>
      <w:r w:rsidR="00DA3575" w:rsidRPr="00A6738B">
        <w:rPr>
          <w:color w:val="000080"/>
        </w:rPr>
        <w:lastRenderedPageBreak/>
        <w:t xml:space="preserve">condition ‘could not have been medically acceptable at the date of separation’.  </w:t>
      </w:r>
      <w:r w:rsidRPr="00A6738B">
        <w:rPr>
          <w:color w:val="000080"/>
        </w:rPr>
        <w:t xml:space="preserve">There is </w:t>
      </w:r>
      <w:r w:rsidR="004B1D7A" w:rsidRPr="00A6738B">
        <w:rPr>
          <w:color w:val="000080"/>
        </w:rPr>
        <w:t>no documentation by the VA rating psychiatrist</w:t>
      </w:r>
      <w:r w:rsidRPr="00A6738B">
        <w:rPr>
          <w:color w:val="000080"/>
        </w:rPr>
        <w:t xml:space="preserve">, however, that supports a §4.130 rating of 70%.  As stated above, the exam noted a normal mental status examination and the CI remained </w:t>
      </w:r>
      <w:r w:rsidR="00DA3575" w:rsidRPr="00A6738B">
        <w:rPr>
          <w:color w:val="000080"/>
        </w:rPr>
        <w:t>fully employed.  The VA psychiatrist opined ‘moderate severity’ for PTSD.</w:t>
      </w:r>
      <w:r w:rsidR="00741BF6" w:rsidRPr="00A6738B">
        <w:rPr>
          <w:color w:val="000080"/>
        </w:rPr>
        <w:t xml:space="preserve">  This notwithstanding, the Board cannot find any convincing argument supporting an opinion that any of the psychiatric conditions had risen to the level of an unfitting impairment at the time of separation.  All evidence considered</w:t>
      </w:r>
      <w:proofErr w:type="gramStart"/>
      <w:r w:rsidR="00741BF6" w:rsidRPr="00A6738B">
        <w:rPr>
          <w:color w:val="000080"/>
        </w:rPr>
        <w:t>,</w:t>
      </w:r>
      <w:proofErr w:type="gramEnd"/>
      <w:r w:rsidR="00741BF6" w:rsidRPr="00A6738B">
        <w:rPr>
          <w:color w:val="000080"/>
        </w:rPr>
        <w:t xml:space="preserve"> there is not reasonable doubt in the CI’s favor supporting </w:t>
      </w:r>
      <w:proofErr w:type="spellStart"/>
      <w:r w:rsidR="00741BF6" w:rsidRPr="00A6738B">
        <w:rPr>
          <w:color w:val="000080"/>
        </w:rPr>
        <w:t>recharacterization</w:t>
      </w:r>
      <w:proofErr w:type="spellEnd"/>
      <w:r w:rsidR="00741BF6" w:rsidRPr="00A6738B">
        <w:rPr>
          <w:color w:val="000080"/>
        </w:rPr>
        <w:t xml:space="preserve"> of the PEB fitness adjudication for the psychiatric condition.</w:t>
      </w:r>
    </w:p>
    <w:p w:rsidR="000F268A" w:rsidRPr="00A6738B" w:rsidRDefault="000F268A" w:rsidP="00047E9B">
      <w:pPr>
        <w:tabs>
          <w:tab w:val="left" w:pos="288"/>
          <w:tab w:val="left" w:pos="4752"/>
        </w:tabs>
        <w:spacing w:line="240" w:lineRule="exact"/>
        <w:jc w:val="both"/>
        <w:rPr>
          <w:color w:val="000080"/>
        </w:rPr>
      </w:pPr>
    </w:p>
    <w:p w:rsidR="00C97A48" w:rsidRPr="00A6738B" w:rsidRDefault="003A13C0" w:rsidP="00047E9B">
      <w:pPr>
        <w:tabs>
          <w:tab w:val="left" w:pos="288"/>
          <w:tab w:val="left" w:pos="4752"/>
        </w:tabs>
        <w:spacing w:line="240" w:lineRule="exact"/>
        <w:jc w:val="both"/>
        <w:rPr>
          <w:color w:val="000080"/>
        </w:rPr>
      </w:pPr>
      <w:proofErr w:type="gramStart"/>
      <w:r w:rsidRPr="00A6738B">
        <w:rPr>
          <w:color w:val="000080"/>
          <w:u w:val="single"/>
        </w:rPr>
        <w:t xml:space="preserve">Other DA </w:t>
      </w:r>
      <w:r w:rsidR="00F857D6">
        <w:rPr>
          <w:color w:val="000080"/>
          <w:u w:val="single"/>
        </w:rPr>
        <w:t xml:space="preserve">Form </w:t>
      </w:r>
      <w:r w:rsidRPr="00A6738B">
        <w:rPr>
          <w:color w:val="000080"/>
          <w:u w:val="single"/>
        </w:rPr>
        <w:t>3947 Conditions (</w:t>
      </w:r>
      <w:r w:rsidR="00633F78" w:rsidRPr="00A6738B">
        <w:rPr>
          <w:color w:val="000080"/>
          <w:u w:val="single"/>
        </w:rPr>
        <w:t>DM</w:t>
      </w:r>
      <w:r w:rsidR="00C97A48" w:rsidRPr="00A6738B">
        <w:rPr>
          <w:color w:val="000080"/>
          <w:u w:val="single"/>
        </w:rPr>
        <w:t xml:space="preserve">, </w:t>
      </w:r>
      <w:r w:rsidR="00C64CB6" w:rsidRPr="00A6738B">
        <w:rPr>
          <w:color w:val="000080"/>
          <w:u w:val="single"/>
        </w:rPr>
        <w:t>I</w:t>
      </w:r>
      <w:r w:rsidRPr="00A6738B">
        <w:rPr>
          <w:color w:val="000080"/>
          <w:u w:val="single"/>
        </w:rPr>
        <w:t xml:space="preserve">BS, </w:t>
      </w:r>
      <w:r w:rsidR="00C64CB6" w:rsidRPr="00A6738B">
        <w:rPr>
          <w:color w:val="000080"/>
          <w:u w:val="single"/>
        </w:rPr>
        <w:t>OSA</w:t>
      </w:r>
      <w:r w:rsidRPr="00A6738B">
        <w:rPr>
          <w:color w:val="000080"/>
          <w:u w:val="single"/>
        </w:rPr>
        <w:t>)</w:t>
      </w:r>
      <w:r w:rsidR="00C97A48" w:rsidRPr="00A6738B">
        <w:rPr>
          <w:color w:val="000080"/>
        </w:rPr>
        <w:t>.</w:t>
      </w:r>
      <w:proofErr w:type="gramEnd"/>
      <w:r w:rsidR="00C97A48" w:rsidRPr="00A6738B">
        <w:rPr>
          <w:color w:val="000080"/>
        </w:rPr>
        <w:t xml:space="preserve">  The</w:t>
      </w:r>
      <w:r w:rsidR="00A57957" w:rsidRPr="00A6738B">
        <w:rPr>
          <w:color w:val="000080"/>
        </w:rPr>
        <w:t xml:space="preserve"> DA </w:t>
      </w:r>
      <w:r w:rsidR="00F857D6">
        <w:rPr>
          <w:color w:val="000080"/>
        </w:rPr>
        <w:t xml:space="preserve">Form </w:t>
      </w:r>
      <w:r w:rsidR="00A57957" w:rsidRPr="00A6738B">
        <w:rPr>
          <w:color w:val="000080"/>
        </w:rPr>
        <w:t xml:space="preserve">199 rationale that DM and IBS were not unfitting because they were chronic without prior interference with military duties is not supported by the history of the conditions.  DM was newly diagnosed in 2007 and IBS in 2006.  </w:t>
      </w:r>
      <w:r w:rsidR="00216F41" w:rsidRPr="00A6738B">
        <w:rPr>
          <w:color w:val="000080"/>
        </w:rPr>
        <w:t>The DM required an initial admission for stabilization, but was stable on oral medications at the time of separatio</w:t>
      </w:r>
      <w:r w:rsidR="00720D41">
        <w:rPr>
          <w:color w:val="000080"/>
        </w:rPr>
        <w:t xml:space="preserve">n.  There were no complications, </w:t>
      </w:r>
      <w:proofErr w:type="spellStart"/>
      <w:r w:rsidR="00216F41" w:rsidRPr="00A6738B">
        <w:rPr>
          <w:color w:val="000080"/>
        </w:rPr>
        <w:t>ketoacidosis</w:t>
      </w:r>
      <w:proofErr w:type="spellEnd"/>
      <w:r w:rsidR="00720D41">
        <w:rPr>
          <w:color w:val="000080"/>
        </w:rPr>
        <w:t>,</w:t>
      </w:r>
      <w:r w:rsidR="00216F41" w:rsidRPr="00A6738B">
        <w:rPr>
          <w:color w:val="000080"/>
        </w:rPr>
        <w:t xml:space="preserve"> </w:t>
      </w:r>
      <w:proofErr w:type="gramStart"/>
      <w:r w:rsidR="00216F41" w:rsidRPr="00A6738B">
        <w:rPr>
          <w:color w:val="000080"/>
        </w:rPr>
        <w:t>hypoglycemia</w:t>
      </w:r>
      <w:proofErr w:type="gramEnd"/>
      <w:r w:rsidR="00720D41">
        <w:rPr>
          <w:color w:val="000080"/>
        </w:rPr>
        <w:t xml:space="preserve"> or organ involvement</w:t>
      </w:r>
      <w:r w:rsidR="00216F41" w:rsidRPr="00A6738B">
        <w:rPr>
          <w:color w:val="000080"/>
        </w:rPr>
        <w:t xml:space="preserve">.  The </w:t>
      </w:r>
      <w:proofErr w:type="spellStart"/>
      <w:r w:rsidR="00216F41" w:rsidRPr="00A6738B">
        <w:rPr>
          <w:color w:val="000080"/>
        </w:rPr>
        <w:t>Hgb</w:t>
      </w:r>
      <w:proofErr w:type="spellEnd"/>
      <w:r w:rsidR="00216F41" w:rsidRPr="00A6738B">
        <w:rPr>
          <w:color w:val="000080"/>
        </w:rPr>
        <w:t xml:space="preserve"> </w:t>
      </w:r>
      <w:proofErr w:type="gramStart"/>
      <w:r w:rsidR="00216F41" w:rsidRPr="00A6738B">
        <w:rPr>
          <w:color w:val="000080"/>
        </w:rPr>
        <w:t>A1c</w:t>
      </w:r>
      <w:proofErr w:type="gramEnd"/>
      <w:r w:rsidR="00216F41" w:rsidRPr="00A6738B">
        <w:rPr>
          <w:color w:val="000080"/>
        </w:rPr>
        <w:t xml:space="preserve"> (reflects average blood </w:t>
      </w:r>
      <w:r w:rsidR="00720D41">
        <w:rPr>
          <w:color w:val="000080"/>
        </w:rPr>
        <w:t>sugar over time</w:t>
      </w:r>
      <w:r w:rsidR="00216F41" w:rsidRPr="00A6738B">
        <w:rPr>
          <w:color w:val="000080"/>
        </w:rPr>
        <w:t xml:space="preserve">) </w:t>
      </w:r>
      <w:r w:rsidR="00720D41">
        <w:rPr>
          <w:color w:val="000080"/>
        </w:rPr>
        <w:t xml:space="preserve">was 7.4, </w:t>
      </w:r>
      <w:r w:rsidR="00216F41" w:rsidRPr="00A6738B">
        <w:rPr>
          <w:color w:val="000080"/>
        </w:rPr>
        <w:t>indicat</w:t>
      </w:r>
      <w:r w:rsidR="00720D41">
        <w:rPr>
          <w:color w:val="000080"/>
        </w:rPr>
        <w:t>ing</w:t>
      </w:r>
      <w:r w:rsidR="00216F41" w:rsidRPr="00A6738B">
        <w:rPr>
          <w:color w:val="000080"/>
        </w:rPr>
        <w:t xml:space="preserve"> reasonably good control.  </w:t>
      </w:r>
      <w:r w:rsidR="005276A5" w:rsidRPr="00A6738B">
        <w:rPr>
          <w:color w:val="000080"/>
        </w:rPr>
        <w:t>There was a very brief addendum to the NARSUM which addressed diabetes.  Although devoid of any supporting details or rationale, it opined that the ‘condition interfered with the reasonable performance of his assigned duties’. DM (along with IBS and OSA) was listed on the physical profile</w:t>
      </w:r>
      <w:r w:rsidR="00C45531">
        <w:rPr>
          <w:color w:val="000080"/>
        </w:rPr>
        <w:t>,</w:t>
      </w:r>
      <w:r w:rsidR="005276A5" w:rsidRPr="00A6738B">
        <w:rPr>
          <w:color w:val="000080"/>
        </w:rPr>
        <w:t xml:space="preserve"> which was P3 at the time of separation.  </w:t>
      </w:r>
      <w:r w:rsidR="00C45531">
        <w:rPr>
          <w:color w:val="000080"/>
        </w:rPr>
        <w:t xml:space="preserve">The profile restrictions, however, did not specifically implicate DM or any general medical condition.  </w:t>
      </w:r>
      <w:r w:rsidR="005336EA" w:rsidRPr="00A6738B">
        <w:rPr>
          <w:color w:val="000080"/>
        </w:rPr>
        <w:t xml:space="preserve">Although </w:t>
      </w:r>
      <w:r w:rsidR="00C45531">
        <w:rPr>
          <w:color w:val="000080"/>
        </w:rPr>
        <w:t>it</w:t>
      </w:r>
      <w:r w:rsidR="00A61877" w:rsidRPr="00A6738B">
        <w:rPr>
          <w:color w:val="000080"/>
        </w:rPr>
        <w:t xml:space="preserve"> </w:t>
      </w:r>
      <w:r w:rsidR="005336EA" w:rsidRPr="00A6738B">
        <w:rPr>
          <w:color w:val="000080"/>
        </w:rPr>
        <w:t xml:space="preserve">limited running </w:t>
      </w:r>
      <w:proofErr w:type="gramStart"/>
      <w:r w:rsidR="005336EA" w:rsidRPr="00A6738B">
        <w:rPr>
          <w:color w:val="000080"/>
        </w:rPr>
        <w:t xml:space="preserve">to </w:t>
      </w:r>
      <w:r w:rsidR="00C45531">
        <w:rPr>
          <w:color w:val="000080"/>
        </w:rPr>
        <w:t>his</w:t>
      </w:r>
      <w:r w:rsidR="00572761">
        <w:rPr>
          <w:color w:val="000080"/>
        </w:rPr>
        <w:t xml:space="preserve"> </w:t>
      </w:r>
      <w:r w:rsidR="005336EA" w:rsidRPr="00A6738B">
        <w:rPr>
          <w:color w:val="000080"/>
        </w:rPr>
        <w:t>own pace</w:t>
      </w:r>
      <w:proofErr w:type="gramEnd"/>
      <w:r w:rsidR="005336EA" w:rsidRPr="00A6738B">
        <w:rPr>
          <w:color w:val="000080"/>
        </w:rPr>
        <w:t xml:space="preserve"> and distance, it </w:t>
      </w:r>
      <w:r w:rsidR="00A61877" w:rsidRPr="00A6738B">
        <w:rPr>
          <w:color w:val="000080"/>
        </w:rPr>
        <w:t>allowed unlimited</w:t>
      </w:r>
      <w:r w:rsidR="005336EA" w:rsidRPr="00A6738B">
        <w:rPr>
          <w:color w:val="000080"/>
        </w:rPr>
        <w:t xml:space="preserve"> walking and biking</w:t>
      </w:r>
      <w:r w:rsidR="00A61877" w:rsidRPr="00A6738B">
        <w:rPr>
          <w:color w:val="000080"/>
        </w:rPr>
        <w:t>.  This would not suggest that routine activit</w:t>
      </w:r>
      <w:r w:rsidR="00E72813" w:rsidRPr="00A6738B">
        <w:rPr>
          <w:color w:val="000080"/>
        </w:rPr>
        <w:t>ies were</w:t>
      </w:r>
      <w:r w:rsidR="00A61877" w:rsidRPr="00A6738B">
        <w:rPr>
          <w:color w:val="000080"/>
        </w:rPr>
        <w:t xml:space="preserve"> limited by DM or the other conditions.  </w:t>
      </w:r>
      <w:r w:rsidR="00E72813" w:rsidRPr="00A6738B">
        <w:rPr>
          <w:color w:val="000080"/>
        </w:rPr>
        <w:t xml:space="preserve">The Commander’s statement did not mention DM, IBS or OSA; and, it did not document any limitations that could be ascribed to them.  </w:t>
      </w:r>
      <w:r w:rsidR="00C64CB6" w:rsidRPr="00A6738B">
        <w:rPr>
          <w:color w:val="000080"/>
        </w:rPr>
        <w:t>The VA examiner documented that the DM was not as</w:t>
      </w:r>
      <w:r w:rsidR="00A61877" w:rsidRPr="00A6738B">
        <w:rPr>
          <w:color w:val="000080"/>
        </w:rPr>
        <w:t xml:space="preserve">sociated with weakness, fatigue, </w:t>
      </w:r>
      <w:r w:rsidR="00C64CB6" w:rsidRPr="00A6738B">
        <w:rPr>
          <w:color w:val="000080"/>
        </w:rPr>
        <w:t xml:space="preserve">weight change </w:t>
      </w:r>
      <w:r w:rsidR="00A61877" w:rsidRPr="00A6738B">
        <w:rPr>
          <w:color w:val="000080"/>
        </w:rPr>
        <w:t xml:space="preserve">or </w:t>
      </w:r>
      <w:r w:rsidR="00C64CB6" w:rsidRPr="00A6738B">
        <w:rPr>
          <w:color w:val="000080"/>
        </w:rPr>
        <w:t>require</w:t>
      </w:r>
      <w:r w:rsidR="00A61877" w:rsidRPr="00A6738B">
        <w:rPr>
          <w:color w:val="000080"/>
        </w:rPr>
        <w:t>ment for</w:t>
      </w:r>
      <w:r w:rsidR="00C64CB6" w:rsidRPr="00A6738B">
        <w:rPr>
          <w:color w:val="000080"/>
        </w:rPr>
        <w:t xml:space="preserve"> regulation of activities.  </w:t>
      </w:r>
      <w:r w:rsidR="00A61877" w:rsidRPr="00A6738B">
        <w:rPr>
          <w:color w:val="000080"/>
        </w:rPr>
        <w:t xml:space="preserve">CI’s counsel </w:t>
      </w:r>
      <w:r w:rsidR="00E72813" w:rsidRPr="00A6738B">
        <w:rPr>
          <w:color w:val="000080"/>
        </w:rPr>
        <w:t xml:space="preserve">(in the same correspondence cited above) </w:t>
      </w:r>
      <w:r w:rsidR="00A61877" w:rsidRPr="00A6738B">
        <w:rPr>
          <w:color w:val="000080"/>
        </w:rPr>
        <w:t>stated that ‘Type 2 diabetes is an unfitting condition in all but the rarest of cases</w:t>
      </w:r>
      <w:r w:rsidR="00E72813" w:rsidRPr="00A6738B">
        <w:rPr>
          <w:color w:val="000080"/>
        </w:rPr>
        <w:t>.’  T</w:t>
      </w:r>
      <w:r w:rsidR="00A61877" w:rsidRPr="00A6738B">
        <w:rPr>
          <w:color w:val="000080"/>
        </w:rPr>
        <w:t>he fact is</w:t>
      </w:r>
      <w:r w:rsidR="00D00EFA" w:rsidRPr="00A6738B">
        <w:rPr>
          <w:color w:val="000080"/>
        </w:rPr>
        <w:t>,</w:t>
      </w:r>
      <w:r w:rsidR="00A61877" w:rsidRPr="00A6738B">
        <w:rPr>
          <w:color w:val="000080"/>
        </w:rPr>
        <w:t xml:space="preserve"> </w:t>
      </w:r>
      <w:r w:rsidR="00D00EFA" w:rsidRPr="00A6738B">
        <w:rPr>
          <w:color w:val="000080"/>
        </w:rPr>
        <w:t xml:space="preserve">across all of the service PEB’s, </w:t>
      </w:r>
      <w:r w:rsidR="00A61877" w:rsidRPr="00A6738B">
        <w:rPr>
          <w:color w:val="000080"/>
        </w:rPr>
        <w:t xml:space="preserve">stable DM </w:t>
      </w:r>
      <w:r w:rsidR="00E72813" w:rsidRPr="00A6738B">
        <w:rPr>
          <w:color w:val="000080"/>
        </w:rPr>
        <w:t>2 (even insulin requiring) is generally not considered to be independently unfitting.</w:t>
      </w:r>
      <w:r w:rsidR="00D00EFA" w:rsidRPr="00A6738B">
        <w:rPr>
          <w:color w:val="000080"/>
        </w:rPr>
        <w:t xml:space="preserve">  There is nothing in evidence suggesting that DM imposed such a restriction on activities that the CI would not have been able to perform his military duties</w:t>
      </w:r>
      <w:r w:rsidR="006314C3" w:rsidRPr="00A6738B">
        <w:rPr>
          <w:color w:val="000080"/>
        </w:rPr>
        <w:t xml:space="preserve"> in a signal battalion, including deployment</w:t>
      </w:r>
      <w:r w:rsidR="00D00EFA" w:rsidRPr="00A6738B">
        <w:rPr>
          <w:color w:val="000080"/>
        </w:rPr>
        <w:t xml:space="preserve">.  The Board cannot support a recommendation contrary to the PEB </w:t>
      </w:r>
      <w:r w:rsidR="00C45531">
        <w:rPr>
          <w:color w:val="000080"/>
        </w:rPr>
        <w:t>opin</w:t>
      </w:r>
      <w:r w:rsidR="00D00EFA" w:rsidRPr="00A6738B">
        <w:rPr>
          <w:color w:val="000080"/>
        </w:rPr>
        <w:t xml:space="preserve">ion </w:t>
      </w:r>
      <w:r w:rsidR="006314C3" w:rsidRPr="00A6738B">
        <w:rPr>
          <w:color w:val="000080"/>
        </w:rPr>
        <w:t>that</w:t>
      </w:r>
      <w:r w:rsidR="00D00EFA" w:rsidRPr="00A6738B">
        <w:rPr>
          <w:color w:val="000080"/>
        </w:rPr>
        <w:t xml:space="preserve"> DM</w:t>
      </w:r>
      <w:r w:rsidR="006314C3" w:rsidRPr="00A6738B">
        <w:rPr>
          <w:color w:val="000080"/>
        </w:rPr>
        <w:t xml:space="preserve"> was not unfitting in this case</w:t>
      </w:r>
      <w:r w:rsidR="00D00EFA" w:rsidRPr="00A6738B">
        <w:rPr>
          <w:color w:val="000080"/>
        </w:rPr>
        <w:t>.</w:t>
      </w:r>
    </w:p>
    <w:p w:rsidR="00D00EFA" w:rsidRPr="00A6738B" w:rsidRDefault="00D00EFA" w:rsidP="00047E9B">
      <w:pPr>
        <w:tabs>
          <w:tab w:val="left" w:pos="288"/>
          <w:tab w:val="left" w:pos="4752"/>
        </w:tabs>
        <w:spacing w:line="240" w:lineRule="exact"/>
        <w:jc w:val="both"/>
        <w:rPr>
          <w:color w:val="000080"/>
        </w:rPr>
      </w:pPr>
    </w:p>
    <w:p w:rsidR="005336EA" w:rsidRPr="00A6738B" w:rsidRDefault="006314C3" w:rsidP="00047E9B">
      <w:pPr>
        <w:tabs>
          <w:tab w:val="left" w:pos="288"/>
          <w:tab w:val="left" w:pos="4752"/>
        </w:tabs>
        <w:spacing w:line="240" w:lineRule="exact"/>
        <w:jc w:val="both"/>
        <w:rPr>
          <w:color w:val="000080"/>
        </w:rPr>
      </w:pPr>
      <w:r w:rsidRPr="00A6738B">
        <w:rPr>
          <w:color w:val="000080"/>
        </w:rPr>
        <w:t xml:space="preserve">The IBS condition was heralded by diarrhea associated with periods of stress, beginning during the deployment.  </w:t>
      </w:r>
      <w:r w:rsidR="00225D0B" w:rsidRPr="00A6738B">
        <w:rPr>
          <w:color w:val="000080"/>
        </w:rPr>
        <w:t>During the MEB process, it</w:t>
      </w:r>
      <w:r w:rsidRPr="00A6738B">
        <w:rPr>
          <w:color w:val="000080"/>
        </w:rPr>
        <w:t xml:space="preserve"> was manifested as alternating periods of constipation and diarrhea with intermittent abdominal cramping.</w:t>
      </w:r>
      <w:r w:rsidR="00225D0B" w:rsidRPr="00A6738B">
        <w:rPr>
          <w:color w:val="000080"/>
        </w:rPr>
        <w:t xml:space="preserve">  A colonoscopy in 2006 was normal except for a small polyp in the sigmoid colon.  There was a cursory addendum to the NARSUM </w:t>
      </w:r>
      <w:r w:rsidR="00225D0B" w:rsidRPr="00A6738B">
        <w:rPr>
          <w:color w:val="000080"/>
        </w:rPr>
        <w:lastRenderedPageBreak/>
        <w:t xml:space="preserve">addressing the gastrointestinal condition.  Like the DM addendum, there were no articulated details in support of an opinion that the condition interfered with performance of duties.  The VA examiner </w:t>
      </w:r>
      <w:r w:rsidR="00C45531">
        <w:rPr>
          <w:color w:val="000080"/>
        </w:rPr>
        <w:t>stated that bowel movements were normal at that time</w:t>
      </w:r>
      <w:r w:rsidR="00225D0B" w:rsidRPr="00A6738B">
        <w:rPr>
          <w:color w:val="000080"/>
        </w:rPr>
        <w:t>.  The VA rating was 0%.  Like the DM, there was nothing in the physical profile or Commander’s statement</w:t>
      </w:r>
      <w:r w:rsidR="00081340" w:rsidRPr="00A6738B">
        <w:rPr>
          <w:color w:val="000080"/>
        </w:rPr>
        <w:t xml:space="preserve"> specifically implicating IBS.  There is no evidence of persistent frequent diarrhea, persistent vomiting, protracted abdominal pain, adverse medication requirement or any other features that would typically render a gastrointestinal condition incompatible with military service.  The Board cannot support a recommendation contrary to the PEB’s determination that IBS was not unfitting in this case.  </w:t>
      </w:r>
    </w:p>
    <w:p w:rsidR="005336EA" w:rsidRPr="00A6738B" w:rsidRDefault="005336EA" w:rsidP="00047E9B">
      <w:pPr>
        <w:tabs>
          <w:tab w:val="left" w:pos="288"/>
          <w:tab w:val="left" w:pos="4752"/>
        </w:tabs>
        <w:spacing w:line="240" w:lineRule="exact"/>
        <w:jc w:val="both"/>
        <w:rPr>
          <w:color w:val="000080"/>
        </w:rPr>
      </w:pPr>
    </w:p>
    <w:p w:rsidR="003D5761" w:rsidRPr="00A6738B" w:rsidRDefault="00081340" w:rsidP="00047E9B">
      <w:pPr>
        <w:tabs>
          <w:tab w:val="left" w:pos="288"/>
          <w:tab w:val="left" w:pos="4752"/>
        </w:tabs>
        <w:spacing w:line="240" w:lineRule="exact"/>
        <w:jc w:val="both"/>
        <w:rPr>
          <w:color w:val="000080"/>
        </w:rPr>
      </w:pPr>
      <w:r w:rsidRPr="00A6738B">
        <w:rPr>
          <w:color w:val="000080"/>
        </w:rPr>
        <w:t xml:space="preserve">OSA was diagnosed by a sleep study in November 2006.  It responded to CPAP.  It was </w:t>
      </w:r>
      <w:r w:rsidR="005336EA" w:rsidRPr="00A6738B">
        <w:rPr>
          <w:color w:val="000080"/>
        </w:rPr>
        <w:t>covered by the similar</w:t>
      </w:r>
      <w:r w:rsidRPr="00A6738B">
        <w:rPr>
          <w:color w:val="000080"/>
        </w:rPr>
        <w:t xml:space="preserve"> cursory addendum </w:t>
      </w:r>
      <w:r w:rsidR="005336EA" w:rsidRPr="00A6738B">
        <w:rPr>
          <w:color w:val="000080"/>
        </w:rPr>
        <w:t>and opinion that it</w:t>
      </w:r>
      <w:r w:rsidRPr="00A6738B">
        <w:rPr>
          <w:color w:val="000080"/>
        </w:rPr>
        <w:t xml:space="preserve"> ‘interfered with the recent performance of his assigned duties’</w:t>
      </w:r>
      <w:r w:rsidR="00211896" w:rsidRPr="00A6738B">
        <w:rPr>
          <w:color w:val="000080"/>
        </w:rPr>
        <w:t xml:space="preserve">.  Like the DM and IBS, there were no supporting details in the addendum, no specific limitations included in the physical profile or any comments in the Commander’s statement implicating OSA as unfitting.  The DA 199 </w:t>
      </w:r>
      <w:r w:rsidR="003D5761" w:rsidRPr="00A6738B">
        <w:rPr>
          <w:color w:val="000080"/>
        </w:rPr>
        <w:t>rationale for the OSA fitness adjudication read, ‘The use of a breathing device at night to improve the Soldier's sleep does not automatically make him unable to perform his duties, and potential difficulties in some deployment areas cannot be used as a sole basis to find this soldier unfit.’  Given the CI’s MOS and the fact that OSA is not generally judged to be unfitting by PEB’s across the services, the PEB’s fitness adjudication was expected and reasonable.   The Board cannot support a recommendation contrary to the PEB’s determination that OSA was not unfitting in this case.</w:t>
      </w:r>
    </w:p>
    <w:p w:rsidR="005777C6" w:rsidRPr="00A6738B" w:rsidRDefault="005777C6" w:rsidP="00047E9B">
      <w:pPr>
        <w:tabs>
          <w:tab w:val="left" w:pos="288"/>
          <w:tab w:val="left" w:pos="4752"/>
        </w:tabs>
        <w:spacing w:line="240" w:lineRule="exact"/>
        <w:jc w:val="both"/>
        <w:rPr>
          <w:color w:val="000080"/>
        </w:rPr>
      </w:pPr>
    </w:p>
    <w:p w:rsidR="00B13BF3" w:rsidRPr="00A6738B" w:rsidRDefault="002C6E5B" w:rsidP="00047E9B">
      <w:pPr>
        <w:tabs>
          <w:tab w:val="left" w:pos="288"/>
          <w:tab w:val="left" w:pos="4752"/>
        </w:tabs>
        <w:spacing w:line="240" w:lineRule="exact"/>
        <w:jc w:val="both"/>
        <w:rPr>
          <w:color w:val="000080"/>
        </w:rPr>
      </w:pPr>
      <w:proofErr w:type="gramStart"/>
      <w:r w:rsidRPr="00A6738B">
        <w:rPr>
          <w:color w:val="000080"/>
          <w:u w:val="single"/>
        </w:rPr>
        <w:t>Other Conditions</w:t>
      </w:r>
      <w:r w:rsidRPr="00A6738B">
        <w:rPr>
          <w:color w:val="000080"/>
        </w:rPr>
        <w:t>.</w:t>
      </w:r>
      <w:proofErr w:type="gramEnd"/>
      <w:r w:rsidRPr="00A6738B">
        <w:rPr>
          <w:color w:val="000080"/>
        </w:rPr>
        <w:t xml:space="preserve">  </w:t>
      </w:r>
      <w:r w:rsidR="00694EEA" w:rsidRPr="00A6738B">
        <w:rPr>
          <w:color w:val="000080"/>
        </w:rPr>
        <w:t xml:space="preserve">The only </w:t>
      </w:r>
      <w:r w:rsidR="00871D4E" w:rsidRPr="00A6738B">
        <w:rPr>
          <w:color w:val="000080"/>
        </w:rPr>
        <w:t xml:space="preserve">relevant </w:t>
      </w:r>
      <w:r w:rsidR="00694EEA" w:rsidRPr="00A6738B">
        <w:rPr>
          <w:color w:val="000080"/>
        </w:rPr>
        <w:t xml:space="preserve">additional conditions documented in the DES packet were </w:t>
      </w:r>
      <w:r w:rsidR="005642A5" w:rsidRPr="00A6738B">
        <w:rPr>
          <w:color w:val="000080"/>
        </w:rPr>
        <w:t>hypercholesterolemia, hypertension</w:t>
      </w:r>
      <w:r w:rsidR="00B13BF3" w:rsidRPr="00A6738B">
        <w:rPr>
          <w:color w:val="000080"/>
        </w:rPr>
        <w:t>, intermittent headaches, left foot and left small finger orthopedic complaints and a history of kidney cysts.</w:t>
      </w:r>
      <w:r w:rsidR="00EC5BB2" w:rsidRPr="00A6738B">
        <w:rPr>
          <w:color w:val="000080"/>
        </w:rPr>
        <w:t xml:space="preserve"> </w:t>
      </w:r>
      <w:r w:rsidR="002F0E28" w:rsidRPr="00A6738B">
        <w:rPr>
          <w:color w:val="000080"/>
        </w:rPr>
        <w:t xml:space="preserve"> </w:t>
      </w:r>
      <w:r w:rsidR="00183F77" w:rsidRPr="00A6738B">
        <w:rPr>
          <w:color w:val="000080"/>
        </w:rPr>
        <w:t xml:space="preserve">The </w:t>
      </w:r>
      <w:r w:rsidR="00B13BF3" w:rsidRPr="00A6738B">
        <w:rPr>
          <w:color w:val="000080"/>
        </w:rPr>
        <w:t>hypercholesterolemia, hypertension and kidney cyst</w:t>
      </w:r>
      <w:r w:rsidR="00183F77" w:rsidRPr="00A6738B">
        <w:rPr>
          <w:color w:val="000080"/>
        </w:rPr>
        <w:t xml:space="preserve"> conditions were chronic and stable.  </w:t>
      </w:r>
      <w:r w:rsidR="00B6584E" w:rsidRPr="00A6738B">
        <w:rPr>
          <w:color w:val="000080"/>
        </w:rPr>
        <w:t>Only hypertension was rated by the VA (10%) and n</w:t>
      </w:r>
      <w:r w:rsidR="00183F77" w:rsidRPr="00A6738B">
        <w:rPr>
          <w:color w:val="000080"/>
        </w:rPr>
        <w:t xml:space="preserve">o link to fitness is in evidence for </w:t>
      </w:r>
      <w:r w:rsidR="00B13BF3" w:rsidRPr="00A6738B">
        <w:rPr>
          <w:color w:val="000080"/>
        </w:rPr>
        <w:t>any</w:t>
      </w:r>
      <w:r w:rsidR="00183F77" w:rsidRPr="00A6738B">
        <w:rPr>
          <w:color w:val="000080"/>
        </w:rPr>
        <w:t xml:space="preserve"> of </w:t>
      </w:r>
      <w:r w:rsidR="00B6584E" w:rsidRPr="00A6738B">
        <w:rPr>
          <w:color w:val="000080"/>
        </w:rPr>
        <w:t>these conditions</w:t>
      </w:r>
      <w:r w:rsidR="00183F77" w:rsidRPr="00A6738B">
        <w:rPr>
          <w:color w:val="000080"/>
        </w:rPr>
        <w:t>.</w:t>
      </w:r>
      <w:r w:rsidR="00B13BF3" w:rsidRPr="00A6738B">
        <w:rPr>
          <w:color w:val="000080"/>
        </w:rPr>
        <w:t xml:space="preserve">  The additional orthopedic conditions</w:t>
      </w:r>
      <w:r w:rsidR="00F3197A" w:rsidRPr="00A6738B">
        <w:rPr>
          <w:color w:val="000080"/>
        </w:rPr>
        <w:t xml:space="preserve"> </w:t>
      </w:r>
      <w:r w:rsidR="004B4C36" w:rsidRPr="00A6738B">
        <w:rPr>
          <w:color w:val="000080"/>
        </w:rPr>
        <w:t xml:space="preserve">were not noted in the physical profile or Commander’s statement and </w:t>
      </w:r>
      <w:r w:rsidR="00F3197A" w:rsidRPr="00A6738B">
        <w:rPr>
          <w:color w:val="000080"/>
        </w:rPr>
        <w:t xml:space="preserve">are not relevant for Board consideration as additionally unfitting and ratable.  </w:t>
      </w:r>
      <w:r w:rsidR="00B13BF3" w:rsidRPr="00A6738B">
        <w:rPr>
          <w:color w:val="000080"/>
        </w:rPr>
        <w:t xml:space="preserve">The headaches were related to the cervical condition and were not diagnosed as a specific condition by the military or VA.  </w:t>
      </w:r>
      <w:r w:rsidR="004B4C36" w:rsidRPr="00A6738B">
        <w:rPr>
          <w:color w:val="000080"/>
        </w:rPr>
        <w:t xml:space="preserve">There is nothing to suggest they were incapacitating or </w:t>
      </w:r>
      <w:r w:rsidR="00B6584E" w:rsidRPr="00A6738B">
        <w:rPr>
          <w:color w:val="000080"/>
        </w:rPr>
        <w:t>link</w:t>
      </w:r>
      <w:r w:rsidR="004B4C36" w:rsidRPr="00A6738B">
        <w:rPr>
          <w:color w:val="000080"/>
        </w:rPr>
        <w:t>ed to fitness.</w:t>
      </w:r>
      <w:r w:rsidR="00B6584E" w:rsidRPr="00A6738B">
        <w:rPr>
          <w:color w:val="000080"/>
        </w:rPr>
        <w:t xml:space="preserve">  No other conditions were service connected with a compensable rating by the VA within twelve months of separation. </w:t>
      </w:r>
      <w:r w:rsidR="00E06B7E" w:rsidRPr="00A6738B">
        <w:rPr>
          <w:color w:val="000080"/>
        </w:rPr>
        <w:t xml:space="preserve">The Board does not have the authority under </w:t>
      </w:r>
      <w:proofErr w:type="spellStart"/>
      <w:r w:rsidR="00E06B7E" w:rsidRPr="00A6738B">
        <w:rPr>
          <w:color w:val="000080"/>
        </w:rPr>
        <w:t>DoDI</w:t>
      </w:r>
      <w:proofErr w:type="spellEnd"/>
      <w:r w:rsidR="00E06B7E" w:rsidRPr="00A6738B">
        <w:rPr>
          <w:color w:val="000080"/>
        </w:rPr>
        <w:t xml:space="preserve"> 6040.44 to render fitness or rating recommendations for any conditions not considered by the DES.  Any other contended conditions, except for those just elaborated or already di</w:t>
      </w:r>
      <w:r w:rsidR="00F857D6">
        <w:rPr>
          <w:color w:val="000080"/>
        </w:rPr>
        <w:t>scussed, remain eligible for ABCM</w:t>
      </w:r>
      <w:r w:rsidR="00E06B7E" w:rsidRPr="00A6738B">
        <w:rPr>
          <w:color w:val="000080"/>
        </w:rPr>
        <w:t xml:space="preserve">R consideration.  </w:t>
      </w:r>
    </w:p>
    <w:p w:rsidR="00A90D55" w:rsidRPr="00D91DA6" w:rsidRDefault="008B5D31" w:rsidP="00047E9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047E9B">
      <w:pPr>
        <w:tabs>
          <w:tab w:val="left" w:pos="288"/>
          <w:tab w:val="left" w:pos="4752"/>
        </w:tabs>
        <w:spacing w:line="240" w:lineRule="exact"/>
        <w:jc w:val="both"/>
        <w:rPr>
          <w:color w:val="000080"/>
        </w:rPr>
      </w:pPr>
    </w:p>
    <w:p w:rsidR="0091012F" w:rsidRPr="00A6738B" w:rsidRDefault="00C56FC8" w:rsidP="00047E9B">
      <w:pPr>
        <w:tabs>
          <w:tab w:val="left" w:pos="288"/>
          <w:tab w:val="left" w:pos="4752"/>
        </w:tabs>
        <w:spacing w:line="240" w:lineRule="exact"/>
        <w:jc w:val="both"/>
        <w:rPr>
          <w:color w:val="000080"/>
        </w:rPr>
      </w:pPr>
      <w:r w:rsidRPr="00A6738B">
        <w:rPr>
          <w:color w:val="000080"/>
          <w:u w:val="single"/>
        </w:rPr>
        <w:lastRenderedPageBreak/>
        <w:t>BOARD FINDINGS</w:t>
      </w:r>
      <w:r w:rsidRPr="00A6738B">
        <w:rPr>
          <w:color w:val="000080"/>
        </w:rPr>
        <w:t xml:space="preserve">:  IAW </w:t>
      </w:r>
      <w:proofErr w:type="spellStart"/>
      <w:r w:rsidRPr="00A6738B">
        <w:rPr>
          <w:color w:val="000080"/>
        </w:rPr>
        <w:t>DoDI</w:t>
      </w:r>
      <w:proofErr w:type="spellEnd"/>
      <w:r w:rsidRPr="00A6738B">
        <w:rPr>
          <w:color w:val="000080"/>
        </w:rPr>
        <w:t xml:space="preserve"> 6040.44, provisions of DoD or Military Department regulations or guidelines relied upon by the PEB will not be considered by the Board to the extent they were inconsistent with the VASRD in effect at the time of the adjudication. </w:t>
      </w:r>
      <w:r w:rsidR="001D68CF" w:rsidRPr="00A6738B">
        <w:rPr>
          <w:color w:val="000080"/>
        </w:rPr>
        <w:t xml:space="preserve"> </w:t>
      </w:r>
      <w:r w:rsidRPr="00A6738B">
        <w:rPr>
          <w:color w:val="000080"/>
        </w:rPr>
        <w:t xml:space="preserve">As discussed above, PEB reliance on the USAPDA pain policy for rating </w:t>
      </w:r>
      <w:r w:rsidR="00D935D6" w:rsidRPr="00A6738B">
        <w:rPr>
          <w:color w:val="000080"/>
        </w:rPr>
        <w:t>the cervical condition</w:t>
      </w:r>
      <w:r w:rsidRPr="00A6738B">
        <w:rPr>
          <w:color w:val="000080"/>
        </w:rPr>
        <w:t xml:space="preserve"> was operant in this case and the condition was adjudicated independently of that policy by the Board. </w:t>
      </w:r>
      <w:r w:rsidR="00D935D6" w:rsidRPr="00A6738B">
        <w:rPr>
          <w:color w:val="000080"/>
        </w:rPr>
        <w:t xml:space="preserve"> In the matter of the cervical condition and IAW VASRD §4.71a, the Board unanimously recommends no </w:t>
      </w:r>
      <w:proofErr w:type="spellStart"/>
      <w:r w:rsidR="00D935D6" w:rsidRPr="00A6738B">
        <w:rPr>
          <w:color w:val="000080"/>
        </w:rPr>
        <w:t>recharacterization</w:t>
      </w:r>
      <w:proofErr w:type="spellEnd"/>
      <w:r w:rsidR="00D935D6" w:rsidRPr="00A6738B">
        <w:rPr>
          <w:color w:val="000080"/>
        </w:rPr>
        <w:t xml:space="preserve"> of the PEB rating.  A more specific and applicable description for the cervical condition </w:t>
      </w:r>
      <w:r w:rsidR="00E06B7E" w:rsidRPr="00A6738B">
        <w:rPr>
          <w:color w:val="000080"/>
        </w:rPr>
        <w:t xml:space="preserve">and modification of the code </w:t>
      </w:r>
      <w:r w:rsidR="00D935D6" w:rsidRPr="00A6738B">
        <w:rPr>
          <w:color w:val="000080"/>
        </w:rPr>
        <w:t xml:space="preserve">is offered in our summary chart.  In the matter of the </w:t>
      </w:r>
      <w:r w:rsidR="005F2377" w:rsidRPr="00A6738B">
        <w:rPr>
          <w:color w:val="000080"/>
        </w:rPr>
        <w:t>right shoulder</w:t>
      </w:r>
      <w:r w:rsidR="00D935D6" w:rsidRPr="00A6738B">
        <w:rPr>
          <w:color w:val="000080"/>
        </w:rPr>
        <w:t xml:space="preserve"> condition, the Board unanimously recommends </w:t>
      </w:r>
      <w:r w:rsidR="005F2377" w:rsidRPr="00A6738B">
        <w:rPr>
          <w:color w:val="000080"/>
        </w:rPr>
        <w:t xml:space="preserve">that it be added as an additionally unfitting condition for separation rating; </w:t>
      </w:r>
      <w:r w:rsidR="00D935D6" w:rsidRPr="00A6738B">
        <w:rPr>
          <w:color w:val="000080"/>
        </w:rPr>
        <w:t xml:space="preserve">coded </w:t>
      </w:r>
      <w:r w:rsidR="005F2377" w:rsidRPr="00A6738B">
        <w:rPr>
          <w:color w:val="000080"/>
        </w:rPr>
        <w:t>5299-5203</w:t>
      </w:r>
      <w:r w:rsidR="00D935D6" w:rsidRPr="00A6738B">
        <w:rPr>
          <w:color w:val="000080"/>
        </w:rPr>
        <w:t xml:space="preserve"> </w:t>
      </w:r>
      <w:r w:rsidR="005F2377" w:rsidRPr="00A6738B">
        <w:rPr>
          <w:color w:val="000080"/>
        </w:rPr>
        <w:t xml:space="preserve">and rated 10% </w:t>
      </w:r>
      <w:r w:rsidR="00D935D6" w:rsidRPr="00A6738B">
        <w:rPr>
          <w:color w:val="000080"/>
        </w:rPr>
        <w:t>IAW VASRD §</w:t>
      </w:r>
      <w:r w:rsidR="005F2377" w:rsidRPr="00A6738B">
        <w:rPr>
          <w:color w:val="000080"/>
        </w:rPr>
        <w:t>4.71a</w:t>
      </w:r>
      <w:r w:rsidR="00D935D6" w:rsidRPr="00A6738B">
        <w:rPr>
          <w:color w:val="000080"/>
        </w:rPr>
        <w:t xml:space="preserve">.  </w:t>
      </w:r>
      <w:r w:rsidR="005F2377" w:rsidRPr="00A6738B">
        <w:rPr>
          <w:color w:val="000080"/>
        </w:rPr>
        <w:t>In the matter of the left knee condition, the Board unanimously recommends that it be added as an additionally unfitting condition for separation rating; coded 5259 and rated 10% IAW VASRD §4.71a.  In the matter of the anxiet</w:t>
      </w:r>
      <w:r w:rsidR="00F86338">
        <w:rPr>
          <w:color w:val="000080"/>
        </w:rPr>
        <w:t xml:space="preserve">y disorder, depressive disorder, </w:t>
      </w:r>
      <w:r w:rsidR="005F2377" w:rsidRPr="00A6738B">
        <w:rPr>
          <w:color w:val="000080"/>
        </w:rPr>
        <w:t>PTSD</w:t>
      </w:r>
      <w:r w:rsidR="00F86338">
        <w:rPr>
          <w:color w:val="000080"/>
        </w:rPr>
        <w:t>,</w:t>
      </w:r>
      <w:r w:rsidR="00F86338" w:rsidRPr="00F86338">
        <w:rPr>
          <w:color w:val="000080"/>
        </w:rPr>
        <w:t xml:space="preserve"> </w:t>
      </w:r>
      <w:r w:rsidR="00F86338" w:rsidRPr="00A6738B">
        <w:rPr>
          <w:color w:val="000080"/>
        </w:rPr>
        <w:t>diabetes, irritable bowel syndrome and sleep apnea conditions,</w:t>
      </w:r>
      <w:r w:rsidR="005F2377" w:rsidRPr="00A6738B">
        <w:rPr>
          <w:color w:val="000080"/>
        </w:rPr>
        <w:t xml:space="preserve"> the Board unanimously recommends no </w:t>
      </w:r>
      <w:proofErr w:type="spellStart"/>
      <w:r w:rsidR="005F2377" w:rsidRPr="00A6738B">
        <w:rPr>
          <w:color w:val="000080"/>
        </w:rPr>
        <w:t>recharacterization</w:t>
      </w:r>
      <w:proofErr w:type="spellEnd"/>
      <w:r w:rsidR="005F2377" w:rsidRPr="00A6738B">
        <w:rPr>
          <w:color w:val="000080"/>
        </w:rPr>
        <w:t xml:space="preserve"> of the PEB adjudication as not unfitting.  </w:t>
      </w:r>
      <w:r w:rsidR="0091012F" w:rsidRPr="00A6738B">
        <w:rPr>
          <w:color w:val="000080"/>
        </w:rPr>
        <w:t>In the matter of the hypercholesterolemia, hypertension, headaches, left foot condition, left small finger condition, history of kidney cysts or any other medical conditions eligible for Board consideration; the Board unanimously agrees that it cannot recommend any findings of unfit for additional rating at separation.</w:t>
      </w:r>
    </w:p>
    <w:p w:rsidR="00FB593A" w:rsidRPr="00D91DA6" w:rsidRDefault="008B5D31" w:rsidP="00047E9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047E9B">
      <w:pPr>
        <w:tabs>
          <w:tab w:val="left" w:pos="288"/>
          <w:tab w:val="left" w:pos="4752"/>
        </w:tabs>
        <w:spacing w:line="240" w:lineRule="exact"/>
        <w:jc w:val="both"/>
        <w:rPr>
          <w:color w:val="000080"/>
        </w:rPr>
      </w:pPr>
    </w:p>
    <w:p w:rsidR="00FB593A" w:rsidRPr="00E7253C" w:rsidRDefault="00C56FC8" w:rsidP="00047E9B">
      <w:pPr>
        <w:spacing w:line="240" w:lineRule="exact"/>
        <w:jc w:val="both"/>
        <w:rPr>
          <w:rFonts w:asciiTheme="minorHAnsi" w:hAnsiTheme="minorHAnsi"/>
          <w:color w:val="000080"/>
          <w:szCs w:val="24"/>
          <w:u w:val="single"/>
        </w:rPr>
      </w:pPr>
      <w:r w:rsidRPr="00E7253C">
        <w:rPr>
          <w:color w:val="000080"/>
          <w:u w:val="single"/>
        </w:rPr>
        <w:t>RECOMMENDATION</w:t>
      </w:r>
      <w:r w:rsidRPr="00E7253C">
        <w:rPr>
          <w:color w:val="000080"/>
        </w:rPr>
        <w:t xml:space="preserve">: The Board recommends that the CI’s prior determination be modified as follows and that the discharge with severance pay be </w:t>
      </w:r>
      <w:proofErr w:type="spellStart"/>
      <w:r w:rsidRPr="00E7253C">
        <w:rPr>
          <w:color w:val="000080"/>
        </w:rPr>
        <w:t>recharacterized</w:t>
      </w:r>
      <w:proofErr w:type="spellEnd"/>
      <w:r w:rsidRPr="00E7253C">
        <w:rPr>
          <w:color w:val="000080"/>
        </w:rPr>
        <w:t xml:space="preserve"> to reflect permanent disability retirement, effective as of the date of his prior medical separation.</w:t>
      </w:r>
    </w:p>
    <w:p w:rsidR="00FB593A" w:rsidRPr="00533FB5" w:rsidRDefault="00FB593A" w:rsidP="00047E9B">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90091F" w:rsidRPr="00533FB5" w:rsidTr="000912A9">
        <w:trPr>
          <w:trHeight w:val="287"/>
        </w:trPr>
        <w:tc>
          <w:tcPr>
            <w:tcW w:w="6660" w:type="dxa"/>
            <w:shd w:val="clear" w:color="auto" w:fill="D9D9D9"/>
          </w:tcPr>
          <w:p w:rsidR="0090091F" w:rsidRPr="00A867F0" w:rsidRDefault="0090091F" w:rsidP="00047E9B">
            <w:pPr>
              <w:tabs>
                <w:tab w:val="left" w:pos="288"/>
                <w:tab w:val="left" w:pos="4752"/>
              </w:tabs>
              <w:spacing w:line="240" w:lineRule="exact"/>
              <w:jc w:val="center"/>
              <w:rPr>
                <w:b/>
                <w:color w:val="000080"/>
                <w:szCs w:val="24"/>
              </w:rPr>
            </w:pPr>
            <w:r>
              <w:rPr>
                <w:b/>
                <w:color w:val="000080"/>
                <w:szCs w:val="24"/>
              </w:rPr>
              <w:t>UNFITTING CONDITION</w:t>
            </w:r>
          </w:p>
        </w:tc>
        <w:tc>
          <w:tcPr>
            <w:tcW w:w="1706" w:type="dxa"/>
            <w:shd w:val="clear" w:color="auto" w:fill="D9D9D9"/>
          </w:tcPr>
          <w:p w:rsidR="0090091F" w:rsidRPr="00A867F0" w:rsidRDefault="0090091F" w:rsidP="00047E9B">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90091F" w:rsidRPr="00A867F0" w:rsidRDefault="0090091F" w:rsidP="00047E9B">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90091F" w:rsidRPr="00533FB5" w:rsidTr="000912A9">
        <w:tc>
          <w:tcPr>
            <w:tcW w:w="6660" w:type="dxa"/>
          </w:tcPr>
          <w:p w:rsidR="0090091F" w:rsidRPr="00A867F0" w:rsidRDefault="000912A9" w:rsidP="00047E9B">
            <w:pPr>
              <w:tabs>
                <w:tab w:val="left" w:pos="288"/>
                <w:tab w:val="left" w:pos="4752"/>
              </w:tabs>
              <w:spacing w:line="240" w:lineRule="exact"/>
              <w:rPr>
                <w:color w:val="000080"/>
                <w:szCs w:val="24"/>
              </w:rPr>
            </w:pPr>
            <w:r>
              <w:rPr>
                <w:color w:val="000080"/>
                <w:szCs w:val="24"/>
              </w:rPr>
              <w:t xml:space="preserve">Cervical Spine </w:t>
            </w:r>
            <w:proofErr w:type="spellStart"/>
            <w:r>
              <w:rPr>
                <w:color w:val="000080"/>
                <w:szCs w:val="24"/>
              </w:rPr>
              <w:t>Klippel-Feil</w:t>
            </w:r>
            <w:proofErr w:type="spellEnd"/>
            <w:r>
              <w:rPr>
                <w:color w:val="000080"/>
                <w:szCs w:val="24"/>
              </w:rPr>
              <w:t xml:space="preserve"> Abnormality with Multiple Levels of Degenerative Disc Disease</w:t>
            </w:r>
          </w:p>
        </w:tc>
        <w:tc>
          <w:tcPr>
            <w:tcW w:w="1706" w:type="dxa"/>
          </w:tcPr>
          <w:p w:rsidR="0090091F" w:rsidRPr="00A867F0" w:rsidRDefault="000912A9" w:rsidP="00047E9B">
            <w:pPr>
              <w:tabs>
                <w:tab w:val="left" w:pos="288"/>
                <w:tab w:val="left" w:pos="4752"/>
              </w:tabs>
              <w:spacing w:line="240" w:lineRule="exact"/>
              <w:jc w:val="center"/>
              <w:rPr>
                <w:color w:val="000080"/>
                <w:szCs w:val="24"/>
              </w:rPr>
            </w:pPr>
            <w:r>
              <w:rPr>
                <w:color w:val="000080"/>
                <w:szCs w:val="24"/>
              </w:rPr>
              <w:t>5237</w:t>
            </w:r>
          </w:p>
        </w:tc>
        <w:tc>
          <w:tcPr>
            <w:tcW w:w="1084" w:type="dxa"/>
          </w:tcPr>
          <w:p w:rsidR="0090091F" w:rsidRPr="00A867F0" w:rsidRDefault="000912A9" w:rsidP="00047E9B">
            <w:pPr>
              <w:tabs>
                <w:tab w:val="left" w:pos="288"/>
                <w:tab w:val="left" w:pos="4752"/>
              </w:tabs>
              <w:spacing w:line="240" w:lineRule="exact"/>
              <w:jc w:val="center"/>
              <w:rPr>
                <w:color w:val="000080"/>
                <w:szCs w:val="24"/>
              </w:rPr>
            </w:pPr>
            <w:r>
              <w:rPr>
                <w:color w:val="000080"/>
                <w:szCs w:val="24"/>
              </w:rPr>
              <w:t>10</w:t>
            </w:r>
            <w:r w:rsidR="0090091F">
              <w:rPr>
                <w:color w:val="000080"/>
                <w:szCs w:val="24"/>
              </w:rPr>
              <w:t>%</w:t>
            </w:r>
          </w:p>
        </w:tc>
      </w:tr>
      <w:tr w:rsidR="000912A9" w:rsidRPr="00533FB5" w:rsidTr="000912A9">
        <w:tc>
          <w:tcPr>
            <w:tcW w:w="6660" w:type="dxa"/>
          </w:tcPr>
          <w:p w:rsidR="000912A9" w:rsidRPr="00A867F0" w:rsidRDefault="000912A9" w:rsidP="00047E9B">
            <w:pPr>
              <w:tabs>
                <w:tab w:val="left" w:pos="288"/>
                <w:tab w:val="left" w:pos="4752"/>
              </w:tabs>
              <w:spacing w:line="240" w:lineRule="exact"/>
              <w:rPr>
                <w:color w:val="000080"/>
                <w:szCs w:val="24"/>
              </w:rPr>
            </w:pPr>
            <w:r>
              <w:rPr>
                <w:color w:val="000080"/>
                <w:szCs w:val="24"/>
              </w:rPr>
              <w:t xml:space="preserve">Right Shoulder Impingement with </w:t>
            </w:r>
            <w:proofErr w:type="spellStart"/>
            <w:r>
              <w:rPr>
                <w:color w:val="000080"/>
                <w:szCs w:val="24"/>
              </w:rPr>
              <w:t>Acromio-clavicular</w:t>
            </w:r>
            <w:proofErr w:type="spellEnd"/>
            <w:r>
              <w:rPr>
                <w:color w:val="000080"/>
                <w:szCs w:val="24"/>
              </w:rPr>
              <w:t xml:space="preserve"> Joint </w:t>
            </w:r>
            <w:proofErr w:type="spellStart"/>
            <w:r>
              <w:rPr>
                <w:color w:val="000080"/>
                <w:szCs w:val="24"/>
              </w:rPr>
              <w:t>Arthrosis</w:t>
            </w:r>
            <w:proofErr w:type="spellEnd"/>
          </w:p>
        </w:tc>
        <w:tc>
          <w:tcPr>
            <w:tcW w:w="1706" w:type="dxa"/>
          </w:tcPr>
          <w:p w:rsidR="000912A9" w:rsidRPr="00A867F0" w:rsidRDefault="000912A9" w:rsidP="00047E9B">
            <w:pPr>
              <w:tabs>
                <w:tab w:val="left" w:pos="288"/>
                <w:tab w:val="left" w:pos="4752"/>
              </w:tabs>
              <w:spacing w:line="240" w:lineRule="exact"/>
              <w:jc w:val="center"/>
              <w:rPr>
                <w:color w:val="000080"/>
                <w:szCs w:val="24"/>
              </w:rPr>
            </w:pPr>
            <w:r>
              <w:rPr>
                <w:color w:val="000080"/>
                <w:szCs w:val="24"/>
              </w:rPr>
              <w:t>5299-5203</w:t>
            </w:r>
          </w:p>
        </w:tc>
        <w:tc>
          <w:tcPr>
            <w:tcW w:w="1084" w:type="dxa"/>
          </w:tcPr>
          <w:p w:rsidR="000912A9" w:rsidRDefault="000912A9" w:rsidP="00047E9B">
            <w:pPr>
              <w:tabs>
                <w:tab w:val="left" w:pos="288"/>
                <w:tab w:val="left" w:pos="4752"/>
              </w:tabs>
              <w:spacing w:line="240" w:lineRule="exact"/>
              <w:jc w:val="center"/>
              <w:rPr>
                <w:color w:val="000080"/>
                <w:szCs w:val="24"/>
              </w:rPr>
            </w:pPr>
            <w:r>
              <w:rPr>
                <w:color w:val="000080"/>
                <w:szCs w:val="24"/>
              </w:rPr>
              <w:t>10%</w:t>
            </w:r>
          </w:p>
        </w:tc>
      </w:tr>
      <w:tr w:rsidR="000912A9" w:rsidRPr="00533FB5" w:rsidTr="000912A9">
        <w:tc>
          <w:tcPr>
            <w:tcW w:w="6660" w:type="dxa"/>
          </w:tcPr>
          <w:p w:rsidR="000912A9" w:rsidRPr="00A867F0" w:rsidRDefault="000912A9" w:rsidP="00047E9B">
            <w:pPr>
              <w:tabs>
                <w:tab w:val="left" w:pos="288"/>
                <w:tab w:val="left" w:pos="4752"/>
              </w:tabs>
              <w:spacing w:line="240" w:lineRule="exact"/>
              <w:rPr>
                <w:color w:val="000080"/>
                <w:szCs w:val="24"/>
              </w:rPr>
            </w:pPr>
            <w:r>
              <w:rPr>
                <w:color w:val="000080"/>
                <w:szCs w:val="24"/>
              </w:rPr>
              <w:t xml:space="preserve">Left Knee </w:t>
            </w:r>
            <w:proofErr w:type="spellStart"/>
            <w:r>
              <w:rPr>
                <w:color w:val="000080"/>
                <w:szCs w:val="24"/>
              </w:rPr>
              <w:t>Meniscal</w:t>
            </w:r>
            <w:proofErr w:type="spellEnd"/>
            <w:r>
              <w:rPr>
                <w:color w:val="000080"/>
                <w:szCs w:val="24"/>
              </w:rPr>
              <w:t xml:space="preserve"> Injury Stat</w:t>
            </w:r>
            <w:r w:rsidR="001F4B39">
              <w:rPr>
                <w:color w:val="000080"/>
                <w:szCs w:val="24"/>
              </w:rPr>
              <w:t>us-</w:t>
            </w:r>
            <w:r>
              <w:rPr>
                <w:color w:val="000080"/>
                <w:szCs w:val="24"/>
              </w:rPr>
              <w:t xml:space="preserve">Post </w:t>
            </w:r>
            <w:r w:rsidR="001F4B39">
              <w:rPr>
                <w:color w:val="000080"/>
                <w:szCs w:val="24"/>
              </w:rPr>
              <w:t>Arthroscopic</w:t>
            </w:r>
            <w:r>
              <w:rPr>
                <w:color w:val="000080"/>
                <w:szCs w:val="24"/>
              </w:rPr>
              <w:t xml:space="preserve"> Debridement</w:t>
            </w:r>
            <w:r w:rsidR="001F4B39">
              <w:rPr>
                <w:color w:val="000080"/>
                <w:szCs w:val="24"/>
              </w:rPr>
              <w:t xml:space="preserve"> and </w:t>
            </w:r>
            <w:proofErr w:type="spellStart"/>
            <w:r w:rsidR="001F4B39">
              <w:rPr>
                <w:color w:val="000080"/>
                <w:szCs w:val="24"/>
              </w:rPr>
              <w:t>Chondroplasty</w:t>
            </w:r>
            <w:proofErr w:type="spellEnd"/>
          </w:p>
        </w:tc>
        <w:tc>
          <w:tcPr>
            <w:tcW w:w="1706" w:type="dxa"/>
          </w:tcPr>
          <w:p w:rsidR="000912A9" w:rsidRPr="00A867F0" w:rsidRDefault="001F4B39" w:rsidP="00047E9B">
            <w:pPr>
              <w:tabs>
                <w:tab w:val="left" w:pos="288"/>
                <w:tab w:val="left" w:pos="4752"/>
              </w:tabs>
              <w:spacing w:line="240" w:lineRule="exact"/>
              <w:jc w:val="center"/>
              <w:rPr>
                <w:color w:val="000080"/>
                <w:szCs w:val="24"/>
              </w:rPr>
            </w:pPr>
            <w:r>
              <w:rPr>
                <w:color w:val="000080"/>
                <w:szCs w:val="24"/>
              </w:rPr>
              <w:t>5259</w:t>
            </w:r>
          </w:p>
        </w:tc>
        <w:tc>
          <w:tcPr>
            <w:tcW w:w="1084" w:type="dxa"/>
          </w:tcPr>
          <w:p w:rsidR="000912A9" w:rsidRDefault="001F4B39" w:rsidP="00047E9B">
            <w:pPr>
              <w:tabs>
                <w:tab w:val="left" w:pos="288"/>
                <w:tab w:val="left" w:pos="4752"/>
              </w:tabs>
              <w:spacing w:line="240" w:lineRule="exact"/>
              <w:jc w:val="center"/>
              <w:rPr>
                <w:color w:val="000080"/>
                <w:szCs w:val="24"/>
              </w:rPr>
            </w:pPr>
            <w:r>
              <w:rPr>
                <w:color w:val="000080"/>
                <w:szCs w:val="24"/>
              </w:rPr>
              <w:t>10%</w:t>
            </w:r>
          </w:p>
        </w:tc>
      </w:tr>
      <w:tr w:rsidR="0090091F" w:rsidRPr="00533FB5" w:rsidTr="000912A9">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90091F" w:rsidRPr="00A867F0" w:rsidRDefault="0090091F" w:rsidP="00047E9B">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90091F" w:rsidRPr="005A258C" w:rsidRDefault="001F4B39" w:rsidP="00047E9B">
            <w:pPr>
              <w:tabs>
                <w:tab w:val="left" w:pos="288"/>
                <w:tab w:val="left" w:pos="4752"/>
              </w:tabs>
              <w:spacing w:line="240" w:lineRule="exact"/>
              <w:jc w:val="center"/>
              <w:rPr>
                <w:b/>
                <w:color w:val="000080"/>
                <w:szCs w:val="24"/>
              </w:rPr>
            </w:pPr>
            <w:r>
              <w:rPr>
                <w:b/>
                <w:color w:val="000080"/>
                <w:szCs w:val="24"/>
              </w:rPr>
              <w:t>30</w:t>
            </w:r>
            <w:r w:rsidR="0090091F" w:rsidRPr="005A258C">
              <w:rPr>
                <w:b/>
                <w:color w:val="000080"/>
                <w:szCs w:val="24"/>
              </w:rPr>
              <w:t>%</w:t>
            </w:r>
          </w:p>
        </w:tc>
      </w:tr>
    </w:tbl>
    <w:p w:rsidR="00B522CD" w:rsidRDefault="008B5D31" w:rsidP="00047E9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047E9B">
      <w:pPr>
        <w:tabs>
          <w:tab w:val="left" w:pos="288"/>
          <w:tab w:val="left" w:pos="4752"/>
        </w:tabs>
        <w:spacing w:line="240" w:lineRule="exact"/>
        <w:jc w:val="both"/>
        <w:rPr>
          <w:color w:val="000080"/>
        </w:rPr>
      </w:pPr>
    </w:p>
    <w:p w:rsidR="00F86338" w:rsidRDefault="00F86338" w:rsidP="00047E9B">
      <w:pPr>
        <w:spacing w:line="240" w:lineRule="exact"/>
        <w:rPr>
          <w:color w:val="000080"/>
        </w:rPr>
      </w:pPr>
      <w:r>
        <w:rPr>
          <w:color w:val="000080"/>
        </w:rPr>
        <w:br w:type="page"/>
      </w:r>
    </w:p>
    <w:p w:rsidR="00D91DA6" w:rsidRDefault="00114F20" w:rsidP="00047E9B">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047E9B">
      <w:pPr>
        <w:tabs>
          <w:tab w:val="left" w:pos="288"/>
          <w:tab w:val="left" w:pos="4752"/>
        </w:tabs>
        <w:spacing w:line="240" w:lineRule="exact"/>
        <w:jc w:val="both"/>
        <w:rPr>
          <w:color w:val="000080"/>
        </w:rPr>
      </w:pPr>
    </w:p>
    <w:p w:rsidR="00114F20" w:rsidRDefault="0051146C" w:rsidP="00047E9B">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55717B">
        <w:rPr>
          <w:color w:val="000080"/>
        </w:rPr>
        <w:t>0203</w:t>
      </w:r>
      <w:r w:rsidR="00114F20">
        <w:rPr>
          <w:color w:val="000080"/>
        </w:rPr>
        <w:t>, w/</w:t>
      </w:r>
      <w:proofErr w:type="spellStart"/>
      <w:r w:rsidR="00114F20">
        <w:rPr>
          <w:color w:val="000080"/>
        </w:rPr>
        <w:t>atchs</w:t>
      </w:r>
      <w:proofErr w:type="spellEnd"/>
      <w:r w:rsidR="00114F20">
        <w:rPr>
          <w:color w:val="000080"/>
        </w:rPr>
        <w:t>.</w:t>
      </w:r>
    </w:p>
    <w:p w:rsidR="00114F20" w:rsidRDefault="00114F20" w:rsidP="00047E9B">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047E9B">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047E9B">
      <w:pPr>
        <w:tabs>
          <w:tab w:val="left" w:pos="288"/>
          <w:tab w:val="left" w:pos="4752"/>
        </w:tabs>
        <w:spacing w:line="240" w:lineRule="exact"/>
        <w:jc w:val="both"/>
        <w:rPr>
          <w:color w:val="000080"/>
        </w:rPr>
      </w:pPr>
    </w:p>
    <w:p w:rsidR="00114F20" w:rsidRDefault="00114F20" w:rsidP="00047E9B">
      <w:pPr>
        <w:tabs>
          <w:tab w:val="left" w:pos="288"/>
          <w:tab w:val="left" w:pos="4752"/>
        </w:tabs>
        <w:spacing w:line="240" w:lineRule="exact"/>
        <w:jc w:val="both"/>
        <w:rPr>
          <w:color w:val="000080"/>
        </w:rPr>
      </w:pPr>
    </w:p>
    <w:p w:rsidR="00114F20" w:rsidRDefault="00114F20" w:rsidP="00047E9B">
      <w:pPr>
        <w:tabs>
          <w:tab w:val="left" w:pos="288"/>
          <w:tab w:val="left" w:pos="4752"/>
        </w:tabs>
        <w:spacing w:line="240" w:lineRule="exact"/>
        <w:jc w:val="both"/>
        <w:rPr>
          <w:color w:val="000080"/>
        </w:rPr>
      </w:pPr>
    </w:p>
    <w:p w:rsidR="00114F20" w:rsidRPr="00D91DA6" w:rsidRDefault="00114F20" w:rsidP="00047E9B">
      <w:pPr>
        <w:tabs>
          <w:tab w:val="left" w:pos="288"/>
          <w:tab w:val="left" w:pos="4752"/>
        </w:tabs>
        <w:spacing w:line="240" w:lineRule="exact"/>
        <w:jc w:val="both"/>
        <w:rPr>
          <w:color w:val="000080"/>
        </w:rPr>
      </w:pPr>
    </w:p>
    <w:p w:rsidR="00DE35CF" w:rsidRDefault="00DE35CF" w:rsidP="00DE35CF">
      <w:pPr>
        <w:pStyle w:val="Default"/>
        <w:framePr w:w="13487" w:wrap="auto" w:vAnchor="page" w:hAnchor="page" w:x="1" w:y="1"/>
      </w:pPr>
    </w:p>
    <w:p w:rsidR="00B522CD" w:rsidRPr="005C48D7" w:rsidRDefault="005C48D7" w:rsidP="005C48D7">
      <w:pPr>
        <w:pStyle w:val="Default"/>
        <w:ind w:left="-990"/>
      </w:pPr>
      <w:r>
        <w:rPr>
          <w:noProof/>
        </w:rPr>
        <w:lastRenderedPageBreak/>
        <w:drawing>
          <wp:inline distT="0" distB="0" distL="0" distR="0">
            <wp:extent cx="7800975" cy="10029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sectPr w:rsidR="00B522CD" w:rsidRPr="005C48D7"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CE4" w:rsidRDefault="008B2CE4">
      <w:r>
        <w:separator/>
      </w:r>
    </w:p>
  </w:endnote>
  <w:endnote w:type="continuationSeparator" w:id="0">
    <w:p w:rsidR="008B2CE4" w:rsidRDefault="008B2CE4">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A9" w:rsidRDefault="001F599D">
    <w:pPr>
      <w:pStyle w:val="Footer"/>
      <w:framePr w:wrap="around" w:vAnchor="text" w:hAnchor="margin" w:xAlign="center" w:y="1"/>
      <w:rPr>
        <w:rStyle w:val="PageNumber"/>
      </w:rPr>
    </w:pPr>
    <w:r>
      <w:rPr>
        <w:rStyle w:val="PageNumber"/>
      </w:rPr>
      <w:fldChar w:fldCharType="begin"/>
    </w:r>
    <w:r w:rsidR="000912A9">
      <w:rPr>
        <w:rStyle w:val="PageNumber"/>
      </w:rPr>
      <w:instrText xml:space="preserve">PAGE  </w:instrText>
    </w:r>
    <w:r>
      <w:rPr>
        <w:rStyle w:val="PageNumber"/>
      </w:rPr>
      <w:fldChar w:fldCharType="separate"/>
    </w:r>
    <w:r w:rsidR="000912A9">
      <w:rPr>
        <w:rStyle w:val="PageNumber"/>
        <w:noProof/>
      </w:rPr>
      <w:t>2</w:t>
    </w:r>
    <w:r>
      <w:rPr>
        <w:rStyle w:val="PageNumber"/>
      </w:rPr>
      <w:fldChar w:fldCharType="end"/>
    </w:r>
  </w:p>
  <w:p w:rsidR="000912A9" w:rsidRDefault="000912A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A9" w:rsidRDefault="001F599D">
    <w:pPr>
      <w:pStyle w:val="Footer"/>
      <w:framePr w:wrap="around" w:vAnchor="text" w:hAnchor="margin" w:xAlign="center" w:y="1"/>
      <w:rPr>
        <w:rStyle w:val="PageNumber"/>
      </w:rPr>
    </w:pPr>
    <w:r>
      <w:rPr>
        <w:rStyle w:val="PageNumber"/>
      </w:rPr>
      <w:fldChar w:fldCharType="begin"/>
    </w:r>
    <w:r w:rsidR="000912A9">
      <w:rPr>
        <w:rStyle w:val="PageNumber"/>
      </w:rPr>
      <w:instrText xml:space="preserve">PAGE  </w:instrText>
    </w:r>
    <w:r>
      <w:rPr>
        <w:rStyle w:val="PageNumber"/>
      </w:rPr>
      <w:fldChar w:fldCharType="separate"/>
    </w:r>
    <w:r w:rsidR="005C48D7">
      <w:rPr>
        <w:rStyle w:val="PageNumber"/>
        <w:noProof/>
      </w:rPr>
      <w:t>10</w:t>
    </w:r>
    <w:r>
      <w:rPr>
        <w:rStyle w:val="PageNumber"/>
      </w:rPr>
      <w:fldChar w:fldCharType="end"/>
    </w:r>
  </w:p>
  <w:p w:rsidR="000912A9" w:rsidRDefault="000912A9" w:rsidP="002B0749">
    <w:pPr>
      <w:pStyle w:val="Footer"/>
      <w:jc w:val="right"/>
    </w:pPr>
    <w:r>
      <w:tab/>
    </w:r>
    <w:r>
      <w:tab/>
    </w:r>
    <w:r w:rsidRPr="001D3186">
      <w:rPr>
        <w:caps/>
        <w:color w:val="000080"/>
      </w:rPr>
      <w:t>PD09</w:t>
    </w:r>
    <w:r>
      <w:rPr>
        <w:caps/>
        <w:color w:val="000080"/>
      </w:rPr>
      <w:t>00009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CE4" w:rsidRDefault="008B2CE4">
      <w:r>
        <w:separator/>
      </w:r>
    </w:p>
  </w:footnote>
  <w:footnote w:type="continuationSeparator" w:id="0">
    <w:p w:rsidR="008B2CE4" w:rsidRDefault="008B2C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89441"/>
  </w:hdrShapeDefaults>
  <w:footnotePr>
    <w:numRestart w:val="eachSect"/>
    <w:footnote w:id="-1"/>
    <w:footnote w:id="0"/>
  </w:footnotePr>
  <w:endnotePr>
    <w:endnote w:id="-1"/>
    <w:endnote w:id="0"/>
  </w:endnotePr>
  <w:compat/>
  <w:rsids>
    <w:rsidRoot w:val="001C28D1"/>
    <w:rsid w:val="000059FA"/>
    <w:rsid w:val="00010ABA"/>
    <w:rsid w:val="00013417"/>
    <w:rsid w:val="000145C2"/>
    <w:rsid w:val="00023D43"/>
    <w:rsid w:val="00035C3A"/>
    <w:rsid w:val="000379D0"/>
    <w:rsid w:val="00040FC4"/>
    <w:rsid w:val="000416F8"/>
    <w:rsid w:val="00047E9B"/>
    <w:rsid w:val="00051622"/>
    <w:rsid w:val="00053D7C"/>
    <w:rsid w:val="00072433"/>
    <w:rsid w:val="00074E3E"/>
    <w:rsid w:val="00081340"/>
    <w:rsid w:val="0008708B"/>
    <w:rsid w:val="000912A9"/>
    <w:rsid w:val="00094E4F"/>
    <w:rsid w:val="000A2BCE"/>
    <w:rsid w:val="000A41E3"/>
    <w:rsid w:val="000A4BBA"/>
    <w:rsid w:val="000C3C13"/>
    <w:rsid w:val="000C7DE4"/>
    <w:rsid w:val="000D15E7"/>
    <w:rsid w:val="000D248A"/>
    <w:rsid w:val="000D43F9"/>
    <w:rsid w:val="000D4717"/>
    <w:rsid w:val="000D7D55"/>
    <w:rsid w:val="000E0993"/>
    <w:rsid w:val="000E3E26"/>
    <w:rsid w:val="000F02BE"/>
    <w:rsid w:val="000F268A"/>
    <w:rsid w:val="000F3232"/>
    <w:rsid w:val="000F427B"/>
    <w:rsid w:val="00103CCF"/>
    <w:rsid w:val="0010417F"/>
    <w:rsid w:val="001042D2"/>
    <w:rsid w:val="001043BD"/>
    <w:rsid w:val="0010530E"/>
    <w:rsid w:val="001103CD"/>
    <w:rsid w:val="00114F20"/>
    <w:rsid w:val="001219DF"/>
    <w:rsid w:val="001231DC"/>
    <w:rsid w:val="001315DD"/>
    <w:rsid w:val="00135385"/>
    <w:rsid w:val="001364D1"/>
    <w:rsid w:val="001538B0"/>
    <w:rsid w:val="001541C5"/>
    <w:rsid w:val="0015623F"/>
    <w:rsid w:val="00177659"/>
    <w:rsid w:val="001779E5"/>
    <w:rsid w:val="00182A4C"/>
    <w:rsid w:val="00183F77"/>
    <w:rsid w:val="00185ECB"/>
    <w:rsid w:val="0019273F"/>
    <w:rsid w:val="00194930"/>
    <w:rsid w:val="00194DA7"/>
    <w:rsid w:val="001A7538"/>
    <w:rsid w:val="001B5B59"/>
    <w:rsid w:val="001C181A"/>
    <w:rsid w:val="001C2053"/>
    <w:rsid w:val="001C28D1"/>
    <w:rsid w:val="001C7418"/>
    <w:rsid w:val="001D0051"/>
    <w:rsid w:val="001D2224"/>
    <w:rsid w:val="001D68CF"/>
    <w:rsid w:val="001D6A8C"/>
    <w:rsid w:val="001D7A56"/>
    <w:rsid w:val="001E18E2"/>
    <w:rsid w:val="001F4B39"/>
    <w:rsid w:val="001F599D"/>
    <w:rsid w:val="00204911"/>
    <w:rsid w:val="002060B6"/>
    <w:rsid w:val="00211896"/>
    <w:rsid w:val="00216049"/>
    <w:rsid w:val="00216F41"/>
    <w:rsid w:val="00217C09"/>
    <w:rsid w:val="00225196"/>
    <w:rsid w:val="00225CB4"/>
    <w:rsid w:val="00225D0B"/>
    <w:rsid w:val="00232C9B"/>
    <w:rsid w:val="002338CA"/>
    <w:rsid w:val="0024227D"/>
    <w:rsid w:val="00246860"/>
    <w:rsid w:val="0025183C"/>
    <w:rsid w:val="00255049"/>
    <w:rsid w:val="0026318D"/>
    <w:rsid w:val="0026651A"/>
    <w:rsid w:val="0027159C"/>
    <w:rsid w:val="00274549"/>
    <w:rsid w:val="00274E46"/>
    <w:rsid w:val="00276C86"/>
    <w:rsid w:val="002916AA"/>
    <w:rsid w:val="002A3237"/>
    <w:rsid w:val="002B03B2"/>
    <w:rsid w:val="002B0749"/>
    <w:rsid w:val="002B5C1C"/>
    <w:rsid w:val="002C6E5B"/>
    <w:rsid w:val="002D18B4"/>
    <w:rsid w:val="002D5C30"/>
    <w:rsid w:val="002E1877"/>
    <w:rsid w:val="002E1C31"/>
    <w:rsid w:val="002E333A"/>
    <w:rsid w:val="002E3474"/>
    <w:rsid w:val="002E764B"/>
    <w:rsid w:val="002F0E28"/>
    <w:rsid w:val="002F287E"/>
    <w:rsid w:val="002F7F81"/>
    <w:rsid w:val="0030678B"/>
    <w:rsid w:val="00310CD7"/>
    <w:rsid w:val="00323E70"/>
    <w:rsid w:val="003320E8"/>
    <w:rsid w:val="0033555E"/>
    <w:rsid w:val="00337351"/>
    <w:rsid w:val="00341A54"/>
    <w:rsid w:val="00351498"/>
    <w:rsid w:val="0035310C"/>
    <w:rsid w:val="00353908"/>
    <w:rsid w:val="003601C8"/>
    <w:rsid w:val="0036319E"/>
    <w:rsid w:val="00363362"/>
    <w:rsid w:val="0037520D"/>
    <w:rsid w:val="0037628C"/>
    <w:rsid w:val="00377BD2"/>
    <w:rsid w:val="003810E6"/>
    <w:rsid w:val="00384866"/>
    <w:rsid w:val="003857D4"/>
    <w:rsid w:val="00385D6F"/>
    <w:rsid w:val="00387095"/>
    <w:rsid w:val="00390092"/>
    <w:rsid w:val="00393651"/>
    <w:rsid w:val="003A13C0"/>
    <w:rsid w:val="003A41BA"/>
    <w:rsid w:val="003A6A99"/>
    <w:rsid w:val="003B227A"/>
    <w:rsid w:val="003B73F5"/>
    <w:rsid w:val="003D2BA3"/>
    <w:rsid w:val="003D5761"/>
    <w:rsid w:val="003D7089"/>
    <w:rsid w:val="003D7DDB"/>
    <w:rsid w:val="003E02C7"/>
    <w:rsid w:val="003E0543"/>
    <w:rsid w:val="003E31E3"/>
    <w:rsid w:val="003E3DF0"/>
    <w:rsid w:val="003F58B0"/>
    <w:rsid w:val="004007E9"/>
    <w:rsid w:val="00401BBC"/>
    <w:rsid w:val="00403BFB"/>
    <w:rsid w:val="00404B45"/>
    <w:rsid w:val="00406CC5"/>
    <w:rsid w:val="004074A4"/>
    <w:rsid w:val="004101B2"/>
    <w:rsid w:val="004123D7"/>
    <w:rsid w:val="004172DB"/>
    <w:rsid w:val="00422B75"/>
    <w:rsid w:val="0043215A"/>
    <w:rsid w:val="0043503A"/>
    <w:rsid w:val="00442A1B"/>
    <w:rsid w:val="0044384F"/>
    <w:rsid w:val="004543BC"/>
    <w:rsid w:val="0045645D"/>
    <w:rsid w:val="004574C6"/>
    <w:rsid w:val="00457BCF"/>
    <w:rsid w:val="004718E7"/>
    <w:rsid w:val="004761CC"/>
    <w:rsid w:val="00481DA1"/>
    <w:rsid w:val="00483DC4"/>
    <w:rsid w:val="00487BE9"/>
    <w:rsid w:val="0049194F"/>
    <w:rsid w:val="00495350"/>
    <w:rsid w:val="004A24D2"/>
    <w:rsid w:val="004A4136"/>
    <w:rsid w:val="004A53FC"/>
    <w:rsid w:val="004B03F3"/>
    <w:rsid w:val="004B1D7A"/>
    <w:rsid w:val="004B4C36"/>
    <w:rsid w:val="004B715E"/>
    <w:rsid w:val="004B7169"/>
    <w:rsid w:val="004C5E33"/>
    <w:rsid w:val="004C6CDA"/>
    <w:rsid w:val="004D6F2B"/>
    <w:rsid w:val="004E0248"/>
    <w:rsid w:val="004E32EA"/>
    <w:rsid w:val="004F3BFA"/>
    <w:rsid w:val="00510588"/>
    <w:rsid w:val="0051146C"/>
    <w:rsid w:val="005222E7"/>
    <w:rsid w:val="00523E04"/>
    <w:rsid w:val="0052590B"/>
    <w:rsid w:val="00526591"/>
    <w:rsid w:val="005276A5"/>
    <w:rsid w:val="005336EA"/>
    <w:rsid w:val="005350A5"/>
    <w:rsid w:val="00536379"/>
    <w:rsid w:val="00540BEF"/>
    <w:rsid w:val="005436C2"/>
    <w:rsid w:val="0055288D"/>
    <w:rsid w:val="00555011"/>
    <w:rsid w:val="0055717B"/>
    <w:rsid w:val="00560D57"/>
    <w:rsid w:val="0056214C"/>
    <w:rsid w:val="00562A94"/>
    <w:rsid w:val="005642A5"/>
    <w:rsid w:val="00572761"/>
    <w:rsid w:val="00572DA9"/>
    <w:rsid w:val="00576358"/>
    <w:rsid w:val="005777C6"/>
    <w:rsid w:val="0058136E"/>
    <w:rsid w:val="00593043"/>
    <w:rsid w:val="005A258C"/>
    <w:rsid w:val="005A3560"/>
    <w:rsid w:val="005A50A9"/>
    <w:rsid w:val="005A6C99"/>
    <w:rsid w:val="005B011A"/>
    <w:rsid w:val="005B1D8F"/>
    <w:rsid w:val="005B609B"/>
    <w:rsid w:val="005C4675"/>
    <w:rsid w:val="005C48D7"/>
    <w:rsid w:val="005D24CF"/>
    <w:rsid w:val="005F1115"/>
    <w:rsid w:val="005F2377"/>
    <w:rsid w:val="005F27F2"/>
    <w:rsid w:val="005F424D"/>
    <w:rsid w:val="005F5AFF"/>
    <w:rsid w:val="00613E26"/>
    <w:rsid w:val="00615641"/>
    <w:rsid w:val="00620245"/>
    <w:rsid w:val="00622780"/>
    <w:rsid w:val="006307BA"/>
    <w:rsid w:val="006314C3"/>
    <w:rsid w:val="00633F78"/>
    <w:rsid w:val="00634C4A"/>
    <w:rsid w:val="006418C9"/>
    <w:rsid w:val="00645046"/>
    <w:rsid w:val="006507C7"/>
    <w:rsid w:val="00662F08"/>
    <w:rsid w:val="00663589"/>
    <w:rsid w:val="006638AD"/>
    <w:rsid w:val="00665252"/>
    <w:rsid w:val="00670DDC"/>
    <w:rsid w:val="0067443B"/>
    <w:rsid w:val="00684E2B"/>
    <w:rsid w:val="00690FDA"/>
    <w:rsid w:val="00694EEA"/>
    <w:rsid w:val="00696476"/>
    <w:rsid w:val="006A10FA"/>
    <w:rsid w:val="006A40E6"/>
    <w:rsid w:val="006A5C07"/>
    <w:rsid w:val="006A75FA"/>
    <w:rsid w:val="006B07D5"/>
    <w:rsid w:val="006B1309"/>
    <w:rsid w:val="006B5923"/>
    <w:rsid w:val="006B6C14"/>
    <w:rsid w:val="006C3A68"/>
    <w:rsid w:val="006C67A7"/>
    <w:rsid w:val="006C6AB1"/>
    <w:rsid w:val="006D2D39"/>
    <w:rsid w:val="006E06D1"/>
    <w:rsid w:val="006E7356"/>
    <w:rsid w:val="006E77C8"/>
    <w:rsid w:val="006F1A46"/>
    <w:rsid w:val="00706BEF"/>
    <w:rsid w:val="007116BC"/>
    <w:rsid w:val="007165CE"/>
    <w:rsid w:val="00720968"/>
    <w:rsid w:val="00720D41"/>
    <w:rsid w:val="00721D12"/>
    <w:rsid w:val="00721F8B"/>
    <w:rsid w:val="00736A49"/>
    <w:rsid w:val="00741BF6"/>
    <w:rsid w:val="00743C2D"/>
    <w:rsid w:val="00744EBB"/>
    <w:rsid w:val="00746AE2"/>
    <w:rsid w:val="00750C82"/>
    <w:rsid w:val="0076100C"/>
    <w:rsid w:val="007651ED"/>
    <w:rsid w:val="00766C87"/>
    <w:rsid w:val="0077237E"/>
    <w:rsid w:val="00781BD4"/>
    <w:rsid w:val="00784832"/>
    <w:rsid w:val="00785D77"/>
    <w:rsid w:val="00791F1E"/>
    <w:rsid w:val="00794F3D"/>
    <w:rsid w:val="007A0B39"/>
    <w:rsid w:val="007A14A4"/>
    <w:rsid w:val="007A168F"/>
    <w:rsid w:val="007A28E4"/>
    <w:rsid w:val="007A3BB3"/>
    <w:rsid w:val="007A5AD1"/>
    <w:rsid w:val="007B0A06"/>
    <w:rsid w:val="007B5C5C"/>
    <w:rsid w:val="007B7C41"/>
    <w:rsid w:val="007C433E"/>
    <w:rsid w:val="007D0292"/>
    <w:rsid w:val="007D21AC"/>
    <w:rsid w:val="007D574E"/>
    <w:rsid w:val="007D7D30"/>
    <w:rsid w:val="007E2046"/>
    <w:rsid w:val="007E4FBB"/>
    <w:rsid w:val="007F0CE2"/>
    <w:rsid w:val="007F1375"/>
    <w:rsid w:val="008023FD"/>
    <w:rsid w:val="00805AFD"/>
    <w:rsid w:val="00811D5B"/>
    <w:rsid w:val="00817713"/>
    <w:rsid w:val="0082032A"/>
    <w:rsid w:val="00824C3F"/>
    <w:rsid w:val="00830999"/>
    <w:rsid w:val="00830D5E"/>
    <w:rsid w:val="00830F69"/>
    <w:rsid w:val="00834458"/>
    <w:rsid w:val="00836616"/>
    <w:rsid w:val="00837465"/>
    <w:rsid w:val="00841457"/>
    <w:rsid w:val="0084374E"/>
    <w:rsid w:val="00844842"/>
    <w:rsid w:val="00845F48"/>
    <w:rsid w:val="0085206E"/>
    <w:rsid w:val="00852AD4"/>
    <w:rsid w:val="00852BA8"/>
    <w:rsid w:val="00853718"/>
    <w:rsid w:val="008541EF"/>
    <w:rsid w:val="0086162B"/>
    <w:rsid w:val="00863698"/>
    <w:rsid w:val="00865207"/>
    <w:rsid w:val="00871262"/>
    <w:rsid w:val="00871D4E"/>
    <w:rsid w:val="00874310"/>
    <w:rsid w:val="00875B51"/>
    <w:rsid w:val="00875F2D"/>
    <w:rsid w:val="008764DC"/>
    <w:rsid w:val="008846E6"/>
    <w:rsid w:val="008A09D7"/>
    <w:rsid w:val="008A63A9"/>
    <w:rsid w:val="008B04DB"/>
    <w:rsid w:val="008B2CE4"/>
    <w:rsid w:val="008B5D31"/>
    <w:rsid w:val="008C18EC"/>
    <w:rsid w:val="008D4564"/>
    <w:rsid w:val="008D7B07"/>
    <w:rsid w:val="008E1255"/>
    <w:rsid w:val="008E2D99"/>
    <w:rsid w:val="008E4A60"/>
    <w:rsid w:val="0090091F"/>
    <w:rsid w:val="009026E8"/>
    <w:rsid w:val="0091012F"/>
    <w:rsid w:val="009102BF"/>
    <w:rsid w:val="0091360E"/>
    <w:rsid w:val="00914ADB"/>
    <w:rsid w:val="00914EE3"/>
    <w:rsid w:val="00922B86"/>
    <w:rsid w:val="00923B25"/>
    <w:rsid w:val="00942645"/>
    <w:rsid w:val="00950A3A"/>
    <w:rsid w:val="009523D1"/>
    <w:rsid w:val="0095340A"/>
    <w:rsid w:val="00954581"/>
    <w:rsid w:val="0095466C"/>
    <w:rsid w:val="0096168C"/>
    <w:rsid w:val="00962F2D"/>
    <w:rsid w:val="009732B8"/>
    <w:rsid w:val="00976869"/>
    <w:rsid w:val="00977740"/>
    <w:rsid w:val="00977CB4"/>
    <w:rsid w:val="00985099"/>
    <w:rsid w:val="009A0DE3"/>
    <w:rsid w:val="009B1534"/>
    <w:rsid w:val="009B69D3"/>
    <w:rsid w:val="009B7BA7"/>
    <w:rsid w:val="009C0938"/>
    <w:rsid w:val="009C3F82"/>
    <w:rsid w:val="009C7DF5"/>
    <w:rsid w:val="009D056C"/>
    <w:rsid w:val="009D1ADE"/>
    <w:rsid w:val="009E1283"/>
    <w:rsid w:val="00A00D14"/>
    <w:rsid w:val="00A02457"/>
    <w:rsid w:val="00A0404B"/>
    <w:rsid w:val="00A1105B"/>
    <w:rsid w:val="00A15B6B"/>
    <w:rsid w:val="00A16876"/>
    <w:rsid w:val="00A200AA"/>
    <w:rsid w:val="00A2186F"/>
    <w:rsid w:val="00A2270B"/>
    <w:rsid w:val="00A2496E"/>
    <w:rsid w:val="00A258B7"/>
    <w:rsid w:val="00A414A9"/>
    <w:rsid w:val="00A47CF1"/>
    <w:rsid w:val="00A50418"/>
    <w:rsid w:val="00A57957"/>
    <w:rsid w:val="00A608FB"/>
    <w:rsid w:val="00A61877"/>
    <w:rsid w:val="00A62354"/>
    <w:rsid w:val="00A6738B"/>
    <w:rsid w:val="00A70E7B"/>
    <w:rsid w:val="00A73B84"/>
    <w:rsid w:val="00A76094"/>
    <w:rsid w:val="00A86CB6"/>
    <w:rsid w:val="00A90D55"/>
    <w:rsid w:val="00A9600F"/>
    <w:rsid w:val="00AA04B3"/>
    <w:rsid w:val="00AA2C6D"/>
    <w:rsid w:val="00AA493E"/>
    <w:rsid w:val="00AB1754"/>
    <w:rsid w:val="00AB49D0"/>
    <w:rsid w:val="00AC439D"/>
    <w:rsid w:val="00AE2D29"/>
    <w:rsid w:val="00AE4624"/>
    <w:rsid w:val="00AE5E14"/>
    <w:rsid w:val="00AE6F56"/>
    <w:rsid w:val="00AF4FA5"/>
    <w:rsid w:val="00AF7864"/>
    <w:rsid w:val="00B12200"/>
    <w:rsid w:val="00B13BF3"/>
    <w:rsid w:val="00B15D30"/>
    <w:rsid w:val="00B23436"/>
    <w:rsid w:val="00B32179"/>
    <w:rsid w:val="00B40A3E"/>
    <w:rsid w:val="00B522CD"/>
    <w:rsid w:val="00B55917"/>
    <w:rsid w:val="00B6584E"/>
    <w:rsid w:val="00B72303"/>
    <w:rsid w:val="00B74045"/>
    <w:rsid w:val="00B82277"/>
    <w:rsid w:val="00B95833"/>
    <w:rsid w:val="00BA0A83"/>
    <w:rsid w:val="00BA2D98"/>
    <w:rsid w:val="00BA30D1"/>
    <w:rsid w:val="00BA4609"/>
    <w:rsid w:val="00BA5BE2"/>
    <w:rsid w:val="00BA7F46"/>
    <w:rsid w:val="00BB0A0A"/>
    <w:rsid w:val="00BB6064"/>
    <w:rsid w:val="00BC09D1"/>
    <w:rsid w:val="00BD1258"/>
    <w:rsid w:val="00BD6806"/>
    <w:rsid w:val="00BD7831"/>
    <w:rsid w:val="00BD7C10"/>
    <w:rsid w:val="00BE0DEB"/>
    <w:rsid w:val="00BE2FC1"/>
    <w:rsid w:val="00BE6365"/>
    <w:rsid w:val="00BF4720"/>
    <w:rsid w:val="00C038EC"/>
    <w:rsid w:val="00C13B34"/>
    <w:rsid w:val="00C16A4F"/>
    <w:rsid w:val="00C177F1"/>
    <w:rsid w:val="00C25978"/>
    <w:rsid w:val="00C2613C"/>
    <w:rsid w:val="00C261C6"/>
    <w:rsid w:val="00C30A5B"/>
    <w:rsid w:val="00C30A97"/>
    <w:rsid w:val="00C31DDC"/>
    <w:rsid w:val="00C34326"/>
    <w:rsid w:val="00C36201"/>
    <w:rsid w:val="00C368E8"/>
    <w:rsid w:val="00C42CBA"/>
    <w:rsid w:val="00C45531"/>
    <w:rsid w:val="00C4640A"/>
    <w:rsid w:val="00C5019E"/>
    <w:rsid w:val="00C51B47"/>
    <w:rsid w:val="00C53E8A"/>
    <w:rsid w:val="00C54DF3"/>
    <w:rsid w:val="00C560A7"/>
    <w:rsid w:val="00C56FC8"/>
    <w:rsid w:val="00C64CB6"/>
    <w:rsid w:val="00C671AD"/>
    <w:rsid w:val="00C71B17"/>
    <w:rsid w:val="00C71BEC"/>
    <w:rsid w:val="00C74127"/>
    <w:rsid w:val="00C80511"/>
    <w:rsid w:val="00C826F5"/>
    <w:rsid w:val="00C83740"/>
    <w:rsid w:val="00C84AD1"/>
    <w:rsid w:val="00C85579"/>
    <w:rsid w:val="00C865F3"/>
    <w:rsid w:val="00C931FC"/>
    <w:rsid w:val="00C9650E"/>
    <w:rsid w:val="00C968B3"/>
    <w:rsid w:val="00C97A48"/>
    <w:rsid w:val="00CA068D"/>
    <w:rsid w:val="00CA282D"/>
    <w:rsid w:val="00CA4670"/>
    <w:rsid w:val="00CA6B1A"/>
    <w:rsid w:val="00CB23DC"/>
    <w:rsid w:val="00CB28E2"/>
    <w:rsid w:val="00CB7FF7"/>
    <w:rsid w:val="00CC2044"/>
    <w:rsid w:val="00CC69EC"/>
    <w:rsid w:val="00CD34C7"/>
    <w:rsid w:val="00CD63C8"/>
    <w:rsid w:val="00CF158D"/>
    <w:rsid w:val="00CF4394"/>
    <w:rsid w:val="00D00EFA"/>
    <w:rsid w:val="00D14BAE"/>
    <w:rsid w:val="00D1648B"/>
    <w:rsid w:val="00D16819"/>
    <w:rsid w:val="00D20AC0"/>
    <w:rsid w:val="00D30717"/>
    <w:rsid w:val="00D336C8"/>
    <w:rsid w:val="00D339E8"/>
    <w:rsid w:val="00D40B1F"/>
    <w:rsid w:val="00D4422B"/>
    <w:rsid w:val="00D50C8C"/>
    <w:rsid w:val="00D52393"/>
    <w:rsid w:val="00D53F14"/>
    <w:rsid w:val="00D54BE4"/>
    <w:rsid w:val="00D57B7F"/>
    <w:rsid w:val="00D60483"/>
    <w:rsid w:val="00D63577"/>
    <w:rsid w:val="00D76AB2"/>
    <w:rsid w:val="00D8077F"/>
    <w:rsid w:val="00D829AD"/>
    <w:rsid w:val="00D82EE2"/>
    <w:rsid w:val="00D87788"/>
    <w:rsid w:val="00D877C8"/>
    <w:rsid w:val="00D910C2"/>
    <w:rsid w:val="00D9189B"/>
    <w:rsid w:val="00D91DA6"/>
    <w:rsid w:val="00D935D6"/>
    <w:rsid w:val="00D969D8"/>
    <w:rsid w:val="00D972D4"/>
    <w:rsid w:val="00DA195B"/>
    <w:rsid w:val="00DA3575"/>
    <w:rsid w:val="00DB0015"/>
    <w:rsid w:val="00DB2AAD"/>
    <w:rsid w:val="00DB56E8"/>
    <w:rsid w:val="00DB6365"/>
    <w:rsid w:val="00DC0BF1"/>
    <w:rsid w:val="00DC41C3"/>
    <w:rsid w:val="00DD083A"/>
    <w:rsid w:val="00DD3593"/>
    <w:rsid w:val="00DD6214"/>
    <w:rsid w:val="00DE30B7"/>
    <w:rsid w:val="00DE35CF"/>
    <w:rsid w:val="00DE7E74"/>
    <w:rsid w:val="00E00314"/>
    <w:rsid w:val="00E00A69"/>
    <w:rsid w:val="00E017F0"/>
    <w:rsid w:val="00E041E4"/>
    <w:rsid w:val="00E06B7E"/>
    <w:rsid w:val="00E1085B"/>
    <w:rsid w:val="00E10E25"/>
    <w:rsid w:val="00E14581"/>
    <w:rsid w:val="00E15539"/>
    <w:rsid w:val="00E16541"/>
    <w:rsid w:val="00E2632B"/>
    <w:rsid w:val="00E405EA"/>
    <w:rsid w:val="00E408B7"/>
    <w:rsid w:val="00E42789"/>
    <w:rsid w:val="00E42D64"/>
    <w:rsid w:val="00E45334"/>
    <w:rsid w:val="00E464F0"/>
    <w:rsid w:val="00E50BEB"/>
    <w:rsid w:val="00E6092F"/>
    <w:rsid w:val="00E629DA"/>
    <w:rsid w:val="00E674CA"/>
    <w:rsid w:val="00E7253C"/>
    <w:rsid w:val="00E72813"/>
    <w:rsid w:val="00E738CB"/>
    <w:rsid w:val="00E74A5D"/>
    <w:rsid w:val="00E81C3E"/>
    <w:rsid w:val="00E82B6D"/>
    <w:rsid w:val="00EA11B6"/>
    <w:rsid w:val="00EA2DD8"/>
    <w:rsid w:val="00EA681F"/>
    <w:rsid w:val="00EB47D8"/>
    <w:rsid w:val="00EB76E4"/>
    <w:rsid w:val="00EC0395"/>
    <w:rsid w:val="00EC0E65"/>
    <w:rsid w:val="00EC50C9"/>
    <w:rsid w:val="00EC53FC"/>
    <w:rsid w:val="00EC5BB2"/>
    <w:rsid w:val="00EE0B44"/>
    <w:rsid w:val="00EF5268"/>
    <w:rsid w:val="00EF608E"/>
    <w:rsid w:val="00F05807"/>
    <w:rsid w:val="00F0706C"/>
    <w:rsid w:val="00F11EBE"/>
    <w:rsid w:val="00F1516A"/>
    <w:rsid w:val="00F22A26"/>
    <w:rsid w:val="00F24072"/>
    <w:rsid w:val="00F26432"/>
    <w:rsid w:val="00F3197A"/>
    <w:rsid w:val="00F32139"/>
    <w:rsid w:val="00F34E08"/>
    <w:rsid w:val="00F406BA"/>
    <w:rsid w:val="00F41D91"/>
    <w:rsid w:val="00F42363"/>
    <w:rsid w:val="00F46964"/>
    <w:rsid w:val="00F5126A"/>
    <w:rsid w:val="00F718A8"/>
    <w:rsid w:val="00F72183"/>
    <w:rsid w:val="00F82981"/>
    <w:rsid w:val="00F8311F"/>
    <w:rsid w:val="00F83248"/>
    <w:rsid w:val="00F853AE"/>
    <w:rsid w:val="00F857D6"/>
    <w:rsid w:val="00F86338"/>
    <w:rsid w:val="00F86CE0"/>
    <w:rsid w:val="00F93DCC"/>
    <w:rsid w:val="00F9435D"/>
    <w:rsid w:val="00FB593A"/>
    <w:rsid w:val="00FB6E82"/>
    <w:rsid w:val="00FC4576"/>
    <w:rsid w:val="00FC6959"/>
    <w:rsid w:val="00FC6ED3"/>
    <w:rsid w:val="00FC7DBC"/>
    <w:rsid w:val="00FD1D5A"/>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E35C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A077-9E83-4DC3-B768-C57BAA95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3495</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2012-01-04T15:04:00Z</cp:lastPrinted>
  <dcterms:created xsi:type="dcterms:W3CDTF">2010-02-17T20:44:00Z</dcterms:created>
  <dcterms:modified xsi:type="dcterms:W3CDTF">2012-01-09T13:33:00Z</dcterms:modified>
</cp:coreProperties>
</file>