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39" w:rsidRPr="00D91DA6" w:rsidRDefault="00EF3A39" w:rsidP="00B355C1">
      <w:pPr>
        <w:tabs>
          <w:tab w:val="left" w:pos="288"/>
          <w:tab w:val="left" w:pos="4752"/>
        </w:tabs>
        <w:spacing w:line="240" w:lineRule="exact"/>
        <w:jc w:val="center"/>
        <w:rPr>
          <w:color w:val="000080"/>
        </w:rPr>
      </w:pPr>
      <w:r w:rsidRPr="00D91DA6">
        <w:rPr>
          <w:color w:val="000080"/>
        </w:rPr>
        <w:t>RECORD OF PROCEEDINGS</w:t>
      </w:r>
    </w:p>
    <w:p w:rsidR="00EF3A39" w:rsidRPr="00D91DA6" w:rsidRDefault="00EF3A39" w:rsidP="00EF3A39">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EF3A39" w:rsidRPr="00D91DA6" w:rsidRDefault="00EF3A39" w:rsidP="00EF3A39">
      <w:pPr>
        <w:tabs>
          <w:tab w:val="left" w:pos="1380"/>
        </w:tabs>
        <w:spacing w:line="240" w:lineRule="exact"/>
        <w:jc w:val="both"/>
        <w:rPr>
          <w:color w:val="000080"/>
        </w:rPr>
      </w:pPr>
      <w:r>
        <w:rPr>
          <w:color w:val="000080"/>
        </w:rPr>
        <w:tab/>
      </w:r>
    </w:p>
    <w:p w:rsidR="00EF3A39" w:rsidRPr="00EB6ABA" w:rsidRDefault="00EF3A39" w:rsidP="00EF3A39">
      <w:pPr>
        <w:tabs>
          <w:tab w:val="left" w:pos="288"/>
          <w:tab w:val="left" w:pos="4752"/>
        </w:tabs>
        <w:spacing w:line="240" w:lineRule="exact"/>
        <w:rPr>
          <w:color w:val="000080"/>
        </w:rPr>
      </w:pPr>
      <w:r w:rsidRPr="00EB6ABA">
        <w:rPr>
          <w:color w:val="000080"/>
        </w:rPr>
        <w:t>NAME:</w:t>
      </w:r>
      <w:r w:rsidRPr="00EB6ABA">
        <w:rPr>
          <w:color w:val="000080"/>
        </w:rPr>
        <w:tab/>
      </w:r>
      <w:r w:rsidRPr="00EB6ABA">
        <w:rPr>
          <w:color w:val="000080"/>
        </w:rPr>
        <w:tab/>
        <w:t xml:space="preserve">BRANCH OF SERVICE: </w:t>
      </w:r>
      <w:r>
        <w:rPr>
          <w:color w:val="000080"/>
        </w:rPr>
        <w:t>ARMY</w:t>
      </w:r>
    </w:p>
    <w:p w:rsidR="00877513" w:rsidRDefault="00EF3A39" w:rsidP="00EF3A39">
      <w:pPr>
        <w:tabs>
          <w:tab w:val="left" w:pos="288"/>
          <w:tab w:val="left" w:pos="4752"/>
        </w:tabs>
        <w:spacing w:line="240" w:lineRule="exact"/>
        <w:rPr>
          <w:color w:val="000080"/>
        </w:rPr>
      </w:pPr>
      <w:r w:rsidRPr="00EB6ABA">
        <w:rPr>
          <w:color w:val="000080"/>
        </w:rPr>
        <w:t>CASE NUMBER:  PD0900</w:t>
      </w:r>
      <w:r>
        <w:rPr>
          <w:color w:val="000080"/>
        </w:rPr>
        <w:t>007</w:t>
      </w:r>
      <w:r w:rsidRPr="00EB6ABA">
        <w:rPr>
          <w:color w:val="000080"/>
        </w:rPr>
        <w:tab/>
      </w:r>
      <w:r w:rsidRPr="00EB6ABA">
        <w:rPr>
          <w:color w:val="000080"/>
        </w:rPr>
        <w:tab/>
        <w:t xml:space="preserve">BOARD DATE: </w:t>
      </w:r>
      <w:r>
        <w:rPr>
          <w:color w:val="000080"/>
        </w:rPr>
        <w:t>20090826</w:t>
      </w:r>
    </w:p>
    <w:p w:rsidR="00EF3A39" w:rsidRPr="00EB6ABA" w:rsidRDefault="00EF3A39" w:rsidP="00EF3A39">
      <w:pPr>
        <w:tabs>
          <w:tab w:val="left" w:pos="288"/>
          <w:tab w:val="left" w:pos="4752"/>
        </w:tabs>
        <w:spacing w:line="240" w:lineRule="exact"/>
        <w:rPr>
          <w:color w:val="000080"/>
        </w:rPr>
      </w:pPr>
      <w:r w:rsidRPr="00EB6ABA">
        <w:rPr>
          <w:color w:val="000080"/>
        </w:rPr>
        <w:t xml:space="preserve">SEPARATION DATE: </w:t>
      </w:r>
      <w:r>
        <w:rPr>
          <w:color w:val="000080"/>
        </w:rPr>
        <w:t>20040826</w:t>
      </w:r>
    </w:p>
    <w:p w:rsidR="00EF3A39" w:rsidRPr="00D91DA6" w:rsidRDefault="00B355C1" w:rsidP="00EF3A39">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572481" w:rsidRDefault="00572481" w:rsidP="00EF3A39">
      <w:pPr>
        <w:tabs>
          <w:tab w:val="left" w:pos="288"/>
          <w:tab w:val="left" w:pos="4752"/>
        </w:tabs>
        <w:spacing w:line="240" w:lineRule="exact"/>
        <w:jc w:val="both"/>
        <w:rPr>
          <w:color w:val="000080"/>
          <w:u w:val="single"/>
        </w:rPr>
      </w:pPr>
    </w:p>
    <w:p w:rsidR="00EF3A39" w:rsidRPr="00572481" w:rsidRDefault="00EF3A39" w:rsidP="00EF3A39">
      <w:pPr>
        <w:tabs>
          <w:tab w:val="left" w:pos="288"/>
          <w:tab w:val="left" w:pos="4752"/>
        </w:tabs>
        <w:spacing w:line="240" w:lineRule="exact"/>
        <w:jc w:val="both"/>
        <w:rPr>
          <w:color w:val="000080"/>
        </w:rPr>
      </w:pPr>
      <w:r w:rsidRPr="00D91DA6">
        <w:rPr>
          <w:color w:val="000080"/>
          <w:u w:val="single"/>
        </w:rPr>
        <w:t>SUMMARY OF CASE</w:t>
      </w:r>
      <w:r w:rsidRPr="00D91DA6">
        <w:rPr>
          <w:color w:val="000080"/>
        </w:rPr>
        <w:t>:</w:t>
      </w:r>
      <w:r>
        <w:rPr>
          <w:color w:val="000080"/>
        </w:rPr>
        <w:t xml:space="preserve"> </w:t>
      </w:r>
      <w:r w:rsidRPr="00646FBC">
        <w:rPr>
          <w:color w:val="000080"/>
        </w:rPr>
        <w:t xml:space="preserve">This covered individual (CI) </w:t>
      </w:r>
      <w:r w:rsidRPr="00572481">
        <w:rPr>
          <w:color w:val="000080"/>
        </w:rPr>
        <w:t>was an Army Reserve NCO who was medically separated in 2004 after 11 years of combined service.  The medical basis for the separation was PTSD and a right knee condition.  Both conditions date</w:t>
      </w:r>
      <w:r w:rsidR="00A4205D">
        <w:rPr>
          <w:color w:val="000080"/>
        </w:rPr>
        <w:t>d</w:t>
      </w:r>
      <w:r w:rsidRPr="00572481">
        <w:rPr>
          <w:color w:val="000080"/>
        </w:rPr>
        <w:t xml:space="preserve"> to a reserve OIF deployment in 2003.  The CI’s right knee was injured in a fall during staging activities in </w:t>
      </w:r>
      <w:smartTag w:uri="urn:schemas-microsoft-com:office:smarttags" w:element="country-region">
        <w:smartTag w:uri="urn:schemas-microsoft-com:office:smarttags" w:element="place">
          <w:r w:rsidRPr="00572481">
            <w:rPr>
              <w:color w:val="000080"/>
            </w:rPr>
            <w:t>Kuwait</w:t>
          </w:r>
        </w:smartTag>
      </w:smartTag>
      <w:r w:rsidRPr="00572481">
        <w:rPr>
          <w:color w:val="000080"/>
        </w:rPr>
        <w:t xml:space="preserve">.  It remained symptomatic through the rest of the deployment, and was subsequently diagnosed as a </w:t>
      </w:r>
      <w:proofErr w:type="spellStart"/>
      <w:r w:rsidRPr="00572481">
        <w:rPr>
          <w:color w:val="000080"/>
        </w:rPr>
        <w:t>meniscal</w:t>
      </w:r>
      <w:proofErr w:type="spellEnd"/>
      <w:r w:rsidRPr="00572481">
        <w:rPr>
          <w:color w:val="000080"/>
        </w:rPr>
        <w:t xml:space="preserve"> injury.  After arthroscopic repair, he remained profiled and was referred to the MEB.  The CI was diagnosed with PTSD during OIF, and was </w:t>
      </w:r>
      <w:proofErr w:type="spellStart"/>
      <w:r w:rsidRPr="00572481">
        <w:rPr>
          <w:color w:val="000080"/>
        </w:rPr>
        <w:t>medevac’d</w:t>
      </w:r>
      <w:proofErr w:type="spellEnd"/>
      <w:r w:rsidRPr="00572481">
        <w:rPr>
          <w:color w:val="000080"/>
        </w:rPr>
        <w:t xml:space="preserve"> for the condition after 7 months in country.  He underwent outpatient treatment after return, but continued to manifest typical PTSD symptoms and was deemed unacceptable for retention by psychiatry.  Subsequently the CI was evaluated for low back and left knee pain related to the fall in Kuwait</w:t>
      </w:r>
      <w:r w:rsidR="00572481">
        <w:rPr>
          <w:color w:val="000080"/>
        </w:rPr>
        <w:t>;</w:t>
      </w:r>
      <w:r w:rsidRPr="00572481">
        <w:rPr>
          <w:color w:val="000080"/>
        </w:rPr>
        <w:t xml:space="preserve"> as well as tinnitus </w:t>
      </w:r>
      <w:r w:rsidR="00A4205D">
        <w:rPr>
          <w:color w:val="000080"/>
        </w:rPr>
        <w:t xml:space="preserve">and headache </w:t>
      </w:r>
      <w:r w:rsidRPr="00572481">
        <w:rPr>
          <w:color w:val="000080"/>
        </w:rPr>
        <w:t xml:space="preserve">from a concussive injury </w:t>
      </w:r>
      <w:r w:rsidR="00572481">
        <w:rPr>
          <w:color w:val="000080"/>
        </w:rPr>
        <w:t>sustained in Iraq</w:t>
      </w:r>
      <w:r w:rsidRPr="00572481">
        <w:rPr>
          <w:color w:val="000080"/>
        </w:rPr>
        <w:t xml:space="preserve">.  These conditions were not addressed by the MEB and were unsuccessfully appealed to the USAPDA after the PEB.  The CI was referred to the </w:t>
      </w:r>
      <w:proofErr w:type="gramStart"/>
      <w:r w:rsidRPr="00572481">
        <w:rPr>
          <w:color w:val="000080"/>
        </w:rPr>
        <w:t>PEB,</w:t>
      </w:r>
      <w:proofErr w:type="gramEnd"/>
      <w:r w:rsidRPr="00572481">
        <w:rPr>
          <w:color w:val="000080"/>
        </w:rPr>
        <w:t xml:space="preserve"> found unfit for PTSD and his right knee condition, and separated at 20% combined disability.</w:t>
      </w:r>
    </w:p>
    <w:p w:rsidR="00EF3A39" w:rsidRPr="00D91DA6" w:rsidRDefault="00EF3A39" w:rsidP="00EF3A39">
      <w:pPr>
        <w:tabs>
          <w:tab w:val="left" w:pos="288"/>
          <w:tab w:val="left" w:pos="4752"/>
        </w:tabs>
        <w:spacing w:line="240" w:lineRule="exact"/>
        <w:jc w:val="both"/>
        <w:rPr>
          <w:color w:val="000080"/>
        </w:rPr>
      </w:pPr>
      <w:r w:rsidRPr="00572481">
        <w:rPr>
          <w:color w:val="000080"/>
          <w:u w:val="single"/>
        </w:rPr>
        <w:t>________________________________________________________________</w:t>
      </w:r>
    </w:p>
    <w:p w:rsidR="00572481" w:rsidRDefault="00572481" w:rsidP="00EF3A39">
      <w:pPr>
        <w:tabs>
          <w:tab w:val="left" w:pos="288"/>
          <w:tab w:val="left" w:pos="4752"/>
        </w:tabs>
        <w:spacing w:line="240" w:lineRule="exact"/>
        <w:jc w:val="both"/>
        <w:rPr>
          <w:color w:val="000080"/>
          <w:u w:val="single"/>
        </w:rPr>
      </w:pPr>
    </w:p>
    <w:p w:rsidR="00EF3A39" w:rsidRPr="00572481" w:rsidRDefault="00EF3A39" w:rsidP="00EF3A39">
      <w:pPr>
        <w:tabs>
          <w:tab w:val="left" w:pos="288"/>
          <w:tab w:val="left" w:pos="4752"/>
        </w:tabs>
        <w:spacing w:line="240" w:lineRule="exact"/>
        <w:jc w:val="both"/>
        <w:rPr>
          <w:color w:val="000080"/>
        </w:rPr>
      </w:pPr>
      <w:r>
        <w:rPr>
          <w:color w:val="000080"/>
          <w:u w:val="single"/>
        </w:rPr>
        <w:t>CI CONTENTION</w:t>
      </w:r>
      <w:r w:rsidRPr="00D91DA6">
        <w:rPr>
          <w:color w:val="000080"/>
        </w:rPr>
        <w:t>:</w:t>
      </w:r>
      <w:r>
        <w:rPr>
          <w:color w:val="000080"/>
        </w:rPr>
        <w:t xml:space="preserve"> </w:t>
      </w:r>
      <w:r w:rsidRPr="00572481">
        <w:rPr>
          <w:color w:val="000080"/>
        </w:rPr>
        <w:t xml:space="preserve">The CI contends for a 50% PTSD rating equivalent to the VA.  Prior contentions for rating of back and left knee conditions are not </w:t>
      </w:r>
      <w:r w:rsidR="00A4205D">
        <w:rPr>
          <w:color w:val="000080"/>
        </w:rPr>
        <w:t xml:space="preserve">specifically </w:t>
      </w:r>
      <w:r w:rsidRPr="00572481">
        <w:rPr>
          <w:color w:val="000080"/>
        </w:rPr>
        <w:t>re-stated in PDBR application.</w:t>
      </w:r>
    </w:p>
    <w:p w:rsidR="00EF3A39" w:rsidRPr="00572481" w:rsidRDefault="00EF3A39" w:rsidP="00572481">
      <w:pPr>
        <w:tabs>
          <w:tab w:val="left" w:pos="288"/>
          <w:tab w:val="left" w:pos="4752"/>
        </w:tabs>
        <w:spacing w:line="240" w:lineRule="exact"/>
        <w:jc w:val="both"/>
        <w:rPr>
          <w:color w:val="000080"/>
          <w:u w:val="single"/>
        </w:rPr>
      </w:pPr>
      <w:r w:rsidRPr="00572481">
        <w:rPr>
          <w:color w:val="000080"/>
          <w:u w:val="single"/>
        </w:rPr>
        <w:t>________________________________________________________________</w:t>
      </w:r>
    </w:p>
    <w:p w:rsidR="00572481" w:rsidRDefault="00572481" w:rsidP="00EF3A39">
      <w:pPr>
        <w:tabs>
          <w:tab w:val="left" w:pos="288"/>
          <w:tab w:val="left" w:pos="4752"/>
        </w:tabs>
        <w:spacing w:line="240" w:lineRule="exact"/>
        <w:jc w:val="both"/>
        <w:rPr>
          <w:color w:val="000080"/>
        </w:rPr>
      </w:pPr>
    </w:p>
    <w:p w:rsidR="00EF3A39" w:rsidRDefault="00EF3A39" w:rsidP="00EF3A39">
      <w:pPr>
        <w:tabs>
          <w:tab w:val="left" w:pos="288"/>
          <w:tab w:val="left" w:pos="4752"/>
        </w:tabs>
        <w:spacing w:line="240" w:lineRule="exact"/>
        <w:jc w:val="both"/>
        <w:rPr>
          <w:color w:val="000080"/>
        </w:rPr>
      </w:pPr>
      <w:r>
        <w:rPr>
          <w:color w:val="000080"/>
          <w:u w:val="single"/>
        </w:rPr>
        <w:t>RATING COMPARISON</w:t>
      </w:r>
      <w:r>
        <w:rPr>
          <w:color w:val="000080"/>
        </w:rPr>
        <w:t>:</w:t>
      </w:r>
    </w:p>
    <w:p w:rsidR="00EF3A39" w:rsidRDefault="00EF3A39" w:rsidP="00EF3A39">
      <w:pPr>
        <w:tabs>
          <w:tab w:val="left" w:pos="288"/>
          <w:tab w:val="left" w:pos="4752"/>
        </w:tabs>
        <w:spacing w:line="240" w:lineRule="exact"/>
        <w:jc w:val="both"/>
        <w:rPr>
          <w:color w:val="000080"/>
        </w:rPr>
      </w:pPr>
    </w:p>
    <w:tbl>
      <w:tblPr>
        <w:tblW w:w="112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0"/>
        <w:gridCol w:w="810"/>
        <w:gridCol w:w="810"/>
        <w:gridCol w:w="1170"/>
        <w:gridCol w:w="2250"/>
        <w:gridCol w:w="810"/>
        <w:gridCol w:w="810"/>
        <w:gridCol w:w="1170"/>
        <w:gridCol w:w="1170"/>
      </w:tblGrid>
      <w:tr w:rsidR="00EF3A39" w:rsidTr="003F055E">
        <w:trPr>
          <w:trHeight w:val="264"/>
        </w:trPr>
        <w:tc>
          <w:tcPr>
            <w:tcW w:w="5040" w:type="dxa"/>
            <w:gridSpan w:val="4"/>
            <w:tcBorders>
              <w:right w:val="thinThickThinSmallGap" w:sz="24" w:space="0" w:color="auto"/>
            </w:tcBorders>
            <w:shd w:val="clear" w:color="auto" w:fill="EEECE1"/>
          </w:tcPr>
          <w:p w:rsidR="00EF3A39" w:rsidRPr="004C69C9" w:rsidRDefault="00EF3A39" w:rsidP="003F055E">
            <w:pPr>
              <w:pStyle w:val="ListParagraph"/>
              <w:spacing w:after="0"/>
              <w:ind w:left="0"/>
              <w:jc w:val="center"/>
              <w:rPr>
                <w:rFonts w:ascii="Times New Roman" w:eastAsia="Calibri" w:hAnsi="Times New Roman" w:cs="Times New Roman"/>
                <w:b/>
              </w:rPr>
            </w:pPr>
            <w:r w:rsidRPr="004C69C9">
              <w:rPr>
                <w:rFonts w:ascii="Times New Roman" w:eastAsia="Calibri" w:hAnsi="Times New Roman" w:cs="Times New Roman"/>
                <w:b/>
              </w:rPr>
              <w:t>Service PEB</w:t>
            </w:r>
          </w:p>
        </w:tc>
        <w:tc>
          <w:tcPr>
            <w:tcW w:w="6210" w:type="dxa"/>
            <w:gridSpan w:val="5"/>
            <w:tcBorders>
              <w:left w:val="thinThickThinSmallGap" w:sz="24" w:space="0" w:color="auto"/>
            </w:tcBorders>
            <w:shd w:val="clear" w:color="auto" w:fill="EEECE1"/>
          </w:tcPr>
          <w:p w:rsidR="00EF3A39" w:rsidRPr="004C69C9" w:rsidRDefault="00EF3A39" w:rsidP="003F055E">
            <w:pPr>
              <w:pStyle w:val="ListParagraph"/>
              <w:spacing w:after="0"/>
              <w:ind w:left="0"/>
              <w:jc w:val="center"/>
              <w:rPr>
                <w:rFonts w:ascii="Times New Roman" w:eastAsia="Calibri" w:hAnsi="Times New Roman" w:cs="Times New Roman"/>
                <w:b/>
              </w:rPr>
            </w:pPr>
            <w:r w:rsidRPr="004C69C9">
              <w:rPr>
                <w:rFonts w:ascii="Times New Roman" w:eastAsia="Calibri" w:hAnsi="Times New Roman" w:cs="Times New Roman"/>
                <w:b/>
              </w:rPr>
              <w:t>VA (11 Mo. after Separation)</w:t>
            </w:r>
          </w:p>
        </w:tc>
      </w:tr>
      <w:tr w:rsidR="00EF3A39" w:rsidTr="003F055E">
        <w:trPr>
          <w:trHeight w:val="280"/>
        </w:trPr>
        <w:tc>
          <w:tcPr>
            <w:tcW w:w="2250" w:type="dxa"/>
            <w:tcBorders>
              <w:bottom w:val="single" w:sz="4" w:space="0" w:color="000000"/>
            </w:tcBorders>
            <w:shd w:val="clear" w:color="auto" w:fill="EEECE1"/>
          </w:tcPr>
          <w:p w:rsidR="00EF3A39" w:rsidRPr="004C69C9" w:rsidRDefault="00EF3A39" w:rsidP="003F055E">
            <w:pPr>
              <w:pStyle w:val="ListParagraph"/>
              <w:spacing w:after="0"/>
              <w:ind w:left="0"/>
              <w:jc w:val="center"/>
              <w:rPr>
                <w:rFonts w:ascii="Times New Roman" w:eastAsia="Calibri" w:hAnsi="Times New Roman" w:cs="Times New Roman"/>
                <w:b/>
                <w:sz w:val="20"/>
                <w:szCs w:val="20"/>
              </w:rPr>
            </w:pPr>
            <w:r w:rsidRPr="004C69C9">
              <w:rPr>
                <w:rFonts w:ascii="Times New Roman" w:eastAsia="Calibri" w:hAnsi="Times New Roman" w:cs="Times New Roman"/>
                <w:b/>
                <w:sz w:val="20"/>
                <w:szCs w:val="20"/>
              </w:rPr>
              <w:t>PEB Condition</w:t>
            </w:r>
          </w:p>
        </w:tc>
        <w:tc>
          <w:tcPr>
            <w:tcW w:w="810" w:type="dxa"/>
            <w:tcBorders>
              <w:bottom w:val="single" w:sz="4" w:space="0" w:color="000000"/>
            </w:tcBorders>
            <w:shd w:val="clear" w:color="auto" w:fill="EEECE1"/>
          </w:tcPr>
          <w:p w:rsidR="00EF3A39" w:rsidRPr="004C69C9" w:rsidRDefault="00EF3A39" w:rsidP="003F055E">
            <w:pPr>
              <w:pStyle w:val="ListParagraph"/>
              <w:spacing w:after="0"/>
              <w:ind w:left="0"/>
              <w:jc w:val="center"/>
              <w:rPr>
                <w:rFonts w:ascii="Times New Roman" w:eastAsia="Calibri" w:hAnsi="Times New Roman" w:cs="Times New Roman"/>
                <w:b/>
                <w:sz w:val="20"/>
                <w:szCs w:val="20"/>
              </w:rPr>
            </w:pPr>
            <w:r w:rsidRPr="004C69C9">
              <w:rPr>
                <w:rFonts w:ascii="Times New Roman" w:eastAsia="Calibri" w:hAnsi="Times New Roman" w:cs="Times New Roman"/>
                <w:b/>
                <w:sz w:val="20"/>
                <w:szCs w:val="20"/>
              </w:rPr>
              <w:t>Code</w:t>
            </w:r>
          </w:p>
        </w:tc>
        <w:tc>
          <w:tcPr>
            <w:tcW w:w="810" w:type="dxa"/>
            <w:tcBorders>
              <w:bottom w:val="single" w:sz="4" w:space="0" w:color="000000"/>
            </w:tcBorders>
            <w:shd w:val="clear" w:color="auto" w:fill="EEECE1"/>
          </w:tcPr>
          <w:p w:rsidR="00EF3A39" w:rsidRPr="004C69C9" w:rsidRDefault="00EF3A39" w:rsidP="003F055E">
            <w:pPr>
              <w:pStyle w:val="ListParagraph"/>
              <w:spacing w:after="0"/>
              <w:ind w:left="0"/>
              <w:jc w:val="center"/>
              <w:rPr>
                <w:rFonts w:ascii="Times New Roman" w:eastAsia="Calibri" w:hAnsi="Times New Roman" w:cs="Times New Roman"/>
                <w:b/>
                <w:sz w:val="20"/>
                <w:szCs w:val="20"/>
              </w:rPr>
            </w:pPr>
            <w:r w:rsidRPr="004C69C9">
              <w:rPr>
                <w:rFonts w:ascii="Times New Roman" w:eastAsia="Calibri" w:hAnsi="Times New Roman" w:cs="Times New Roman"/>
                <w:b/>
                <w:sz w:val="20"/>
                <w:szCs w:val="20"/>
              </w:rPr>
              <w:t>Rating</w:t>
            </w:r>
          </w:p>
        </w:tc>
        <w:tc>
          <w:tcPr>
            <w:tcW w:w="1170" w:type="dxa"/>
            <w:tcBorders>
              <w:bottom w:val="single" w:sz="4" w:space="0" w:color="000000"/>
              <w:right w:val="thinThickThinSmallGap" w:sz="24" w:space="0" w:color="auto"/>
            </w:tcBorders>
            <w:shd w:val="clear" w:color="auto" w:fill="EEECE1"/>
          </w:tcPr>
          <w:p w:rsidR="00EF3A39" w:rsidRPr="004C69C9" w:rsidRDefault="00EF3A39" w:rsidP="003F055E">
            <w:pPr>
              <w:pStyle w:val="ListParagraph"/>
              <w:spacing w:after="0"/>
              <w:ind w:left="0"/>
              <w:jc w:val="center"/>
              <w:rPr>
                <w:rFonts w:ascii="Times New Roman" w:eastAsia="Calibri" w:hAnsi="Times New Roman" w:cs="Times New Roman"/>
                <w:b/>
                <w:sz w:val="20"/>
                <w:szCs w:val="20"/>
              </w:rPr>
            </w:pPr>
            <w:r w:rsidRPr="004C69C9">
              <w:rPr>
                <w:rFonts w:ascii="Times New Roman" w:eastAsia="Calibri" w:hAnsi="Times New Roman" w:cs="Times New Roman"/>
                <w:b/>
                <w:sz w:val="20"/>
                <w:szCs w:val="20"/>
              </w:rPr>
              <w:t>Date</w:t>
            </w:r>
          </w:p>
        </w:tc>
        <w:tc>
          <w:tcPr>
            <w:tcW w:w="2250" w:type="dxa"/>
            <w:tcBorders>
              <w:left w:val="thinThickThinSmallGap" w:sz="24" w:space="0" w:color="auto"/>
              <w:bottom w:val="single" w:sz="4" w:space="0" w:color="000000"/>
            </w:tcBorders>
            <w:shd w:val="clear" w:color="auto" w:fill="EEECE1"/>
          </w:tcPr>
          <w:p w:rsidR="00EF3A39" w:rsidRPr="004C69C9" w:rsidRDefault="00EF3A39" w:rsidP="003F055E">
            <w:pPr>
              <w:pStyle w:val="ListParagraph"/>
              <w:spacing w:after="0"/>
              <w:ind w:left="0"/>
              <w:jc w:val="center"/>
              <w:rPr>
                <w:rFonts w:ascii="Times New Roman" w:eastAsia="Calibri" w:hAnsi="Times New Roman" w:cs="Times New Roman"/>
                <w:b/>
                <w:sz w:val="20"/>
                <w:szCs w:val="20"/>
              </w:rPr>
            </w:pPr>
            <w:r w:rsidRPr="004C69C9">
              <w:rPr>
                <w:rFonts w:ascii="Times New Roman" w:eastAsia="Calibri" w:hAnsi="Times New Roman" w:cs="Times New Roman"/>
                <w:b/>
                <w:sz w:val="20"/>
                <w:szCs w:val="20"/>
              </w:rPr>
              <w:t>Condition</w:t>
            </w:r>
          </w:p>
        </w:tc>
        <w:tc>
          <w:tcPr>
            <w:tcW w:w="810" w:type="dxa"/>
            <w:tcBorders>
              <w:bottom w:val="single" w:sz="4" w:space="0" w:color="000000"/>
            </w:tcBorders>
            <w:shd w:val="clear" w:color="auto" w:fill="EEECE1"/>
          </w:tcPr>
          <w:p w:rsidR="00EF3A39" w:rsidRPr="004C69C9" w:rsidRDefault="00EF3A39" w:rsidP="003F055E">
            <w:pPr>
              <w:pStyle w:val="ListParagraph"/>
              <w:spacing w:after="0"/>
              <w:ind w:left="0"/>
              <w:jc w:val="center"/>
              <w:rPr>
                <w:rFonts w:ascii="Times New Roman" w:eastAsia="Calibri" w:hAnsi="Times New Roman" w:cs="Times New Roman"/>
                <w:b/>
                <w:sz w:val="20"/>
                <w:szCs w:val="20"/>
              </w:rPr>
            </w:pPr>
            <w:r w:rsidRPr="004C69C9">
              <w:rPr>
                <w:rFonts w:ascii="Times New Roman" w:eastAsia="Calibri" w:hAnsi="Times New Roman" w:cs="Times New Roman"/>
                <w:b/>
                <w:sz w:val="20"/>
                <w:szCs w:val="20"/>
              </w:rPr>
              <w:t>Code</w:t>
            </w:r>
          </w:p>
        </w:tc>
        <w:tc>
          <w:tcPr>
            <w:tcW w:w="810" w:type="dxa"/>
            <w:tcBorders>
              <w:bottom w:val="single" w:sz="4" w:space="0" w:color="000000"/>
            </w:tcBorders>
            <w:shd w:val="clear" w:color="auto" w:fill="EEECE1"/>
          </w:tcPr>
          <w:p w:rsidR="00EF3A39" w:rsidRPr="004C69C9" w:rsidRDefault="00EF3A39" w:rsidP="003F055E">
            <w:pPr>
              <w:pStyle w:val="ListParagraph"/>
              <w:spacing w:after="0"/>
              <w:ind w:left="0"/>
              <w:jc w:val="center"/>
              <w:rPr>
                <w:rFonts w:ascii="Times New Roman" w:eastAsia="Calibri" w:hAnsi="Times New Roman" w:cs="Times New Roman"/>
                <w:b/>
                <w:sz w:val="20"/>
                <w:szCs w:val="20"/>
              </w:rPr>
            </w:pPr>
            <w:r w:rsidRPr="004C69C9">
              <w:rPr>
                <w:rFonts w:ascii="Times New Roman" w:eastAsia="Calibri" w:hAnsi="Times New Roman" w:cs="Times New Roman"/>
                <w:b/>
                <w:sz w:val="20"/>
                <w:szCs w:val="20"/>
              </w:rPr>
              <w:t>Rating</w:t>
            </w:r>
          </w:p>
        </w:tc>
        <w:tc>
          <w:tcPr>
            <w:tcW w:w="1170" w:type="dxa"/>
            <w:tcBorders>
              <w:bottom w:val="single" w:sz="4" w:space="0" w:color="000000"/>
            </w:tcBorders>
            <w:shd w:val="clear" w:color="auto" w:fill="EEECE1"/>
          </w:tcPr>
          <w:p w:rsidR="00EF3A39" w:rsidRPr="004C69C9" w:rsidRDefault="00EF3A39" w:rsidP="003F055E">
            <w:pPr>
              <w:pStyle w:val="ListParagraph"/>
              <w:spacing w:after="0"/>
              <w:ind w:left="0"/>
              <w:jc w:val="center"/>
              <w:rPr>
                <w:rFonts w:ascii="Times New Roman" w:eastAsia="Calibri" w:hAnsi="Times New Roman" w:cs="Times New Roman"/>
                <w:b/>
                <w:sz w:val="20"/>
                <w:szCs w:val="20"/>
              </w:rPr>
            </w:pPr>
            <w:r w:rsidRPr="004C69C9">
              <w:rPr>
                <w:rFonts w:ascii="Times New Roman" w:eastAsia="Calibri" w:hAnsi="Times New Roman" w:cs="Times New Roman"/>
                <w:b/>
                <w:sz w:val="20"/>
                <w:szCs w:val="20"/>
              </w:rPr>
              <w:t>Exam</w:t>
            </w:r>
          </w:p>
        </w:tc>
        <w:tc>
          <w:tcPr>
            <w:tcW w:w="1170" w:type="dxa"/>
            <w:tcBorders>
              <w:bottom w:val="single" w:sz="4" w:space="0" w:color="000000"/>
            </w:tcBorders>
            <w:shd w:val="clear" w:color="auto" w:fill="EEECE1"/>
          </w:tcPr>
          <w:p w:rsidR="00EF3A39" w:rsidRPr="004C69C9" w:rsidRDefault="00EF3A39" w:rsidP="003F055E">
            <w:pPr>
              <w:pStyle w:val="ListParagraph"/>
              <w:spacing w:after="0"/>
              <w:ind w:left="0"/>
              <w:jc w:val="center"/>
              <w:rPr>
                <w:rFonts w:ascii="Times New Roman" w:eastAsia="Calibri" w:hAnsi="Times New Roman" w:cs="Times New Roman"/>
                <w:b/>
                <w:sz w:val="20"/>
                <w:szCs w:val="20"/>
              </w:rPr>
            </w:pPr>
            <w:r w:rsidRPr="004C69C9">
              <w:rPr>
                <w:rFonts w:ascii="Times New Roman" w:eastAsia="Calibri" w:hAnsi="Times New Roman" w:cs="Times New Roman"/>
                <w:b/>
                <w:sz w:val="20"/>
                <w:szCs w:val="20"/>
              </w:rPr>
              <w:t>Effective</w:t>
            </w:r>
          </w:p>
        </w:tc>
      </w:tr>
      <w:tr w:rsidR="00EF3A39" w:rsidTr="003F055E">
        <w:trPr>
          <w:trHeight w:val="280"/>
        </w:trPr>
        <w:tc>
          <w:tcPr>
            <w:tcW w:w="2250" w:type="dxa"/>
            <w:shd w:val="clear" w:color="auto" w:fill="FFFFFF"/>
          </w:tcPr>
          <w:p w:rsidR="00EF3A39" w:rsidRPr="004C69C9" w:rsidRDefault="00EF3A39" w:rsidP="003F055E">
            <w:pPr>
              <w:autoSpaceDE w:val="0"/>
              <w:autoSpaceDN w:val="0"/>
              <w:adjustRightInd w:val="0"/>
              <w:rPr>
                <w:rFonts w:ascii="Times New Roman" w:hAnsi="Times New Roman"/>
                <w:color w:val="auto"/>
                <w:sz w:val="18"/>
                <w:szCs w:val="18"/>
              </w:rPr>
            </w:pPr>
            <w:r w:rsidRPr="004C69C9">
              <w:rPr>
                <w:rFonts w:ascii="Times New Roman" w:hAnsi="Times New Roman"/>
                <w:color w:val="auto"/>
                <w:sz w:val="18"/>
                <w:szCs w:val="18"/>
              </w:rPr>
              <w:t>POSTTRAUMATIC STRESS DISORDER WITH ASSOCIATED DEPRESSION</w:t>
            </w:r>
          </w:p>
        </w:tc>
        <w:tc>
          <w:tcPr>
            <w:tcW w:w="810" w:type="dxa"/>
            <w:shd w:val="clear" w:color="auto" w:fill="FFFFFF"/>
          </w:tcPr>
          <w:p w:rsidR="00EF3A39" w:rsidRPr="004C69C9" w:rsidRDefault="00EF3A39" w:rsidP="003F055E">
            <w:pPr>
              <w:pStyle w:val="ListParagraph"/>
              <w:spacing w:after="0" w:line="240" w:lineRule="auto"/>
              <w:ind w:left="0"/>
              <w:jc w:val="center"/>
              <w:rPr>
                <w:rFonts w:ascii="Times New Roman" w:eastAsia="Calibri" w:hAnsi="Times New Roman" w:cs="Times New Roman"/>
                <w:sz w:val="20"/>
                <w:szCs w:val="20"/>
              </w:rPr>
            </w:pPr>
            <w:r w:rsidRPr="004C69C9">
              <w:rPr>
                <w:rFonts w:ascii="Times New Roman" w:eastAsia="Calibri" w:hAnsi="Times New Roman" w:cs="Times New Roman"/>
                <w:sz w:val="20"/>
                <w:szCs w:val="20"/>
              </w:rPr>
              <w:t>9411</w:t>
            </w:r>
          </w:p>
        </w:tc>
        <w:tc>
          <w:tcPr>
            <w:tcW w:w="810" w:type="dxa"/>
            <w:shd w:val="clear" w:color="auto" w:fill="FFFFFF"/>
          </w:tcPr>
          <w:p w:rsidR="00EF3A39" w:rsidRPr="004C69C9" w:rsidRDefault="00EF3A39" w:rsidP="003F055E">
            <w:pPr>
              <w:pStyle w:val="ListParagraph"/>
              <w:spacing w:after="0" w:line="240" w:lineRule="auto"/>
              <w:ind w:left="0"/>
              <w:jc w:val="center"/>
              <w:rPr>
                <w:rFonts w:ascii="Times New Roman" w:eastAsia="Calibri" w:hAnsi="Times New Roman" w:cs="Times New Roman"/>
                <w:sz w:val="20"/>
                <w:szCs w:val="20"/>
              </w:rPr>
            </w:pPr>
            <w:r w:rsidRPr="004C69C9">
              <w:rPr>
                <w:rFonts w:ascii="Times New Roman" w:eastAsia="Calibri" w:hAnsi="Times New Roman" w:cs="Times New Roman"/>
                <w:sz w:val="20"/>
                <w:szCs w:val="20"/>
              </w:rPr>
              <w:t>10%</w:t>
            </w:r>
          </w:p>
        </w:tc>
        <w:tc>
          <w:tcPr>
            <w:tcW w:w="1170" w:type="dxa"/>
            <w:tcBorders>
              <w:right w:val="thinThickThinSmallGap" w:sz="24" w:space="0" w:color="auto"/>
            </w:tcBorders>
            <w:shd w:val="clear" w:color="auto" w:fill="FFFFFF"/>
          </w:tcPr>
          <w:p w:rsidR="00EF3A39" w:rsidRPr="004C69C9" w:rsidRDefault="00EF3A39" w:rsidP="003F055E">
            <w:pPr>
              <w:pStyle w:val="ListParagraph"/>
              <w:spacing w:after="0" w:line="240" w:lineRule="auto"/>
              <w:ind w:left="0"/>
              <w:rPr>
                <w:rFonts w:ascii="Times New Roman" w:eastAsia="Calibri" w:hAnsi="Times New Roman" w:cs="Times New Roman"/>
                <w:sz w:val="20"/>
                <w:szCs w:val="20"/>
              </w:rPr>
            </w:pPr>
            <w:r w:rsidRPr="004C69C9">
              <w:rPr>
                <w:rFonts w:ascii="Times New Roman" w:eastAsia="Calibri" w:hAnsi="Times New Roman" w:cs="Times New Roman"/>
                <w:sz w:val="20"/>
                <w:szCs w:val="20"/>
              </w:rPr>
              <w:t>20040719</w:t>
            </w:r>
          </w:p>
        </w:tc>
        <w:tc>
          <w:tcPr>
            <w:tcW w:w="2250" w:type="dxa"/>
            <w:tcBorders>
              <w:left w:val="thinThickThinSmallGap" w:sz="24" w:space="0" w:color="auto"/>
            </w:tcBorders>
            <w:shd w:val="clear" w:color="auto" w:fill="FFFFFF"/>
          </w:tcPr>
          <w:p w:rsidR="00EF3A39" w:rsidRPr="004C69C9" w:rsidRDefault="00EF3A39" w:rsidP="003F055E">
            <w:pPr>
              <w:pStyle w:val="ListParagraph"/>
              <w:spacing w:after="0" w:line="240" w:lineRule="auto"/>
              <w:ind w:left="0"/>
              <w:rPr>
                <w:rFonts w:ascii="Times New Roman" w:eastAsia="Calibri" w:hAnsi="Times New Roman" w:cs="Times New Roman"/>
                <w:sz w:val="18"/>
                <w:szCs w:val="18"/>
              </w:rPr>
            </w:pPr>
            <w:r w:rsidRPr="004C69C9">
              <w:rPr>
                <w:rFonts w:ascii="Times New Roman" w:eastAsia="Calibri" w:hAnsi="Times New Roman" w:cs="Times New Roman"/>
                <w:sz w:val="18"/>
                <w:szCs w:val="18"/>
              </w:rPr>
              <w:t>POSTTRAUMATIC STRESS DISORDER</w:t>
            </w:r>
          </w:p>
        </w:tc>
        <w:tc>
          <w:tcPr>
            <w:tcW w:w="810" w:type="dxa"/>
            <w:shd w:val="clear" w:color="auto" w:fill="FFFFFF"/>
          </w:tcPr>
          <w:p w:rsidR="00EF3A39" w:rsidRPr="004C69C9" w:rsidRDefault="00EF3A39" w:rsidP="003F055E">
            <w:pPr>
              <w:pStyle w:val="ListParagraph"/>
              <w:spacing w:after="0" w:line="240" w:lineRule="auto"/>
              <w:ind w:left="0"/>
              <w:jc w:val="center"/>
              <w:rPr>
                <w:rFonts w:ascii="Times New Roman" w:eastAsia="Calibri" w:hAnsi="Times New Roman" w:cs="Times New Roman"/>
                <w:sz w:val="20"/>
                <w:szCs w:val="20"/>
              </w:rPr>
            </w:pPr>
            <w:r w:rsidRPr="004C69C9">
              <w:rPr>
                <w:rFonts w:ascii="Times New Roman" w:eastAsia="Calibri" w:hAnsi="Times New Roman" w:cs="Times New Roman"/>
                <w:sz w:val="20"/>
                <w:szCs w:val="20"/>
              </w:rPr>
              <w:t>9411</w:t>
            </w:r>
          </w:p>
        </w:tc>
        <w:tc>
          <w:tcPr>
            <w:tcW w:w="810" w:type="dxa"/>
            <w:shd w:val="clear" w:color="auto" w:fill="FFFFFF"/>
          </w:tcPr>
          <w:p w:rsidR="00EF3A39" w:rsidRPr="004C69C9" w:rsidRDefault="00EF3A39" w:rsidP="003F055E">
            <w:pPr>
              <w:pStyle w:val="ListParagraph"/>
              <w:spacing w:after="0" w:line="240" w:lineRule="auto"/>
              <w:ind w:left="0"/>
              <w:jc w:val="center"/>
              <w:rPr>
                <w:rFonts w:ascii="Times New Roman" w:eastAsia="Calibri" w:hAnsi="Times New Roman" w:cs="Times New Roman"/>
                <w:sz w:val="20"/>
                <w:szCs w:val="20"/>
              </w:rPr>
            </w:pPr>
            <w:r w:rsidRPr="004C69C9">
              <w:rPr>
                <w:rFonts w:ascii="Times New Roman" w:eastAsia="Calibri" w:hAnsi="Times New Roman" w:cs="Times New Roman"/>
                <w:sz w:val="20"/>
                <w:szCs w:val="20"/>
              </w:rPr>
              <w:t>50%</w:t>
            </w:r>
          </w:p>
        </w:tc>
        <w:tc>
          <w:tcPr>
            <w:tcW w:w="1170" w:type="dxa"/>
            <w:shd w:val="clear" w:color="auto" w:fill="FFFFFF"/>
          </w:tcPr>
          <w:p w:rsidR="00EF3A39" w:rsidRPr="004C69C9" w:rsidRDefault="00EF3A39" w:rsidP="003F055E">
            <w:pPr>
              <w:pStyle w:val="ListParagraph"/>
              <w:spacing w:after="0" w:line="240" w:lineRule="auto"/>
              <w:ind w:left="0"/>
              <w:jc w:val="center"/>
              <w:rPr>
                <w:rFonts w:ascii="Times New Roman" w:eastAsia="Calibri" w:hAnsi="Times New Roman" w:cs="Times New Roman"/>
                <w:sz w:val="20"/>
                <w:szCs w:val="20"/>
              </w:rPr>
            </w:pPr>
            <w:r w:rsidRPr="004C69C9">
              <w:rPr>
                <w:rFonts w:ascii="Times New Roman" w:eastAsia="Calibri" w:hAnsi="Times New Roman" w:cs="Times New Roman"/>
                <w:sz w:val="20"/>
                <w:szCs w:val="20"/>
              </w:rPr>
              <w:t>20050718</w:t>
            </w:r>
          </w:p>
        </w:tc>
        <w:tc>
          <w:tcPr>
            <w:tcW w:w="1170" w:type="dxa"/>
            <w:shd w:val="clear" w:color="auto" w:fill="FFFFFF"/>
          </w:tcPr>
          <w:p w:rsidR="00EF3A39" w:rsidRPr="004C69C9" w:rsidRDefault="00EF3A39" w:rsidP="003F055E">
            <w:pPr>
              <w:pStyle w:val="ListParagraph"/>
              <w:spacing w:after="0" w:line="240" w:lineRule="auto"/>
              <w:ind w:left="0"/>
              <w:jc w:val="center"/>
              <w:rPr>
                <w:rFonts w:ascii="Times New Roman" w:eastAsia="Calibri" w:hAnsi="Times New Roman" w:cs="Times New Roman"/>
                <w:sz w:val="20"/>
                <w:szCs w:val="20"/>
              </w:rPr>
            </w:pPr>
            <w:r w:rsidRPr="004C69C9">
              <w:rPr>
                <w:rFonts w:ascii="Times New Roman" w:eastAsia="Calibri" w:hAnsi="Times New Roman" w:cs="Times New Roman"/>
                <w:sz w:val="20"/>
                <w:szCs w:val="20"/>
              </w:rPr>
              <w:t>20040827</w:t>
            </w:r>
          </w:p>
        </w:tc>
      </w:tr>
      <w:tr w:rsidR="00EF3A39" w:rsidTr="003F055E">
        <w:trPr>
          <w:trHeight w:val="264"/>
        </w:trPr>
        <w:tc>
          <w:tcPr>
            <w:tcW w:w="2250" w:type="dxa"/>
            <w:shd w:val="clear" w:color="auto" w:fill="FFFFFF"/>
          </w:tcPr>
          <w:p w:rsidR="00EF3A39" w:rsidRPr="004C69C9" w:rsidRDefault="00EF3A39" w:rsidP="00B355C1">
            <w:pPr>
              <w:autoSpaceDE w:val="0"/>
              <w:autoSpaceDN w:val="0"/>
              <w:adjustRightInd w:val="0"/>
              <w:rPr>
                <w:rFonts w:ascii="Times New Roman" w:hAnsi="Times New Roman"/>
                <w:color w:val="auto"/>
                <w:sz w:val="18"/>
                <w:szCs w:val="18"/>
              </w:rPr>
            </w:pPr>
            <w:r w:rsidRPr="004C69C9">
              <w:rPr>
                <w:rFonts w:ascii="Times New Roman" w:hAnsi="Times New Roman"/>
                <w:color w:val="auto"/>
                <w:sz w:val="18"/>
                <w:szCs w:val="18"/>
              </w:rPr>
              <w:t xml:space="preserve">CHRONIC RIGHT KNEE PAIN, STATUS POST </w:t>
            </w:r>
            <w:r w:rsidR="00B355C1">
              <w:rPr>
                <w:rFonts w:ascii="Times New Roman" w:hAnsi="Times New Roman"/>
                <w:color w:val="auto"/>
                <w:sz w:val="18"/>
                <w:szCs w:val="18"/>
              </w:rPr>
              <w:t>…</w:t>
            </w:r>
            <w:r w:rsidRPr="004C69C9">
              <w:rPr>
                <w:rFonts w:ascii="Times New Roman" w:hAnsi="Times New Roman"/>
                <w:color w:val="auto"/>
                <w:sz w:val="18"/>
                <w:szCs w:val="18"/>
              </w:rPr>
              <w:t xml:space="preserve"> MENISCECTOMY. </w:t>
            </w:r>
          </w:p>
        </w:tc>
        <w:tc>
          <w:tcPr>
            <w:tcW w:w="810" w:type="dxa"/>
            <w:shd w:val="clear" w:color="auto" w:fill="FFFFFF"/>
          </w:tcPr>
          <w:p w:rsidR="00EF3A39" w:rsidRPr="004C69C9" w:rsidRDefault="00EF3A39" w:rsidP="003F055E">
            <w:pPr>
              <w:pStyle w:val="ListParagraph"/>
              <w:spacing w:after="0" w:line="240" w:lineRule="auto"/>
              <w:ind w:left="0"/>
              <w:jc w:val="center"/>
              <w:rPr>
                <w:rFonts w:ascii="Times New Roman" w:eastAsia="Calibri" w:hAnsi="Times New Roman" w:cs="Times New Roman"/>
                <w:sz w:val="20"/>
                <w:szCs w:val="20"/>
              </w:rPr>
            </w:pPr>
            <w:r w:rsidRPr="004C69C9">
              <w:rPr>
                <w:rFonts w:ascii="Times New Roman" w:eastAsia="Calibri" w:hAnsi="Times New Roman" w:cs="Times New Roman"/>
                <w:sz w:val="20"/>
                <w:szCs w:val="20"/>
              </w:rPr>
              <w:t>5099- 5003</w:t>
            </w:r>
          </w:p>
        </w:tc>
        <w:tc>
          <w:tcPr>
            <w:tcW w:w="810" w:type="dxa"/>
            <w:shd w:val="clear" w:color="auto" w:fill="FFFFFF"/>
          </w:tcPr>
          <w:p w:rsidR="00EF3A39" w:rsidRPr="004C69C9" w:rsidRDefault="00EF3A39" w:rsidP="003F055E">
            <w:pPr>
              <w:pStyle w:val="ListParagraph"/>
              <w:spacing w:after="0" w:line="240" w:lineRule="auto"/>
              <w:ind w:left="0"/>
              <w:jc w:val="center"/>
              <w:rPr>
                <w:rFonts w:ascii="Times New Roman" w:eastAsia="Calibri" w:hAnsi="Times New Roman" w:cs="Times New Roman"/>
                <w:sz w:val="20"/>
                <w:szCs w:val="20"/>
              </w:rPr>
            </w:pPr>
            <w:r w:rsidRPr="004C69C9">
              <w:rPr>
                <w:rFonts w:ascii="Times New Roman" w:eastAsia="Calibri" w:hAnsi="Times New Roman" w:cs="Times New Roman"/>
                <w:sz w:val="20"/>
                <w:szCs w:val="20"/>
              </w:rPr>
              <w:t>10%</w:t>
            </w:r>
          </w:p>
        </w:tc>
        <w:tc>
          <w:tcPr>
            <w:tcW w:w="1170" w:type="dxa"/>
            <w:tcBorders>
              <w:right w:val="thinThickThinSmallGap" w:sz="24" w:space="0" w:color="auto"/>
            </w:tcBorders>
            <w:shd w:val="clear" w:color="auto" w:fill="FFFFFF"/>
          </w:tcPr>
          <w:p w:rsidR="00EF3A39" w:rsidRPr="004C69C9" w:rsidRDefault="00EF3A39" w:rsidP="003F055E">
            <w:pPr>
              <w:pStyle w:val="ListParagraph"/>
              <w:spacing w:after="0" w:line="240" w:lineRule="auto"/>
              <w:ind w:left="0"/>
              <w:rPr>
                <w:rFonts w:ascii="Times New Roman" w:eastAsia="Calibri" w:hAnsi="Times New Roman" w:cs="Times New Roman"/>
                <w:sz w:val="20"/>
                <w:szCs w:val="20"/>
              </w:rPr>
            </w:pPr>
            <w:r w:rsidRPr="004C69C9">
              <w:rPr>
                <w:rFonts w:ascii="Times New Roman" w:eastAsia="Calibri" w:hAnsi="Times New Roman" w:cs="Times New Roman"/>
                <w:sz w:val="20"/>
                <w:szCs w:val="20"/>
              </w:rPr>
              <w:t>20040719</w:t>
            </w:r>
          </w:p>
        </w:tc>
        <w:tc>
          <w:tcPr>
            <w:tcW w:w="2250" w:type="dxa"/>
            <w:tcBorders>
              <w:left w:val="thinThickThinSmallGap" w:sz="24" w:space="0" w:color="auto"/>
            </w:tcBorders>
            <w:shd w:val="clear" w:color="auto" w:fill="FFFFFF"/>
          </w:tcPr>
          <w:p w:rsidR="00EF3A39" w:rsidRPr="004C69C9" w:rsidRDefault="00EF3A39" w:rsidP="003F055E">
            <w:pPr>
              <w:pStyle w:val="ListParagraph"/>
              <w:spacing w:after="0" w:line="240" w:lineRule="auto"/>
              <w:ind w:left="0"/>
              <w:rPr>
                <w:rFonts w:ascii="Times New Roman" w:eastAsia="Calibri" w:hAnsi="Times New Roman" w:cs="Times New Roman"/>
                <w:sz w:val="18"/>
                <w:szCs w:val="18"/>
              </w:rPr>
            </w:pPr>
            <w:r w:rsidRPr="004C69C9">
              <w:rPr>
                <w:rFonts w:ascii="Times New Roman" w:eastAsia="Calibri" w:hAnsi="Times New Roman" w:cs="Times New Roman"/>
                <w:sz w:val="18"/>
                <w:szCs w:val="18"/>
              </w:rPr>
              <w:t>STATUS POST RIGHT KNEE PARTIAL MEDIAL MENISCECTOMY</w:t>
            </w:r>
          </w:p>
        </w:tc>
        <w:tc>
          <w:tcPr>
            <w:tcW w:w="810" w:type="dxa"/>
            <w:shd w:val="clear" w:color="auto" w:fill="FFFFFF"/>
          </w:tcPr>
          <w:p w:rsidR="00EF3A39" w:rsidRPr="004C69C9" w:rsidRDefault="00EF3A39" w:rsidP="003F055E">
            <w:pPr>
              <w:pStyle w:val="ListParagraph"/>
              <w:spacing w:after="0" w:line="240" w:lineRule="auto"/>
              <w:ind w:left="0"/>
              <w:jc w:val="center"/>
              <w:rPr>
                <w:rFonts w:ascii="Times New Roman" w:eastAsia="Calibri" w:hAnsi="Times New Roman" w:cs="Times New Roman"/>
                <w:sz w:val="20"/>
                <w:szCs w:val="20"/>
              </w:rPr>
            </w:pPr>
            <w:r w:rsidRPr="004C69C9">
              <w:rPr>
                <w:rFonts w:ascii="Times New Roman" w:eastAsia="Calibri" w:hAnsi="Times New Roman" w:cs="Times New Roman"/>
                <w:sz w:val="20"/>
                <w:szCs w:val="20"/>
              </w:rPr>
              <w:t>5262</w:t>
            </w:r>
          </w:p>
        </w:tc>
        <w:tc>
          <w:tcPr>
            <w:tcW w:w="810" w:type="dxa"/>
            <w:shd w:val="clear" w:color="auto" w:fill="FFFFFF"/>
          </w:tcPr>
          <w:p w:rsidR="00EF3A39" w:rsidRPr="004C69C9" w:rsidRDefault="00EF3A39" w:rsidP="003F055E">
            <w:pPr>
              <w:pStyle w:val="ListParagraph"/>
              <w:spacing w:after="0" w:line="240" w:lineRule="auto"/>
              <w:ind w:left="0"/>
              <w:jc w:val="center"/>
              <w:rPr>
                <w:rFonts w:ascii="Times New Roman" w:eastAsia="Calibri" w:hAnsi="Times New Roman" w:cs="Times New Roman"/>
                <w:sz w:val="20"/>
                <w:szCs w:val="20"/>
              </w:rPr>
            </w:pPr>
            <w:r w:rsidRPr="004C69C9">
              <w:rPr>
                <w:rFonts w:ascii="Times New Roman" w:eastAsia="Calibri" w:hAnsi="Times New Roman" w:cs="Times New Roman"/>
                <w:sz w:val="20"/>
                <w:szCs w:val="20"/>
              </w:rPr>
              <w:t>10%</w:t>
            </w:r>
          </w:p>
        </w:tc>
        <w:tc>
          <w:tcPr>
            <w:tcW w:w="1170" w:type="dxa"/>
            <w:shd w:val="clear" w:color="auto" w:fill="FFFFFF"/>
          </w:tcPr>
          <w:p w:rsidR="00EF3A39" w:rsidRPr="004C69C9" w:rsidRDefault="00EF3A39" w:rsidP="003F055E">
            <w:pPr>
              <w:pStyle w:val="ListParagraph"/>
              <w:spacing w:after="0" w:line="240" w:lineRule="auto"/>
              <w:ind w:left="0"/>
              <w:jc w:val="center"/>
              <w:rPr>
                <w:rFonts w:ascii="Times New Roman" w:eastAsia="Calibri" w:hAnsi="Times New Roman" w:cs="Times New Roman"/>
                <w:sz w:val="20"/>
                <w:szCs w:val="20"/>
              </w:rPr>
            </w:pPr>
            <w:r w:rsidRPr="004C69C9">
              <w:rPr>
                <w:rFonts w:ascii="Times New Roman" w:eastAsia="Calibri" w:hAnsi="Times New Roman" w:cs="Times New Roman"/>
                <w:sz w:val="20"/>
                <w:szCs w:val="20"/>
              </w:rPr>
              <w:t>20050718</w:t>
            </w:r>
          </w:p>
        </w:tc>
        <w:tc>
          <w:tcPr>
            <w:tcW w:w="1170" w:type="dxa"/>
            <w:shd w:val="clear" w:color="auto" w:fill="FFFFFF"/>
          </w:tcPr>
          <w:p w:rsidR="00EF3A39" w:rsidRPr="004C69C9" w:rsidRDefault="00EF3A39" w:rsidP="003F055E">
            <w:pPr>
              <w:pStyle w:val="ListParagraph"/>
              <w:spacing w:after="0" w:line="240" w:lineRule="auto"/>
              <w:ind w:left="0"/>
              <w:jc w:val="center"/>
              <w:rPr>
                <w:rFonts w:ascii="Times New Roman" w:eastAsia="Calibri" w:hAnsi="Times New Roman" w:cs="Times New Roman"/>
                <w:sz w:val="20"/>
                <w:szCs w:val="20"/>
              </w:rPr>
            </w:pPr>
            <w:r w:rsidRPr="004C69C9">
              <w:rPr>
                <w:rFonts w:ascii="Times New Roman" w:eastAsia="Calibri" w:hAnsi="Times New Roman" w:cs="Times New Roman"/>
                <w:sz w:val="20"/>
                <w:szCs w:val="20"/>
              </w:rPr>
              <w:t>20040827</w:t>
            </w:r>
          </w:p>
        </w:tc>
      </w:tr>
      <w:tr w:rsidR="00EF3A39" w:rsidTr="003F055E">
        <w:trPr>
          <w:trHeight w:val="264"/>
        </w:trPr>
        <w:tc>
          <w:tcPr>
            <w:tcW w:w="2250" w:type="dxa"/>
            <w:shd w:val="clear" w:color="auto" w:fill="FFFFFF"/>
          </w:tcPr>
          <w:p w:rsidR="00EF3A39" w:rsidRPr="004C69C9" w:rsidRDefault="00EF3A39" w:rsidP="003F055E">
            <w:pPr>
              <w:autoSpaceDE w:val="0"/>
              <w:autoSpaceDN w:val="0"/>
              <w:adjustRightInd w:val="0"/>
              <w:rPr>
                <w:rFonts w:ascii="Times New Roman" w:hAnsi="Times New Roman"/>
                <w:color w:val="auto"/>
                <w:sz w:val="18"/>
                <w:szCs w:val="18"/>
              </w:rPr>
            </w:pPr>
            <w:r w:rsidRPr="004C69C9">
              <w:rPr>
                <w:rFonts w:ascii="Times New Roman" w:hAnsi="Times New Roman"/>
                <w:color w:val="auto"/>
                <w:sz w:val="18"/>
                <w:szCs w:val="18"/>
              </w:rPr>
              <w:t>NO DA 3947 ENTRY.</w:t>
            </w:r>
          </w:p>
        </w:tc>
        <w:tc>
          <w:tcPr>
            <w:tcW w:w="810" w:type="dxa"/>
            <w:shd w:val="clear" w:color="auto" w:fill="FFFFFF"/>
          </w:tcPr>
          <w:p w:rsidR="00EF3A39" w:rsidRPr="004C69C9" w:rsidRDefault="00EF3A39" w:rsidP="003F055E">
            <w:pPr>
              <w:autoSpaceDE w:val="0"/>
              <w:autoSpaceDN w:val="0"/>
              <w:adjustRightInd w:val="0"/>
              <w:rPr>
                <w:rFonts w:ascii="Times New Roman" w:hAnsi="Times New Roman"/>
                <w:color w:val="auto"/>
                <w:sz w:val="18"/>
                <w:szCs w:val="18"/>
              </w:rPr>
            </w:pPr>
          </w:p>
        </w:tc>
        <w:tc>
          <w:tcPr>
            <w:tcW w:w="810" w:type="dxa"/>
            <w:shd w:val="clear" w:color="auto" w:fill="FFFFFF"/>
          </w:tcPr>
          <w:p w:rsidR="00EF3A39" w:rsidRPr="004C69C9" w:rsidRDefault="00EF3A39" w:rsidP="003F055E">
            <w:pPr>
              <w:autoSpaceDE w:val="0"/>
              <w:autoSpaceDN w:val="0"/>
              <w:adjustRightInd w:val="0"/>
              <w:rPr>
                <w:rFonts w:ascii="Times New Roman" w:hAnsi="Times New Roman"/>
                <w:color w:val="auto"/>
                <w:sz w:val="18"/>
                <w:szCs w:val="18"/>
              </w:rPr>
            </w:pPr>
          </w:p>
        </w:tc>
        <w:tc>
          <w:tcPr>
            <w:tcW w:w="1170" w:type="dxa"/>
            <w:tcBorders>
              <w:right w:val="thinThickThinSmallGap" w:sz="24" w:space="0" w:color="auto"/>
            </w:tcBorders>
            <w:shd w:val="clear" w:color="auto" w:fill="FFFFFF"/>
          </w:tcPr>
          <w:p w:rsidR="00EF3A39" w:rsidRPr="004C69C9" w:rsidRDefault="00EF3A39" w:rsidP="003F055E">
            <w:pPr>
              <w:autoSpaceDE w:val="0"/>
              <w:autoSpaceDN w:val="0"/>
              <w:adjustRightInd w:val="0"/>
              <w:rPr>
                <w:rFonts w:ascii="Times New Roman" w:hAnsi="Times New Roman"/>
                <w:color w:val="auto"/>
                <w:sz w:val="18"/>
                <w:szCs w:val="18"/>
              </w:rPr>
            </w:pPr>
          </w:p>
        </w:tc>
        <w:tc>
          <w:tcPr>
            <w:tcW w:w="2250" w:type="dxa"/>
            <w:tcBorders>
              <w:left w:val="thinThickThinSmallGap" w:sz="24" w:space="0" w:color="auto"/>
            </w:tcBorders>
            <w:shd w:val="clear" w:color="auto" w:fill="FFFFFF"/>
          </w:tcPr>
          <w:p w:rsidR="00EF3A39" w:rsidRPr="004C69C9" w:rsidRDefault="00EF3A39" w:rsidP="003F055E">
            <w:pPr>
              <w:autoSpaceDE w:val="0"/>
              <w:autoSpaceDN w:val="0"/>
              <w:adjustRightInd w:val="0"/>
              <w:rPr>
                <w:rFonts w:ascii="Times New Roman" w:hAnsi="Times New Roman"/>
                <w:color w:val="auto"/>
                <w:sz w:val="18"/>
                <w:szCs w:val="18"/>
              </w:rPr>
            </w:pPr>
            <w:r w:rsidRPr="004C69C9">
              <w:rPr>
                <w:rFonts w:ascii="Times New Roman" w:hAnsi="Times New Roman"/>
                <w:color w:val="auto"/>
                <w:sz w:val="18"/>
                <w:szCs w:val="18"/>
              </w:rPr>
              <w:t>LUMBAR DISC BULGE</w:t>
            </w:r>
          </w:p>
        </w:tc>
        <w:tc>
          <w:tcPr>
            <w:tcW w:w="810" w:type="dxa"/>
            <w:shd w:val="clear" w:color="auto" w:fill="FFFFFF"/>
          </w:tcPr>
          <w:p w:rsidR="00EF3A39" w:rsidRPr="004C69C9" w:rsidRDefault="00EF3A39" w:rsidP="003F055E">
            <w:pPr>
              <w:autoSpaceDE w:val="0"/>
              <w:autoSpaceDN w:val="0"/>
              <w:adjustRightInd w:val="0"/>
              <w:jc w:val="center"/>
              <w:rPr>
                <w:rFonts w:ascii="Times New Roman" w:hAnsi="Times New Roman"/>
                <w:color w:val="auto"/>
                <w:sz w:val="20"/>
              </w:rPr>
            </w:pPr>
            <w:r w:rsidRPr="004C69C9">
              <w:rPr>
                <w:rFonts w:ascii="Times New Roman" w:hAnsi="Times New Roman"/>
                <w:color w:val="auto"/>
                <w:sz w:val="20"/>
              </w:rPr>
              <w:t>5003-5237</w:t>
            </w:r>
          </w:p>
        </w:tc>
        <w:tc>
          <w:tcPr>
            <w:tcW w:w="810" w:type="dxa"/>
            <w:shd w:val="clear" w:color="auto" w:fill="FFFFFF"/>
          </w:tcPr>
          <w:p w:rsidR="00EF3A39" w:rsidRPr="004C69C9" w:rsidRDefault="00EF3A39" w:rsidP="003F055E">
            <w:pPr>
              <w:autoSpaceDE w:val="0"/>
              <w:autoSpaceDN w:val="0"/>
              <w:adjustRightInd w:val="0"/>
              <w:jc w:val="center"/>
              <w:rPr>
                <w:rFonts w:ascii="Times New Roman" w:hAnsi="Times New Roman"/>
                <w:color w:val="auto"/>
                <w:sz w:val="20"/>
              </w:rPr>
            </w:pPr>
            <w:r w:rsidRPr="004C69C9">
              <w:rPr>
                <w:rFonts w:ascii="Times New Roman" w:hAnsi="Times New Roman"/>
                <w:color w:val="auto"/>
                <w:sz w:val="20"/>
              </w:rPr>
              <w:t>20%</w:t>
            </w:r>
          </w:p>
        </w:tc>
        <w:tc>
          <w:tcPr>
            <w:tcW w:w="1170" w:type="dxa"/>
            <w:shd w:val="clear" w:color="auto" w:fill="FFFFFF"/>
          </w:tcPr>
          <w:p w:rsidR="00EF3A39" w:rsidRPr="004C69C9" w:rsidRDefault="00EF3A39" w:rsidP="003F055E">
            <w:pPr>
              <w:autoSpaceDE w:val="0"/>
              <w:autoSpaceDN w:val="0"/>
              <w:adjustRightInd w:val="0"/>
              <w:jc w:val="center"/>
              <w:rPr>
                <w:rFonts w:ascii="Times New Roman" w:hAnsi="Times New Roman"/>
                <w:color w:val="auto"/>
                <w:sz w:val="20"/>
              </w:rPr>
            </w:pPr>
            <w:r w:rsidRPr="004C69C9">
              <w:rPr>
                <w:rFonts w:ascii="Times New Roman" w:hAnsi="Times New Roman"/>
                <w:color w:val="auto"/>
                <w:sz w:val="20"/>
              </w:rPr>
              <w:t>20050718</w:t>
            </w:r>
          </w:p>
        </w:tc>
        <w:tc>
          <w:tcPr>
            <w:tcW w:w="1170" w:type="dxa"/>
            <w:shd w:val="clear" w:color="auto" w:fill="FFFFFF"/>
          </w:tcPr>
          <w:p w:rsidR="00EF3A39" w:rsidRPr="004C69C9" w:rsidRDefault="00EF3A39" w:rsidP="003F055E">
            <w:pPr>
              <w:autoSpaceDE w:val="0"/>
              <w:autoSpaceDN w:val="0"/>
              <w:adjustRightInd w:val="0"/>
              <w:jc w:val="center"/>
              <w:rPr>
                <w:rFonts w:ascii="Times New Roman" w:hAnsi="Times New Roman"/>
                <w:color w:val="auto"/>
                <w:sz w:val="20"/>
              </w:rPr>
            </w:pPr>
            <w:r w:rsidRPr="004C69C9">
              <w:rPr>
                <w:rFonts w:ascii="Times New Roman" w:hAnsi="Times New Roman"/>
                <w:color w:val="auto"/>
                <w:sz w:val="20"/>
              </w:rPr>
              <w:t>20040827</w:t>
            </w:r>
          </w:p>
        </w:tc>
      </w:tr>
      <w:tr w:rsidR="00EF3A39" w:rsidTr="003F055E">
        <w:trPr>
          <w:trHeight w:val="280"/>
        </w:trPr>
        <w:tc>
          <w:tcPr>
            <w:tcW w:w="2250" w:type="dxa"/>
            <w:shd w:val="clear" w:color="auto" w:fill="FFFFFF"/>
          </w:tcPr>
          <w:p w:rsidR="00EF3A39" w:rsidRPr="004C69C9" w:rsidRDefault="00EF3A39" w:rsidP="003F055E">
            <w:pPr>
              <w:autoSpaceDE w:val="0"/>
              <w:autoSpaceDN w:val="0"/>
              <w:adjustRightInd w:val="0"/>
              <w:rPr>
                <w:rFonts w:ascii="Times New Roman" w:hAnsi="Times New Roman"/>
                <w:color w:val="auto"/>
                <w:sz w:val="18"/>
                <w:szCs w:val="18"/>
              </w:rPr>
            </w:pPr>
            <w:r w:rsidRPr="004C69C9">
              <w:rPr>
                <w:rFonts w:ascii="Times New Roman" w:hAnsi="Times New Roman"/>
                <w:color w:val="auto"/>
                <w:sz w:val="18"/>
                <w:szCs w:val="18"/>
              </w:rPr>
              <w:t>NO DA 3947 ENTRY.</w:t>
            </w:r>
          </w:p>
        </w:tc>
        <w:tc>
          <w:tcPr>
            <w:tcW w:w="810" w:type="dxa"/>
            <w:shd w:val="clear" w:color="auto" w:fill="FFFFFF"/>
          </w:tcPr>
          <w:p w:rsidR="00EF3A39" w:rsidRPr="004C69C9" w:rsidRDefault="00EF3A39" w:rsidP="003F055E">
            <w:pPr>
              <w:autoSpaceDE w:val="0"/>
              <w:autoSpaceDN w:val="0"/>
              <w:adjustRightInd w:val="0"/>
              <w:rPr>
                <w:rFonts w:ascii="Times New Roman" w:hAnsi="Times New Roman"/>
                <w:color w:val="auto"/>
                <w:sz w:val="18"/>
                <w:szCs w:val="18"/>
              </w:rPr>
            </w:pPr>
          </w:p>
        </w:tc>
        <w:tc>
          <w:tcPr>
            <w:tcW w:w="810" w:type="dxa"/>
            <w:shd w:val="clear" w:color="auto" w:fill="FFFFFF"/>
          </w:tcPr>
          <w:p w:rsidR="00EF3A39" w:rsidRPr="004C69C9" w:rsidRDefault="00EF3A39" w:rsidP="003F055E">
            <w:pPr>
              <w:autoSpaceDE w:val="0"/>
              <w:autoSpaceDN w:val="0"/>
              <w:adjustRightInd w:val="0"/>
              <w:rPr>
                <w:rFonts w:ascii="Times New Roman" w:hAnsi="Times New Roman"/>
                <w:color w:val="auto"/>
                <w:sz w:val="18"/>
                <w:szCs w:val="18"/>
              </w:rPr>
            </w:pPr>
          </w:p>
        </w:tc>
        <w:tc>
          <w:tcPr>
            <w:tcW w:w="1170" w:type="dxa"/>
            <w:tcBorders>
              <w:right w:val="thinThickThinSmallGap" w:sz="24" w:space="0" w:color="auto"/>
            </w:tcBorders>
            <w:shd w:val="clear" w:color="auto" w:fill="FFFFFF"/>
          </w:tcPr>
          <w:p w:rsidR="00EF3A39" w:rsidRPr="004C69C9" w:rsidRDefault="00EF3A39" w:rsidP="003F055E">
            <w:pPr>
              <w:autoSpaceDE w:val="0"/>
              <w:autoSpaceDN w:val="0"/>
              <w:adjustRightInd w:val="0"/>
              <w:rPr>
                <w:rFonts w:ascii="Times New Roman" w:hAnsi="Times New Roman"/>
                <w:color w:val="auto"/>
                <w:sz w:val="18"/>
                <w:szCs w:val="18"/>
              </w:rPr>
            </w:pPr>
          </w:p>
        </w:tc>
        <w:tc>
          <w:tcPr>
            <w:tcW w:w="2250" w:type="dxa"/>
            <w:tcBorders>
              <w:left w:val="thinThickThinSmallGap" w:sz="24" w:space="0" w:color="auto"/>
            </w:tcBorders>
            <w:shd w:val="clear" w:color="auto" w:fill="FFFFFF"/>
          </w:tcPr>
          <w:p w:rsidR="00EF3A39" w:rsidRPr="004C69C9" w:rsidRDefault="00EF3A39" w:rsidP="003F055E">
            <w:pPr>
              <w:autoSpaceDE w:val="0"/>
              <w:autoSpaceDN w:val="0"/>
              <w:adjustRightInd w:val="0"/>
              <w:rPr>
                <w:rFonts w:ascii="Times New Roman" w:hAnsi="Times New Roman"/>
                <w:color w:val="auto"/>
                <w:sz w:val="18"/>
                <w:szCs w:val="18"/>
              </w:rPr>
            </w:pPr>
            <w:r w:rsidRPr="004C69C9">
              <w:rPr>
                <w:rFonts w:ascii="Times New Roman" w:hAnsi="Times New Roman"/>
                <w:color w:val="auto"/>
                <w:sz w:val="18"/>
                <w:szCs w:val="18"/>
              </w:rPr>
              <w:t>STATUS POST LEFT KNEE MEDIAL MENISCAL TEAR</w:t>
            </w:r>
          </w:p>
        </w:tc>
        <w:tc>
          <w:tcPr>
            <w:tcW w:w="810" w:type="dxa"/>
            <w:shd w:val="clear" w:color="auto" w:fill="FFFFFF"/>
          </w:tcPr>
          <w:p w:rsidR="00EF3A39" w:rsidRPr="004C69C9" w:rsidRDefault="00EF3A39" w:rsidP="003F055E">
            <w:pPr>
              <w:autoSpaceDE w:val="0"/>
              <w:autoSpaceDN w:val="0"/>
              <w:adjustRightInd w:val="0"/>
              <w:jc w:val="center"/>
              <w:rPr>
                <w:rFonts w:ascii="Times New Roman" w:hAnsi="Times New Roman"/>
                <w:color w:val="auto"/>
                <w:sz w:val="20"/>
              </w:rPr>
            </w:pPr>
            <w:r w:rsidRPr="004C69C9">
              <w:rPr>
                <w:rFonts w:ascii="Times New Roman" w:hAnsi="Times New Roman"/>
                <w:color w:val="auto"/>
                <w:sz w:val="20"/>
              </w:rPr>
              <w:t>5262</w:t>
            </w:r>
          </w:p>
        </w:tc>
        <w:tc>
          <w:tcPr>
            <w:tcW w:w="810" w:type="dxa"/>
            <w:shd w:val="clear" w:color="auto" w:fill="FFFFFF"/>
          </w:tcPr>
          <w:p w:rsidR="00EF3A39" w:rsidRPr="004C69C9" w:rsidRDefault="00EF3A39" w:rsidP="003F055E">
            <w:pPr>
              <w:autoSpaceDE w:val="0"/>
              <w:autoSpaceDN w:val="0"/>
              <w:adjustRightInd w:val="0"/>
              <w:jc w:val="center"/>
              <w:rPr>
                <w:rFonts w:ascii="Times New Roman" w:hAnsi="Times New Roman"/>
                <w:color w:val="auto"/>
                <w:sz w:val="20"/>
              </w:rPr>
            </w:pPr>
            <w:r w:rsidRPr="004C69C9">
              <w:rPr>
                <w:rFonts w:ascii="Times New Roman" w:hAnsi="Times New Roman"/>
                <w:color w:val="auto"/>
                <w:sz w:val="20"/>
              </w:rPr>
              <w:t>10%</w:t>
            </w:r>
          </w:p>
        </w:tc>
        <w:tc>
          <w:tcPr>
            <w:tcW w:w="1170" w:type="dxa"/>
            <w:shd w:val="clear" w:color="auto" w:fill="FFFFFF"/>
          </w:tcPr>
          <w:p w:rsidR="00EF3A39" w:rsidRPr="004C69C9" w:rsidRDefault="00EF3A39" w:rsidP="003F055E">
            <w:pPr>
              <w:autoSpaceDE w:val="0"/>
              <w:autoSpaceDN w:val="0"/>
              <w:adjustRightInd w:val="0"/>
              <w:jc w:val="center"/>
              <w:rPr>
                <w:rFonts w:ascii="Times New Roman" w:hAnsi="Times New Roman"/>
                <w:color w:val="auto"/>
                <w:sz w:val="20"/>
              </w:rPr>
            </w:pPr>
            <w:r w:rsidRPr="004C69C9">
              <w:rPr>
                <w:rFonts w:ascii="Times New Roman" w:hAnsi="Times New Roman"/>
                <w:color w:val="auto"/>
                <w:sz w:val="20"/>
              </w:rPr>
              <w:t>20050718</w:t>
            </w:r>
          </w:p>
        </w:tc>
        <w:tc>
          <w:tcPr>
            <w:tcW w:w="1170" w:type="dxa"/>
            <w:shd w:val="clear" w:color="auto" w:fill="FFFFFF"/>
          </w:tcPr>
          <w:p w:rsidR="00EF3A39" w:rsidRPr="004C69C9" w:rsidRDefault="00EF3A39" w:rsidP="003F055E">
            <w:pPr>
              <w:autoSpaceDE w:val="0"/>
              <w:autoSpaceDN w:val="0"/>
              <w:adjustRightInd w:val="0"/>
              <w:jc w:val="center"/>
              <w:rPr>
                <w:rFonts w:ascii="Times New Roman" w:hAnsi="Times New Roman"/>
                <w:color w:val="auto"/>
                <w:sz w:val="20"/>
              </w:rPr>
            </w:pPr>
            <w:r w:rsidRPr="004C69C9">
              <w:rPr>
                <w:rFonts w:ascii="Times New Roman" w:hAnsi="Times New Roman"/>
                <w:color w:val="auto"/>
                <w:sz w:val="20"/>
              </w:rPr>
              <w:t>20040827</w:t>
            </w:r>
          </w:p>
        </w:tc>
      </w:tr>
      <w:tr w:rsidR="00EF3A39" w:rsidTr="003F055E">
        <w:trPr>
          <w:trHeight w:val="332"/>
        </w:trPr>
        <w:tc>
          <w:tcPr>
            <w:tcW w:w="2250" w:type="dxa"/>
            <w:shd w:val="clear" w:color="auto" w:fill="FFFFFF"/>
          </w:tcPr>
          <w:p w:rsidR="00EF3A39" w:rsidRPr="004C69C9" w:rsidRDefault="00EF3A39" w:rsidP="003F055E">
            <w:pPr>
              <w:pStyle w:val="ListParagraph"/>
              <w:spacing w:after="0"/>
              <w:ind w:left="0"/>
              <w:rPr>
                <w:rFonts w:ascii="Times New Roman" w:eastAsia="Calibri" w:hAnsi="Times New Roman" w:cs="Times New Roman"/>
                <w:sz w:val="20"/>
                <w:szCs w:val="20"/>
              </w:rPr>
            </w:pPr>
            <w:r w:rsidRPr="004C69C9">
              <w:rPr>
                <w:rFonts w:ascii="Times New Roman" w:eastAsia="Calibri" w:hAnsi="Times New Roman" w:cs="Times New Roman"/>
                <w:sz w:val="18"/>
                <w:szCs w:val="18"/>
              </w:rPr>
              <w:t>NO DA 3947 ENTRY.</w:t>
            </w:r>
          </w:p>
        </w:tc>
        <w:tc>
          <w:tcPr>
            <w:tcW w:w="810" w:type="dxa"/>
            <w:shd w:val="clear" w:color="auto" w:fill="FFFFFF"/>
          </w:tcPr>
          <w:p w:rsidR="00EF3A39" w:rsidRPr="004C69C9" w:rsidRDefault="00EF3A39" w:rsidP="003F055E">
            <w:pPr>
              <w:pStyle w:val="ListParagraph"/>
              <w:spacing w:after="0"/>
              <w:ind w:left="0"/>
              <w:jc w:val="center"/>
              <w:rPr>
                <w:rFonts w:ascii="Times New Roman" w:eastAsia="Calibri" w:hAnsi="Times New Roman" w:cs="Times New Roman"/>
                <w:sz w:val="20"/>
                <w:szCs w:val="20"/>
              </w:rPr>
            </w:pPr>
          </w:p>
        </w:tc>
        <w:tc>
          <w:tcPr>
            <w:tcW w:w="810" w:type="dxa"/>
            <w:shd w:val="clear" w:color="auto" w:fill="FFFFFF"/>
          </w:tcPr>
          <w:p w:rsidR="00EF3A39" w:rsidRPr="004C69C9" w:rsidRDefault="00EF3A39" w:rsidP="003F055E">
            <w:pPr>
              <w:pStyle w:val="ListParagraph"/>
              <w:spacing w:after="0"/>
              <w:ind w:left="0"/>
              <w:jc w:val="center"/>
              <w:rPr>
                <w:rFonts w:ascii="Times New Roman" w:eastAsia="Calibri" w:hAnsi="Times New Roman" w:cs="Times New Roman"/>
                <w:sz w:val="20"/>
                <w:szCs w:val="20"/>
              </w:rPr>
            </w:pPr>
          </w:p>
        </w:tc>
        <w:tc>
          <w:tcPr>
            <w:tcW w:w="1170" w:type="dxa"/>
            <w:tcBorders>
              <w:right w:val="thinThickThinSmallGap" w:sz="24" w:space="0" w:color="auto"/>
            </w:tcBorders>
            <w:shd w:val="clear" w:color="auto" w:fill="FFFFFF"/>
          </w:tcPr>
          <w:p w:rsidR="00EF3A39" w:rsidRPr="004C69C9" w:rsidRDefault="00EF3A39" w:rsidP="003F055E">
            <w:pPr>
              <w:pStyle w:val="ListParagraph"/>
              <w:spacing w:after="0"/>
              <w:ind w:left="0"/>
              <w:jc w:val="center"/>
              <w:rPr>
                <w:rFonts w:ascii="Times New Roman" w:eastAsia="Calibri" w:hAnsi="Times New Roman" w:cs="Times New Roman"/>
                <w:b/>
                <w:sz w:val="20"/>
                <w:szCs w:val="20"/>
              </w:rPr>
            </w:pPr>
          </w:p>
        </w:tc>
        <w:tc>
          <w:tcPr>
            <w:tcW w:w="2250" w:type="dxa"/>
            <w:tcBorders>
              <w:left w:val="thinThickThinSmallGap" w:sz="24" w:space="0" w:color="auto"/>
            </w:tcBorders>
            <w:shd w:val="clear" w:color="auto" w:fill="FFFFFF"/>
          </w:tcPr>
          <w:p w:rsidR="00EF3A39" w:rsidRPr="004C69C9" w:rsidRDefault="00EF3A39" w:rsidP="003F055E">
            <w:pPr>
              <w:pStyle w:val="ListParagraph"/>
              <w:spacing w:after="0"/>
              <w:ind w:left="0"/>
              <w:rPr>
                <w:rFonts w:ascii="Times New Roman" w:eastAsia="Calibri" w:hAnsi="Times New Roman" w:cs="Times New Roman"/>
                <w:sz w:val="20"/>
                <w:szCs w:val="20"/>
              </w:rPr>
            </w:pPr>
            <w:r w:rsidRPr="004C69C9">
              <w:rPr>
                <w:rFonts w:ascii="Times New Roman" w:eastAsia="Calibri" w:hAnsi="Times New Roman" w:cs="Times New Roman"/>
                <w:sz w:val="20"/>
                <w:szCs w:val="20"/>
              </w:rPr>
              <w:t>NON-PEB X 2</w:t>
            </w:r>
          </w:p>
        </w:tc>
        <w:tc>
          <w:tcPr>
            <w:tcW w:w="810" w:type="dxa"/>
            <w:shd w:val="clear" w:color="auto" w:fill="FFFFFF"/>
          </w:tcPr>
          <w:p w:rsidR="00EF3A39" w:rsidRPr="004C69C9" w:rsidRDefault="00EF3A39" w:rsidP="003F055E">
            <w:pPr>
              <w:pStyle w:val="ListParagraph"/>
              <w:spacing w:after="0"/>
              <w:ind w:left="0"/>
              <w:jc w:val="center"/>
              <w:rPr>
                <w:rFonts w:ascii="Times New Roman" w:eastAsia="Calibri" w:hAnsi="Times New Roman" w:cs="Times New Roman"/>
                <w:sz w:val="20"/>
                <w:szCs w:val="20"/>
              </w:rPr>
            </w:pPr>
          </w:p>
        </w:tc>
        <w:tc>
          <w:tcPr>
            <w:tcW w:w="810" w:type="dxa"/>
            <w:shd w:val="clear" w:color="auto" w:fill="FFFFFF"/>
          </w:tcPr>
          <w:p w:rsidR="00EF3A39" w:rsidRPr="004C69C9" w:rsidRDefault="00EF3A39" w:rsidP="003F055E">
            <w:pPr>
              <w:pStyle w:val="ListParagraph"/>
              <w:spacing w:after="0"/>
              <w:ind w:left="0"/>
              <w:jc w:val="center"/>
              <w:rPr>
                <w:rFonts w:ascii="Times New Roman" w:eastAsia="Calibri" w:hAnsi="Times New Roman" w:cs="Times New Roman"/>
                <w:sz w:val="20"/>
                <w:szCs w:val="20"/>
              </w:rPr>
            </w:pPr>
          </w:p>
        </w:tc>
        <w:tc>
          <w:tcPr>
            <w:tcW w:w="1170" w:type="dxa"/>
            <w:shd w:val="clear" w:color="auto" w:fill="FFFFFF"/>
          </w:tcPr>
          <w:p w:rsidR="00EF3A39" w:rsidRPr="004C69C9" w:rsidRDefault="00EF3A39" w:rsidP="003F055E">
            <w:pPr>
              <w:pStyle w:val="ListParagraph"/>
              <w:spacing w:after="0"/>
              <w:ind w:left="0"/>
              <w:jc w:val="center"/>
              <w:rPr>
                <w:rFonts w:ascii="Times New Roman" w:eastAsia="Calibri" w:hAnsi="Times New Roman" w:cs="Times New Roman"/>
                <w:sz w:val="20"/>
                <w:szCs w:val="20"/>
              </w:rPr>
            </w:pPr>
          </w:p>
        </w:tc>
        <w:tc>
          <w:tcPr>
            <w:tcW w:w="1170" w:type="dxa"/>
            <w:shd w:val="clear" w:color="auto" w:fill="FFFFFF"/>
          </w:tcPr>
          <w:p w:rsidR="00EF3A39" w:rsidRPr="004C69C9" w:rsidRDefault="00EF3A39" w:rsidP="003F055E">
            <w:pPr>
              <w:pStyle w:val="ListParagraph"/>
              <w:spacing w:after="0"/>
              <w:ind w:left="0"/>
              <w:jc w:val="center"/>
              <w:rPr>
                <w:rFonts w:ascii="Times New Roman" w:eastAsia="Calibri" w:hAnsi="Times New Roman" w:cs="Times New Roman"/>
                <w:sz w:val="20"/>
                <w:szCs w:val="20"/>
              </w:rPr>
            </w:pPr>
          </w:p>
        </w:tc>
      </w:tr>
      <w:tr w:rsidR="00EF3A39" w:rsidTr="003F055E">
        <w:trPr>
          <w:trHeight w:val="377"/>
        </w:trPr>
        <w:tc>
          <w:tcPr>
            <w:tcW w:w="5040" w:type="dxa"/>
            <w:gridSpan w:val="4"/>
            <w:tcBorders>
              <w:right w:val="thinThickThinSmallGap" w:sz="24" w:space="0" w:color="auto"/>
            </w:tcBorders>
            <w:shd w:val="clear" w:color="auto" w:fill="EEECE1"/>
          </w:tcPr>
          <w:p w:rsidR="00EF3A39" w:rsidRPr="004C69C9" w:rsidRDefault="00EF3A39" w:rsidP="003F055E">
            <w:pPr>
              <w:pStyle w:val="ListParagraph"/>
              <w:spacing w:after="0"/>
              <w:ind w:left="0"/>
              <w:jc w:val="center"/>
              <w:rPr>
                <w:rFonts w:ascii="Times New Roman" w:eastAsia="Calibri" w:hAnsi="Times New Roman" w:cs="Times New Roman"/>
                <w:b/>
              </w:rPr>
            </w:pPr>
            <w:r w:rsidRPr="004C69C9">
              <w:rPr>
                <w:rFonts w:ascii="Times New Roman" w:eastAsia="Calibri" w:hAnsi="Times New Roman" w:cs="Times New Roman"/>
                <w:b/>
              </w:rPr>
              <w:t>TOTAL Combined:  20 %</w:t>
            </w:r>
          </w:p>
        </w:tc>
        <w:tc>
          <w:tcPr>
            <w:tcW w:w="6210" w:type="dxa"/>
            <w:gridSpan w:val="5"/>
            <w:tcBorders>
              <w:left w:val="thinThickThinSmallGap" w:sz="24" w:space="0" w:color="auto"/>
            </w:tcBorders>
            <w:shd w:val="clear" w:color="auto" w:fill="EEECE1"/>
          </w:tcPr>
          <w:p w:rsidR="00EF3A39" w:rsidRPr="004C69C9" w:rsidRDefault="00EF3A39" w:rsidP="003F055E">
            <w:pPr>
              <w:pStyle w:val="ListParagraph"/>
              <w:spacing w:after="0"/>
              <w:ind w:left="0"/>
              <w:jc w:val="center"/>
              <w:rPr>
                <w:rFonts w:ascii="Times New Roman" w:eastAsia="Calibri" w:hAnsi="Times New Roman" w:cs="Times New Roman"/>
                <w:b/>
              </w:rPr>
            </w:pPr>
            <w:r w:rsidRPr="004C69C9">
              <w:rPr>
                <w:rFonts w:ascii="Times New Roman" w:eastAsia="Calibri" w:hAnsi="Times New Roman" w:cs="Times New Roman"/>
                <w:b/>
              </w:rPr>
              <w:t>TOTAL Combined (</w:t>
            </w:r>
            <w:r w:rsidRPr="004C69C9">
              <w:rPr>
                <w:rFonts w:ascii="Times New Roman" w:eastAsia="Calibri" w:hAnsi="Times New Roman" w:cs="Times New Roman"/>
                <w:b/>
                <w:i/>
              </w:rPr>
              <w:t xml:space="preserve">incl. non-PEB </w:t>
            </w:r>
            <w:proofErr w:type="spellStart"/>
            <w:r w:rsidRPr="004C69C9">
              <w:rPr>
                <w:rFonts w:ascii="Times New Roman" w:eastAsia="Calibri" w:hAnsi="Times New Roman" w:cs="Times New Roman"/>
                <w:b/>
                <w:i/>
              </w:rPr>
              <w:t>Dxs</w:t>
            </w:r>
            <w:proofErr w:type="spellEnd"/>
            <w:r w:rsidRPr="004C69C9">
              <w:rPr>
                <w:rFonts w:ascii="Times New Roman" w:eastAsia="Calibri" w:hAnsi="Times New Roman" w:cs="Times New Roman"/>
                <w:b/>
              </w:rPr>
              <w:t xml:space="preserve">):    70%                                                                         </w:t>
            </w:r>
            <w:r w:rsidRPr="004C69C9">
              <w:rPr>
                <w:rFonts w:ascii="Times New Roman" w:eastAsia="Calibri" w:hAnsi="Times New Roman" w:cs="Times New Roman"/>
                <w:color w:val="000000"/>
                <w:sz w:val="21"/>
                <w:szCs w:val="24"/>
              </w:rPr>
              <w:t xml:space="preserve"> </w:t>
            </w:r>
          </w:p>
        </w:tc>
      </w:tr>
    </w:tbl>
    <w:p w:rsidR="00EF3A39" w:rsidRDefault="00EF3A39" w:rsidP="00EF3A39">
      <w:pPr>
        <w:tabs>
          <w:tab w:val="left" w:pos="288"/>
          <w:tab w:val="left" w:pos="4752"/>
        </w:tabs>
        <w:spacing w:line="240" w:lineRule="exact"/>
        <w:jc w:val="both"/>
        <w:rPr>
          <w:color w:val="000080"/>
        </w:rPr>
      </w:pPr>
      <w:r>
        <w:rPr>
          <w:color w:val="000080"/>
          <w:u w:val="single"/>
        </w:rPr>
        <w:lastRenderedPageBreak/>
        <w:t>ANALYSIS SUMMARY</w:t>
      </w:r>
      <w:r>
        <w:rPr>
          <w:color w:val="000080"/>
        </w:rPr>
        <w:t>:</w:t>
      </w:r>
    </w:p>
    <w:p w:rsidR="00EF3A39" w:rsidRDefault="00EF3A39" w:rsidP="00EF3A39">
      <w:pPr>
        <w:tabs>
          <w:tab w:val="left" w:pos="288"/>
          <w:tab w:val="left" w:pos="4752"/>
        </w:tabs>
        <w:spacing w:line="240" w:lineRule="exact"/>
        <w:jc w:val="both"/>
        <w:rPr>
          <w:color w:val="000080"/>
        </w:rPr>
      </w:pPr>
    </w:p>
    <w:p w:rsidR="00EF3A39" w:rsidRPr="00572481" w:rsidRDefault="00EF3A39" w:rsidP="00572481">
      <w:pPr>
        <w:tabs>
          <w:tab w:val="left" w:pos="288"/>
          <w:tab w:val="left" w:pos="4752"/>
        </w:tabs>
        <w:spacing w:line="240" w:lineRule="exact"/>
        <w:jc w:val="both"/>
        <w:rPr>
          <w:color w:val="000080"/>
        </w:rPr>
      </w:pPr>
      <w:r w:rsidRPr="00572481">
        <w:rPr>
          <w:color w:val="000080"/>
          <w:u w:val="single"/>
        </w:rPr>
        <w:t>PTSD Rating</w:t>
      </w:r>
      <w:r w:rsidRPr="00572481">
        <w:rPr>
          <w:color w:val="000080"/>
        </w:rPr>
        <w:t>.  It is not clear if the 10% PEB rating was underpinned by VA</w:t>
      </w:r>
      <w:r w:rsidR="00B355C1">
        <w:rPr>
          <w:color w:val="000080"/>
        </w:rPr>
        <w:t xml:space="preserve">SRD §4.130 or by </w:t>
      </w:r>
      <w:proofErr w:type="spellStart"/>
      <w:r w:rsidR="00B355C1">
        <w:rPr>
          <w:color w:val="000080"/>
        </w:rPr>
        <w:t>DoDI</w:t>
      </w:r>
      <w:proofErr w:type="spellEnd"/>
      <w:r w:rsidR="00B355C1">
        <w:rPr>
          <w:color w:val="000080"/>
        </w:rPr>
        <w:t xml:space="preserve"> 1332.39 (</w:t>
      </w:r>
      <w:r w:rsidRPr="00572481">
        <w:rPr>
          <w:color w:val="000080"/>
        </w:rPr>
        <w:t xml:space="preserve">E2.A1.5).  Under the </w:t>
      </w:r>
      <w:proofErr w:type="spellStart"/>
      <w:r w:rsidRPr="00572481">
        <w:rPr>
          <w:color w:val="000080"/>
        </w:rPr>
        <w:t>DoDI</w:t>
      </w:r>
      <w:proofErr w:type="spellEnd"/>
      <w:r w:rsidRPr="00572481">
        <w:rPr>
          <w:color w:val="000080"/>
        </w:rPr>
        <w:t xml:space="preserve">, the case is </w:t>
      </w:r>
      <w:r w:rsidR="00B355C1">
        <w:rPr>
          <w:color w:val="000080"/>
        </w:rPr>
        <w:t>an appropriate</w:t>
      </w:r>
      <w:r w:rsidRPr="00572481">
        <w:rPr>
          <w:color w:val="000080"/>
        </w:rPr>
        <w:t xml:space="preserve"> fit with the 30% criteria; and under the VASRD, a case can be made for 50%.  This is moot, since PDBR adjudication at 50% TDRL for 6 months is current </w:t>
      </w:r>
      <w:proofErr w:type="spellStart"/>
      <w:r w:rsidRPr="00572481">
        <w:rPr>
          <w:color w:val="000080"/>
        </w:rPr>
        <w:t>DoDI</w:t>
      </w:r>
      <w:proofErr w:type="spellEnd"/>
      <w:r w:rsidRPr="00572481">
        <w:rPr>
          <w:color w:val="000080"/>
        </w:rPr>
        <w:t xml:space="preserve"> 6040.44 and DOD guidance.  A precise 6 month adjudication of permanent disability is not possible, since the earliest follow-on record available is the initial VA rating examination performed 11 months after separation.  The CI’s symptoms at 11</w:t>
      </w:r>
      <w:r w:rsidR="00877513">
        <w:rPr>
          <w:color w:val="000080"/>
        </w:rPr>
        <w:t> </w:t>
      </w:r>
      <w:r w:rsidRPr="00572481">
        <w:rPr>
          <w:color w:val="000080"/>
        </w:rPr>
        <w:t>months were typical of PTSD and fairly acute.  He was compliant with outpatient psychotherapy, although persisted in moderate daily alcohol consumption.  He was being treated with 3</w:t>
      </w:r>
      <w:r w:rsidR="00877513">
        <w:rPr>
          <w:color w:val="000080"/>
        </w:rPr>
        <w:t> </w:t>
      </w:r>
      <w:r w:rsidRPr="00572481">
        <w:rPr>
          <w:color w:val="000080"/>
        </w:rPr>
        <w:t xml:space="preserve">psychotherapeutic medications.  He was still living with his family, although with marital strife.  He was still in pursuit of regaining employment, but unsuccessfully so.  The VA rating based on the 11 month exam was 50%.  The 50% rating requires ‘occupational and social impairment with reduced reliability and productivity’; 30% states ‘occupational and social impairment with occasional decrease in work efficiency and intermittent periods of inability to perform occupational tasks’.  Occupational and social impairment was beyond ‘occasional’ and ‘intermittent’.  The CI’s exam noted most of the </w:t>
      </w:r>
      <w:r w:rsidR="007D76AC" w:rsidRPr="00572481">
        <w:rPr>
          <w:color w:val="000080"/>
        </w:rPr>
        <w:t xml:space="preserve">§4.130 </w:t>
      </w:r>
      <w:r w:rsidRPr="00572481">
        <w:rPr>
          <w:color w:val="000080"/>
        </w:rPr>
        <w:t>‘due to’ descriptors for 30%, 4 for 50% and 3 for 70%.  Allowing that his undocumented condition at 6 months may have warranted a lo</w:t>
      </w:r>
      <w:r w:rsidR="007D76AC">
        <w:rPr>
          <w:color w:val="000080"/>
        </w:rPr>
        <w:t>wer rating, his VA rating of 50</w:t>
      </w:r>
      <w:r w:rsidRPr="00572481">
        <w:rPr>
          <w:color w:val="000080"/>
        </w:rPr>
        <w:t xml:space="preserve">% at 11 months is well supported by the facts and </w:t>
      </w:r>
      <w:r w:rsidR="007D76AC">
        <w:rPr>
          <w:color w:val="000080"/>
        </w:rPr>
        <w:t xml:space="preserve">consistent with VASRD rating schedule.  </w:t>
      </w:r>
      <w:r w:rsidRPr="00572481">
        <w:rPr>
          <w:color w:val="000080"/>
        </w:rPr>
        <w:t xml:space="preserve">IAW </w:t>
      </w:r>
      <w:r w:rsidR="007D76AC">
        <w:rPr>
          <w:color w:val="000080"/>
        </w:rPr>
        <w:t xml:space="preserve">VASRD </w:t>
      </w:r>
      <w:r w:rsidRPr="00572481">
        <w:rPr>
          <w:color w:val="000080"/>
        </w:rPr>
        <w:t>§4.3 (reasonable doubt), 50% is a fair permanent rating in this case.</w:t>
      </w:r>
    </w:p>
    <w:p w:rsidR="00EF3A39" w:rsidRPr="00572481" w:rsidRDefault="00EF3A39" w:rsidP="00EF3A39">
      <w:pPr>
        <w:tabs>
          <w:tab w:val="left" w:pos="288"/>
          <w:tab w:val="left" w:pos="4752"/>
        </w:tabs>
        <w:spacing w:line="240" w:lineRule="exact"/>
        <w:jc w:val="both"/>
        <w:rPr>
          <w:color w:val="000080"/>
        </w:rPr>
      </w:pPr>
    </w:p>
    <w:p w:rsidR="00EF3A39" w:rsidRPr="00572481" w:rsidRDefault="00EF3A39" w:rsidP="00EF3A39">
      <w:pPr>
        <w:tabs>
          <w:tab w:val="left" w:pos="288"/>
          <w:tab w:val="left" w:pos="4752"/>
        </w:tabs>
        <w:spacing w:line="240" w:lineRule="exact"/>
        <w:jc w:val="both"/>
        <w:rPr>
          <w:color w:val="000080"/>
        </w:rPr>
      </w:pPr>
      <w:proofErr w:type="gramStart"/>
      <w:r w:rsidRPr="00572481">
        <w:rPr>
          <w:color w:val="000080"/>
          <w:u w:val="single"/>
        </w:rPr>
        <w:t>Right Knee Rating</w:t>
      </w:r>
      <w:r w:rsidRPr="00572481">
        <w:rPr>
          <w:color w:val="000080"/>
        </w:rPr>
        <w:t>.</w:t>
      </w:r>
      <w:proofErr w:type="gramEnd"/>
      <w:r w:rsidRPr="00572481">
        <w:rPr>
          <w:color w:val="000080"/>
        </w:rPr>
        <w:t xml:space="preserve">  The PEB coded the knee analogous to 5003.  The most precise code for this condition is 5259, which </w:t>
      </w:r>
      <w:r w:rsidR="00736F4C">
        <w:rPr>
          <w:color w:val="000080"/>
        </w:rPr>
        <w:t xml:space="preserve">also </w:t>
      </w:r>
      <w:r w:rsidRPr="00572481">
        <w:rPr>
          <w:color w:val="000080"/>
        </w:rPr>
        <w:t>yield</w:t>
      </w:r>
      <w:r w:rsidR="00736F4C">
        <w:rPr>
          <w:color w:val="000080"/>
        </w:rPr>
        <w:t>s</w:t>
      </w:r>
      <w:r w:rsidRPr="00572481">
        <w:rPr>
          <w:color w:val="000080"/>
        </w:rPr>
        <w:t xml:space="preserve"> a 10% rating.  The code chosen by the VA was imprecise since there was no </w:t>
      </w:r>
      <w:r w:rsidR="00736F4C">
        <w:rPr>
          <w:color w:val="000080"/>
        </w:rPr>
        <w:t xml:space="preserve">fracture or </w:t>
      </w:r>
      <w:proofErr w:type="spellStart"/>
      <w:r w:rsidR="00736F4C">
        <w:rPr>
          <w:color w:val="000080"/>
        </w:rPr>
        <w:t>malunion</w:t>
      </w:r>
      <w:proofErr w:type="spellEnd"/>
      <w:r w:rsidRPr="00572481">
        <w:rPr>
          <w:color w:val="000080"/>
        </w:rPr>
        <w:t>.  The orthopedic addendum to the PEB and the VA rating exam described essentially identical findings.  There was normal 140</w:t>
      </w:r>
      <w:r w:rsidR="00736F4C">
        <w:rPr>
          <w:rFonts w:ascii="Calibri" w:hAnsi="Calibri"/>
          <w:color w:val="000080"/>
        </w:rPr>
        <w:t>⁰</w:t>
      </w:r>
      <w:r w:rsidRPr="00572481">
        <w:rPr>
          <w:color w:val="000080"/>
        </w:rPr>
        <w:t xml:space="preserve"> flexion (albeit with pain), no instability, no effusion, no physical signs of cartilage impingement and only some mild local tenderness.  The 10% rating, as per the PEB and the VA, is fair.  Since there is no §4.7 (higher of two evaluations) imperative to change the code, the PEB coding is appropriate for </w:t>
      </w:r>
      <w:r w:rsidR="007D76AC">
        <w:rPr>
          <w:color w:val="000080"/>
        </w:rPr>
        <w:t>PDBR</w:t>
      </w:r>
      <w:r w:rsidRPr="00572481">
        <w:rPr>
          <w:color w:val="000080"/>
        </w:rPr>
        <w:t xml:space="preserve"> adjudication.</w:t>
      </w:r>
    </w:p>
    <w:p w:rsidR="00EF3A39" w:rsidRPr="00572481" w:rsidRDefault="00EF3A39" w:rsidP="00EF3A39">
      <w:pPr>
        <w:tabs>
          <w:tab w:val="left" w:pos="288"/>
          <w:tab w:val="left" w:pos="4752"/>
        </w:tabs>
        <w:spacing w:line="240" w:lineRule="exact"/>
        <w:jc w:val="both"/>
        <w:rPr>
          <w:color w:val="000080"/>
        </w:rPr>
      </w:pPr>
    </w:p>
    <w:p w:rsidR="00EF3A39" w:rsidRPr="00572481" w:rsidRDefault="00EF3A39" w:rsidP="00EF3A39">
      <w:pPr>
        <w:tabs>
          <w:tab w:val="left" w:pos="288"/>
          <w:tab w:val="left" w:pos="4752"/>
        </w:tabs>
        <w:spacing w:line="240" w:lineRule="exact"/>
        <w:jc w:val="both"/>
        <w:rPr>
          <w:color w:val="000080"/>
        </w:rPr>
      </w:pPr>
      <w:proofErr w:type="gramStart"/>
      <w:r w:rsidRPr="00572481">
        <w:rPr>
          <w:color w:val="000080"/>
          <w:u w:val="single"/>
        </w:rPr>
        <w:t>Left Knee Condition</w:t>
      </w:r>
      <w:r w:rsidRPr="00572481">
        <w:rPr>
          <w:color w:val="000080"/>
        </w:rPr>
        <w:t>.</w:t>
      </w:r>
      <w:proofErr w:type="gramEnd"/>
      <w:r w:rsidRPr="00572481">
        <w:rPr>
          <w:color w:val="000080"/>
        </w:rPr>
        <w:t xml:space="preserve">  The CI complained of left knee pain, diagnosed as a </w:t>
      </w:r>
      <w:proofErr w:type="spellStart"/>
      <w:r w:rsidRPr="00572481">
        <w:rPr>
          <w:color w:val="000080"/>
        </w:rPr>
        <w:t>meniscal</w:t>
      </w:r>
      <w:proofErr w:type="spellEnd"/>
      <w:r w:rsidRPr="00572481">
        <w:rPr>
          <w:color w:val="000080"/>
        </w:rPr>
        <w:t xml:space="preserve"> injury by MRI, late in the MEB process.  This was not noted on the MEB physical, covered in the NARSUM or DA 3947 and not, therefore, adjudicated by the PEB.  After the PEB, prior to separation, the CI received a profile for the knee.  The condition was unsuccessfully appealed to the USAPDA after </w:t>
      </w:r>
      <w:r w:rsidR="00736F4C">
        <w:rPr>
          <w:color w:val="000080"/>
        </w:rPr>
        <w:t>the CI accepted</w:t>
      </w:r>
      <w:r w:rsidRPr="00572481">
        <w:rPr>
          <w:color w:val="000080"/>
        </w:rPr>
        <w:t xml:space="preserve"> </w:t>
      </w:r>
      <w:r w:rsidR="00736F4C">
        <w:rPr>
          <w:color w:val="000080"/>
        </w:rPr>
        <w:t>the initial PEB adjudication.  Although t</w:t>
      </w:r>
      <w:r w:rsidRPr="00572481">
        <w:rPr>
          <w:color w:val="000080"/>
        </w:rPr>
        <w:t>here was initial discussion with orthopedic staff regarding retention on active duty for surgical repair</w:t>
      </w:r>
      <w:r w:rsidR="00736F4C">
        <w:rPr>
          <w:color w:val="000080"/>
        </w:rPr>
        <w:t>, t</w:t>
      </w:r>
      <w:r w:rsidRPr="00572481">
        <w:rPr>
          <w:color w:val="000080"/>
        </w:rPr>
        <w:t xml:space="preserve">his was pre-empted by a USAPDA determination that surgery would not return the CI to duty and was not immediately required.  </w:t>
      </w:r>
      <w:r w:rsidRPr="00572481">
        <w:rPr>
          <w:color w:val="000080"/>
        </w:rPr>
        <w:lastRenderedPageBreak/>
        <w:t>A</w:t>
      </w:r>
      <w:r w:rsidR="00877513">
        <w:rPr>
          <w:color w:val="000080"/>
        </w:rPr>
        <w:t> </w:t>
      </w:r>
      <w:r w:rsidRPr="00572481">
        <w:rPr>
          <w:color w:val="000080"/>
        </w:rPr>
        <w:t>determination that the knee met retention standards IAW AR</w:t>
      </w:r>
      <w:r w:rsidR="00736F4C">
        <w:rPr>
          <w:color w:val="000080"/>
        </w:rPr>
        <w:t xml:space="preserve"> 40-501 was cited.  An e</w:t>
      </w:r>
      <w:r w:rsidRPr="00572481">
        <w:rPr>
          <w:color w:val="000080"/>
        </w:rPr>
        <w:t xml:space="preserve">xamination in that regard is </w:t>
      </w:r>
      <w:r w:rsidR="009E1648">
        <w:rPr>
          <w:color w:val="000080"/>
        </w:rPr>
        <w:t>referenced</w:t>
      </w:r>
      <w:r w:rsidRPr="00572481">
        <w:rPr>
          <w:color w:val="000080"/>
        </w:rPr>
        <w:t xml:space="preserve"> in correspondence from the PEBLO, stating that the addendum could not be located.  It is not in evidence, but there is no reason to suspect that the left knee condition was not adequately addressed.  Since there is no evidence </w:t>
      </w:r>
      <w:r w:rsidR="009E1648">
        <w:rPr>
          <w:color w:val="000080"/>
        </w:rPr>
        <w:t>contradicting the USAPDA opinion</w:t>
      </w:r>
      <w:r w:rsidRPr="00572481">
        <w:rPr>
          <w:color w:val="000080"/>
        </w:rPr>
        <w:t>, there is inadequate support for a Board finding that the condition was unfitting at separation.</w:t>
      </w:r>
    </w:p>
    <w:p w:rsidR="00EF3A39" w:rsidRPr="00572481" w:rsidRDefault="00EF3A39" w:rsidP="00EF3A39">
      <w:pPr>
        <w:tabs>
          <w:tab w:val="left" w:pos="288"/>
          <w:tab w:val="left" w:pos="4752"/>
        </w:tabs>
        <w:spacing w:line="240" w:lineRule="exact"/>
        <w:jc w:val="both"/>
        <w:rPr>
          <w:color w:val="000080"/>
        </w:rPr>
      </w:pPr>
    </w:p>
    <w:p w:rsidR="00EF3A39" w:rsidRPr="00572481" w:rsidRDefault="00EF3A39" w:rsidP="00EF3A39">
      <w:pPr>
        <w:tabs>
          <w:tab w:val="left" w:pos="288"/>
          <w:tab w:val="left" w:pos="4752"/>
        </w:tabs>
        <w:spacing w:line="240" w:lineRule="exact"/>
        <w:jc w:val="both"/>
        <w:rPr>
          <w:color w:val="000080"/>
        </w:rPr>
      </w:pPr>
      <w:r w:rsidRPr="00572481">
        <w:rPr>
          <w:color w:val="000080"/>
          <w:u w:val="single"/>
        </w:rPr>
        <w:t>Back Condition</w:t>
      </w:r>
      <w:r w:rsidRPr="00572481">
        <w:rPr>
          <w:color w:val="000080"/>
        </w:rPr>
        <w:t xml:space="preserve">.  The CI’s complaint of back pain did not appear to be of any notable active clinical significance prior to separation.  It was not entered as a complaint or abnormal finding on his MEB physical.  It was not noted in his medical profiles or mentioned in the Commander’s statement.  It was not addressed in the NARSUM or entered on the DA 3947.  The CI subsequently produced a letter from his Med Hold provider that it </w:t>
      </w:r>
      <w:r w:rsidR="004B5A42">
        <w:rPr>
          <w:color w:val="000080"/>
        </w:rPr>
        <w:t>had been</w:t>
      </w:r>
      <w:r w:rsidRPr="00572481">
        <w:rPr>
          <w:color w:val="000080"/>
        </w:rPr>
        <w:t xml:space="preserve"> an active complaint prior to separation and that documentation was missing because of record system issues.  This </w:t>
      </w:r>
      <w:r w:rsidR="009E1648">
        <w:rPr>
          <w:color w:val="000080"/>
        </w:rPr>
        <w:t>does not</w:t>
      </w:r>
      <w:r w:rsidRPr="00572481">
        <w:rPr>
          <w:color w:val="000080"/>
        </w:rPr>
        <w:t xml:space="preserve"> carry enough probative value, however, to overcome the </w:t>
      </w:r>
      <w:r w:rsidR="00C10A12" w:rsidRPr="00572481">
        <w:rPr>
          <w:color w:val="000080"/>
        </w:rPr>
        <w:t xml:space="preserve">above </w:t>
      </w:r>
      <w:r w:rsidRPr="00572481">
        <w:rPr>
          <w:color w:val="000080"/>
        </w:rPr>
        <w:t>evidence that the condition was quiescent at the time of PEB adjudication.  It was diagnosed as disc disease by VA evaluation after separation, and was unsuccessfully appealed to the ABMCR.  There is not adequate support for Board adjudication of the back condition as ratable at separation.</w:t>
      </w:r>
    </w:p>
    <w:p w:rsidR="00EF3A39" w:rsidRPr="00572481" w:rsidRDefault="00EF3A39" w:rsidP="00EF3A39">
      <w:pPr>
        <w:tabs>
          <w:tab w:val="left" w:pos="288"/>
          <w:tab w:val="left" w:pos="4752"/>
        </w:tabs>
        <w:spacing w:line="240" w:lineRule="exact"/>
        <w:jc w:val="both"/>
        <w:rPr>
          <w:color w:val="000080"/>
        </w:rPr>
      </w:pPr>
    </w:p>
    <w:p w:rsidR="00EF3A39" w:rsidRPr="00572481" w:rsidRDefault="00EF3A39" w:rsidP="00EF3A39">
      <w:pPr>
        <w:tabs>
          <w:tab w:val="left" w:pos="288"/>
          <w:tab w:val="left" w:pos="4752"/>
        </w:tabs>
        <w:spacing w:line="240" w:lineRule="exact"/>
        <w:jc w:val="both"/>
        <w:rPr>
          <w:color w:val="000080"/>
        </w:rPr>
      </w:pPr>
      <w:proofErr w:type="gramStart"/>
      <w:r w:rsidRPr="00572481">
        <w:rPr>
          <w:color w:val="000080"/>
          <w:u w:val="single"/>
        </w:rPr>
        <w:t>Other Conditions</w:t>
      </w:r>
      <w:r w:rsidRPr="00572481">
        <w:rPr>
          <w:color w:val="000080"/>
        </w:rPr>
        <w:t>.</w:t>
      </w:r>
      <w:proofErr w:type="gramEnd"/>
      <w:r w:rsidRPr="00572481">
        <w:rPr>
          <w:color w:val="000080"/>
        </w:rPr>
        <w:t xml:space="preserve">  The CI contended for a left ear condition related to the OIF concussion injury in his USAPDA appeal.  Although not covered in the NARSUM or DA 3947, he had undergone hearing and ENT evaluation.  There is no potential link to fitness or even evidence of a compensable condition at separation.  The CI noted ‘severe’ headaches on his MEB physical</w:t>
      </w:r>
      <w:r w:rsidR="009E1648">
        <w:rPr>
          <w:color w:val="000080"/>
        </w:rPr>
        <w:t>, later attributed to the concussion by the VA</w:t>
      </w:r>
      <w:r w:rsidRPr="00572481">
        <w:rPr>
          <w:color w:val="000080"/>
        </w:rPr>
        <w:t xml:space="preserve">.  These were not addressed by the MEB.  They have no link to fitness via profiles or Commander’s statement, and were initially rated 0% by the VA.  </w:t>
      </w:r>
      <w:r w:rsidR="009E1648">
        <w:rPr>
          <w:color w:val="000080"/>
        </w:rPr>
        <w:t xml:space="preserve">Board addition of headache to conditions at separation would be of no benefit to the CI, even if a tenuous link to fitness were overcome. </w:t>
      </w:r>
    </w:p>
    <w:p w:rsidR="00EF3A39" w:rsidRPr="00572481" w:rsidRDefault="00EF3A39" w:rsidP="00EF3A39">
      <w:pPr>
        <w:tabs>
          <w:tab w:val="left" w:pos="288"/>
          <w:tab w:val="left" w:pos="4752"/>
        </w:tabs>
        <w:spacing w:line="240" w:lineRule="exact"/>
        <w:jc w:val="both"/>
        <w:rPr>
          <w:color w:val="000080"/>
        </w:rPr>
      </w:pPr>
    </w:p>
    <w:p w:rsidR="00EF3A39" w:rsidRPr="00572481" w:rsidRDefault="00EF3A39" w:rsidP="00EF3A39">
      <w:pPr>
        <w:tabs>
          <w:tab w:val="left" w:pos="288"/>
          <w:tab w:val="left" w:pos="4752"/>
        </w:tabs>
        <w:spacing w:line="240" w:lineRule="exact"/>
        <w:jc w:val="both"/>
        <w:rPr>
          <w:color w:val="000080"/>
        </w:rPr>
      </w:pPr>
      <w:r w:rsidRPr="00572481">
        <w:rPr>
          <w:color w:val="000080"/>
        </w:rPr>
        <w:t xml:space="preserve">Of note, the CI had a history and </w:t>
      </w:r>
      <w:proofErr w:type="spellStart"/>
      <w:r w:rsidRPr="00572481">
        <w:rPr>
          <w:color w:val="000080"/>
        </w:rPr>
        <w:t>symptomology</w:t>
      </w:r>
      <w:proofErr w:type="spellEnd"/>
      <w:r w:rsidRPr="00572481">
        <w:rPr>
          <w:color w:val="000080"/>
        </w:rPr>
        <w:t xml:space="preserve"> of traumatic brain injury (TBI) that was only evolving and mild at separation.  It was subsequently diagnosed by the VA and associated with significant </w:t>
      </w:r>
      <w:proofErr w:type="spellStart"/>
      <w:r w:rsidRPr="00572481">
        <w:rPr>
          <w:color w:val="000080"/>
        </w:rPr>
        <w:t>neurocognitive</w:t>
      </w:r>
      <w:proofErr w:type="spellEnd"/>
      <w:r w:rsidRPr="00572481">
        <w:rPr>
          <w:color w:val="000080"/>
        </w:rPr>
        <w:t xml:space="preserve"> deficits.  It probably makes a significant contribution to the CI’s current disability.  He is judged mentally incompetent and 100% unemployable by the VA, and lives </w:t>
      </w:r>
      <w:r w:rsidR="009E1648">
        <w:rPr>
          <w:color w:val="000080"/>
        </w:rPr>
        <w:t xml:space="preserve">dependently </w:t>
      </w:r>
      <w:r w:rsidRPr="00572481">
        <w:rPr>
          <w:color w:val="000080"/>
        </w:rPr>
        <w:t xml:space="preserve">with an uncle.  This is in marked contrast to </w:t>
      </w:r>
      <w:r w:rsidR="009E1648">
        <w:rPr>
          <w:color w:val="000080"/>
        </w:rPr>
        <w:t>his status as a</w:t>
      </w:r>
      <w:r w:rsidRPr="00572481">
        <w:rPr>
          <w:color w:val="000080"/>
        </w:rPr>
        <w:t xml:space="preserve"> high-functioning deputy sheriff at the time of </w:t>
      </w:r>
      <w:r w:rsidR="009E1648">
        <w:rPr>
          <w:color w:val="000080"/>
        </w:rPr>
        <w:t xml:space="preserve">mobilization and </w:t>
      </w:r>
      <w:r w:rsidRPr="00572481">
        <w:rPr>
          <w:color w:val="000080"/>
        </w:rPr>
        <w:t>deployment.  This lin</w:t>
      </w:r>
      <w:r w:rsidR="009E1648">
        <w:rPr>
          <w:color w:val="000080"/>
        </w:rPr>
        <w:t>kage, of course, is speculative</w:t>
      </w:r>
      <w:r w:rsidR="00F33069">
        <w:rPr>
          <w:color w:val="000080"/>
        </w:rPr>
        <w:t>; and</w:t>
      </w:r>
      <w:r w:rsidR="009E1648">
        <w:rPr>
          <w:color w:val="000080"/>
        </w:rPr>
        <w:t xml:space="preserve"> it </w:t>
      </w:r>
      <w:r w:rsidR="00F33069">
        <w:rPr>
          <w:color w:val="000080"/>
        </w:rPr>
        <w:t xml:space="preserve">does not </w:t>
      </w:r>
      <w:r w:rsidR="009E1648">
        <w:rPr>
          <w:color w:val="000080"/>
        </w:rPr>
        <w:t>bear</w:t>
      </w:r>
      <w:r w:rsidRPr="00572481">
        <w:rPr>
          <w:color w:val="000080"/>
        </w:rPr>
        <w:t xml:space="preserve"> on Board adjudication of </w:t>
      </w:r>
      <w:r w:rsidR="00F33069">
        <w:rPr>
          <w:color w:val="000080"/>
        </w:rPr>
        <w:t>ratable</w:t>
      </w:r>
      <w:r w:rsidRPr="00572481">
        <w:rPr>
          <w:color w:val="000080"/>
        </w:rPr>
        <w:t xml:space="preserve"> disability at separation. It is</w:t>
      </w:r>
      <w:r w:rsidR="00C10A12">
        <w:rPr>
          <w:color w:val="000080"/>
        </w:rPr>
        <w:t xml:space="preserve"> forwarded solely as commentary deemed informative by the Action Officer.</w:t>
      </w:r>
    </w:p>
    <w:p w:rsidR="00EF3A39" w:rsidRPr="00A90D55" w:rsidRDefault="00B355C1" w:rsidP="00EF3A39">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572481" w:rsidRDefault="00572481" w:rsidP="00572481">
      <w:pPr>
        <w:tabs>
          <w:tab w:val="left" w:pos="288"/>
          <w:tab w:val="left" w:pos="4752"/>
        </w:tabs>
        <w:spacing w:line="240" w:lineRule="exact"/>
        <w:jc w:val="both"/>
        <w:rPr>
          <w:color w:val="000080"/>
        </w:rPr>
      </w:pPr>
    </w:p>
    <w:p w:rsidR="00F33069" w:rsidRDefault="00EF3A39" w:rsidP="00572481">
      <w:pPr>
        <w:tabs>
          <w:tab w:val="left" w:pos="288"/>
          <w:tab w:val="left" w:pos="4752"/>
        </w:tabs>
        <w:spacing w:line="240" w:lineRule="exact"/>
        <w:jc w:val="both"/>
        <w:rPr>
          <w:color w:val="000080"/>
        </w:rPr>
      </w:pPr>
      <w:r w:rsidRPr="00572481">
        <w:rPr>
          <w:color w:val="000080"/>
          <w:u w:val="single"/>
        </w:rPr>
        <w:lastRenderedPageBreak/>
        <w:t>BOARD FINDINGS</w:t>
      </w:r>
      <w:r w:rsidRPr="00572481">
        <w:rPr>
          <w:color w:val="000080"/>
        </w:rPr>
        <w:t xml:space="preserve">:  IAW §4.129, applied retroactively as per </w:t>
      </w:r>
      <w:proofErr w:type="spellStart"/>
      <w:r w:rsidRPr="00572481">
        <w:rPr>
          <w:color w:val="000080"/>
        </w:rPr>
        <w:t>DoDI</w:t>
      </w:r>
      <w:proofErr w:type="spellEnd"/>
      <w:r w:rsidRPr="00572481">
        <w:rPr>
          <w:color w:val="000080"/>
        </w:rPr>
        <w:t xml:space="preserve"> 6040.44 and DOD direction, the CI is assigned 50% temporary disability for PTSD at separation.  His permanent rating under 9411 is recommended at 50% IAW </w:t>
      </w:r>
      <w:r w:rsidR="00736F4C">
        <w:rPr>
          <w:color w:val="000080"/>
        </w:rPr>
        <w:t xml:space="preserve">VASRD </w:t>
      </w:r>
      <w:r w:rsidRPr="00572481">
        <w:rPr>
          <w:color w:val="000080"/>
        </w:rPr>
        <w:t xml:space="preserve">§4.130.  In the matter of the right knee condition, the Board recommends a separation and permanent rating of 10% under 5099-5003, IAW </w:t>
      </w:r>
      <w:r w:rsidR="00736F4C">
        <w:rPr>
          <w:color w:val="000080"/>
        </w:rPr>
        <w:t xml:space="preserve">VASRD </w:t>
      </w:r>
      <w:r w:rsidRPr="00572481">
        <w:rPr>
          <w:color w:val="000080"/>
        </w:rPr>
        <w:t xml:space="preserve">§4.71a.  In the matters of the left knee, back, left ear and </w:t>
      </w:r>
      <w:r w:rsidR="00C10A12">
        <w:rPr>
          <w:color w:val="000080"/>
        </w:rPr>
        <w:t xml:space="preserve">headache </w:t>
      </w:r>
      <w:r w:rsidRPr="00572481">
        <w:rPr>
          <w:color w:val="000080"/>
        </w:rPr>
        <w:t xml:space="preserve">conditions, the Board threshold for recommendation as additionally unfitting </w:t>
      </w:r>
      <w:r w:rsidR="00F33069">
        <w:rPr>
          <w:color w:val="000080"/>
        </w:rPr>
        <w:t>wa</w:t>
      </w:r>
      <w:r w:rsidRPr="00572481">
        <w:rPr>
          <w:color w:val="000080"/>
        </w:rPr>
        <w:t>s not met</w:t>
      </w:r>
      <w:r w:rsidR="00F33069">
        <w:rPr>
          <w:color w:val="000080"/>
        </w:rPr>
        <w:t xml:space="preserve"> as discussed above</w:t>
      </w:r>
      <w:r w:rsidRPr="00572481">
        <w:rPr>
          <w:color w:val="000080"/>
        </w:rPr>
        <w:t xml:space="preserve">.  </w:t>
      </w:r>
      <w:r w:rsidR="004B5A42">
        <w:rPr>
          <w:color w:val="000080"/>
        </w:rPr>
        <w:t xml:space="preserve">There was unanimous agreement </w:t>
      </w:r>
      <w:r w:rsidR="00F33069">
        <w:rPr>
          <w:color w:val="000080"/>
        </w:rPr>
        <w:t>by the Board that no</w:t>
      </w:r>
      <w:r w:rsidR="004B5A42">
        <w:rPr>
          <w:color w:val="000080"/>
        </w:rPr>
        <w:t xml:space="preserve"> additional conditions for rating at separation</w:t>
      </w:r>
      <w:r w:rsidR="00F33069">
        <w:rPr>
          <w:color w:val="000080"/>
        </w:rPr>
        <w:t xml:space="preserve"> could be recommended.</w:t>
      </w:r>
    </w:p>
    <w:p w:rsidR="00F33069" w:rsidRDefault="00F33069" w:rsidP="00572481">
      <w:pPr>
        <w:tabs>
          <w:tab w:val="left" w:pos="288"/>
          <w:tab w:val="left" w:pos="4752"/>
        </w:tabs>
        <w:spacing w:line="240" w:lineRule="exact"/>
        <w:jc w:val="both"/>
        <w:rPr>
          <w:color w:val="000080"/>
        </w:rPr>
      </w:pPr>
    </w:p>
    <w:p w:rsidR="00EF3A39" w:rsidRPr="00572481" w:rsidRDefault="00EF3A39" w:rsidP="00572481">
      <w:pPr>
        <w:tabs>
          <w:tab w:val="left" w:pos="288"/>
          <w:tab w:val="left" w:pos="4752"/>
        </w:tabs>
        <w:spacing w:line="240" w:lineRule="exact"/>
        <w:jc w:val="both"/>
        <w:rPr>
          <w:color w:val="000080"/>
        </w:rPr>
      </w:pPr>
      <w:r w:rsidRPr="00572481">
        <w:rPr>
          <w:color w:val="000080"/>
        </w:rPr>
        <w:t xml:space="preserve">The Board acknowledges the probable existence of combat-related TBI as an </w:t>
      </w:r>
      <w:proofErr w:type="spellStart"/>
      <w:r w:rsidRPr="00572481">
        <w:rPr>
          <w:color w:val="000080"/>
        </w:rPr>
        <w:t>unratable</w:t>
      </w:r>
      <w:proofErr w:type="spellEnd"/>
      <w:r w:rsidRPr="00572481">
        <w:rPr>
          <w:color w:val="000080"/>
        </w:rPr>
        <w:t xml:space="preserve"> condition at separation, with significant later consequences for this veteran.</w:t>
      </w:r>
    </w:p>
    <w:p w:rsidR="00EF3A39" w:rsidRPr="00572481" w:rsidRDefault="00B355C1" w:rsidP="00EF3A39">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EF3A39" w:rsidRPr="00D91DA6" w:rsidRDefault="00EF3A39" w:rsidP="00EF3A39">
      <w:pPr>
        <w:tabs>
          <w:tab w:val="left" w:pos="288"/>
          <w:tab w:val="left" w:pos="4752"/>
        </w:tabs>
        <w:spacing w:line="240" w:lineRule="exact"/>
        <w:jc w:val="both"/>
        <w:rPr>
          <w:color w:val="000080"/>
        </w:rPr>
      </w:pPr>
    </w:p>
    <w:p w:rsidR="00EF3A39" w:rsidRPr="00572481" w:rsidRDefault="00EF3A39" w:rsidP="00EF3A39">
      <w:pPr>
        <w:tabs>
          <w:tab w:val="left" w:pos="288"/>
          <w:tab w:val="left" w:pos="4752"/>
        </w:tabs>
        <w:spacing w:line="240" w:lineRule="exact"/>
        <w:jc w:val="both"/>
        <w:rPr>
          <w:color w:val="000080"/>
        </w:rPr>
      </w:pPr>
      <w:r w:rsidRPr="00572481">
        <w:rPr>
          <w:color w:val="000080"/>
          <w:u w:val="single"/>
        </w:rPr>
        <w:t>RECOMMENDATION</w:t>
      </w:r>
      <w:r w:rsidRPr="00572481">
        <w:rPr>
          <w:color w:val="000080"/>
        </w:rPr>
        <w:t>: The B</w:t>
      </w:r>
      <w:r w:rsidR="00877513">
        <w:rPr>
          <w:color w:val="000080"/>
        </w:rPr>
        <w:t>oard</w:t>
      </w:r>
      <w:r w:rsidRPr="00572481">
        <w:rPr>
          <w:color w:val="000080"/>
        </w:rPr>
        <w:t xml:space="preserve"> recommends that the CI’s prior determination be modified as follows; TDRL at 60% for 6 months following CI’s prior medical separation (PTSD at minimum of 50% IAW §4.129 and DoD direction) and then a permanent combined 60% disability retirement as below.</w:t>
      </w:r>
    </w:p>
    <w:tbl>
      <w:tblPr>
        <w:tblpPr w:leftFromText="180" w:rightFromText="180" w:vertAnchor="text" w:horzAnchor="margin"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0"/>
        <w:gridCol w:w="1710"/>
        <w:gridCol w:w="1170"/>
        <w:gridCol w:w="1530"/>
      </w:tblGrid>
      <w:tr w:rsidR="00EF3A39" w:rsidRPr="00FB7355" w:rsidTr="003F055E">
        <w:tc>
          <w:tcPr>
            <w:tcW w:w="5100" w:type="dxa"/>
            <w:shd w:val="clear" w:color="auto" w:fill="D9D9D9"/>
          </w:tcPr>
          <w:p w:rsidR="00EF3A39" w:rsidRPr="003543FF" w:rsidRDefault="00EF3A39" w:rsidP="003F055E">
            <w:pPr>
              <w:tabs>
                <w:tab w:val="left" w:pos="288"/>
                <w:tab w:val="left" w:pos="4752"/>
              </w:tabs>
              <w:spacing w:line="240" w:lineRule="exact"/>
              <w:jc w:val="center"/>
              <w:rPr>
                <w:b/>
                <w:color w:val="000080"/>
                <w:szCs w:val="24"/>
              </w:rPr>
            </w:pPr>
            <w:r>
              <w:rPr>
                <w:b/>
                <w:color w:val="000080"/>
                <w:szCs w:val="24"/>
              </w:rPr>
              <w:t>UNFITTING CONDITION</w:t>
            </w:r>
          </w:p>
        </w:tc>
        <w:tc>
          <w:tcPr>
            <w:tcW w:w="1710" w:type="dxa"/>
            <w:shd w:val="clear" w:color="auto" w:fill="D9D9D9"/>
          </w:tcPr>
          <w:p w:rsidR="00EF3A39" w:rsidRPr="003543FF" w:rsidRDefault="00EF3A39" w:rsidP="003F055E">
            <w:pPr>
              <w:tabs>
                <w:tab w:val="left" w:pos="288"/>
                <w:tab w:val="left" w:pos="4752"/>
              </w:tabs>
              <w:spacing w:line="240" w:lineRule="exact"/>
              <w:jc w:val="center"/>
              <w:rPr>
                <w:b/>
                <w:color w:val="000080"/>
                <w:szCs w:val="24"/>
              </w:rPr>
            </w:pPr>
            <w:r w:rsidRPr="003543FF">
              <w:rPr>
                <w:b/>
                <w:color w:val="000080"/>
                <w:szCs w:val="24"/>
              </w:rPr>
              <w:t>VASRD C</w:t>
            </w:r>
            <w:r>
              <w:rPr>
                <w:b/>
                <w:color w:val="000080"/>
                <w:szCs w:val="24"/>
              </w:rPr>
              <w:t>ODE</w:t>
            </w:r>
          </w:p>
        </w:tc>
        <w:tc>
          <w:tcPr>
            <w:tcW w:w="1170" w:type="dxa"/>
            <w:shd w:val="clear" w:color="auto" w:fill="D9D9D9"/>
          </w:tcPr>
          <w:p w:rsidR="00EF3A39" w:rsidRPr="003543FF" w:rsidRDefault="00EF3A39" w:rsidP="003F055E">
            <w:pPr>
              <w:tabs>
                <w:tab w:val="left" w:pos="288"/>
                <w:tab w:val="left" w:pos="4752"/>
              </w:tabs>
              <w:spacing w:line="240" w:lineRule="exact"/>
              <w:jc w:val="center"/>
              <w:rPr>
                <w:b/>
                <w:color w:val="000080"/>
                <w:szCs w:val="24"/>
              </w:rPr>
            </w:pPr>
            <w:r w:rsidRPr="003543FF">
              <w:rPr>
                <w:b/>
                <w:color w:val="000080"/>
                <w:szCs w:val="24"/>
              </w:rPr>
              <w:t>TDRL R</w:t>
            </w:r>
            <w:r>
              <w:rPr>
                <w:b/>
                <w:color w:val="000080"/>
                <w:szCs w:val="24"/>
              </w:rPr>
              <w:t>ATING</w:t>
            </w:r>
          </w:p>
        </w:tc>
        <w:tc>
          <w:tcPr>
            <w:tcW w:w="1530" w:type="dxa"/>
            <w:shd w:val="pct15" w:color="auto" w:fill="auto"/>
          </w:tcPr>
          <w:p w:rsidR="00EF3A39" w:rsidRPr="003543FF" w:rsidRDefault="00EF3A39" w:rsidP="003F055E">
            <w:pPr>
              <w:tabs>
                <w:tab w:val="left" w:pos="288"/>
                <w:tab w:val="left" w:pos="4752"/>
              </w:tabs>
              <w:spacing w:line="240" w:lineRule="exact"/>
              <w:jc w:val="center"/>
              <w:rPr>
                <w:b/>
                <w:color w:val="000080"/>
                <w:szCs w:val="24"/>
              </w:rPr>
            </w:pPr>
            <w:r w:rsidRPr="003543FF">
              <w:rPr>
                <w:b/>
                <w:color w:val="000080"/>
                <w:szCs w:val="24"/>
              </w:rPr>
              <w:t>P</w:t>
            </w:r>
            <w:r>
              <w:rPr>
                <w:b/>
                <w:color w:val="000080"/>
                <w:szCs w:val="24"/>
              </w:rPr>
              <w:t>ERMANENT</w:t>
            </w:r>
          </w:p>
          <w:p w:rsidR="00EF3A39" w:rsidRPr="003543FF" w:rsidRDefault="00EF3A39" w:rsidP="003F055E">
            <w:pPr>
              <w:tabs>
                <w:tab w:val="left" w:pos="288"/>
                <w:tab w:val="left" w:pos="4752"/>
              </w:tabs>
              <w:spacing w:line="240" w:lineRule="exact"/>
              <w:jc w:val="center"/>
              <w:rPr>
                <w:b/>
                <w:color w:val="000080"/>
                <w:szCs w:val="24"/>
              </w:rPr>
            </w:pPr>
            <w:r w:rsidRPr="003543FF">
              <w:rPr>
                <w:b/>
                <w:color w:val="000080"/>
                <w:szCs w:val="24"/>
              </w:rPr>
              <w:t>R</w:t>
            </w:r>
            <w:r>
              <w:rPr>
                <w:b/>
                <w:color w:val="000080"/>
                <w:szCs w:val="24"/>
              </w:rPr>
              <w:t>ATING</w:t>
            </w:r>
          </w:p>
        </w:tc>
      </w:tr>
      <w:tr w:rsidR="00EF3A39" w:rsidRPr="00FB7355" w:rsidTr="003F055E">
        <w:tc>
          <w:tcPr>
            <w:tcW w:w="5100" w:type="dxa"/>
          </w:tcPr>
          <w:p w:rsidR="00EF3A39" w:rsidRPr="004E0A37" w:rsidRDefault="00EF3A39" w:rsidP="003F055E">
            <w:pPr>
              <w:tabs>
                <w:tab w:val="left" w:pos="288"/>
                <w:tab w:val="left" w:pos="4752"/>
              </w:tabs>
              <w:spacing w:line="240" w:lineRule="exact"/>
              <w:rPr>
                <w:color w:val="000080"/>
                <w:szCs w:val="24"/>
              </w:rPr>
            </w:pPr>
            <w:r w:rsidRPr="004E0A37">
              <w:rPr>
                <w:color w:val="000080"/>
                <w:szCs w:val="24"/>
              </w:rPr>
              <w:t>PTSD</w:t>
            </w:r>
          </w:p>
        </w:tc>
        <w:tc>
          <w:tcPr>
            <w:tcW w:w="1710" w:type="dxa"/>
          </w:tcPr>
          <w:p w:rsidR="00EF3A39" w:rsidRPr="004E0A37" w:rsidRDefault="00EF3A39" w:rsidP="003F055E">
            <w:pPr>
              <w:tabs>
                <w:tab w:val="left" w:pos="288"/>
                <w:tab w:val="left" w:pos="4752"/>
              </w:tabs>
              <w:spacing w:line="240" w:lineRule="exact"/>
              <w:jc w:val="center"/>
              <w:rPr>
                <w:color w:val="000080"/>
                <w:szCs w:val="24"/>
              </w:rPr>
            </w:pPr>
            <w:r w:rsidRPr="004E0A37">
              <w:rPr>
                <w:color w:val="000080"/>
                <w:szCs w:val="24"/>
              </w:rPr>
              <w:t>9411</w:t>
            </w:r>
          </w:p>
        </w:tc>
        <w:tc>
          <w:tcPr>
            <w:tcW w:w="1170" w:type="dxa"/>
          </w:tcPr>
          <w:p w:rsidR="00EF3A39" w:rsidRPr="004E0A37" w:rsidRDefault="00EF3A39" w:rsidP="003F055E">
            <w:pPr>
              <w:tabs>
                <w:tab w:val="left" w:pos="288"/>
                <w:tab w:val="left" w:pos="4752"/>
              </w:tabs>
              <w:spacing w:line="240" w:lineRule="exact"/>
              <w:jc w:val="center"/>
              <w:rPr>
                <w:color w:val="000080"/>
                <w:szCs w:val="24"/>
              </w:rPr>
            </w:pPr>
            <w:r w:rsidRPr="004E0A37">
              <w:rPr>
                <w:color w:val="000080"/>
                <w:szCs w:val="24"/>
              </w:rPr>
              <w:t>50%</w:t>
            </w:r>
          </w:p>
        </w:tc>
        <w:tc>
          <w:tcPr>
            <w:tcW w:w="1530" w:type="dxa"/>
          </w:tcPr>
          <w:p w:rsidR="00EF3A39" w:rsidRPr="004E0A37" w:rsidRDefault="00EF3A39" w:rsidP="003F055E">
            <w:pPr>
              <w:tabs>
                <w:tab w:val="left" w:pos="288"/>
                <w:tab w:val="left" w:pos="4752"/>
              </w:tabs>
              <w:spacing w:line="240" w:lineRule="exact"/>
              <w:jc w:val="center"/>
              <w:rPr>
                <w:color w:val="000080"/>
                <w:szCs w:val="24"/>
              </w:rPr>
            </w:pPr>
            <w:r w:rsidRPr="004E0A37">
              <w:rPr>
                <w:color w:val="000080"/>
                <w:szCs w:val="24"/>
              </w:rPr>
              <w:t>50%</w:t>
            </w:r>
          </w:p>
        </w:tc>
      </w:tr>
      <w:tr w:rsidR="00EF3A39" w:rsidRPr="00FB7355" w:rsidTr="003F055E">
        <w:tc>
          <w:tcPr>
            <w:tcW w:w="5100" w:type="dxa"/>
          </w:tcPr>
          <w:p w:rsidR="00EF3A39" w:rsidRPr="004E0A37" w:rsidRDefault="00EF3A39" w:rsidP="003F055E">
            <w:pPr>
              <w:tabs>
                <w:tab w:val="left" w:pos="288"/>
                <w:tab w:val="left" w:pos="4752"/>
              </w:tabs>
              <w:spacing w:line="240" w:lineRule="exact"/>
              <w:rPr>
                <w:color w:val="000080"/>
                <w:szCs w:val="24"/>
              </w:rPr>
            </w:pPr>
            <w:r w:rsidRPr="004E0A37">
              <w:rPr>
                <w:color w:val="000080"/>
                <w:szCs w:val="24"/>
              </w:rPr>
              <w:t xml:space="preserve">CHRONIC RIGHT KNEE PAIN, STATUS POST PARTIAL MEDIAL MENISCECTOMY. </w:t>
            </w:r>
          </w:p>
        </w:tc>
        <w:tc>
          <w:tcPr>
            <w:tcW w:w="1710" w:type="dxa"/>
          </w:tcPr>
          <w:p w:rsidR="00EF3A39" w:rsidRPr="004E0A37" w:rsidRDefault="00EF3A39" w:rsidP="003F055E">
            <w:pPr>
              <w:pStyle w:val="ListParagraph"/>
              <w:tabs>
                <w:tab w:val="left" w:pos="288"/>
                <w:tab w:val="left" w:pos="4752"/>
              </w:tabs>
              <w:spacing w:after="0" w:line="240" w:lineRule="exact"/>
              <w:ind w:left="0"/>
              <w:jc w:val="center"/>
              <w:rPr>
                <w:rFonts w:ascii="Courier" w:eastAsia="Calibri" w:hAnsi="Courier" w:cs="Times New Roman"/>
                <w:color w:val="000080"/>
                <w:sz w:val="24"/>
                <w:szCs w:val="24"/>
              </w:rPr>
            </w:pPr>
            <w:r w:rsidRPr="004E0A37">
              <w:rPr>
                <w:rFonts w:ascii="Courier" w:eastAsia="Calibri" w:hAnsi="Courier" w:cs="Times New Roman"/>
                <w:color w:val="000080"/>
                <w:sz w:val="24"/>
                <w:szCs w:val="24"/>
              </w:rPr>
              <w:t>5099-5003</w:t>
            </w:r>
          </w:p>
        </w:tc>
        <w:tc>
          <w:tcPr>
            <w:tcW w:w="1170" w:type="dxa"/>
          </w:tcPr>
          <w:p w:rsidR="00EF3A39" w:rsidRPr="004E0A37" w:rsidRDefault="00EF3A39" w:rsidP="003F055E">
            <w:pPr>
              <w:tabs>
                <w:tab w:val="left" w:pos="288"/>
                <w:tab w:val="left" w:pos="4752"/>
              </w:tabs>
              <w:spacing w:line="240" w:lineRule="exact"/>
              <w:jc w:val="center"/>
              <w:rPr>
                <w:color w:val="000080"/>
                <w:szCs w:val="24"/>
              </w:rPr>
            </w:pPr>
            <w:r>
              <w:rPr>
                <w:color w:val="000080"/>
                <w:szCs w:val="24"/>
              </w:rPr>
              <w:t>10</w:t>
            </w:r>
            <w:r w:rsidRPr="004E0A37">
              <w:rPr>
                <w:color w:val="000080"/>
                <w:szCs w:val="24"/>
              </w:rPr>
              <w:t>%</w:t>
            </w:r>
          </w:p>
        </w:tc>
        <w:tc>
          <w:tcPr>
            <w:tcW w:w="1530" w:type="dxa"/>
          </w:tcPr>
          <w:p w:rsidR="00EF3A39" w:rsidRPr="004E0A37" w:rsidRDefault="00EF3A39" w:rsidP="003F055E">
            <w:pPr>
              <w:tabs>
                <w:tab w:val="left" w:pos="288"/>
                <w:tab w:val="left" w:pos="4752"/>
              </w:tabs>
              <w:spacing w:line="240" w:lineRule="exact"/>
              <w:jc w:val="center"/>
              <w:rPr>
                <w:color w:val="000080"/>
                <w:szCs w:val="24"/>
              </w:rPr>
            </w:pPr>
            <w:r>
              <w:rPr>
                <w:color w:val="000080"/>
                <w:szCs w:val="24"/>
              </w:rPr>
              <w:t>10</w:t>
            </w:r>
            <w:r w:rsidRPr="004E0A37">
              <w:rPr>
                <w:color w:val="000080"/>
                <w:szCs w:val="24"/>
              </w:rPr>
              <w:t>%</w:t>
            </w:r>
          </w:p>
        </w:tc>
      </w:tr>
      <w:tr w:rsidR="00EF3A39" w:rsidRPr="00FB7355" w:rsidTr="003F055E">
        <w:tblPrEx>
          <w:tblLook w:val="0000"/>
        </w:tblPrEx>
        <w:trPr>
          <w:gridBefore w:val="1"/>
          <w:wBefore w:w="5100" w:type="dxa"/>
          <w:trHeight w:val="278"/>
        </w:trPr>
        <w:tc>
          <w:tcPr>
            <w:tcW w:w="1710" w:type="dxa"/>
            <w:tcBorders>
              <w:left w:val="single" w:sz="4" w:space="0" w:color="auto"/>
            </w:tcBorders>
            <w:shd w:val="pct15" w:color="auto" w:fill="auto"/>
          </w:tcPr>
          <w:p w:rsidR="00EF3A39" w:rsidRPr="003543FF" w:rsidRDefault="00EF3A39" w:rsidP="003F055E">
            <w:pPr>
              <w:tabs>
                <w:tab w:val="left" w:pos="288"/>
                <w:tab w:val="left" w:pos="4752"/>
              </w:tabs>
              <w:spacing w:line="240" w:lineRule="exact"/>
              <w:jc w:val="center"/>
              <w:rPr>
                <w:b/>
                <w:color w:val="000080"/>
                <w:szCs w:val="24"/>
              </w:rPr>
            </w:pPr>
            <w:r w:rsidRPr="003543FF">
              <w:rPr>
                <w:b/>
                <w:color w:val="000080"/>
                <w:szCs w:val="24"/>
              </w:rPr>
              <w:t>COMBINED</w:t>
            </w:r>
          </w:p>
        </w:tc>
        <w:tc>
          <w:tcPr>
            <w:tcW w:w="1170" w:type="dxa"/>
            <w:tcBorders>
              <w:left w:val="single" w:sz="4" w:space="0" w:color="auto"/>
            </w:tcBorders>
            <w:shd w:val="pct15" w:color="auto" w:fill="auto"/>
          </w:tcPr>
          <w:p w:rsidR="00EF3A39" w:rsidRPr="003543FF" w:rsidRDefault="00EF3A39" w:rsidP="003F055E">
            <w:pPr>
              <w:tabs>
                <w:tab w:val="left" w:pos="288"/>
                <w:tab w:val="left" w:pos="4752"/>
              </w:tabs>
              <w:spacing w:line="240" w:lineRule="exact"/>
              <w:jc w:val="center"/>
              <w:rPr>
                <w:b/>
                <w:color w:val="000080"/>
                <w:szCs w:val="24"/>
              </w:rPr>
            </w:pPr>
            <w:r>
              <w:rPr>
                <w:b/>
                <w:color w:val="000080"/>
                <w:szCs w:val="24"/>
              </w:rPr>
              <w:t>60</w:t>
            </w:r>
            <w:r w:rsidRPr="003543FF">
              <w:rPr>
                <w:b/>
                <w:color w:val="000080"/>
                <w:szCs w:val="24"/>
              </w:rPr>
              <w:t>%</w:t>
            </w:r>
          </w:p>
        </w:tc>
        <w:tc>
          <w:tcPr>
            <w:tcW w:w="1530" w:type="dxa"/>
            <w:shd w:val="pct15" w:color="auto" w:fill="auto"/>
          </w:tcPr>
          <w:p w:rsidR="00EF3A39" w:rsidRPr="003543FF" w:rsidRDefault="00EF3A39" w:rsidP="003F055E">
            <w:pPr>
              <w:tabs>
                <w:tab w:val="left" w:pos="288"/>
                <w:tab w:val="left" w:pos="4752"/>
              </w:tabs>
              <w:spacing w:line="240" w:lineRule="exact"/>
              <w:jc w:val="center"/>
              <w:rPr>
                <w:b/>
                <w:color w:val="000080"/>
                <w:szCs w:val="24"/>
              </w:rPr>
            </w:pPr>
            <w:r>
              <w:rPr>
                <w:b/>
                <w:color w:val="000080"/>
                <w:szCs w:val="24"/>
              </w:rPr>
              <w:t>60</w:t>
            </w:r>
            <w:r w:rsidRPr="003543FF">
              <w:rPr>
                <w:b/>
                <w:color w:val="000080"/>
                <w:szCs w:val="24"/>
              </w:rPr>
              <w:t>%</w:t>
            </w:r>
          </w:p>
        </w:tc>
      </w:tr>
    </w:tbl>
    <w:p w:rsidR="00EF3A39" w:rsidRPr="00D91DA6" w:rsidRDefault="00B355C1" w:rsidP="00EF3A39">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EF3A39" w:rsidRDefault="00EF3A39" w:rsidP="00EF3A39">
      <w:pPr>
        <w:tabs>
          <w:tab w:val="left" w:pos="288"/>
          <w:tab w:val="left" w:pos="4752"/>
        </w:tabs>
        <w:spacing w:line="240" w:lineRule="exact"/>
        <w:jc w:val="both"/>
        <w:rPr>
          <w:color w:val="000080"/>
        </w:rPr>
      </w:pPr>
    </w:p>
    <w:p w:rsidR="00EF3A39" w:rsidRDefault="00EF3A39" w:rsidP="00EF3A39">
      <w:pPr>
        <w:tabs>
          <w:tab w:val="left" w:pos="288"/>
          <w:tab w:val="left" w:pos="4752"/>
        </w:tabs>
        <w:spacing w:line="240" w:lineRule="exact"/>
        <w:jc w:val="both"/>
        <w:rPr>
          <w:color w:val="000080"/>
        </w:rPr>
      </w:pPr>
      <w:r>
        <w:rPr>
          <w:color w:val="000080"/>
        </w:rPr>
        <w:t>The following documentary evidence was considered:</w:t>
      </w:r>
    </w:p>
    <w:p w:rsidR="00EF3A39" w:rsidRDefault="00EF3A39" w:rsidP="00EF3A39">
      <w:pPr>
        <w:tabs>
          <w:tab w:val="left" w:pos="288"/>
          <w:tab w:val="left" w:pos="4752"/>
        </w:tabs>
        <w:spacing w:line="240" w:lineRule="exact"/>
        <w:jc w:val="both"/>
        <w:rPr>
          <w:color w:val="000080"/>
        </w:rPr>
      </w:pPr>
    </w:p>
    <w:p w:rsidR="00EF3A39" w:rsidRDefault="00EF3A39" w:rsidP="00EF3A39">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20090116, w/</w:t>
      </w:r>
      <w:proofErr w:type="spellStart"/>
      <w:r>
        <w:rPr>
          <w:color w:val="000080"/>
        </w:rPr>
        <w:t>atchs</w:t>
      </w:r>
      <w:proofErr w:type="spellEnd"/>
      <w:r>
        <w:rPr>
          <w:color w:val="000080"/>
        </w:rPr>
        <w:t>.</w:t>
      </w:r>
    </w:p>
    <w:p w:rsidR="00EF3A39" w:rsidRDefault="00EF3A39" w:rsidP="00EF3A39">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EF3A39" w:rsidRDefault="00EF3A39" w:rsidP="00EF3A39">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 Affairs Treatment Record.</w:t>
      </w:r>
      <w:proofErr w:type="gramEnd"/>
    </w:p>
    <w:p w:rsidR="00EF3A39" w:rsidRDefault="00EF3A39" w:rsidP="00EF3A39">
      <w:pPr>
        <w:tabs>
          <w:tab w:val="left" w:pos="288"/>
          <w:tab w:val="left" w:pos="4752"/>
        </w:tabs>
        <w:spacing w:line="240" w:lineRule="exact"/>
        <w:jc w:val="both"/>
        <w:rPr>
          <w:color w:val="000080"/>
        </w:rPr>
      </w:pPr>
    </w:p>
    <w:p w:rsidR="00EF3A39" w:rsidRDefault="00EF3A39" w:rsidP="00EF3A39">
      <w:pPr>
        <w:tabs>
          <w:tab w:val="left" w:pos="288"/>
          <w:tab w:val="left" w:pos="4752"/>
        </w:tabs>
        <w:spacing w:line="240" w:lineRule="exact"/>
        <w:jc w:val="both"/>
        <w:rPr>
          <w:color w:val="000080"/>
        </w:rPr>
      </w:pPr>
    </w:p>
    <w:p w:rsidR="00EF3A39" w:rsidRDefault="00EF3A39" w:rsidP="00EF3A39">
      <w:pPr>
        <w:tabs>
          <w:tab w:val="left" w:pos="288"/>
          <w:tab w:val="left" w:pos="4752"/>
        </w:tabs>
        <w:spacing w:line="240" w:lineRule="exact"/>
        <w:jc w:val="both"/>
        <w:rPr>
          <w:color w:val="000080"/>
        </w:rPr>
      </w:pPr>
    </w:p>
    <w:p w:rsidR="00EF3A39" w:rsidRPr="00D91DA6" w:rsidRDefault="00EF3A39" w:rsidP="00EF3A39">
      <w:pPr>
        <w:tabs>
          <w:tab w:val="left" w:pos="288"/>
          <w:tab w:val="left" w:pos="4752"/>
        </w:tabs>
        <w:spacing w:line="240" w:lineRule="exact"/>
        <w:jc w:val="both"/>
        <w:rPr>
          <w:color w:val="000080"/>
        </w:rPr>
      </w:pPr>
    </w:p>
    <w:p w:rsidR="00EF3A39" w:rsidRDefault="00EF3A39" w:rsidP="00EF3A39">
      <w:pPr>
        <w:tabs>
          <w:tab w:val="left" w:pos="0"/>
          <w:tab w:val="left" w:pos="4320"/>
        </w:tabs>
        <w:spacing w:line="240" w:lineRule="exact"/>
        <w:jc w:val="both"/>
        <w:rPr>
          <w:color w:val="000080"/>
        </w:rPr>
      </w:pPr>
      <w:r>
        <w:rPr>
          <w:color w:val="000080"/>
        </w:rPr>
        <w:t xml:space="preserve">                             </w:t>
      </w:r>
      <w:r w:rsidRPr="00D91DA6">
        <w:rPr>
          <w:color w:val="000080"/>
        </w:rPr>
        <w:t xml:space="preserve">MICHAEL F. </w:t>
      </w:r>
      <w:proofErr w:type="spellStart"/>
      <w:r w:rsidRPr="00D91DA6">
        <w:rPr>
          <w:color w:val="000080"/>
        </w:rPr>
        <w:t>LoGRANDE</w:t>
      </w:r>
      <w:proofErr w:type="spellEnd"/>
    </w:p>
    <w:p w:rsidR="00EF3A39" w:rsidRPr="00D91DA6" w:rsidRDefault="00EF3A39" w:rsidP="00EF3A39">
      <w:pPr>
        <w:tabs>
          <w:tab w:val="left" w:pos="0"/>
          <w:tab w:val="left" w:pos="4320"/>
        </w:tabs>
        <w:spacing w:line="240" w:lineRule="exact"/>
        <w:jc w:val="both"/>
        <w:rPr>
          <w:color w:val="000080"/>
        </w:rPr>
      </w:pPr>
      <w:r>
        <w:rPr>
          <w:color w:val="000080"/>
        </w:rPr>
        <w:t xml:space="preserve">                             </w:t>
      </w:r>
      <w:r w:rsidRPr="00D91DA6">
        <w:rPr>
          <w:color w:val="000080"/>
        </w:rPr>
        <w:t>President</w:t>
      </w:r>
    </w:p>
    <w:p w:rsidR="005D53AD" w:rsidRDefault="00EF3A39" w:rsidP="00EF3A39">
      <w:pPr>
        <w:tabs>
          <w:tab w:val="left" w:pos="288"/>
          <w:tab w:val="left" w:pos="4320"/>
          <w:tab w:val="left" w:pos="4410"/>
          <w:tab w:val="left" w:pos="4770"/>
          <w:tab w:val="left" w:pos="4860"/>
          <w:tab w:val="left" w:pos="5040"/>
        </w:tabs>
        <w:spacing w:line="240" w:lineRule="exact"/>
        <w:jc w:val="both"/>
        <w:rPr>
          <w:color w:val="000080"/>
        </w:rPr>
      </w:pPr>
      <w:r>
        <w:rPr>
          <w:color w:val="000080"/>
        </w:rPr>
        <w:tab/>
        <w:t xml:space="preserve">                           </w:t>
      </w:r>
      <w:r w:rsidRPr="00D91DA6">
        <w:rPr>
          <w:color w:val="000080"/>
        </w:rPr>
        <w:t>Physical Disability</w:t>
      </w:r>
      <w:r>
        <w:rPr>
          <w:color w:val="000080"/>
        </w:rPr>
        <w:t xml:space="preserve"> </w:t>
      </w:r>
      <w:r w:rsidRPr="00D91DA6">
        <w:rPr>
          <w:color w:val="000080"/>
        </w:rPr>
        <w:t>Board of Review</w:t>
      </w:r>
    </w:p>
    <w:p w:rsidR="005D53AD" w:rsidRDefault="005D53AD">
      <w:pPr>
        <w:rPr>
          <w:color w:val="000080"/>
        </w:rPr>
      </w:pPr>
    </w:p>
    <w:p w:rsidR="00955B0B" w:rsidRDefault="00955B0B">
      <w:pPr>
        <w:pStyle w:val="Default"/>
      </w:pPr>
    </w:p>
    <w:p w:rsidR="00955B0B" w:rsidRDefault="00A07396">
      <w:pPr>
        <w:pStyle w:val="Default"/>
        <w:framePr w:w="13160" w:wrap="auto" w:vAnchor="page" w:hAnchor="page" w:x="31" w:y="1"/>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89.75pt">
            <v:imagedata r:id="rId6" o:title=""/>
          </v:shape>
        </w:pict>
      </w:r>
    </w:p>
    <w:p w:rsidR="00955B0B" w:rsidRDefault="00955B0B" w:rsidP="00A07396">
      <w:pPr>
        <w:rPr>
          <w:color w:val="000080"/>
        </w:rPr>
      </w:pPr>
    </w:p>
    <w:sectPr w:rsidR="00955B0B" w:rsidSect="000379D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B55" w:rsidRDefault="00684B55">
      <w:r>
        <w:separator/>
      </w:r>
    </w:p>
  </w:endnote>
  <w:endnote w:type="continuationSeparator" w:id="0">
    <w:p w:rsidR="00684B55" w:rsidRDefault="00684B55">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DE532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07396">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2B7041">
      <w:rPr>
        <w:caps/>
        <w:color w:val="000080"/>
      </w:rPr>
      <w:t>007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DE532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07396">
      <w:rPr>
        <w:rStyle w:val="PageNumber"/>
        <w:noProof/>
      </w:rPr>
      <w:t>3</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2B7041">
      <w:rPr>
        <w:caps/>
        <w:color w:val="000080"/>
      </w:rPr>
      <w:t>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B55" w:rsidRDefault="00684B55">
      <w:r>
        <w:separator/>
      </w:r>
    </w:p>
  </w:footnote>
  <w:footnote w:type="continuationSeparator" w:id="0">
    <w:p w:rsidR="00684B55" w:rsidRDefault="00684B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3D43"/>
    <w:rsid w:val="000379D0"/>
    <w:rsid w:val="000416F8"/>
    <w:rsid w:val="00051622"/>
    <w:rsid w:val="000A2BCE"/>
    <w:rsid w:val="000A4BBA"/>
    <w:rsid w:val="000D15E7"/>
    <w:rsid w:val="000D43F9"/>
    <w:rsid w:val="000D4717"/>
    <w:rsid w:val="000E103C"/>
    <w:rsid w:val="000F427B"/>
    <w:rsid w:val="0010417F"/>
    <w:rsid w:val="0010530E"/>
    <w:rsid w:val="00114F20"/>
    <w:rsid w:val="001231DC"/>
    <w:rsid w:val="00177659"/>
    <w:rsid w:val="00185ECB"/>
    <w:rsid w:val="001C181A"/>
    <w:rsid w:val="001C2053"/>
    <w:rsid w:val="001C28D1"/>
    <w:rsid w:val="001C7418"/>
    <w:rsid w:val="001D6A8C"/>
    <w:rsid w:val="00206F85"/>
    <w:rsid w:val="002338CA"/>
    <w:rsid w:val="00246860"/>
    <w:rsid w:val="00274549"/>
    <w:rsid w:val="00274E46"/>
    <w:rsid w:val="002B03B2"/>
    <w:rsid w:val="002B0749"/>
    <w:rsid w:val="002B7041"/>
    <w:rsid w:val="00323E70"/>
    <w:rsid w:val="00385D6F"/>
    <w:rsid w:val="00393651"/>
    <w:rsid w:val="003D2BA3"/>
    <w:rsid w:val="003D7DDB"/>
    <w:rsid w:val="003E0543"/>
    <w:rsid w:val="004007E9"/>
    <w:rsid w:val="0044384F"/>
    <w:rsid w:val="004574C6"/>
    <w:rsid w:val="004A24D2"/>
    <w:rsid w:val="004A4136"/>
    <w:rsid w:val="004B5A42"/>
    <w:rsid w:val="0051146C"/>
    <w:rsid w:val="0052590B"/>
    <w:rsid w:val="00526591"/>
    <w:rsid w:val="005350A5"/>
    <w:rsid w:val="005436C2"/>
    <w:rsid w:val="00572481"/>
    <w:rsid w:val="005A258C"/>
    <w:rsid w:val="005A3560"/>
    <w:rsid w:val="005A4AED"/>
    <w:rsid w:val="005B011A"/>
    <w:rsid w:val="005D53AD"/>
    <w:rsid w:val="00615641"/>
    <w:rsid w:val="00634C4A"/>
    <w:rsid w:val="00662F08"/>
    <w:rsid w:val="00684B55"/>
    <w:rsid w:val="00696476"/>
    <w:rsid w:val="006A40E6"/>
    <w:rsid w:val="006A6768"/>
    <w:rsid w:val="006A75FA"/>
    <w:rsid w:val="006E7356"/>
    <w:rsid w:val="006F1A46"/>
    <w:rsid w:val="00736F4C"/>
    <w:rsid w:val="00744EBB"/>
    <w:rsid w:val="00746AE2"/>
    <w:rsid w:val="00791F1E"/>
    <w:rsid w:val="007A0B39"/>
    <w:rsid w:val="007A168F"/>
    <w:rsid w:val="007B0A06"/>
    <w:rsid w:val="007C433E"/>
    <w:rsid w:val="007D0292"/>
    <w:rsid w:val="007D76AC"/>
    <w:rsid w:val="007E4FBB"/>
    <w:rsid w:val="00811D5B"/>
    <w:rsid w:val="00817713"/>
    <w:rsid w:val="00830999"/>
    <w:rsid w:val="00830D5E"/>
    <w:rsid w:val="00834458"/>
    <w:rsid w:val="00837465"/>
    <w:rsid w:val="0084374E"/>
    <w:rsid w:val="00875B51"/>
    <w:rsid w:val="00877513"/>
    <w:rsid w:val="008E4A60"/>
    <w:rsid w:val="00914ADB"/>
    <w:rsid w:val="00923B25"/>
    <w:rsid w:val="0093774E"/>
    <w:rsid w:val="00942645"/>
    <w:rsid w:val="0095466C"/>
    <w:rsid w:val="00955B0B"/>
    <w:rsid w:val="009814A1"/>
    <w:rsid w:val="00985099"/>
    <w:rsid w:val="009B1534"/>
    <w:rsid w:val="009B69D3"/>
    <w:rsid w:val="009B7BA7"/>
    <w:rsid w:val="009C0938"/>
    <w:rsid w:val="009C7DF5"/>
    <w:rsid w:val="009E1648"/>
    <w:rsid w:val="00A07396"/>
    <w:rsid w:val="00A2270B"/>
    <w:rsid w:val="00A2496E"/>
    <w:rsid w:val="00A4205D"/>
    <w:rsid w:val="00A70E7B"/>
    <w:rsid w:val="00A76094"/>
    <w:rsid w:val="00A86CB6"/>
    <w:rsid w:val="00A90D55"/>
    <w:rsid w:val="00AC439D"/>
    <w:rsid w:val="00AC478D"/>
    <w:rsid w:val="00B32179"/>
    <w:rsid w:val="00B355C1"/>
    <w:rsid w:val="00B522CD"/>
    <w:rsid w:val="00B82277"/>
    <w:rsid w:val="00BA30D1"/>
    <w:rsid w:val="00BB0A0A"/>
    <w:rsid w:val="00BD6806"/>
    <w:rsid w:val="00BD7C10"/>
    <w:rsid w:val="00BE0DEB"/>
    <w:rsid w:val="00C10A12"/>
    <w:rsid w:val="00C13B34"/>
    <w:rsid w:val="00C30A97"/>
    <w:rsid w:val="00C31DDC"/>
    <w:rsid w:val="00C34326"/>
    <w:rsid w:val="00C71BEC"/>
    <w:rsid w:val="00C85579"/>
    <w:rsid w:val="00CA068D"/>
    <w:rsid w:val="00CB23DC"/>
    <w:rsid w:val="00CB28E2"/>
    <w:rsid w:val="00CB34D6"/>
    <w:rsid w:val="00CB7FF7"/>
    <w:rsid w:val="00CC2044"/>
    <w:rsid w:val="00CD34C7"/>
    <w:rsid w:val="00CF4394"/>
    <w:rsid w:val="00D1007D"/>
    <w:rsid w:val="00D52393"/>
    <w:rsid w:val="00D76AB2"/>
    <w:rsid w:val="00D87788"/>
    <w:rsid w:val="00D910C2"/>
    <w:rsid w:val="00D91DA6"/>
    <w:rsid w:val="00DA195B"/>
    <w:rsid w:val="00DE5323"/>
    <w:rsid w:val="00DE7E74"/>
    <w:rsid w:val="00E15539"/>
    <w:rsid w:val="00EA2DD8"/>
    <w:rsid w:val="00EB48A5"/>
    <w:rsid w:val="00EF3A39"/>
    <w:rsid w:val="00EF608E"/>
    <w:rsid w:val="00F1516A"/>
    <w:rsid w:val="00F22A26"/>
    <w:rsid w:val="00F33069"/>
    <w:rsid w:val="00F72183"/>
    <w:rsid w:val="00F8311F"/>
    <w:rsid w:val="00F853AE"/>
    <w:rsid w:val="00F9435D"/>
    <w:rsid w:val="00FB593A"/>
    <w:rsid w:val="00FC7DBC"/>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5D53AD"/>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1555</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2012-01-04T15:06:00Z</cp:lastPrinted>
  <dcterms:created xsi:type="dcterms:W3CDTF">2012-01-03T17:20:00Z</dcterms:created>
  <dcterms:modified xsi:type="dcterms:W3CDTF">2012-01-09T13:14:00Z</dcterms:modified>
</cp:coreProperties>
</file>