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 xml:space="preserve">PHYSICAL DISABILITY </w:t>
      </w:r>
      <w:r w:rsidR="00001183">
        <w:rPr>
          <w:color w:val="000080"/>
        </w:rPr>
        <w:t xml:space="preserve">BOARD OF </w:t>
      </w:r>
      <w:r w:rsidRPr="00D91DA6">
        <w:rPr>
          <w:color w:val="000080"/>
        </w:rPr>
        <w:t>REVIEW</w:t>
      </w:r>
    </w:p>
    <w:p w:rsidR="00662F08" w:rsidRPr="00D91DA6" w:rsidRDefault="00662F08" w:rsidP="00662F08">
      <w:pPr>
        <w:tabs>
          <w:tab w:val="left" w:pos="288"/>
          <w:tab w:val="left" w:pos="4752"/>
        </w:tabs>
        <w:spacing w:line="240" w:lineRule="exact"/>
        <w:jc w:val="center"/>
        <w:rPr>
          <w:color w:val="000080"/>
        </w:rPr>
      </w:pPr>
    </w:p>
    <w:p w:rsidR="00662F08" w:rsidRPr="00D91DA6" w:rsidRDefault="00662F08" w:rsidP="00662F08">
      <w:pPr>
        <w:tabs>
          <w:tab w:val="left" w:pos="288"/>
          <w:tab w:val="left" w:pos="4752"/>
        </w:tabs>
        <w:spacing w:line="240" w:lineRule="exact"/>
        <w:rPr>
          <w:color w:val="000080"/>
        </w:rPr>
      </w:pPr>
      <w:r w:rsidRPr="00D91DA6">
        <w:rPr>
          <w:color w:val="000080"/>
        </w:rPr>
        <w:t>NAME:</w:t>
      </w:r>
      <w:r w:rsidR="00051622" w:rsidRPr="00D91DA6">
        <w:rPr>
          <w:color w:val="000080"/>
        </w:rPr>
        <w:tab/>
      </w:r>
      <w:r w:rsidR="00051622" w:rsidRPr="00D91DA6">
        <w:rPr>
          <w:color w:val="000080"/>
        </w:rPr>
        <w:tab/>
      </w:r>
      <w:r w:rsidR="00D91DA6">
        <w:rPr>
          <w:color w:val="000080"/>
        </w:rPr>
        <w:t xml:space="preserve">BRANCH OF </w:t>
      </w:r>
      <w:r w:rsidR="007828C9">
        <w:rPr>
          <w:color w:val="000080"/>
        </w:rPr>
        <w:t>SERVICE</w:t>
      </w:r>
      <w:r w:rsidR="007828C9" w:rsidRPr="00D91DA6">
        <w:rPr>
          <w:color w:val="000080"/>
        </w:rPr>
        <w:t xml:space="preserve">: </w:t>
      </w:r>
      <w:r w:rsidR="007828C9">
        <w:rPr>
          <w:color w:val="000080"/>
        </w:rPr>
        <w:t>ARMY</w:t>
      </w:r>
    </w:p>
    <w:p w:rsidR="00B522CD" w:rsidRPr="00D91DA6" w:rsidRDefault="007828C9" w:rsidP="00662F08">
      <w:pPr>
        <w:tabs>
          <w:tab w:val="left" w:pos="288"/>
          <w:tab w:val="left" w:pos="4752"/>
        </w:tabs>
        <w:spacing w:line="240" w:lineRule="exact"/>
        <w:rPr>
          <w:color w:val="000080"/>
        </w:rPr>
      </w:pPr>
      <w:r>
        <w:rPr>
          <w:color w:val="000080"/>
        </w:rPr>
        <w:t>CASE</w:t>
      </w:r>
      <w:r w:rsidRPr="00D91DA6">
        <w:rPr>
          <w:color w:val="000080"/>
        </w:rPr>
        <w:t xml:space="preserve"> NUMBER:  </w:t>
      </w:r>
      <w:r>
        <w:rPr>
          <w:color w:val="000080"/>
        </w:rPr>
        <w:t>PD0900003</w:t>
      </w:r>
      <w:r w:rsidRPr="00D91DA6">
        <w:rPr>
          <w:color w:val="000080"/>
        </w:rPr>
        <w:tab/>
      </w:r>
      <w:r w:rsidRPr="00D91DA6">
        <w:rPr>
          <w:color w:val="000080"/>
        </w:rPr>
        <w:tab/>
      </w:r>
      <w:r>
        <w:rPr>
          <w:color w:val="000080"/>
        </w:rPr>
        <w:t>COMPONENT: ACTIVE</w:t>
      </w:r>
    </w:p>
    <w:p w:rsidR="00662F08" w:rsidRPr="00D91DA6" w:rsidRDefault="00662F08" w:rsidP="00662F08">
      <w:pPr>
        <w:tabs>
          <w:tab w:val="left" w:pos="288"/>
          <w:tab w:val="left" w:pos="4752"/>
        </w:tabs>
        <w:spacing w:line="240" w:lineRule="exact"/>
        <w:rPr>
          <w:color w:val="000080"/>
        </w:rPr>
      </w:pPr>
      <w:r w:rsidRPr="00D91DA6">
        <w:rPr>
          <w:color w:val="000080"/>
        </w:rPr>
        <w:t>BOARD DATE:</w:t>
      </w:r>
      <w:r w:rsidR="00D36563" w:rsidRPr="00D36563">
        <w:rPr>
          <w:color w:val="000080"/>
        </w:rPr>
        <w:t xml:space="preserve"> </w:t>
      </w:r>
      <w:r w:rsidR="00D36563">
        <w:rPr>
          <w:color w:val="000080"/>
        </w:rPr>
        <w:t>20090604</w:t>
      </w:r>
      <w:r w:rsidR="00D91DA6">
        <w:rPr>
          <w:color w:val="000080"/>
        </w:rPr>
        <w:tab/>
      </w:r>
      <w:r w:rsidR="00D91DA6">
        <w:rPr>
          <w:color w:val="000080"/>
        </w:rPr>
        <w:tab/>
      </w:r>
      <w:r w:rsidR="00D91DA6" w:rsidRPr="00D91DA6">
        <w:rPr>
          <w:color w:val="000080"/>
        </w:rPr>
        <w:t xml:space="preserve">SEPARATION DATE: </w:t>
      </w:r>
      <w:r w:rsidR="00F215F8">
        <w:rPr>
          <w:color w:val="000080"/>
        </w:rPr>
        <w:t>20070915</w:t>
      </w:r>
    </w:p>
    <w:p w:rsidR="00B522CD" w:rsidRPr="00D91DA6" w:rsidRDefault="00B522CD">
      <w:pPr>
        <w:tabs>
          <w:tab w:val="left" w:pos="288"/>
          <w:tab w:val="left" w:pos="4752"/>
        </w:tabs>
        <w:spacing w:line="240" w:lineRule="exact"/>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F215F8">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662F08" w:rsidRPr="00AC0FAA" w:rsidRDefault="00811D5B" w:rsidP="004C166B">
      <w:pPr>
        <w:jc w:val="both"/>
      </w:pPr>
      <w:r w:rsidRPr="00D91DA6">
        <w:rPr>
          <w:color w:val="000080"/>
          <w:u w:val="single"/>
        </w:rPr>
        <w:t>SUMMARY</w:t>
      </w:r>
      <w:r w:rsidR="003D7DDB" w:rsidRPr="00D91DA6">
        <w:rPr>
          <w:color w:val="000080"/>
          <w:u w:val="single"/>
        </w:rPr>
        <w:t xml:space="preserve"> OF CASE</w:t>
      </w:r>
      <w:r w:rsidR="00B522CD" w:rsidRPr="00D91DA6">
        <w:rPr>
          <w:color w:val="000080"/>
        </w:rPr>
        <w:t>:</w:t>
      </w:r>
      <w:r w:rsidR="00AC0FAA">
        <w:rPr>
          <w:color w:val="000080"/>
        </w:rPr>
        <w:t xml:space="preserve"> </w:t>
      </w:r>
      <w:r w:rsidR="00AC0FAA" w:rsidRPr="00AC0FAA">
        <w:rPr>
          <w:color w:val="020580"/>
        </w:rPr>
        <w:t xml:space="preserve">This covered individual </w:t>
      </w:r>
      <w:r w:rsidR="007828C9">
        <w:rPr>
          <w:color w:val="020580"/>
        </w:rPr>
        <w:t xml:space="preserve">(CI) </w:t>
      </w:r>
      <w:r w:rsidR="00AC0FAA" w:rsidRPr="00AC0FAA">
        <w:rPr>
          <w:color w:val="020580"/>
        </w:rPr>
        <w:t>was an active duty officer medically separated from the Army in 2007.  The medical basis for the separation was a back condition and ankle injury.  He had an onset of back pain with disc problems in 2005, and underwent a surgical fusion in 2006.  His ankle was fracture</w:t>
      </w:r>
      <w:r w:rsidR="00C85B5D">
        <w:rPr>
          <w:color w:val="020580"/>
        </w:rPr>
        <w:t>d</w:t>
      </w:r>
      <w:r w:rsidR="00AC0FAA" w:rsidRPr="00AC0FAA">
        <w:rPr>
          <w:color w:val="020580"/>
        </w:rPr>
        <w:t xml:space="preserve"> during prior service in 1993, with chronic complications requiring surgery in 2001.  Both conditions were prohibiting his required duties, warranting a medical board in 2007.  He was referred to the PEB, found unfit for both conditions and separated at 20% disability (10% each condition).  A VA exam within four months of separation resulted in 20% ratings for each condition.   Mr. Erikson contends that both of the PEB ratings were too low, citing the significant impact on his lifestyle and earning ability and noting the continuing need for an ankle brace.</w:t>
      </w:r>
      <w:r w:rsidR="00AC0FAA">
        <w:t xml:space="preserve"> </w:t>
      </w: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F215F8">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4C166B" w:rsidRPr="004C166B" w:rsidRDefault="00662F08" w:rsidP="004C166B">
      <w:pPr>
        <w:jc w:val="both"/>
        <w:rPr>
          <w:color w:val="020580"/>
        </w:rPr>
      </w:pPr>
      <w:r w:rsidRPr="004C166B">
        <w:rPr>
          <w:color w:val="020580"/>
        </w:rPr>
        <w:t>BOARD FINDINGS</w:t>
      </w:r>
      <w:r w:rsidR="00B522CD" w:rsidRPr="004C166B">
        <w:rPr>
          <w:color w:val="020580"/>
        </w:rPr>
        <w:t>:</w:t>
      </w:r>
      <w:r w:rsidR="00AC0FAA" w:rsidRPr="004C166B">
        <w:rPr>
          <w:color w:val="020580"/>
        </w:rPr>
        <w:t xml:space="preserve"> </w:t>
      </w:r>
      <w:r w:rsidR="00AC0FAA" w:rsidRPr="00AC0FAA">
        <w:rPr>
          <w:color w:val="020580"/>
        </w:rPr>
        <w:t>The PEB and the VA used different codes for the back condition; both were appropriate and rated under the same VASRD formula.  The conflicting ratings were a result of different range-of-motion findings by the military and the VA.  Although there were conflicting entries in the MEB report regarding the gait, which could have resulted in a 20% VASRD rating, the PEB rating was consistent with the data present at the time of separ</w:t>
      </w:r>
      <w:r w:rsidR="00C85B5D">
        <w:rPr>
          <w:color w:val="020580"/>
        </w:rPr>
        <w:t>ation.  The PEB and the VA used</w:t>
      </w:r>
      <w:r w:rsidR="00AC0FAA" w:rsidRPr="00AC0FAA">
        <w:rPr>
          <w:color w:val="020580"/>
        </w:rPr>
        <w:t xml:space="preserve"> different rating codes for the ankle, and the VA coding was more </w:t>
      </w:r>
      <w:r w:rsidR="004F7A46">
        <w:rPr>
          <w:color w:val="020580"/>
        </w:rPr>
        <w:t xml:space="preserve">specific to the condition.  IAW </w:t>
      </w:r>
      <w:r w:rsidR="00AC0FAA" w:rsidRPr="00AC0FAA">
        <w:rPr>
          <w:color w:val="020580"/>
        </w:rPr>
        <w:t>VASRD</w:t>
      </w:r>
      <w:r w:rsidR="004F7A46">
        <w:rPr>
          <w:color w:val="020580"/>
        </w:rPr>
        <w:t xml:space="preserve"> §4.3 and §4.7, the code </w:t>
      </w:r>
      <w:r w:rsidR="00606408">
        <w:rPr>
          <w:color w:val="020580"/>
        </w:rPr>
        <w:t xml:space="preserve">more closely approximating rating criteria and yielding the higher evaluation </w:t>
      </w:r>
      <w:r w:rsidR="00F1404F">
        <w:rPr>
          <w:color w:val="020580"/>
        </w:rPr>
        <w:t xml:space="preserve">should be assigned.  </w:t>
      </w:r>
      <w:r w:rsidR="00B04F76">
        <w:rPr>
          <w:color w:val="020580"/>
        </w:rPr>
        <w:t xml:space="preserve">By a vote of 2:1, the PDBR </w:t>
      </w:r>
      <w:r w:rsidR="00AC0FAA" w:rsidRPr="00AC0FAA">
        <w:rPr>
          <w:color w:val="020580"/>
        </w:rPr>
        <w:t xml:space="preserve">concluded that a 20% rating </w:t>
      </w:r>
      <w:r w:rsidR="00B04F76">
        <w:rPr>
          <w:color w:val="020580"/>
        </w:rPr>
        <w:t xml:space="preserve">under code 5271, as per the VA, </w:t>
      </w:r>
      <w:r w:rsidR="00AC0FAA" w:rsidRPr="00AC0FAA">
        <w:rPr>
          <w:color w:val="020580"/>
        </w:rPr>
        <w:t xml:space="preserve">was indicated for the ankle.  </w:t>
      </w:r>
      <w:r w:rsidR="004C166B" w:rsidRPr="004C166B">
        <w:rPr>
          <w:color w:val="020580"/>
        </w:rPr>
        <w:t>The single voter for dissent (who recommended increasing the rating for the back under 5241 to 20%) elected not to submit a minority opinion.</w:t>
      </w:r>
    </w:p>
    <w:p w:rsidR="00B522CD" w:rsidRPr="00D91DA6" w:rsidRDefault="00B522CD" w:rsidP="007828C9">
      <w:pPr>
        <w:jc w:val="both"/>
        <w:rPr>
          <w:color w:val="000080"/>
        </w:rPr>
      </w:pPr>
    </w:p>
    <w:p w:rsidR="00B522CD" w:rsidRPr="00D91DA6" w:rsidRDefault="00B522CD" w:rsidP="00AC0FAA">
      <w:pPr>
        <w:rPr>
          <w:color w:val="000080"/>
        </w:rPr>
      </w:pPr>
      <w:r w:rsidRPr="00D91DA6">
        <w:rPr>
          <w:color w:val="000080"/>
        </w:rPr>
        <w:t>_______________________________</w:t>
      </w:r>
      <w:r w:rsidR="00F215F8">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7828C9" w:rsidRDefault="007828C9">
      <w:pPr>
        <w:rPr>
          <w:color w:val="000080"/>
          <w:u w:val="single"/>
        </w:rPr>
      </w:pPr>
      <w:r>
        <w:rPr>
          <w:color w:val="000080"/>
          <w:u w:val="single"/>
        </w:rPr>
        <w:br w:type="page"/>
      </w:r>
    </w:p>
    <w:p w:rsidR="00B522CD" w:rsidRPr="00D91DA6" w:rsidRDefault="00662F08">
      <w:pPr>
        <w:tabs>
          <w:tab w:val="left" w:pos="288"/>
          <w:tab w:val="left" w:pos="4752"/>
        </w:tabs>
        <w:spacing w:line="240" w:lineRule="exact"/>
        <w:jc w:val="both"/>
        <w:rPr>
          <w:color w:val="000080"/>
        </w:rPr>
      </w:pPr>
      <w:r w:rsidRPr="00D91DA6">
        <w:rPr>
          <w:color w:val="000080"/>
          <w:u w:val="single"/>
        </w:rPr>
        <w:lastRenderedPageBreak/>
        <w:t>RECOMMENDATION:</w:t>
      </w:r>
    </w:p>
    <w:p w:rsidR="00B522CD" w:rsidRPr="00D91DA6" w:rsidRDefault="00B522CD">
      <w:pPr>
        <w:tabs>
          <w:tab w:val="left" w:pos="288"/>
          <w:tab w:val="left" w:pos="4752"/>
        </w:tabs>
        <w:spacing w:line="240" w:lineRule="exact"/>
        <w:jc w:val="both"/>
        <w:rPr>
          <w:color w:val="000080"/>
        </w:rPr>
      </w:pPr>
    </w:p>
    <w:p w:rsidR="00F1404F" w:rsidRPr="00F1404F" w:rsidRDefault="00F1404F" w:rsidP="007828C9">
      <w:pPr>
        <w:jc w:val="both"/>
        <w:rPr>
          <w:color w:val="020580"/>
        </w:rPr>
      </w:pPr>
      <w:r w:rsidRPr="00F1404F">
        <w:rPr>
          <w:color w:val="020580"/>
        </w:rPr>
        <w:t>The PDBR therefore recommends that the CI’s prior determination be adjusted as follows, effective as of the date of his prior medical separation.</w:t>
      </w:r>
    </w:p>
    <w:p w:rsidR="00C85B5D" w:rsidRPr="00C85B5D" w:rsidRDefault="00C85B5D" w:rsidP="00C85B5D">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0"/>
        <w:rPr>
          <w:rFonts w:cs="Times New Roman"/>
          <w:color w:val="020580"/>
        </w:rPr>
      </w:pPr>
    </w:p>
    <w:tbl>
      <w:tblPr>
        <w:tblStyle w:val="TableGrid"/>
        <w:tblW w:w="0" w:type="auto"/>
        <w:tblInd w:w="907" w:type="dxa"/>
        <w:tblLook w:val="04A0"/>
      </w:tblPr>
      <w:tblGrid>
        <w:gridCol w:w="4601"/>
        <w:gridCol w:w="1890"/>
        <w:gridCol w:w="1084"/>
      </w:tblGrid>
      <w:tr w:rsidR="00C85B5D" w:rsidRPr="00606408" w:rsidTr="00E70A62">
        <w:tc>
          <w:tcPr>
            <w:tcW w:w="4601" w:type="dxa"/>
            <w:shd w:val="clear" w:color="auto" w:fill="D9D9D9" w:themeFill="background1" w:themeFillShade="D9"/>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Unfitting Condition</w:t>
            </w:r>
          </w:p>
        </w:tc>
        <w:tc>
          <w:tcPr>
            <w:tcW w:w="1890" w:type="dxa"/>
            <w:shd w:val="clear" w:color="auto" w:fill="D9D9D9" w:themeFill="background1" w:themeFillShade="D9"/>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VASRD Code</w:t>
            </w:r>
          </w:p>
        </w:tc>
        <w:tc>
          <w:tcPr>
            <w:tcW w:w="1069" w:type="dxa"/>
            <w:shd w:val="clear" w:color="auto" w:fill="D9D9D9" w:themeFill="background1" w:themeFillShade="D9"/>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Rating</w:t>
            </w:r>
          </w:p>
        </w:tc>
      </w:tr>
      <w:tr w:rsidR="00C85B5D" w:rsidRPr="00606408" w:rsidTr="00E70A62">
        <w:tc>
          <w:tcPr>
            <w:tcW w:w="4601" w:type="dxa"/>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Spinal fusion</w:t>
            </w:r>
          </w:p>
        </w:tc>
        <w:tc>
          <w:tcPr>
            <w:tcW w:w="1890" w:type="dxa"/>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5241</w:t>
            </w:r>
          </w:p>
        </w:tc>
        <w:tc>
          <w:tcPr>
            <w:tcW w:w="1069" w:type="dxa"/>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10%</w:t>
            </w:r>
          </w:p>
        </w:tc>
      </w:tr>
      <w:tr w:rsidR="00C85B5D" w:rsidRPr="00606408" w:rsidTr="00E70A62">
        <w:tc>
          <w:tcPr>
            <w:tcW w:w="4601" w:type="dxa"/>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Fracture R ankle</w:t>
            </w:r>
          </w:p>
        </w:tc>
        <w:tc>
          <w:tcPr>
            <w:tcW w:w="1890" w:type="dxa"/>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5271</w:t>
            </w:r>
          </w:p>
        </w:tc>
        <w:tc>
          <w:tcPr>
            <w:tcW w:w="1069" w:type="dxa"/>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20%</w:t>
            </w:r>
          </w:p>
        </w:tc>
      </w:tr>
      <w:tr w:rsidR="00C85B5D" w:rsidRPr="00606408" w:rsidTr="00E70A62">
        <w:tblPrEx>
          <w:tblLook w:val="0000"/>
        </w:tblPrEx>
        <w:trPr>
          <w:gridBefore w:val="1"/>
          <w:wBefore w:w="4601" w:type="dxa"/>
          <w:trHeight w:val="197"/>
        </w:trPr>
        <w:tc>
          <w:tcPr>
            <w:tcW w:w="1890" w:type="dxa"/>
            <w:tcBorders>
              <w:left w:val="single" w:sz="4" w:space="0" w:color="auto"/>
              <w:bottom w:val="single" w:sz="4" w:space="0" w:color="000000" w:themeColor="text1"/>
            </w:tcBorders>
          </w:tcPr>
          <w:p w:rsidR="00C85B5D" w:rsidRPr="00B04F76" w:rsidRDefault="00C85B5D" w:rsidP="00E70A62">
            <w:pPr>
              <w:jc w:val="center"/>
              <w:rPr>
                <w:rFonts w:ascii="Courier" w:hAnsi="Courier"/>
                <w:b/>
                <w:color w:val="020580"/>
                <w:sz w:val="24"/>
                <w:szCs w:val="24"/>
              </w:rPr>
            </w:pPr>
            <w:r w:rsidRPr="00B04F76">
              <w:rPr>
                <w:rFonts w:ascii="Courier" w:hAnsi="Courier"/>
                <w:b/>
                <w:color w:val="020580"/>
                <w:sz w:val="24"/>
                <w:szCs w:val="24"/>
              </w:rPr>
              <w:t>Combined</w:t>
            </w:r>
          </w:p>
        </w:tc>
        <w:tc>
          <w:tcPr>
            <w:tcW w:w="1069" w:type="dxa"/>
            <w:tcBorders>
              <w:bottom w:val="single" w:sz="4" w:space="0" w:color="000000" w:themeColor="text1"/>
            </w:tcBorders>
          </w:tcPr>
          <w:p w:rsidR="00C85B5D" w:rsidRPr="00B04F76" w:rsidRDefault="00C85B5D" w:rsidP="00E70A62">
            <w:pPr>
              <w:jc w:val="center"/>
              <w:rPr>
                <w:rFonts w:ascii="Courier" w:hAnsi="Courier"/>
                <w:color w:val="020580"/>
                <w:sz w:val="24"/>
                <w:szCs w:val="24"/>
              </w:rPr>
            </w:pPr>
            <w:r w:rsidRPr="00B04F76">
              <w:rPr>
                <w:rFonts w:ascii="Courier" w:hAnsi="Courier"/>
                <w:color w:val="020580"/>
                <w:sz w:val="24"/>
                <w:szCs w:val="24"/>
              </w:rPr>
              <w:t>30%</w:t>
            </w:r>
          </w:p>
        </w:tc>
      </w:tr>
    </w:tbl>
    <w:p w:rsidR="00662F08" w:rsidRPr="00D91DA6" w:rsidRDefault="00662F08">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F215F8">
        <w:rPr>
          <w:color w:val="000080"/>
        </w:rPr>
        <w:t>_______________________________</w:t>
      </w:r>
    </w:p>
    <w:p w:rsidR="00D91DA6" w:rsidRDefault="00D91DA6">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4F7A46" w:rsidP="00114F20">
      <w:pPr>
        <w:tabs>
          <w:tab w:val="left" w:pos="288"/>
          <w:tab w:val="left" w:pos="4752"/>
        </w:tabs>
        <w:spacing w:line="240" w:lineRule="exact"/>
        <w:rPr>
          <w:color w:val="000080"/>
        </w:rPr>
      </w:pPr>
      <w:r>
        <w:rPr>
          <w:color w:val="000080"/>
        </w:rPr>
        <w:t xml:space="preserve">Exhibit A.  DD Form 294, </w:t>
      </w:r>
      <w:proofErr w:type="spellStart"/>
      <w:r>
        <w:rPr>
          <w:color w:val="000080"/>
        </w:rPr>
        <w:t>dtd</w:t>
      </w:r>
      <w:proofErr w:type="spellEnd"/>
      <w:r w:rsidR="001D56EB">
        <w:rPr>
          <w:color w:val="000080"/>
        </w:rPr>
        <w:t xml:space="preserve"> 20090113</w:t>
      </w:r>
      <w:r w:rsidR="00114F20">
        <w:rPr>
          <w:color w:val="000080"/>
        </w:rPr>
        <w:t>, w/</w:t>
      </w:r>
      <w:proofErr w:type="spellStart"/>
      <w:r w:rsidR="00114F20">
        <w:rPr>
          <w:color w:val="000080"/>
        </w:rPr>
        <w:t>atchs</w:t>
      </w:r>
      <w:proofErr w:type="spellEnd"/>
      <w:r w:rsidR="00114F20">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Pr="00D91DA6" w:rsidRDefault="00114F20">
      <w:pPr>
        <w:tabs>
          <w:tab w:val="left" w:pos="288"/>
          <w:tab w:val="left" w:pos="4752"/>
        </w:tabs>
        <w:spacing w:line="240" w:lineRule="exact"/>
        <w:jc w:val="both"/>
        <w:rPr>
          <w:color w:val="000080"/>
        </w:rPr>
      </w:pPr>
    </w:p>
    <w:p w:rsidR="00D91DA6" w:rsidRDefault="00D91DA6" w:rsidP="00D91DA6">
      <w:pPr>
        <w:tabs>
          <w:tab w:val="left" w:pos="0"/>
          <w:tab w:val="left" w:pos="4320"/>
        </w:tabs>
        <w:spacing w:line="240" w:lineRule="exact"/>
        <w:rPr>
          <w:color w:val="000080"/>
        </w:rPr>
      </w:pPr>
      <w:r>
        <w:rPr>
          <w:color w:val="000080"/>
        </w:rPr>
        <w:tab/>
      </w:r>
      <w:r w:rsidRPr="00D91DA6">
        <w:rPr>
          <w:color w:val="000080"/>
        </w:rPr>
        <w:t xml:space="preserve">MICHAEL F. </w:t>
      </w:r>
      <w:proofErr w:type="spellStart"/>
      <w:r w:rsidRPr="00D91DA6">
        <w:rPr>
          <w:color w:val="000080"/>
        </w:rPr>
        <w:t>LoGRANDE</w:t>
      </w:r>
      <w:proofErr w:type="spellEnd"/>
    </w:p>
    <w:p w:rsidR="00D91DA6" w:rsidRPr="00D91DA6" w:rsidRDefault="00D91DA6" w:rsidP="00D91DA6">
      <w:pPr>
        <w:tabs>
          <w:tab w:val="left" w:pos="0"/>
          <w:tab w:val="left" w:pos="4320"/>
        </w:tabs>
        <w:spacing w:line="240" w:lineRule="exact"/>
        <w:rPr>
          <w:color w:val="000080"/>
        </w:rPr>
      </w:pPr>
      <w:r>
        <w:rPr>
          <w:color w:val="000080"/>
        </w:rPr>
        <w:tab/>
      </w:r>
      <w:r w:rsidRPr="00D91DA6">
        <w:rPr>
          <w:color w:val="000080"/>
        </w:rPr>
        <w:t>President</w:t>
      </w:r>
    </w:p>
    <w:p w:rsidR="00824746" w:rsidRDefault="00D91DA6" w:rsidP="007828C9">
      <w:pPr>
        <w:tabs>
          <w:tab w:val="left" w:pos="288"/>
          <w:tab w:val="left" w:pos="4320"/>
          <w:tab w:val="left" w:pos="4410"/>
          <w:tab w:val="left" w:pos="4770"/>
          <w:tab w:val="left" w:pos="4860"/>
          <w:tab w:val="left" w:pos="5040"/>
        </w:tabs>
        <w:spacing w:line="240" w:lineRule="exact"/>
        <w:ind w:right="-180"/>
        <w:rPr>
          <w:color w:val="000080"/>
        </w:rPr>
      </w:pPr>
      <w:r>
        <w:rPr>
          <w:color w:val="000080"/>
        </w:rPr>
        <w:tab/>
      </w:r>
      <w:r>
        <w:rPr>
          <w:color w:val="000080"/>
        </w:rPr>
        <w:tab/>
      </w:r>
      <w:r w:rsidRPr="00D91DA6">
        <w:rPr>
          <w:color w:val="000080"/>
        </w:rPr>
        <w:t>Physical Disability</w:t>
      </w:r>
      <w:r>
        <w:rPr>
          <w:color w:val="000080"/>
        </w:rPr>
        <w:t xml:space="preserve"> </w:t>
      </w:r>
      <w:r w:rsidRPr="00D91DA6">
        <w:rPr>
          <w:color w:val="000080"/>
        </w:rPr>
        <w:t>Board of Review</w:t>
      </w:r>
    </w:p>
    <w:p w:rsidR="004D4A9B" w:rsidRDefault="004D4A9B">
      <w:pPr>
        <w:pStyle w:val="Default"/>
      </w:pPr>
    </w:p>
    <w:p w:rsidR="004D4A9B" w:rsidRDefault="004D4A9B">
      <w:pPr>
        <w:pStyle w:val="Default"/>
      </w:pPr>
      <w:r>
        <w:t xml:space="preserve"> </w:t>
      </w:r>
    </w:p>
    <w:p w:rsidR="004D4A9B" w:rsidRDefault="00174B62">
      <w:pPr>
        <w:pStyle w:val="Default"/>
        <w:framePr w:w="13040" w:wrap="auto" w:vAnchor="page" w:hAnchor="page" w:x="131" w:y="1"/>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11in;mso-position-horizontal:absolute">
            <v:imagedata r:id="rId6" o:title=""/>
          </v:shape>
        </w:pict>
      </w:r>
    </w:p>
    <w:p w:rsidR="00B522CD" w:rsidRPr="00174B62" w:rsidRDefault="00B522CD" w:rsidP="00174B62">
      <w:pPr>
        <w:pStyle w:val="Default"/>
      </w:pPr>
    </w:p>
    <w:sectPr w:rsidR="00B522CD" w:rsidRPr="00174B62" w:rsidSect="00773C15">
      <w:footerReference w:type="even" r:id="rId7"/>
      <w:footerReference w:type="default" r:id="rId8"/>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F7" w:rsidRDefault="004709F7">
      <w:r>
        <w:separator/>
      </w:r>
    </w:p>
  </w:endnote>
  <w:endnote w:type="continuationSeparator" w:id="0">
    <w:p w:rsidR="004709F7" w:rsidRDefault="004709F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E3E8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174B62">
      <w:rPr>
        <w:rStyle w:val="PageNumber"/>
        <w:noProof/>
      </w:rPr>
      <w:t>4</w:t>
    </w:r>
    <w:r>
      <w:rPr>
        <w:rStyle w:val="PageNumber"/>
      </w:rPr>
      <w:fldChar w:fldCharType="end"/>
    </w:r>
  </w:p>
  <w:p w:rsidR="000D43F9" w:rsidRDefault="000D4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E3E8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174B62">
      <w:rPr>
        <w:rStyle w:val="PageNumber"/>
        <w:noProof/>
      </w:rPr>
      <w:t>3</w:t>
    </w:r>
    <w:r>
      <w:rPr>
        <w:rStyle w:val="PageNumber"/>
      </w:rPr>
      <w:fldChar w:fldCharType="end"/>
    </w:r>
  </w:p>
  <w:p w:rsidR="000D43F9" w:rsidRDefault="000D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F7" w:rsidRDefault="004709F7">
      <w:r>
        <w:separator/>
      </w:r>
    </w:p>
  </w:footnote>
  <w:footnote w:type="continuationSeparator" w:id="0">
    <w:p w:rsidR="004709F7" w:rsidRDefault="00470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01183"/>
    <w:rsid w:val="00051622"/>
    <w:rsid w:val="00056C25"/>
    <w:rsid w:val="00081A8E"/>
    <w:rsid w:val="000A2BCE"/>
    <w:rsid w:val="000B2934"/>
    <w:rsid w:val="000D43F9"/>
    <w:rsid w:val="000E3E8E"/>
    <w:rsid w:val="000F427B"/>
    <w:rsid w:val="00114F20"/>
    <w:rsid w:val="00122470"/>
    <w:rsid w:val="001248C8"/>
    <w:rsid w:val="00174B62"/>
    <w:rsid w:val="00177659"/>
    <w:rsid w:val="00185ECB"/>
    <w:rsid w:val="001C2053"/>
    <w:rsid w:val="001C28D1"/>
    <w:rsid w:val="001D0C15"/>
    <w:rsid w:val="001D56EB"/>
    <w:rsid w:val="001D6A8C"/>
    <w:rsid w:val="00231E25"/>
    <w:rsid w:val="00246860"/>
    <w:rsid w:val="00393651"/>
    <w:rsid w:val="003D7DDB"/>
    <w:rsid w:val="003E0543"/>
    <w:rsid w:val="003E09C2"/>
    <w:rsid w:val="004007E9"/>
    <w:rsid w:val="0044191B"/>
    <w:rsid w:val="004574C6"/>
    <w:rsid w:val="004709F7"/>
    <w:rsid w:val="004A4136"/>
    <w:rsid w:val="004C166B"/>
    <w:rsid w:val="004D4A9B"/>
    <w:rsid w:val="004F7A46"/>
    <w:rsid w:val="00605C7F"/>
    <w:rsid w:val="00606408"/>
    <w:rsid w:val="0063634A"/>
    <w:rsid w:val="00662F08"/>
    <w:rsid w:val="00690630"/>
    <w:rsid w:val="006A40E6"/>
    <w:rsid w:val="006E7356"/>
    <w:rsid w:val="00714CA3"/>
    <w:rsid w:val="00744EBB"/>
    <w:rsid w:val="00773C15"/>
    <w:rsid w:val="007828C9"/>
    <w:rsid w:val="007A168F"/>
    <w:rsid w:val="007B0A06"/>
    <w:rsid w:val="007E4FBB"/>
    <w:rsid w:val="007E5A04"/>
    <w:rsid w:val="00811D5B"/>
    <w:rsid w:val="00824746"/>
    <w:rsid w:val="00830999"/>
    <w:rsid w:val="00830D5E"/>
    <w:rsid w:val="00832604"/>
    <w:rsid w:val="008A36D9"/>
    <w:rsid w:val="008A6F8B"/>
    <w:rsid w:val="008E44C7"/>
    <w:rsid w:val="00914ADB"/>
    <w:rsid w:val="00942645"/>
    <w:rsid w:val="00945025"/>
    <w:rsid w:val="00951234"/>
    <w:rsid w:val="009B69D3"/>
    <w:rsid w:val="009E7237"/>
    <w:rsid w:val="00A86CB6"/>
    <w:rsid w:val="00A929A6"/>
    <w:rsid w:val="00AC0FAA"/>
    <w:rsid w:val="00B04F76"/>
    <w:rsid w:val="00B339B3"/>
    <w:rsid w:val="00B522CD"/>
    <w:rsid w:val="00B82277"/>
    <w:rsid w:val="00C85579"/>
    <w:rsid w:val="00C85B5D"/>
    <w:rsid w:val="00C97F81"/>
    <w:rsid w:val="00CB28E2"/>
    <w:rsid w:val="00CC6E86"/>
    <w:rsid w:val="00CD34C7"/>
    <w:rsid w:val="00D36563"/>
    <w:rsid w:val="00D52393"/>
    <w:rsid w:val="00D76AB2"/>
    <w:rsid w:val="00D910C2"/>
    <w:rsid w:val="00D91DA6"/>
    <w:rsid w:val="00DE7E74"/>
    <w:rsid w:val="00E33A3A"/>
    <w:rsid w:val="00E409EE"/>
    <w:rsid w:val="00EA5320"/>
    <w:rsid w:val="00EE786E"/>
    <w:rsid w:val="00EF608E"/>
    <w:rsid w:val="00F0153E"/>
    <w:rsid w:val="00F0664D"/>
    <w:rsid w:val="00F1404F"/>
    <w:rsid w:val="00F1516A"/>
    <w:rsid w:val="00F215F8"/>
    <w:rsid w:val="00F22A26"/>
    <w:rsid w:val="00F72183"/>
    <w:rsid w:val="00F8460B"/>
    <w:rsid w:val="00FC6387"/>
    <w:rsid w:val="00FE2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C15"/>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3C15"/>
    <w:pPr>
      <w:tabs>
        <w:tab w:val="center" w:pos="4320"/>
        <w:tab w:val="right" w:pos="8640"/>
      </w:tabs>
    </w:pPr>
  </w:style>
  <w:style w:type="character" w:styleId="PageNumber">
    <w:name w:val="page number"/>
    <w:basedOn w:val="DefaultParagraphFont"/>
    <w:rsid w:val="00773C15"/>
  </w:style>
  <w:style w:type="paragraph" w:styleId="Header">
    <w:name w:val="header"/>
    <w:basedOn w:val="Normal"/>
    <w:rsid w:val="00773C15"/>
    <w:pPr>
      <w:tabs>
        <w:tab w:val="center" w:pos="4320"/>
        <w:tab w:val="right" w:pos="8640"/>
      </w:tabs>
    </w:pPr>
  </w:style>
  <w:style w:type="paragraph" w:styleId="BodyText">
    <w:name w:val="Body Text"/>
    <w:basedOn w:val="Normal"/>
    <w:rsid w:val="00773C15"/>
    <w:pPr>
      <w:tabs>
        <w:tab w:val="left" w:pos="720"/>
      </w:tabs>
      <w:spacing w:line="240" w:lineRule="exact"/>
      <w:ind w:right="-360"/>
    </w:pPr>
    <w:rPr>
      <w:rFonts w:ascii="Times New Roman" w:hAnsi="Times New Roman"/>
      <w:color w:val="000080"/>
    </w:rPr>
  </w:style>
  <w:style w:type="paragraph" w:styleId="BodyText3">
    <w:name w:val="Body Text 3"/>
    <w:basedOn w:val="Normal"/>
    <w:rsid w:val="00773C15"/>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paragraph" w:styleId="ListParagraph">
    <w:name w:val="List Paragraph"/>
    <w:basedOn w:val="Normal"/>
    <w:uiPriority w:val="34"/>
    <w:qFormat/>
    <w:rsid w:val="00C85B5D"/>
    <w:pPr>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C85B5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7828C9"/>
    <w:rPr>
      <w:rFonts w:ascii="Tahoma" w:hAnsi="Tahoma" w:cs="Tahoma"/>
      <w:sz w:val="16"/>
      <w:szCs w:val="16"/>
    </w:rPr>
  </w:style>
  <w:style w:type="character" w:customStyle="1" w:styleId="BalloonTextChar">
    <w:name w:val="Balloon Text Char"/>
    <w:basedOn w:val="DefaultParagraphFont"/>
    <w:link w:val="BalloonText"/>
    <w:rsid w:val="007828C9"/>
    <w:rPr>
      <w:rFonts w:ascii="Tahoma" w:hAnsi="Tahoma" w:cs="Tahoma"/>
      <w:color w:val="008080"/>
      <w:sz w:val="16"/>
      <w:szCs w:val="16"/>
    </w:rPr>
  </w:style>
  <w:style w:type="paragraph" w:customStyle="1" w:styleId="Default">
    <w:name w:val="Default"/>
    <w:rsid w:val="0082474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5360765">
      <w:bodyDiv w:val="1"/>
      <w:marLeft w:val="0"/>
      <w:marRight w:val="0"/>
      <w:marTop w:val="0"/>
      <w:marBottom w:val="0"/>
      <w:divBdr>
        <w:top w:val="none" w:sz="0" w:space="0" w:color="auto"/>
        <w:left w:val="none" w:sz="0" w:space="0" w:color="auto"/>
        <w:bottom w:val="none" w:sz="0" w:space="0" w:color="auto"/>
        <w:right w:val="none" w:sz="0" w:space="0" w:color="auto"/>
      </w:divBdr>
    </w:div>
    <w:div w:id="25887936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415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2012-01-04T15:07:00Z</cp:lastPrinted>
  <dcterms:created xsi:type="dcterms:W3CDTF">2012-01-03T16:13:00Z</dcterms:created>
  <dcterms:modified xsi:type="dcterms:W3CDTF">2012-01-09T12:58:00Z</dcterms:modified>
</cp:coreProperties>
</file>