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DA6" w:rsidRDefault="00E456E6" w:rsidP="00540BEF">
      <w:pPr>
        <w:tabs>
          <w:tab w:val="left" w:pos="288"/>
          <w:tab w:val="left" w:pos="4752"/>
        </w:tabs>
        <w:spacing w:line="240" w:lineRule="exact"/>
        <w:jc w:val="center"/>
        <w:rPr>
          <w:color w:val="000080"/>
        </w:rPr>
      </w:pPr>
      <w:r>
        <w:rPr>
          <w:color w:val="000080"/>
        </w:rPr>
        <w:tab/>
      </w:r>
      <w:r w:rsidR="00540BEF" w:rsidRPr="00D91DA6">
        <w:rPr>
          <w:color w:val="000080"/>
        </w:rPr>
        <w:t>RECORD OF PROCEEDINGS</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BD1FF5" w:rsidRPr="00BD1FF5" w:rsidRDefault="007C575B" w:rsidP="00BD1FF5">
      <w:pPr>
        <w:tabs>
          <w:tab w:val="left" w:pos="288"/>
          <w:tab w:val="left" w:pos="4752"/>
        </w:tabs>
        <w:spacing w:line="240" w:lineRule="exact"/>
        <w:rPr>
          <w:color w:val="000080"/>
        </w:rPr>
      </w:pPr>
      <w:r>
        <w:rPr>
          <w:color w:val="000080"/>
        </w:rPr>
        <w:tab/>
      </w:r>
      <w:r w:rsidR="00BD1FF5" w:rsidRPr="00BD1FF5">
        <w:rPr>
          <w:color w:val="000080"/>
        </w:rPr>
        <w:tab/>
      </w:r>
      <w:r w:rsidR="00E456E6">
        <w:rPr>
          <w:color w:val="000080"/>
        </w:rPr>
        <w:tab/>
      </w:r>
      <w:r w:rsidR="00BD1FF5" w:rsidRPr="00BD1FF5">
        <w:rPr>
          <w:color w:val="000080"/>
        </w:rPr>
        <w:t>BRANCH OF SERVICE: ARMY</w:t>
      </w:r>
    </w:p>
    <w:p w:rsidR="00E456E6" w:rsidRDefault="00BD1FF5" w:rsidP="00BD1FF5">
      <w:pPr>
        <w:tabs>
          <w:tab w:val="left" w:pos="288"/>
          <w:tab w:val="left" w:pos="4752"/>
        </w:tabs>
        <w:spacing w:line="240" w:lineRule="exact"/>
        <w:rPr>
          <w:color w:val="000080"/>
        </w:rPr>
      </w:pPr>
      <w:r w:rsidRPr="00BD1FF5">
        <w:rPr>
          <w:color w:val="000080"/>
        </w:rPr>
        <w:t>CASE NUMBER:  PD0900001</w:t>
      </w:r>
      <w:r w:rsidRPr="00BD1FF5">
        <w:rPr>
          <w:color w:val="000080"/>
        </w:rPr>
        <w:tab/>
      </w:r>
      <w:r w:rsidRPr="00BD1FF5">
        <w:rPr>
          <w:color w:val="000080"/>
        </w:rPr>
        <w:tab/>
      </w:r>
      <w:r>
        <w:rPr>
          <w:color w:val="000080"/>
        </w:rPr>
        <w:t>BOARD DATE: 20091216</w:t>
      </w:r>
      <w:r w:rsidRPr="00BD1FF5">
        <w:rPr>
          <w:color w:val="000080"/>
        </w:rPr>
        <w:tab/>
      </w:r>
    </w:p>
    <w:p w:rsidR="00BD1FF5" w:rsidRPr="00BD1FF5" w:rsidRDefault="00BD1FF5" w:rsidP="00BD1FF5">
      <w:pPr>
        <w:tabs>
          <w:tab w:val="left" w:pos="288"/>
          <w:tab w:val="left" w:pos="4752"/>
        </w:tabs>
        <w:spacing w:line="240" w:lineRule="exact"/>
        <w:rPr>
          <w:color w:val="000080"/>
        </w:rPr>
      </w:pPr>
      <w:r w:rsidRPr="00BD1FF5">
        <w:rPr>
          <w:color w:val="000080"/>
        </w:rPr>
        <w:t>SEPARATION DATE: 20020430</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AF2874" w:rsidRDefault="002C6E5B" w:rsidP="00AF2874">
      <w:pPr>
        <w:tabs>
          <w:tab w:val="left" w:pos="288"/>
          <w:tab w:val="left" w:pos="4752"/>
        </w:tabs>
        <w:spacing w:line="240" w:lineRule="exact"/>
        <w:jc w:val="both"/>
        <w:rPr>
          <w:color w:val="000080"/>
        </w:rPr>
      </w:pPr>
      <w:r w:rsidRPr="00AF2874">
        <w:rPr>
          <w:color w:val="000080"/>
          <w:u w:val="single"/>
        </w:rPr>
        <w:t>SUMMARY OF CASE</w:t>
      </w:r>
      <w:r w:rsidRPr="00AF2874">
        <w:rPr>
          <w:color w:val="000080"/>
        </w:rPr>
        <w:t xml:space="preserve">:  This covered individual (CI) was </w:t>
      </w:r>
      <w:r w:rsidR="00F73CA5" w:rsidRPr="00AF2874">
        <w:rPr>
          <w:color w:val="000080"/>
        </w:rPr>
        <w:t>an active duty</w:t>
      </w:r>
      <w:r w:rsidRPr="00AF2874">
        <w:rPr>
          <w:color w:val="000080"/>
        </w:rPr>
        <w:t xml:space="preserve"> </w:t>
      </w:r>
      <w:r w:rsidR="00F73CA5" w:rsidRPr="00AF2874">
        <w:rPr>
          <w:color w:val="000080"/>
        </w:rPr>
        <w:t xml:space="preserve">officer </w:t>
      </w:r>
      <w:r w:rsidRPr="00AF2874">
        <w:rPr>
          <w:color w:val="000080"/>
        </w:rPr>
        <w:t>medically separated from the Army</w:t>
      </w:r>
      <w:r w:rsidR="00F73CA5" w:rsidRPr="00AF2874">
        <w:rPr>
          <w:color w:val="000080"/>
        </w:rPr>
        <w:t xml:space="preserve"> in 2002 after 12</w:t>
      </w:r>
      <w:r w:rsidR="00E456E6">
        <w:rPr>
          <w:color w:val="000080"/>
        </w:rPr>
        <w:t> </w:t>
      </w:r>
      <w:r w:rsidRPr="00AF2874">
        <w:rPr>
          <w:color w:val="000080"/>
        </w:rPr>
        <w:t xml:space="preserve">years of service.  The medical basis for the separation was </w:t>
      </w:r>
      <w:r w:rsidR="00F73CA5" w:rsidRPr="00AF2874">
        <w:rPr>
          <w:color w:val="000080"/>
        </w:rPr>
        <w:t xml:space="preserve">a bilateral ankle condition.  He suffered a severe </w:t>
      </w:r>
      <w:proofErr w:type="spellStart"/>
      <w:r w:rsidR="00F73CA5" w:rsidRPr="00AF2874">
        <w:rPr>
          <w:color w:val="000080"/>
        </w:rPr>
        <w:t>ligamental</w:t>
      </w:r>
      <w:proofErr w:type="spellEnd"/>
      <w:r w:rsidR="00F73CA5" w:rsidRPr="00AF2874">
        <w:rPr>
          <w:color w:val="000080"/>
        </w:rPr>
        <w:t xml:space="preserve"> injury to the right ankle in 1994 during a parachute landing, and reinjured it with an associated fibula stress fracture the same year.  The ankle continued to remain unstable, requiring a brace for stressful activities, and he developed </w:t>
      </w:r>
      <w:r w:rsidR="00860FD5" w:rsidRPr="00AF2874">
        <w:rPr>
          <w:color w:val="000080"/>
        </w:rPr>
        <w:t>frequent sprain-type injuries of the left ankle as well.  Surgical reconstruction (</w:t>
      </w:r>
      <w:proofErr w:type="spellStart"/>
      <w:r w:rsidR="00860FD5" w:rsidRPr="00AF2874">
        <w:rPr>
          <w:color w:val="000080"/>
        </w:rPr>
        <w:t>Broström</w:t>
      </w:r>
      <w:proofErr w:type="spellEnd"/>
      <w:r w:rsidR="00860FD5" w:rsidRPr="00AF2874">
        <w:rPr>
          <w:color w:val="000080"/>
        </w:rPr>
        <w:t xml:space="preserve"> procedure) was performed on the right ankle in 1997, but results were unsatisfactory.  He transferred from Infantry to Signal Corps in order to tolerate continued active duty, but remained profiled</w:t>
      </w:r>
      <w:r w:rsidR="00582115" w:rsidRPr="00AF2874">
        <w:rPr>
          <w:color w:val="000080"/>
        </w:rPr>
        <w:t xml:space="preserve">.  He required bilateral braces and </w:t>
      </w:r>
      <w:r w:rsidR="00860FD5" w:rsidRPr="00AF2874">
        <w:rPr>
          <w:color w:val="000080"/>
        </w:rPr>
        <w:t xml:space="preserve">was unable to meet even the basic physical requirements for an Army Officer.  He </w:t>
      </w:r>
      <w:r w:rsidR="00A85F35" w:rsidRPr="00AF2874">
        <w:rPr>
          <w:color w:val="000080"/>
        </w:rPr>
        <w:t xml:space="preserve">was not a candidate for further surgery and </w:t>
      </w:r>
      <w:r w:rsidR="002B3106">
        <w:rPr>
          <w:color w:val="000080"/>
        </w:rPr>
        <w:t xml:space="preserve">was </w:t>
      </w:r>
      <w:r w:rsidR="00A85F35" w:rsidRPr="00AF2874">
        <w:rPr>
          <w:color w:val="000080"/>
        </w:rPr>
        <w:t xml:space="preserve">maximized </w:t>
      </w:r>
      <w:r w:rsidR="002B3106">
        <w:rPr>
          <w:color w:val="000080"/>
        </w:rPr>
        <w:t>on</w:t>
      </w:r>
      <w:r w:rsidR="00A85F35" w:rsidRPr="00AF2874">
        <w:rPr>
          <w:color w:val="000080"/>
        </w:rPr>
        <w:t xml:space="preserve"> conservative </w:t>
      </w:r>
      <w:r w:rsidR="002B3106">
        <w:rPr>
          <w:color w:val="000080"/>
        </w:rPr>
        <w:t>treatment</w:t>
      </w:r>
      <w:r w:rsidR="00A85F35" w:rsidRPr="00AF2874">
        <w:rPr>
          <w:color w:val="000080"/>
        </w:rPr>
        <w:t xml:space="preserve">.  He </w:t>
      </w:r>
      <w:r w:rsidR="00860FD5" w:rsidRPr="00AF2874">
        <w:rPr>
          <w:color w:val="000080"/>
        </w:rPr>
        <w:t>underwent a</w:t>
      </w:r>
      <w:r w:rsidR="00E456E6">
        <w:rPr>
          <w:color w:val="000080"/>
        </w:rPr>
        <w:t>n</w:t>
      </w:r>
      <w:r w:rsidR="00860FD5" w:rsidRPr="00AF2874">
        <w:rPr>
          <w:color w:val="000080"/>
        </w:rPr>
        <w:t xml:space="preserve"> </w:t>
      </w:r>
      <w:r w:rsidR="00582115" w:rsidRPr="00AF2874">
        <w:rPr>
          <w:color w:val="000080"/>
        </w:rPr>
        <w:t xml:space="preserve">MEB and both ankle conditions were forwarded to the PEB as medically unacceptable.  There were no other conditions </w:t>
      </w:r>
      <w:r w:rsidR="002B3106">
        <w:rPr>
          <w:color w:val="000080"/>
        </w:rPr>
        <w:t>entered</w:t>
      </w:r>
      <w:r w:rsidR="00582115" w:rsidRPr="00AF2874">
        <w:rPr>
          <w:color w:val="000080"/>
        </w:rPr>
        <w:t xml:space="preserve"> on the MEB’s DA 3947.  </w:t>
      </w:r>
      <w:r w:rsidR="00F92967" w:rsidRPr="00AF2874">
        <w:rPr>
          <w:color w:val="000080"/>
        </w:rPr>
        <w:t>He was found unfit for both ankles and adjudicated at a 30% rating by the informal PEB, as reflected in the chart below.  This was revised to 20% upon USAPDA review and the CI was separated at that rating.</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AF2874" w:rsidRDefault="002C6E5B" w:rsidP="00AF2874">
      <w:pPr>
        <w:tabs>
          <w:tab w:val="left" w:pos="288"/>
          <w:tab w:val="left" w:pos="4752"/>
        </w:tabs>
        <w:spacing w:line="240" w:lineRule="exact"/>
        <w:jc w:val="both"/>
        <w:rPr>
          <w:color w:val="000080"/>
        </w:rPr>
      </w:pPr>
      <w:r w:rsidRPr="00AF2874">
        <w:rPr>
          <w:color w:val="000080"/>
          <w:u w:val="single"/>
        </w:rPr>
        <w:t>CI CONTENTION</w:t>
      </w:r>
      <w:r w:rsidRPr="00AF2874">
        <w:rPr>
          <w:color w:val="000080"/>
        </w:rPr>
        <w:t>:  The CI states</w:t>
      </w:r>
      <w:r w:rsidR="00F92967" w:rsidRPr="00AF2874">
        <w:rPr>
          <w:color w:val="000080"/>
        </w:rPr>
        <w:t xml:space="preserve"> that he was notified of the rating change, but interpreted the wording </w:t>
      </w:r>
      <w:r w:rsidR="00EE49EF" w:rsidRPr="00AF2874">
        <w:rPr>
          <w:color w:val="000080"/>
        </w:rPr>
        <w:t xml:space="preserve">to mean </w:t>
      </w:r>
      <w:r w:rsidR="00D14A2C" w:rsidRPr="00AF2874">
        <w:rPr>
          <w:color w:val="000080"/>
        </w:rPr>
        <w:t xml:space="preserve">that </w:t>
      </w:r>
      <w:r w:rsidR="00EE49EF" w:rsidRPr="00AF2874">
        <w:rPr>
          <w:color w:val="000080"/>
        </w:rPr>
        <w:t xml:space="preserve">he was still being retired.  He </w:t>
      </w:r>
      <w:r w:rsidR="00754107" w:rsidRPr="00AF2874">
        <w:rPr>
          <w:color w:val="000080"/>
        </w:rPr>
        <w:t xml:space="preserve">had out-processed and re-located his family by the time he realized that he was being separated with severance pay.  He contends for a 30% rating as per the original </w:t>
      </w:r>
      <w:proofErr w:type="gramStart"/>
      <w:r w:rsidR="00754107" w:rsidRPr="00AF2874">
        <w:rPr>
          <w:color w:val="000080"/>
        </w:rPr>
        <w:t>PEB and the VA.</w:t>
      </w:r>
      <w:proofErr w:type="gramEnd"/>
      <w:r w:rsidR="00754107" w:rsidRPr="00AF2874">
        <w:rPr>
          <w:color w:val="000080"/>
        </w:rPr>
        <w:t xml:space="preserve">  He further states that the PEB did not consider </w:t>
      </w:r>
      <w:r w:rsidR="005941F8">
        <w:rPr>
          <w:color w:val="000080"/>
        </w:rPr>
        <w:t xml:space="preserve">his </w:t>
      </w:r>
      <w:r w:rsidR="00754107" w:rsidRPr="00AF2874">
        <w:rPr>
          <w:color w:val="000080"/>
        </w:rPr>
        <w:t>other conditions.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F73CA5" w:rsidRPr="00AF2874" w:rsidRDefault="00F73CA5" w:rsidP="00F73CA5">
      <w:pPr>
        <w:tabs>
          <w:tab w:val="left" w:pos="288"/>
          <w:tab w:val="left" w:pos="4752"/>
        </w:tabs>
        <w:spacing w:line="240" w:lineRule="exact"/>
        <w:jc w:val="both"/>
        <w:rPr>
          <w:color w:val="000080"/>
        </w:rPr>
      </w:pPr>
      <w:r w:rsidRPr="00AF2874">
        <w:rPr>
          <w:color w:val="000080"/>
          <w:u w:val="single"/>
        </w:rPr>
        <w:t>RATING COMPARISON</w:t>
      </w:r>
      <w:r w:rsidRPr="00AF2874">
        <w:rPr>
          <w:color w:val="000080"/>
        </w:rPr>
        <w:t>:</w:t>
      </w:r>
    </w:p>
    <w:p w:rsidR="00F73CA5" w:rsidRDefault="00F73CA5" w:rsidP="00F73CA5">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430"/>
        <w:gridCol w:w="810"/>
        <w:gridCol w:w="810"/>
        <w:gridCol w:w="990"/>
        <w:gridCol w:w="2250"/>
        <w:gridCol w:w="810"/>
        <w:gridCol w:w="810"/>
        <w:gridCol w:w="1170"/>
        <w:gridCol w:w="1170"/>
      </w:tblGrid>
      <w:tr w:rsidR="00F73CA5" w:rsidTr="00F73CA5">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rPr>
            </w:pPr>
            <w:r>
              <w:rPr>
                <w:rFonts w:cs="Times New Roman"/>
                <w:b/>
              </w:rPr>
              <w:t>Service PEB</w:t>
            </w:r>
          </w:p>
        </w:tc>
        <w:tc>
          <w:tcPr>
            <w:tcW w:w="62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rPr>
            </w:pPr>
            <w:r>
              <w:rPr>
                <w:rFonts w:cs="Times New Roman"/>
                <w:b/>
              </w:rPr>
              <w:t>VA ( Pre-Separation)</w:t>
            </w:r>
          </w:p>
        </w:tc>
      </w:tr>
      <w:tr w:rsidR="00F73CA5" w:rsidTr="00F73CA5">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sz w:val="20"/>
                <w:szCs w:val="20"/>
              </w:rPr>
            </w:pPr>
            <w:r>
              <w:rPr>
                <w:rFonts w:cs="Times New Roman"/>
                <w:b/>
                <w:sz w:val="20"/>
                <w:szCs w:val="20"/>
              </w:rPr>
              <w:t>Effective</w:t>
            </w:r>
          </w:p>
        </w:tc>
      </w:tr>
      <w:tr w:rsidR="00F73CA5" w:rsidTr="005941F8">
        <w:trPr>
          <w:trHeight w:val="510"/>
        </w:trPr>
        <w:tc>
          <w:tcPr>
            <w:tcW w:w="2430" w:type="dxa"/>
            <w:tcBorders>
              <w:top w:val="single" w:sz="4" w:space="0" w:color="000000" w:themeColor="text1"/>
              <w:left w:val="single" w:sz="4" w:space="0" w:color="auto"/>
              <w:bottom w:val="dashed" w:sz="4" w:space="0" w:color="auto"/>
              <w:right w:val="single" w:sz="4" w:space="0" w:color="000000" w:themeColor="text1"/>
            </w:tcBorders>
            <w:shd w:val="clear" w:color="auto" w:fill="FFFFFF" w:themeFill="background1"/>
            <w:hideMark/>
          </w:tcPr>
          <w:p w:rsidR="00F73CA5" w:rsidRDefault="00F73CA5">
            <w:pPr>
              <w:pStyle w:val="ListParagraph"/>
              <w:spacing w:after="0" w:line="240" w:lineRule="auto"/>
              <w:ind w:left="0"/>
              <w:rPr>
                <w:rFonts w:cs="Times New Roman"/>
                <w:sz w:val="20"/>
                <w:szCs w:val="20"/>
              </w:rPr>
            </w:pPr>
            <w:r>
              <w:rPr>
                <w:rFonts w:cs="Times New Roman"/>
                <w:sz w:val="20"/>
                <w:szCs w:val="20"/>
              </w:rPr>
              <w:t xml:space="preserve">Unfit, Pain In Both Ankles, Right …worse than…Left </w:t>
            </w:r>
          </w:p>
        </w:tc>
        <w:tc>
          <w:tcPr>
            <w:tcW w:w="810" w:type="dxa"/>
            <w:tcBorders>
              <w:top w:val="single" w:sz="4" w:space="0" w:color="000000" w:themeColor="text1"/>
              <w:left w:val="single" w:sz="4" w:space="0" w:color="000000" w:themeColor="text1"/>
              <w:bottom w:val="dashed" w:sz="4" w:space="0" w:color="auto"/>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5099 5003</w:t>
            </w:r>
          </w:p>
        </w:tc>
        <w:tc>
          <w:tcPr>
            <w:tcW w:w="810" w:type="dxa"/>
            <w:tcBorders>
              <w:top w:val="single" w:sz="4" w:space="0" w:color="000000" w:themeColor="text1"/>
              <w:left w:val="single" w:sz="4" w:space="0" w:color="000000" w:themeColor="text1"/>
              <w:bottom w:val="dashed" w:sz="4" w:space="0" w:color="auto"/>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w:t>
            </w:r>
          </w:p>
        </w:tc>
        <w:tc>
          <w:tcPr>
            <w:tcW w:w="990" w:type="dxa"/>
            <w:tcBorders>
              <w:top w:val="single" w:sz="4" w:space="0" w:color="000000" w:themeColor="text1"/>
              <w:left w:val="single" w:sz="4" w:space="0" w:color="000000" w:themeColor="text1"/>
              <w:bottom w:val="dashed" w:sz="4" w:space="0" w:color="auto"/>
              <w:right w:val="thinThickThinSmallGap" w:sz="24" w:space="0" w:color="auto"/>
            </w:tcBorders>
            <w:shd w:val="clear" w:color="auto" w:fill="FFFFFF" w:themeFill="background1"/>
            <w:hideMark/>
          </w:tcPr>
          <w:p w:rsidR="00F73CA5" w:rsidRDefault="00F73CA5">
            <w:pPr>
              <w:pStyle w:val="ListParagraph"/>
              <w:spacing w:after="0" w:line="240" w:lineRule="auto"/>
              <w:ind w:left="0"/>
              <w:rPr>
                <w:rFonts w:cs="Times New Roman"/>
                <w:sz w:val="18"/>
                <w:szCs w:val="18"/>
              </w:rPr>
            </w:pPr>
            <w:r>
              <w:rPr>
                <w:rFonts w:cs="Times New Roman"/>
                <w:sz w:val="18"/>
                <w:szCs w:val="18"/>
              </w:rPr>
              <w:t>20020403</w:t>
            </w:r>
          </w:p>
        </w:tc>
        <w:tc>
          <w:tcPr>
            <w:tcW w:w="2250" w:type="dxa"/>
            <w:vMerge w:val="restar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autoSpaceDE w:val="0"/>
              <w:autoSpaceDN w:val="0"/>
              <w:adjustRightInd w:val="0"/>
              <w:rPr>
                <w:rFonts w:cs="Times New Roman"/>
                <w:color w:val="auto"/>
                <w:sz w:val="20"/>
                <w:szCs w:val="20"/>
              </w:rPr>
            </w:pPr>
            <w:proofErr w:type="spellStart"/>
            <w:r>
              <w:rPr>
                <w:rFonts w:eastAsiaTheme="minorEastAsia"/>
                <w:color w:val="auto"/>
                <w:sz w:val="20"/>
                <w:szCs w:val="20"/>
              </w:rPr>
              <w:t>Ligamentous</w:t>
            </w:r>
            <w:proofErr w:type="spellEnd"/>
            <w:r>
              <w:rPr>
                <w:rFonts w:eastAsiaTheme="minorEastAsia"/>
                <w:color w:val="auto"/>
                <w:sz w:val="20"/>
                <w:szCs w:val="20"/>
              </w:rPr>
              <w:t xml:space="preserve"> Laxity with Degenerative Changes, Right </w:t>
            </w:r>
            <w:r>
              <w:rPr>
                <w:rFonts w:eastAsiaTheme="minorEastAsia" w:cs="Times New Roman"/>
                <w:color w:val="auto"/>
                <w:sz w:val="20"/>
                <w:szCs w:val="20"/>
              </w:rPr>
              <w:t>Ankle</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5271</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20020205</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20020501</w:t>
            </w:r>
          </w:p>
        </w:tc>
      </w:tr>
      <w:tr w:rsidR="00F73CA5" w:rsidTr="005941F8">
        <w:trPr>
          <w:trHeight w:val="281"/>
        </w:trPr>
        <w:tc>
          <w:tcPr>
            <w:tcW w:w="2430" w:type="dxa"/>
            <w:vMerge w:val="restart"/>
            <w:tcBorders>
              <w:top w:val="dashed" w:sz="4" w:space="0" w:color="auto"/>
              <w:left w:val="single" w:sz="4" w:space="0" w:color="auto"/>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rPr>
                <w:rFonts w:cs="Times New Roman"/>
                <w:sz w:val="20"/>
                <w:szCs w:val="20"/>
              </w:rPr>
            </w:pPr>
            <w:r>
              <w:rPr>
                <w:rFonts w:cs="Times New Roman"/>
                <w:sz w:val="20"/>
                <w:szCs w:val="20"/>
              </w:rPr>
              <w:t xml:space="preserve">Above was USAPDA-revised from IPEB </w:t>
            </w:r>
          </w:p>
          <w:p w:rsidR="00F73CA5" w:rsidRDefault="00F73CA5">
            <w:pPr>
              <w:pStyle w:val="ListParagraph"/>
              <w:spacing w:after="0" w:line="240" w:lineRule="auto"/>
              <w:ind w:left="0"/>
              <w:rPr>
                <w:rFonts w:cs="Times New Roman"/>
                <w:sz w:val="20"/>
                <w:szCs w:val="20"/>
              </w:rPr>
            </w:pPr>
            <w:r>
              <w:rPr>
                <w:rFonts w:cs="Times New Roman"/>
                <w:sz w:val="20"/>
                <w:szCs w:val="20"/>
              </w:rPr>
              <w:t>(R 20%/L 10%) &gt;</w:t>
            </w:r>
          </w:p>
        </w:tc>
        <w:tc>
          <w:tcPr>
            <w:tcW w:w="810" w:type="dxa"/>
            <w:vMerge w:val="restart"/>
            <w:tcBorders>
              <w:top w:val="dash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5299-5262</w:t>
            </w:r>
          </w:p>
        </w:tc>
        <w:tc>
          <w:tcPr>
            <w:tcW w:w="810" w:type="dxa"/>
            <w:vMerge w:val="restart"/>
            <w:tcBorders>
              <w:top w:val="dash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30%</w:t>
            </w:r>
          </w:p>
        </w:tc>
        <w:tc>
          <w:tcPr>
            <w:tcW w:w="990" w:type="dxa"/>
            <w:vMerge w:val="restart"/>
            <w:tcBorders>
              <w:top w:val="dashed" w:sz="4" w:space="0" w:color="auto"/>
              <w:left w:val="single" w:sz="4" w:space="0" w:color="000000" w:themeColor="text1"/>
              <w:bottom w:val="single" w:sz="4" w:space="0" w:color="000000" w:themeColor="text1"/>
              <w:right w:val="thinThickThinSmallGap" w:sz="24" w:space="0" w:color="auto"/>
            </w:tcBorders>
            <w:shd w:val="clear" w:color="auto" w:fill="FFFFFF" w:themeFill="background1"/>
            <w:hideMark/>
          </w:tcPr>
          <w:p w:rsidR="00F73CA5" w:rsidRDefault="00F73CA5">
            <w:pPr>
              <w:pStyle w:val="ListParagraph"/>
              <w:spacing w:after="0" w:line="240" w:lineRule="auto"/>
              <w:ind w:left="0"/>
              <w:rPr>
                <w:rFonts w:cs="Times New Roman"/>
                <w:sz w:val="18"/>
                <w:szCs w:val="18"/>
              </w:rPr>
            </w:pPr>
            <w:r>
              <w:rPr>
                <w:rFonts w:cs="Times New Roman"/>
                <w:sz w:val="18"/>
                <w:szCs w:val="18"/>
              </w:rPr>
              <w:t>20020314</w:t>
            </w:r>
          </w:p>
        </w:tc>
        <w:tc>
          <w:tcPr>
            <w:tcW w:w="2250" w:type="dxa"/>
            <w:vMerge/>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vAlign w:val="center"/>
            <w:hideMark/>
          </w:tcPr>
          <w:p w:rsidR="00F73CA5" w:rsidRDefault="00F73CA5">
            <w:pPr>
              <w:rPr>
                <w:color w:val="auto"/>
                <w:sz w:val="20"/>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CA5" w:rsidRDefault="00F73CA5">
            <w:pPr>
              <w:rPr>
                <w:color w:val="auto"/>
                <w:sz w:val="18"/>
                <w:szCs w:val="18"/>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CA5" w:rsidRDefault="00F73CA5">
            <w:pPr>
              <w:rPr>
                <w:color w:val="auto"/>
                <w:sz w:val="18"/>
                <w:szCs w:val="18"/>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CA5" w:rsidRDefault="00F73CA5">
            <w:pPr>
              <w:rPr>
                <w:color w:val="auto"/>
                <w:sz w:val="18"/>
                <w:szCs w:val="18"/>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CA5" w:rsidRDefault="00F73CA5">
            <w:pPr>
              <w:rPr>
                <w:color w:val="auto"/>
                <w:sz w:val="18"/>
                <w:szCs w:val="18"/>
              </w:rPr>
            </w:pPr>
          </w:p>
        </w:tc>
      </w:tr>
      <w:tr w:rsidR="00F73CA5" w:rsidTr="005941F8">
        <w:trPr>
          <w:trHeight w:val="152"/>
        </w:trPr>
        <w:tc>
          <w:tcPr>
            <w:tcW w:w="243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F73CA5" w:rsidRDefault="00F73CA5">
            <w:pPr>
              <w:rPr>
                <w:color w:val="auto"/>
                <w:sz w:val="20"/>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CA5" w:rsidRDefault="00F73CA5">
            <w:pPr>
              <w:rPr>
                <w:color w:val="auto"/>
                <w:sz w:val="18"/>
                <w:szCs w:val="18"/>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CA5" w:rsidRDefault="00F73CA5">
            <w:pPr>
              <w:rPr>
                <w:color w:val="auto"/>
                <w:sz w:val="18"/>
                <w:szCs w:val="18"/>
              </w:rPr>
            </w:pPr>
          </w:p>
        </w:tc>
        <w:tc>
          <w:tcPr>
            <w:tcW w:w="990" w:type="dxa"/>
            <w:vMerge/>
            <w:tcBorders>
              <w:top w:val="single" w:sz="4" w:space="0" w:color="auto"/>
              <w:left w:val="single" w:sz="4" w:space="0" w:color="000000" w:themeColor="text1"/>
              <w:bottom w:val="single" w:sz="4" w:space="0" w:color="000000" w:themeColor="text1"/>
              <w:right w:val="thinThickThinSmallGap" w:sz="24" w:space="0" w:color="auto"/>
            </w:tcBorders>
            <w:vAlign w:val="center"/>
            <w:hideMark/>
          </w:tcPr>
          <w:p w:rsidR="00F73CA5" w:rsidRDefault="00F73CA5">
            <w:pPr>
              <w:rPr>
                <w:color w:val="auto"/>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rPr>
                <w:rFonts w:cs="Times New Roman"/>
                <w:sz w:val="20"/>
                <w:szCs w:val="20"/>
              </w:rPr>
            </w:pPr>
            <w:proofErr w:type="spellStart"/>
            <w:r>
              <w:rPr>
                <w:rFonts w:cs="Times New Roman"/>
                <w:sz w:val="20"/>
                <w:szCs w:val="20"/>
              </w:rPr>
              <w:t>Ligamentous</w:t>
            </w:r>
            <w:proofErr w:type="spellEnd"/>
            <w:r>
              <w:rPr>
                <w:rFonts w:cs="Times New Roman"/>
                <w:sz w:val="20"/>
                <w:szCs w:val="20"/>
              </w:rPr>
              <w:t xml:space="preserve"> Laxity, Left Ankle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20020205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20020501</w:t>
            </w:r>
          </w:p>
        </w:tc>
      </w:tr>
      <w:tr w:rsidR="00F73CA5" w:rsidTr="00F73CA5">
        <w:trPr>
          <w:trHeight w:val="125"/>
        </w:trPr>
        <w:tc>
          <w:tcPr>
            <w:tcW w:w="4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eastAsiaTheme="minorEastAsia"/>
                <w:sz w:val="18"/>
                <w:szCs w:val="18"/>
              </w:rPr>
              <w:t>No Additional 3947 Entries.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b/>
                <w:sz w:val="20"/>
                <w:szCs w:val="20"/>
              </w:rPr>
            </w:pPr>
            <w:r>
              <w:rPr>
                <w:rFonts w:cs="Times New Roman"/>
                <w:sz w:val="18"/>
                <w:szCs w:val="18"/>
              </w:rPr>
              <w:t>20020314</w:t>
            </w:r>
          </w:p>
        </w:tc>
        <w:tc>
          <w:tcPr>
            <w:tcW w:w="387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Non-PEB  X 1 / NSC X 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20020205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3CA5" w:rsidRDefault="00F73CA5">
            <w:pPr>
              <w:pStyle w:val="ListParagraph"/>
              <w:spacing w:after="0" w:line="240" w:lineRule="auto"/>
              <w:ind w:left="0"/>
              <w:jc w:val="center"/>
              <w:rPr>
                <w:rFonts w:cs="Times New Roman"/>
                <w:sz w:val="18"/>
                <w:szCs w:val="18"/>
              </w:rPr>
            </w:pPr>
            <w:r>
              <w:rPr>
                <w:rFonts w:cs="Times New Roman"/>
                <w:sz w:val="18"/>
                <w:szCs w:val="18"/>
              </w:rPr>
              <w:t>20020501</w:t>
            </w:r>
          </w:p>
        </w:tc>
      </w:tr>
      <w:tr w:rsidR="00F73CA5" w:rsidTr="00F73CA5">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rPr>
            </w:pPr>
            <w:r>
              <w:rPr>
                <w:rFonts w:cs="Times New Roman"/>
                <w:b/>
              </w:rPr>
              <w:t>TOTAL Combined:  20%</w:t>
            </w:r>
          </w:p>
        </w:tc>
        <w:tc>
          <w:tcPr>
            <w:tcW w:w="62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3CA5" w:rsidRDefault="00F73CA5">
            <w:pPr>
              <w:pStyle w:val="ListParagraph"/>
              <w:spacing w:after="0" w:line="240" w:lineRule="auto"/>
              <w:ind w:left="0"/>
              <w:jc w:val="center"/>
              <w:rPr>
                <w:rFonts w:cs="Times New Roman"/>
                <w:b/>
              </w:rPr>
            </w:pPr>
            <w:r>
              <w:rPr>
                <w:rFonts w:cs="Times New Roman"/>
                <w:b/>
              </w:rPr>
              <w:t>TOTAL Combined (</w:t>
            </w:r>
            <w:r>
              <w:rPr>
                <w:rFonts w:cs="Times New Roman"/>
                <w:b/>
                <w:i/>
                <w:sz w:val="20"/>
                <w:szCs w:val="20"/>
              </w:rPr>
              <w:t>Includes Non-PEB Conditions</w:t>
            </w:r>
            <w:r>
              <w:rPr>
                <w:rFonts w:cs="Times New Roman"/>
                <w:b/>
              </w:rPr>
              <w:t xml:space="preserve">):    30%                                                                         </w:t>
            </w:r>
            <w:r>
              <w:rPr>
                <w:rFonts w:cs="Times New Roman"/>
                <w:color w:val="000000"/>
                <w:sz w:val="21"/>
                <w:szCs w:val="24"/>
              </w:rPr>
              <w:t xml:space="preserve"> </w:t>
            </w:r>
          </w:p>
        </w:tc>
      </w:tr>
    </w:tbl>
    <w:p w:rsidR="005941F8" w:rsidRPr="00D91DA6" w:rsidRDefault="005941F8" w:rsidP="005941F8">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2C6E5B" w:rsidRPr="00AF2874" w:rsidRDefault="002C6E5B" w:rsidP="002C6E5B">
      <w:pPr>
        <w:tabs>
          <w:tab w:val="left" w:pos="288"/>
          <w:tab w:val="left" w:pos="4752"/>
        </w:tabs>
        <w:spacing w:line="240" w:lineRule="exact"/>
        <w:jc w:val="both"/>
        <w:rPr>
          <w:color w:val="000080"/>
        </w:rPr>
      </w:pPr>
      <w:r w:rsidRPr="00AF2874">
        <w:rPr>
          <w:color w:val="000080"/>
          <w:u w:val="single"/>
        </w:rPr>
        <w:lastRenderedPageBreak/>
        <w:t>ANALYSIS SUMMARY</w:t>
      </w:r>
      <w:r w:rsidRPr="00AF2874">
        <w:rPr>
          <w:color w:val="000080"/>
        </w:rPr>
        <w:t>:</w:t>
      </w:r>
    </w:p>
    <w:p w:rsidR="002C6E5B" w:rsidRPr="00AF2874" w:rsidRDefault="002C6E5B" w:rsidP="002C6E5B">
      <w:pPr>
        <w:tabs>
          <w:tab w:val="left" w:pos="288"/>
          <w:tab w:val="left" w:pos="4752"/>
        </w:tabs>
        <w:spacing w:line="240" w:lineRule="exact"/>
        <w:jc w:val="both"/>
        <w:rPr>
          <w:color w:val="000080"/>
        </w:rPr>
      </w:pPr>
    </w:p>
    <w:p w:rsidR="002C6E5B" w:rsidRPr="00AF2874" w:rsidRDefault="00FD4D28" w:rsidP="00AF2874">
      <w:pPr>
        <w:tabs>
          <w:tab w:val="left" w:pos="288"/>
          <w:tab w:val="left" w:pos="4752"/>
        </w:tabs>
        <w:spacing w:line="240" w:lineRule="exact"/>
        <w:jc w:val="both"/>
        <w:rPr>
          <w:color w:val="000080"/>
        </w:rPr>
      </w:pPr>
      <w:proofErr w:type="gramStart"/>
      <w:r w:rsidRPr="00AF2874">
        <w:rPr>
          <w:color w:val="000080"/>
          <w:u w:val="single"/>
        </w:rPr>
        <w:t>Ankle</w:t>
      </w:r>
      <w:r w:rsidR="002C6E5B" w:rsidRPr="00AF2874">
        <w:rPr>
          <w:color w:val="000080"/>
          <w:u w:val="single"/>
        </w:rPr>
        <w:t xml:space="preserve"> Condition</w:t>
      </w:r>
      <w:r w:rsidRPr="00AF2874">
        <w:rPr>
          <w:color w:val="000080"/>
          <w:u w:val="single"/>
        </w:rPr>
        <w:t>s</w:t>
      </w:r>
      <w:r w:rsidR="002C6E5B" w:rsidRPr="00AF2874">
        <w:rPr>
          <w:color w:val="000080"/>
        </w:rPr>
        <w:t>.</w:t>
      </w:r>
      <w:proofErr w:type="gramEnd"/>
      <w:r w:rsidR="002C6E5B" w:rsidRPr="00AF2874">
        <w:rPr>
          <w:color w:val="000080"/>
        </w:rPr>
        <w:t xml:space="preserve">  The</w:t>
      </w:r>
      <w:r w:rsidRPr="00AF2874">
        <w:rPr>
          <w:color w:val="000080"/>
        </w:rPr>
        <w:t xml:space="preserve"> degree of the CI’s impairment was considerable as documented </w:t>
      </w:r>
      <w:r w:rsidR="00E862EC" w:rsidRPr="00AF2874">
        <w:rPr>
          <w:color w:val="000080"/>
        </w:rPr>
        <w:t xml:space="preserve">in detail by the NARSUM and </w:t>
      </w:r>
      <w:r w:rsidR="00D87092" w:rsidRPr="00AF2874">
        <w:rPr>
          <w:color w:val="000080"/>
        </w:rPr>
        <w:t xml:space="preserve">in </w:t>
      </w:r>
      <w:r w:rsidR="00E862EC" w:rsidRPr="00AF2874">
        <w:rPr>
          <w:color w:val="000080"/>
        </w:rPr>
        <w:t xml:space="preserve">two thorough Commander’s statements.  </w:t>
      </w:r>
      <w:r w:rsidR="00D87092" w:rsidRPr="00AF2874">
        <w:rPr>
          <w:color w:val="000080"/>
        </w:rPr>
        <w:t>Limitations</w:t>
      </w:r>
      <w:r w:rsidR="00E862EC" w:rsidRPr="00AF2874">
        <w:rPr>
          <w:color w:val="000080"/>
        </w:rPr>
        <w:t xml:space="preserve"> exceeded just the more strenuous demands of the APFT and basic soldiering requirements; </w:t>
      </w:r>
      <w:r w:rsidR="00D87092" w:rsidRPr="00AF2874">
        <w:rPr>
          <w:color w:val="000080"/>
        </w:rPr>
        <w:t>they</w:t>
      </w:r>
      <w:r w:rsidR="00E862EC" w:rsidRPr="00AF2874">
        <w:rPr>
          <w:color w:val="000080"/>
        </w:rPr>
        <w:t xml:space="preserve"> impeded routine activities.  He was fitted for bilateral ankle braces for </w:t>
      </w:r>
      <w:r w:rsidR="00A85F35" w:rsidRPr="00AF2874">
        <w:rPr>
          <w:color w:val="000080"/>
        </w:rPr>
        <w:t>daily</w:t>
      </w:r>
      <w:r w:rsidR="00E862EC" w:rsidRPr="00AF2874">
        <w:rPr>
          <w:color w:val="000080"/>
        </w:rPr>
        <w:t xml:space="preserve"> use.  He slept in air splints and required cold packs every night.  He walked with a noticeable limp per both Commanders (unit CO and the Major General for whom he was an Aide).  </w:t>
      </w:r>
      <w:r w:rsidR="002F68AD" w:rsidRPr="00AF2874">
        <w:rPr>
          <w:color w:val="000080"/>
        </w:rPr>
        <w:t xml:space="preserve">He required stand-ins for ceremonies, briefings, </w:t>
      </w:r>
      <w:r w:rsidR="003F024D" w:rsidRPr="00AF2874">
        <w:rPr>
          <w:color w:val="000080"/>
        </w:rPr>
        <w:t xml:space="preserve">travel, </w:t>
      </w:r>
      <w:r w:rsidR="002F68AD" w:rsidRPr="00AF2874">
        <w:rPr>
          <w:color w:val="000080"/>
        </w:rPr>
        <w:t>etc.</w:t>
      </w:r>
      <w:r w:rsidR="003F024D" w:rsidRPr="00AF2874">
        <w:rPr>
          <w:color w:val="000080"/>
        </w:rPr>
        <w:t xml:space="preserve">, and could not keep pace with others when walking.  The NARSUM noted difficulty driving, inability to negotiate stairs, and being able to walk on paved flat surfaces only (stating ‘walks as little as possible’).  These impairments were also mirrored in the pre-separation VA rating examination.  Physical examinations by the Army orthopedist and VA examiner were similar.  </w:t>
      </w:r>
      <w:r w:rsidR="003425B4" w:rsidRPr="00AF2874">
        <w:rPr>
          <w:color w:val="000080"/>
        </w:rPr>
        <w:t xml:space="preserve">Both noted gait disturbance.  </w:t>
      </w:r>
      <w:r w:rsidR="00535F2C" w:rsidRPr="00AF2874">
        <w:rPr>
          <w:color w:val="000080"/>
        </w:rPr>
        <w:t xml:space="preserve">Both noted edema and pronounced tenderness (more severe on the right).  </w:t>
      </w:r>
      <w:r w:rsidR="003F024D" w:rsidRPr="00AF2874">
        <w:rPr>
          <w:color w:val="000080"/>
        </w:rPr>
        <w:t xml:space="preserve">Significant </w:t>
      </w:r>
      <w:proofErr w:type="spellStart"/>
      <w:r w:rsidR="003F024D" w:rsidRPr="00AF2874">
        <w:rPr>
          <w:color w:val="000080"/>
        </w:rPr>
        <w:t>ligamental</w:t>
      </w:r>
      <w:proofErr w:type="spellEnd"/>
      <w:r w:rsidR="003F024D" w:rsidRPr="00AF2874">
        <w:rPr>
          <w:color w:val="000080"/>
        </w:rPr>
        <w:t xml:space="preserve"> instability </w:t>
      </w:r>
      <w:r w:rsidR="003425B4" w:rsidRPr="00AF2874">
        <w:rPr>
          <w:color w:val="000080"/>
        </w:rPr>
        <w:t>(</w:t>
      </w:r>
      <w:r w:rsidR="00D87092" w:rsidRPr="00AF2874">
        <w:rPr>
          <w:color w:val="000080"/>
        </w:rPr>
        <w:t xml:space="preserve">including a </w:t>
      </w:r>
      <w:r w:rsidR="003425B4" w:rsidRPr="00AF2874">
        <w:rPr>
          <w:color w:val="000080"/>
        </w:rPr>
        <w:t xml:space="preserve">positive anterior drawer sign) was documented for the right ankle.  The NARSUM described it as ‘biomechanically functionally unstable’.  </w:t>
      </w:r>
      <w:r w:rsidR="00F07B65" w:rsidRPr="00AF2874">
        <w:rPr>
          <w:color w:val="000080"/>
        </w:rPr>
        <w:t>The VA examiner used subjective symptoms, not physical findings, to arrive at the ‘</w:t>
      </w:r>
      <w:proofErr w:type="spellStart"/>
      <w:r w:rsidR="00F07B65" w:rsidRPr="00AF2874">
        <w:rPr>
          <w:color w:val="000080"/>
        </w:rPr>
        <w:t>ligamentous</w:t>
      </w:r>
      <w:proofErr w:type="spellEnd"/>
      <w:r w:rsidR="00F07B65" w:rsidRPr="00AF2874">
        <w:rPr>
          <w:color w:val="000080"/>
        </w:rPr>
        <w:t xml:space="preserve"> laxity’ diagnosis for the left ankle.  </w:t>
      </w:r>
      <w:r w:rsidR="003425B4" w:rsidRPr="00AF2874">
        <w:rPr>
          <w:color w:val="000080"/>
        </w:rPr>
        <w:t>Range of motion (ROM) was as follows:</w:t>
      </w:r>
    </w:p>
    <w:p w:rsidR="003425B4" w:rsidRDefault="003425B4" w:rsidP="002C6E5B">
      <w:pPr>
        <w:tabs>
          <w:tab w:val="left" w:pos="288"/>
          <w:tab w:val="left" w:pos="4752"/>
        </w:tabs>
        <w:spacing w:line="240" w:lineRule="exact"/>
        <w:rPr>
          <w:rFonts w:asciiTheme="minorHAnsi" w:hAnsiTheme="minorHAnsi"/>
          <w:color w:val="auto"/>
          <w:szCs w:val="24"/>
        </w:rPr>
      </w:pPr>
    </w:p>
    <w:tbl>
      <w:tblPr>
        <w:tblStyle w:val="TableGrid"/>
        <w:tblW w:w="0" w:type="auto"/>
        <w:tblInd w:w="2025" w:type="dxa"/>
        <w:tblLayout w:type="fixed"/>
        <w:tblLook w:val="04A0"/>
      </w:tblPr>
      <w:tblGrid>
        <w:gridCol w:w="3438"/>
        <w:gridCol w:w="920"/>
        <w:gridCol w:w="970"/>
      </w:tblGrid>
      <w:tr w:rsidR="00E81F9B" w:rsidTr="00535F2C">
        <w:tc>
          <w:tcPr>
            <w:tcW w:w="3438" w:type="dxa"/>
            <w:shd w:val="clear" w:color="auto" w:fill="C6D9F1" w:themeFill="text2" w:themeFillTint="33"/>
          </w:tcPr>
          <w:p w:rsidR="00E81F9B" w:rsidRPr="003425B4" w:rsidRDefault="00E81F9B" w:rsidP="00535F2C">
            <w:pPr>
              <w:tabs>
                <w:tab w:val="left" w:pos="288"/>
                <w:tab w:val="left" w:pos="4752"/>
              </w:tabs>
              <w:spacing w:line="240" w:lineRule="exact"/>
              <w:jc w:val="center"/>
              <w:rPr>
                <w:color w:val="auto"/>
                <w:szCs w:val="24"/>
              </w:rPr>
            </w:pPr>
            <w:r>
              <w:rPr>
                <w:color w:val="auto"/>
                <w:szCs w:val="24"/>
              </w:rPr>
              <w:t xml:space="preserve">Normal = 20⁰ </w:t>
            </w:r>
            <w:r w:rsidR="00535F2C">
              <w:rPr>
                <w:color w:val="auto"/>
                <w:szCs w:val="24"/>
              </w:rPr>
              <w:t>Flexion</w:t>
            </w:r>
            <w:r>
              <w:rPr>
                <w:color w:val="auto"/>
                <w:szCs w:val="24"/>
              </w:rPr>
              <w:t xml:space="preserve">/45⁰ </w:t>
            </w:r>
            <w:r w:rsidR="00535F2C">
              <w:rPr>
                <w:color w:val="auto"/>
                <w:szCs w:val="24"/>
              </w:rPr>
              <w:t>Extension</w:t>
            </w:r>
          </w:p>
        </w:tc>
        <w:tc>
          <w:tcPr>
            <w:tcW w:w="920" w:type="dxa"/>
            <w:shd w:val="clear" w:color="auto" w:fill="C6D9F1" w:themeFill="text2" w:themeFillTint="33"/>
          </w:tcPr>
          <w:p w:rsidR="00E81F9B" w:rsidRPr="003425B4" w:rsidRDefault="00E81F9B" w:rsidP="00535F2C">
            <w:pPr>
              <w:tabs>
                <w:tab w:val="left" w:pos="288"/>
                <w:tab w:val="left" w:pos="4752"/>
              </w:tabs>
              <w:spacing w:line="240" w:lineRule="exact"/>
              <w:jc w:val="center"/>
              <w:rPr>
                <w:color w:val="auto"/>
                <w:szCs w:val="24"/>
              </w:rPr>
            </w:pPr>
            <w:r>
              <w:rPr>
                <w:color w:val="auto"/>
                <w:szCs w:val="24"/>
              </w:rPr>
              <w:t>MEB</w:t>
            </w:r>
          </w:p>
        </w:tc>
        <w:tc>
          <w:tcPr>
            <w:tcW w:w="970" w:type="dxa"/>
            <w:shd w:val="clear" w:color="auto" w:fill="C6D9F1" w:themeFill="text2" w:themeFillTint="33"/>
          </w:tcPr>
          <w:p w:rsidR="00E81F9B" w:rsidRPr="003425B4" w:rsidRDefault="00E81F9B" w:rsidP="00535F2C">
            <w:pPr>
              <w:tabs>
                <w:tab w:val="left" w:pos="288"/>
                <w:tab w:val="left" w:pos="4752"/>
              </w:tabs>
              <w:spacing w:line="240" w:lineRule="exact"/>
              <w:jc w:val="center"/>
              <w:rPr>
                <w:color w:val="auto"/>
                <w:szCs w:val="24"/>
              </w:rPr>
            </w:pPr>
            <w:r>
              <w:rPr>
                <w:color w:val="auto"/>
                <w:szCs w:val="24"/>
              </w:rPr>
              <w:t>VA</w:t>
            </w:r>
          </w:p>
        </w:tc>
      </w:tr>
      <w:tr w:rsidR="00E81F9B" w:rsidTr="00535F2C">
        <w:tc>
          <w:tcPr>
            <w:tcW w:w="3438" w:type="dxa"/>
          </w:tcPr>
          <w:p w:rsidR="00E81F9B" w:rsidRPr="003425B4" w:rsidRDefault="00E81F9B" w:rsidP="00535F2C">
            <w:pPr>
              <w:tabs>
                <w:tab w:val="left" w:pos="288"/>
                <w:tab w:val="left" w:pos="4752"/>
              </w:tabs>
              <w:spacing w:line="240" w:lineRule="exact"/>
              <w:jc w:val="center"/>
              <w:rPr>
                <w:color w:val="auto"/>
                <w:szCs w:val="24"/>
              </w:rPr>
            </w:pPr>
            <w:r>
              <w:rPr>
                <w:color w:val="auto"/>
                <w:szCs w:val="24"/>
              </w:rPr>
              <w:t xml:space="preserve">R Ankle </w:t>
            </w:r>
            <w:r w:rsidR="00535F2C">
              <w:rPr>
                <w:color w:val="auto"/>
                <w:szCs w:val="24"/>
              </w:rPr>
              <w:t>Flexion/Extension</w:t>
            </w:r>
          </w:p>
        </w:tc>
        <w:tc>
          <w:tcPr>
            <w:tcW w:w="920" w:type="dxa"/>
          </w:tcPr>
          <w:p w:rsidR="00E81F9B" w:rsidRPr="003425B4" w:rsidRDefault="00E81F9B" w:rsidP="00535F2C">
            <w:pPr>
              <w:tabs>
                <w:tab w:val="left" w:pos="288"/>
                <w:tab w:val="left" w:pos="4752"/>
              </w:tabs>
              <w:spacing w:line="240" w:lineRule="exact"/>
              <w:jc w:val="center"/>
              <w:rPr>
                <w:color w:val="auto"/>
                <w:szCs w:val="24"/>
              </w:rPr>
            </w:pPr>
            <w:r>
              <w:rPr>
                <w:color w:val="auto"/>
                <w:szCs w:val="24"/>
              </w:rPr>
              <w:t>10⁰/25⁰</w:t>
            </w:r>
          </w:p>
        </w:tc>
        <w:tc>
          <w:tcPr>
            <w:tcW w:w="970" w:type="dxa"/>
          </w:tcPr>
          <w:p w:rsidR="00E81F9B" w:rsidRPr="003425B4" w:rsidRDefault="00535F2C" w:rsidP="00535F2C">
            <w:pPr>
              <w:tabs>
                <w:tab w:val="left" w:pos="288"/>
                <w:tab w:val="left" w:pos="4752"/>
              </w:tabs>
              <w:spacing w:line="240" w:lineRule="exact"/>
              <w:jc w:val="center"/>
              <w:rPr>
                <w:color w:val="auto"/>
                <w:szCs w:val="24"/>
              </w:rPr>
            </w:pPr>
            <w:r>
              <w:rPr>
                <w:color w:val="auto"/>
                <w:szCs w:val="24"/>
              </w:rPr>
              <w:t>10</w:t>
            </w:r>
            <w:r w:rsidR="00E81F9B">
              <w:rPr>
                <w:color w:val="auto"/>
                <w:szCs w:val="24"/>
              </w:rPr>
              <w:t>⁰/</w:t>
            </w:r>
            <w:r>
              <w:rPr>
                <w:color w:val="auto"/>
                <w:szCs w:val="24"/>
              </w:rPr>
              <w:t>30</w:t>
            </w:r>
            <w:r w:rsidR="00E81F9B">
              <w:rPr>
                <w:color w:val="auto"/>
                <w:szCs w:val="24"/>
              </w:rPr>
              <w:t>⁰</w:t>
            </w:r>
          </w:p>
        </w:tc>
      </w:tr>
      <w:tr w:rsidR="00E81F9B" w:rsidTr="00535F2C">
        <w:tc>
          <w:tcPr>
            <w:tcW w:w="3438" w:type="dxa"/>
          </w:tcPr>
          <w:p w:rsidR="00E81F9B" w:rsidRPr="003425B4" w:rsidRDefault="00E81F9B" w:rsidP="00535F2C">
            <w:pPr>
              <w:tabs>
                <w:tab w:val="left" w:pos="288"/>
                <w:tab w:val="left" w:pos="4752"/>
              </w:tabs>
              <w:spacing w:line="240" w:lineRule="exact"/>
              <w:jc w:val="center"/>
              <w:rPr>
                <w:color w:val="auto"/>
                <w:szCs w:val="24"/>
              </w:rPr>
            </w:pPr>
            <w:r>
              <w:rPr>
                <w:color w:val="auto"/>
                <w:szCs w:val="24"/>
              </w:rPr>
              <w:t xml:space="preserve">L Ankle </w:t>
            </w:r>
            <w:r w:rsidR="00535F2C">
              <w:rPr>
                <w:color w:val="auto"/>
                <w:szCs w:val="24"/>
              </w:rPr>
              <w:t>Flexion/Extension</w:t>
            </w:r>
          </w:p>
        </w:tc>
        <w:tc>
          <w:tcPr>
            <w:tcW w:w="920" w:type="dxa"/>
          </w:tcPr>
          <w:p w:rsidR="00E81F9B" w:rsidRPr="003425B4" w:rsidRDefault="00E81F9B" w:rsidP="00535F2C">
            <w:pPr>
              <w:tabs>
                <w:tab w:val="left" w:pos="288"/>
                <w:tab w:val="left" w:pos="4752"/>
              </w:tabs>
              <w:spacing w:line="240" w:lineRule="exact"/>
              <w:jc w:val="center"/>
              <w:rPr>
                <w:color w:val="auto"/>
                <w:szCs w:val="24"/>
              </w:rPr>
            </w:pPr>
            <w:r>
              <w:rPr>
                <w:color w:val="auto"/>
                <w:szCs w:val="24"/>
              </w:rPr>
              <w:t>10⁰/35⁰</w:t>
            </w:r>
          </w:p>
        </w:tc>
        <w:tc>
          <w:tcPr>
            <w:tcW w:w="970" w:type="dxa"/>
          </w:tcPr>
          <w:p w:rsidR="00E81F9B" w:rsidRPr="003425B4" w:rsidRDefault="00535F2C" w:rsidP="00535F2C">
            <w:pPr>
              <w:tabs>
                <w:tab w:val="left" w:pos="288"/>
                <w:tab w:val="left" w:pos="4752"/>
              </w:tabs>
              <w:spacing w:line="240" w:lineRule="exact"/>
              <w:jc w:val="center"/>
              <w:rPr>
                <w:color w:val="auto"/>
                <w:szCs w:val="24"/>
              </w:rPr>
            </w:pPr>
            <w:r>
              <w:rPr>
                <w:color w:val="auto"/>
                <w:szCs w:val="24"/>
              </w:rPr>
              <w:t>10</w:t>
            </w:r>
            <w:r w:rsidR="00E81F9B">
              <w:rPr>
                <w:color w:val="auto"/>
                <w:szCs w:val="24"/>
              </w:rPr>
              <w:t>⁰/</w:t>
            </w:r>
            <w:r>
              <w:rPr>
                <w:color w:val="auto"/>
                <w:szCs w:val="24"/>
              </w:rPr>
              <w:t>30</w:t>
            </w:r>
            <w:r w:rsidR="00E81F9B">
              <w:rPr>
                <w:color w:val="auto"/>
                <w:szCs w:val="24"/>
              </w:rPr>
              <w:t>⁰</w:t>
            </w:r>
          </w:p>
        </w:tc>
      </w:tr>
    </w:tbl>
    <w:p w:rsidR="003425B4" w:rsidRPr="00535F2C" w:rsidRDefault="003425B4" w:rsidP="002C6E5B">
      <w:pPr>
        <w:tabs>
          <w:tab w:val="left" w:pos="288"/>
          <w:tab w:val="left" w:pos="4752"/>
        </w:tabs>
        <w:spacing w:line="240" w:lineRule="exact"/>
        <w:rPr>
          <w:rFonts w:asciiTheme="minorHAnsi" w:hAnsiTheme="minorHAnsi"/>
          <w:color w:val="auto"/>
          <w:szCs w:val="24"/>
        </w:rPr>
      </w:pPr>
    </w:p>
    <w:p w:rsidR="00535F2C" w:rsidRPr="00AF2874" w:rsidRDefault="00535F2C" w:rsidP="00AF2874">
      <w:pPr>
        <w:tabs>
          <w:tab w:val="left" w:pos="288"/>
          <w:tab w:val="left" w:pos="4752"/>
        </w:tabs>
        <w:spacing w:line="240" w:lineRule="exact"/>
        <w:jc w:val="both"/>
        <w:rPr>
          <w:color w:val="000080"/>
        </w:rPr>
      </w:pPr>
      <w:r w:rsidRPr="00AF2874">
        <w:rPr>
          <w:color w:val="000080"/>
        </w:rPr>
        <w:t xml:space="preserve">In summary, both </w:t>
      </w:r>
      <w:r w:rsidR="009A2103" w:rsidRPr="00AF2874">
        <w:rPr>
          <w:color w:val="000080"/>
        </w:rPr>
        <w:t xml:space="preserve">ankles </w:t>
      </w:r>
      <w:r w:rsidRPr="00AF2874">
        <w:rPr>
          <w:color w:val="000080"/>
        </w:rPr>
        <w:t xml:space="preserve">demonstrated </w:t>
      </w:r>
      <w:r w:rsidR="009A2103" w:rsidRPr="00AF2874">
        <w:rPr>
          <w:color w:val="000080"/>
        </w:rPr>
        <w:t xml:space="preserve">a substantial reduction of mobility and the right ankle was mechanically unstable as well.  Radiographs showed degenerative changes on the </w:t>
      </w:r>
      <w:r w:rsidR="00D87092" w:rsidRPr="00AF2874">
        <w:rPr>
          <w:color w:val="000080"/>
        </w:rPr>
        <w:t>right, but not the left.</w:t>
      </w:r>
      <w:r w:rsidR="00A85F35" w:rsidRPr="00AF2874">
        <w:rPr>
          <w:color w:val="000080"/>
        </w:rPr>
        <w:t xml:space="preserve">  </w:t>
      </w:r>
    </w:p>
    <w:p w:rsidR="00A85F35" w:rsidRPr="00AF2874" w:rsidRDefault="00A85F35" w:rsidP="00AF2874">
      <w:pPr>
        <w:tabs>
          <w:tab w:val="left" w:pos="288"/>
          <w:tab w:val="left" w:pos="4752"/>
        </w:tabs>
        <w:spacing w:line="240" w:lineRule="exact"/>
        <w:jc w:val="both"/>
        <w:rPr>
          <w:color w:val="000080"/>
        </w:rPr>
      </w:pPr>
    </w:p>
    <w:p w:rsidR="002C6E5B" w:rsidRPr="00AF2874" w:rsidRDefault="00A85F35" w:rsidP="00AF2874">
      <w:pPr>
        <w:tabs>
          <w:tab w:val="left" w:pos="288"/>
          <w:tab w:val="left" w:pos="4752"/>
        </w:tabs>
        <w:spacing w:line="240" w:lineRule="exact"/>
        <w:jc w:val="both"/>
        <w:rPr>
          <w:color w:val="000080"/>
        </w:rPr>
      </w:pPr>
      <w:r w:rsidRPr="00AF2874">
        <w:rPr>
          <w:color w:val="000080"/>
        </w:rPr>
        <w:t xml:space="preserve">Regarding PEB coding, it is clear that AR 635-40 was applied to combine the ankles under the 5003 analogous code.  </w:t>
      </w:r>
      <w:r w:rsidR="008C098D" w:rsidRPr="00AF2874">
        <w:rPr>
          <w:color w:val="000080"/>
        </w:rPr>
        <w:t>There was not ‘x-ray evidence of involvement of 2 or more</w:t>
      </w:r>
      <w:r w:rsidR="005B0C63" w:rsidRPr="00AF2874">
        <w:rPr>
          <w:color w:val="000080"/>
        </w:rPr>
        <w:t xml:space="preserve"> major</w:t>
      </w:r>
      <w:r w:rsidR="008C098D" w:rsidRPr="00AF2874">
        <w:rPr>
          <w:color w:val="000080"/>
        </w:rPr>
        <w:t xml:space="preserve"> joints</w:t>
      </w:r>
      <w:r w:rsidR="005B0C63" w:rsidRPr="00AF2874">
        <w:rPr>
          <w:color w:val="000080"/>
        </w:rPr>
        <w:t>’</w:t>
      </w:r>
      <w:r w:rsidR="008C098D" w:rsidRPr="00AF2874">
        <w:rPr>
          <w:color w:val="000080"/>
        </w:rPr>
        <w:t xml:space="preserve"> as required by VASRD §4.71a for the 5003 code.  The Board must therefore recommend separate coding and rating for each ankle, as applied by the VA.  The initial PEB </w:t>
      </w:r>
      <w:r w:rsidR="007F320A" w:rsidRPr="00AF2874">
        <w:rPr>
          <w:color w:val="000080"/>
        </w:rPr>
        <w:t>accomplished this,</w:t>
      </w:r>
      <w:r w:rsidR="008C098D" w:rsidRPr="00AF2874">
        <w:rPr>
          <w:color w:val="000080"/>
        </w:rPr>
        <w:t xml:space="preserve"> de facto, by coding under 5262 an</w:t>
      </w:r>
      <w:r w:rsidR="007F320A" w:rsidRPr="00AF2874">
        <w:rPr>
          <w:color w:val="000080"/>
        </w:rPr>
        <w:t>d documenting separate ratings (</w:t>
      </w:r>
      <w:r w:rsidR="008C098D" w:rsidRPr="00AF2874">
        <w:rPr>
          <w:color w:val="000080"/>
        </w:rPr>
        <w:t>albeit without separate entries on the DA 199</w:t>
      </w:r>
      <w:r w:rsidR="007F320A" w:rsidRPr="00AF2874">
        <w:rPr>
          <w:color w:val="000080"/>
        </w:rPr>
        <w:t>)</w:t>
      </w:r>
      <w:r w:rsidR="008C098D" w:rsidRPr="00AF2874">
        <w:rPr>
          <w:color w:val="000080"/>
        </w:rPr>
        <w:t xml:space="preserve">.  </w:t>
      </w:r>
      <w:r w:rsidR="007F320A" w:rsidRPr="00AF2874">
        <w:rPr>
          <w:color w:val="000080"/>
        </w:rPr>
        <w:t xml:space="preserve">The memorandum from USAPDA to the PEB in explanation for </w:t>
      </w:r>
      <w:r w:rsidR="00E70719" w:rsidRPr="00AF2874">
        <w:rPr>
          <w:color w:val="000080"/>
        </w:rPr>
        <w:t xml:space="preserve">the </w:t>
      </w:r>
      <w:r w:rsidR="007F320A" w:rsidRPr="00AF2874">
        <w:rPr>
          <w:color w:val="000080"/>
        </w:rPr>
        <w:t xml:space="preserve">coding/rating change stated that 5262 was inappropriate because no nonunion or </w:t>
      </w:r>
      <w:proofErr w:type="spellStart"/>
      <w:r w:rsidR="007F320A" w:rsidRPr="00AF2874">
        <w:rPr>
          <w:color w:val="000080"/>
        </w:rPr>
        <w:t>malunion</w:t>
      </w:r>
      <w:proofErr w:type="spellEnd"/>
      <w:r w:rsidR="007F320A" w:rsidRPr="00AF2874">
        <w:rPr>
          <w:color w:val="000080"/>
        </w:rPr>
        <w:t xml:space="preserve"> was present </w:t>
      </w:r>
      <w:r w:rsidR="000862D1" w:rsidRPr="00AF2874">
        <w:rPr>
          <w:color w:val="000080"/>
        </w:rPr>
        <w:t>(</w:t>
      </w:r>
      <w:r w:rsidR="007F320A" w:rsidRPr="00AF2874">
        <w:rPr>
          <w:color w:val="000080"/>
        </w:rPr>
        <w:t>as stipulated for the code by the VASRD</w:t>
      </w:r>
      <w:r w:rsidR="000862D1" w:rsidRPr="00AF2874">
        <w:rPr>
          <w:color w:val="000080"/>
        </w:rPr>
        <w:t>)</w:t>
      </w:r>
      <w:r w:rsidR="007F320A" w:rsidRPr="00AF2874">
        <w:rPr>
          <w:color w:val="000080"/>
        </w:rPr>
        <w:t xml:space="preserve">.  It is noted, however, that the </w:t>
      </w:r>
      <w:r w:rsidR="005B0C63" w:rsidRPr="00AF2874">
        <w:rPr>
          <w:color w:val="000080"/>
        </w:rPr>
        <w:t xml:space="preserve">initial </w:t>
      </w:r>
      <w:r w:rsidR="007F320A" w:rsidRPr="00AF2874">
        <w:rPr>
          <w:color w:val="000080"/>
        </w:rPr>
        <w:t>PEB coded with the analogous prefix.  This recognize</w:t>
      </w:r>
      <w:r w:rsidR="00720C90" w:rsidRPr="00AF2874">
        <w:rPr>
          <w:color w:val="000080"/>
        </w:rPr>
        <w:t>d</w:t>
      </w:r>
      <w:r w:rsidR="007F320A" w:rsidRPr="00AF2874">
        <w:rPr>
          <w:color w:val="000080"/>
        </w:rPr>
        <w:t xml:space="preserve"> </w:t>
      </w:r>
      <w:r w:rsidR="00720C90" w:rsidRPr="00AF2874">
        <w:rPr>
          <w:color w:val="000080"/>
        </w:rPr>
        <w:t xml:space="preserve">that the code did not represent the literal </w:t>
      </w:r>
      <w:r w:rsidR="00E70719" w:rsidRPr="00AF2874">
        <w:rPr>
          <w:color w:val="000080"/>
        </w:rPr>
        <w:t>diagnosis</w:t>
      </w:r>
      <w:r w:rsidR="00720C90" w:rsidRPr="00AF2874">
        <w:rPr>
          <w:color w:val="000080"/>
        </w:rPr>
        <w:t xml:space="preserve"> and was IAW VASRD §4.20 (analogous ratings).  The memorandum further stated, ‘</w:t>
      </w:r>
      <w:proofErr w:type="gramStart"/>
      <w:r w:rsidR="00720C90" w:rsidRPr="00AF2874">
        <w:rPr>
          <w:color w:val="000080"/>
        </w:rPr>
        <w:t>No VARSD codes regarding ankles is</w:t>
      </w:r>
      <w:proofErr w:type="gramEnd"/>
      <w:r w:rsidR="00720C90" w:rsidRPr="00AF2874">
        <w:rPr>
          <w:color w:val="000080"/>
        </w:rPr>
        <w:t xml:space="preserve"> appropriate</w:t>
      </w:r>
      <w:r w:rsidR="009C5379" w:rsidRPr="00AF2874">
        <w:rPr>
          <w:color w:val="000080"/>
        </w:rPr>
        <w:t xml:space="preserve">.’  Code 5271, as applied by the VA, is for ‘ankle, limited motion of’.  The USAPDA </w:t>
      </w:r>
      <w:r w:rsidR="009C5379" w:rsidRPr="00AF2874">
        <w:rPr>
          <w:color w:val="000080"/>
        </w:rPr>
        <w:lastRenderedPageBreak/>
        <w:t xml:space="preserve">referenced AR 635-40, B-29e, to assert that all of the ROM impairment was attributable to pain.  Neither is this substantiated by the orthopedic examination </w:t>
      </w:r>
      <w:r w:rsidR="000D31C7" w:rsidRPr="00AF2874">
        <w:rPr>
          <w:color w:val="000080"/>
        </w:rPr>
        <w:t xml:space="preserve">(stating ‘pain with all movements’, not pain as the limiting point for ROM) nor is it relevant to the Board’s recommendation if it were.  Disregarding the service regulation IAW </w:t>
      </w:r>
      <w:proofErr w:type="spellStart"/>
      <w:r w:rsidR="000D31C7" w:rsidRPr="00AF2874">
        <w:rPr>
          <w:color w:val="000080"/>
        </w:rPr>
        <w:t>DoDI</w:t>
      </w:r>
      <w:proofErr w:type="spellEnd"/>
      <w:r w:rsidR="000D31C7" w:rsidRPr="00AF2874">
        <w:rPr>
          <w:color w:val="000080"/>
        </w:rPr>
        <w:t xml:space="preserve"> 6040.44, the 5271 code is precisely applicable to this case.  </w:t>
      </w:r>
      <w:r w:rsidR="00066F7A" w:rsidRPr="00AF2874">
        <w:rPr>
          <w:color w:val="000080"/>
        </w:rPr>
        <w:t xml:space="preserve">The initial PEB’s choice was not unreasonable, as discussed above, but the Board prefers 5271 in order to use the same ‘ruler’ as the VA for </w:t>
      </w:r>
      <w:r w:rsidR="005941F8">
        <w:rPr>
          <w:color w:val="000080"/>
        </w:rPr>
        <w:t xml:space="preserve">consistency with </w:t>
      </w:r>
      <w:r w:rsidR="00066F7A" w:rsidRPr="00AF2874">
        <w:rPr>
          <w:color w:val="000080"/>
        </w:rPr>
        <w:t xml:space="preserve">the </w:t>
      </w:r>
      <w:r w:rsidR="005941F8">
        <w:rPr>
          <w:color w:val="000080"/>
        </w:rPr>
        <w:t>medical judgment</w:t>
      </w:r>
      <w:r w:rsidR="00066F7A" w:rsidRPr="00AF2874">
        <w:rPr>
          <w:color w:val="000080"/>
        </w:rPr>
        <w:t xml:space="preserve"> element </w:t>
      </w:r>
      <w:r w:rsidR="007167E1">
        <w:rPr>
          <w:color w:val="000080"/>
        </w:rPr>
        <w:t>inherent in</w:t>
      </w:r>
      <w:r w:rsidR="00066F7A" w:rsidRPr="00AF2874">
        <w:rPr>
          <w:color w:val="000080"/>
        </w:rPr>
        <w:t xml:space="preserve"> rating</w:t>
      </w:r>
      <w:r w:rsidR="00E70719" w:rsidRPr="00AF2874">
        <w:rPr>
          <w:color w:val="000080"/>
        </w:rPr>
        <w:t xml:space="preserve"> recommendations.</w:t>
      </w:r>
    </w:p>
    <w:p w:rsidR="00E70719" w:rsidRPr="00AF2874" w:rsidRDefault="00E70719" w:rsidP="00AF2874">
      <w:pPr>
        <w:tabs>
          <w:tab w:val="left" w:pos="288"/>
          <w:tab w:val="left" w:pos="4752"/>
        </w:tabs>
        <w:spacing w:line="240" w:lineRule="exact"/>
        <w:jc w:val="both"/>
        <w:rPr>
          <w:color w:val="000080"/>
        </w:rPr>
      </w:pPr>
    </w:p>
    <w:p w:rsidR="00116A5F" w:rsidRPr="00AF2874" w:rsidRDefault="00E70719" w:rsidP="00AF2874">
      <w:pPr>
        <w:tabs>
          <w:tab w:val="left" w:pos="288"/>
          <w:tab w:val="left" w:pos="4752"/>
        </w:tabs>
        <w:spacing w:line="240" w:lineRule="exact"/>
        <w:jc w:val="both"/>
        <w:rPr>
          <w:color w:val="000080"/>
        </w:rPr>
      </w:pPr>
      <w:r w:rsidRPr="00AF2874">
        <w:rPr>
          <w:color w:val="000080"/>
        </w:rPr>
        <w:t xml:space="preserve">Regarding rating under 5271, choices are ‘moderate’ for 10% or ‘marked’ for 20%.  The VA rating decision used </w:t>
      </w:r>
      <w:r w:rsidR="005B0C63" w:rsidRPr="00AF2874">
        <w:rPr>
          <w:color w:val="000080"/>
        </w:rPr>
        <w:t>identical</w:t>
      </w:r>
      <w:r w:rsidRPr="00AF2874">
        <w:rPr>
          <w:color w:val="000080"/>
        </w:rPr>
        <w:t xml:space="preserve"> objective data for ROM impairment </w:t>
      </w:r>
      <w:r w:rsidR="00F07B65" w:rsidRPr="00AF2874">
        <w:rPr>
          <w:color w:val="000080"/>
        </w:rPr>
        <w:t>(</w:t>
      </w:r>
      <w:r w:rsidRPr="00AF2874">
        <w:rPr>
          <w:color w:val="000080"/>
        </w:rPr>
        <w:t>which was t</w:t>
      </w:r>
      <w:r w:rsidR="00F07B65" w:rsidRPr="00AF2874">
        <w:rPr>
          <w:color w:val="000080"/>
        </w:rPr>
        <w:t xml:space="preserve">he same for each ankle on their exam) to justify different ratings under the same code.  </w:t>
      </w:r>
      <w:r w:rsidR="00EC7A5C" w:rsidRPr="00AF2874">
        <w:rPr>
          <w:color w:val="000080"/>
        </w:rPr>
        <w:t xml:space="preserve">A logical argument could be </w:t>
      </w:r>
      <w:r w:rsidR="00073EC8" w:rsidRPr="00AF2874">
        <w:rPr>
          <w:color w:val="000080"/>
        </w:rPr>
        <w:t xml:space="preserve">made for applying the higher rating to both ankles, since reasonable doubt would favor that over applying the lower rating.  </w:t>
      </w:r>
      <w:r w:rsidR="007167E1">
        <w:rPr>
          <w:color w:val="000080"/>
        </w:rPr>
        <w:t>However, t</w:t>
      </w:r>
      <w:r w:rsidR="00F07B65" w:rsidRPr="00AF2874">
        <w:rPr>
          <w:color w:val="000080"/>
        </w:rPr>
        <w:t xml:space="preserve">he </w:t>
      </w:r>
      <w:r w:rsidR="005B0C63" w:rsidRPr="00AF2874">
        <w:rPr>
          <w:color w:val="000080"/>
        </w:rPr>
        <w:t xml:space="preserve">VA </w:t>
      </w:r>
      <w:r w:rsidR="00F07B65" w:rsidRPr="00AF2874">
        <w:rPr>
          <w:color w:val="000080"/>
        </w:rPr>
        <w:t xml:space="preserve">decision </w:t>
      </w:r>
      <w:r w:rsidR="00EC7A5C" w:rsidRPr="00AF2874">
        <w:rPr>
          <w:color w:val="000080"/>
        </w:rPr>
        <w:t>documented</w:t>
      </w:r>
      <w:r w:rsidR="00F07B65" w:rsidRPr="00AF2874">
        <w:rPr>
          <w:color w:val="000080"/>
        </w:rPr>
        <w:t xml:space="preserve"> the more severe medical history and exam findings for the right ankle vs. the </w:t>
      </w:r>
      <w:r w:rsidR="007167E1" w:rsidRPr="00AF2874">
        <w:rPr>
          <w:color w:val="000080"/>
        </w:rPr>
        <w:t>left</w:t>
      </w:r>
      <w:r w:rsidR="00F07B65" w:rsidRPr="00AF2874">
        <w:rPr>
          <w:color w:val="000080"/>
        </w:rPr>
        <w:t xml:space="preserve"> and it </w:t>
      </w:r>
      <w:r w:rsidR="007167E1">
        <w:rPr>
          <w:color w:val="000080"/>
        </w:rPr>
        <w:t>is</w:t>
      </w:r>
      <w:r w:rsidR="00F07B65" w:rsidRPr="00AF2874">
        <w:rPr>
          <w:color w:val="000080"/>
        </w:rPr>
        <w:t xml:space="preserve"> assumed that this was </w:t>
      </w:r>
      <w:r w:rsidR="00EC7A5C" w:rsidRPr="00AF2874">
        <w:rPr>
          <w:color w:val="000080"/>
        </w:rPr>
        <w:t>recognized</w:t>
      </w:r>
      <w:r w:rsidR="00F07B65" w:rsidRPr="00AF2874">
        <w:rPr>
          <w:color w:val="000080"/>
        </w:rPr>
        <w:t xml:space="preserve"> in </w:t>
      </w:r>
      <w:r w:rsidR="00EC7A5C" w:rsidRPr="00AF2874">
        <w:rPr>
          <w:color w:val="000080"/>
        </w:rPr>
        <w:t xml:space="preserve">conferring the higher rating.  It should also be noted that the ‘marked’ 20% rating was decided on the basis of an exam that demonstrated a slightly better ROM than </w:t>
      </w:r>
      <w:r w:rsidR="000862D1" w:rsidRPr="00AF2874">
        <w:rPr>
          <w:color w:val="000080"/>
        </w:rPr>
        <w:t xml:space="preserve">the </w:t>
      </w:r>
      <w:r w:rsidR="00EC7A5C" w:rsidRPr="00AF2874">
        <w:rPr>
          <w:color w:val="000080"/>
        </w:rPr>
        <w:t xml:space="preserve">MEB exam and did not differ from it in any other significant way.  </w:t>
      </w:r>
      <w:r w:rsidR="00073EC8" w:rsidRPr="00AF2874">
        <w:rPr>
          <w:color w:val="000080"/>
        </w:rPr>
        <w:t>In applying the subjective descriptors in the VASRD code for arriving at a rating recommendation, the Board should rely more heavily on the actual degree of disability</w:t>
      </w:r>
      <w:r w:rsidR="000862D1" w:rsidRPr="00AF2874">
        <w:rPr>
          <w:color w:val="000080"/>
        </w:rPr>
        <w:t xml:space="preserve"> (being, after all, the purpose for rating)</w:t>
      </w:r>
      <w:r w:rsidR="00073EC8" w:rsidRPr="00AF2874">
        <w:rPr>
          <w:color w:val="000080"/>
        </w:rPr>
        <w:t xml:space="preserve">.  </w:t>
      </w:r>
      <w:r w:rsidR="00DA29A1" w:rsidRPr="00AF2874">
        <w:rPr>
          <w:color w:val="000080"/>
        </w:rPr>
        <w:t>In this case there is an unusually abundant wealth of objective data for estimating disability.  The degree of</w:t>
      </w:r>
      <w:r w:rsidR="007167E1">
        <w:rPr>
          <w:color w:val="000080"/>
        </w:rPr>
        <w:t xml:space="preserve"> occupational impairment imposed</w:t>
      </w:r>
      <w:r w:rsidR="00DA29A1" w:rsidRPr="00AF2874">
        <w:rPr>
          <w:color w:val="000080"/>
        </w:rPr>
        <w:t xml:space="preserve"> significant limitations on employment options, not to mention impact on quality of life.  Since it cannot be argued that nearly a 50% reduction in ROM for the right ankle qualifies for ‘marked’</w:t>
      </w:r>
      <w:r w:rsidR="000862D1" w:rsidRPr="00AF2874">
        <w:rPr>
          <w:color w:val="000080"/>
        </w:rPr>
        <w:t xml:space="preserve"> limited motion</w:t>
      </w:r>
      <w:r w:rsidR="00DA29A1" w:rsidRPr="00AF2874">
        <w:rPr>
          <w:color w:val="000080"/>
        </w:rPr>
        <w:t xml:space="preserve">, a 20% rating is easily justified in consideration of the </w:t>
      </w:r>
      <w:r w:rsidR="000862D1" w:rsidRPr="00AF2874">
        <w:rPr>
          <w:color w:val="000080"/>
        </w:rPr>
        <w:t>overall</w:t>
      </w:r>
      <w:r w:rsidR="00DA29A1" w:rsidRPr="00AF2874">
        <w:rPr>
          <w:color w:val="000080"/>
        </w:rPr>
        <w:t xml:space="preserve"> disability</w:t>
      </w:r>
      <w:r w:rsidR="000862D1" w:rsidRPr="00AF2874">
        <w:rPr>
          <w:color w:val="000080"/>
        </w:rPr>
        <w:t xml:space="preserve"> picture</w:t>
      </w:r>
      <w:r w:rsidR="00DA29A1" w:rsidRPr="00AF2874">
        <w:rPr>
          <w:color w:val="000080"/>
        </w:rPr>
        <w:t>.</w:t>
      </w:r>
      <w:r w:rsidR="00116A5F" w:rsidRPr="00AF2874">
        <w:rPr>
          <w:color w:val="000080"/>
        </w:rPr>
        <w:t xml:space="preserve">  All evidence considered and IAW VASRD §4.3, reasonable doubt is resolved in favor of the CI in recommending a separation rating of 20% for the right ankle.  A 10% ‘moderate’ rating is in order for the left ankle since it was not post-operative, not mechanically unstable and was more mobile (at least by MEB measurement) as compared to the right ankle.  </w:t>
      </w:r>
      <w:r w:rsidR="00E23BF1" w:rsidRPr="00AF2874">
        <w:rPr>
          <w:color w:val="000080"/>
        </w:rPr>
        <w:t>There is not reasonable doubt in the CI’s favor supporting the higher rating for the less severely affected joint.</w:t>
      </w:r>
    </w:p>
    <w:p w:rsidR="00D87092" w:rsidRPr="00AF2874" w:rsidRDefault="00D87092" w:rsidP="00AF2874">
      <w:pPr>
        <w:tabs>
          <w:tab w:val="left" w:pos="288"/>
          <w:tab w:val="left" w:pos="4752"/>
        </w:tabs>
        <w:spacing w:line="240" w:lineRule="exact"/>
        <w:jc w:val="both"/>
        <w:rPr>
          <w:color w:val="000080"/>
        </w:rPr>
      </w:pPr>
    </w:p>
    <w:p w:rsidR="00EB581A" w:rsidRPr="00AF2874" w:rsidRDefault="002C6E5B" w:rsidP="00AF2874">
      <w:pPr>
        <w:tabs>
          <w:tab w:val="left" w:pos="288"/>
          <w:tab w:val="left" w:pos="4752"/>
        </w:tabs>
        <w:spacing w:line="240" w:lineRule="exact"/>
        <w:jc w:val="both"/>
        <w:rPr>
          <w:color w:val="000080"/>
        </w:rPr>
      </w:pPr>
      <w:proofErr w:type="gramStart"/>
      <w:r w:rsidRPr="00AF2874">
        <w:rPr>
          <w:color w:val="000080"/>
          <w:u w:val="single"/>
        </w:rPr>
        <w:t>Other Conditions</w:t>
      </w:r>
      <w:r w:rsidRPr="00AF2874">
        <w:rPr>
          <w:color w:val="000080"/>
        </w:rPr>
        <w:t>.</w:t>
      </w:r>
      <w:proofErr w:type="gramEnd"/>
      <w:r w:rsidRPr="00AF2874">
        <w:rPr>
          <w:color w:val="000080"/>
        </w:rPr>
        <w:t xml:space="preserve">  </w:t>
      </w:r>
      <w:r w:rsidR="00FF6BDF" w:rsidRPr="00AF2874">
        <w:rPr>
          <w:color w:val="000080"/>
        </w:rPr>
        <w:t>T</w:t>
      </w:r>
      <w:r w:rsidR="000862D1" w:rsidRPr="00AF2874">
        <w:rPr>
          <w:color w:val="000080"/>
        </w:rPr>
        <w:t>he only other medical condition</w:t>
      </w:r>
      <w:r w:rsidR="00FF6BDF" w:rsidRPr="00AF2874">
        <w:rPr>
          <w:color w:val="000080"/>
        </w:rPr>
        <w:t xml:space="preserve"> identified by the </w:t>
      </w:r>
      <w:r w:rsidR="005B0C63" w:rsidRPr="00AF2874">
        <w:rPr>
          <w:color w:val="000080"/>
        </w:rPr>
        <w:t xml:space="preserve">pre-separation </w:t>
      </w:r>
      <w:r w:rsidR="00FF6BDF" w:rsidRPr="00AF2874">
        <w:rPr>
          <w:color w:val="000080"/>
        </w:rPr>
        <w:t xml:space="preserve">VA </w:t>
      </w:r>
      <w:r w:rsidR="005B0C63" w:rsidRPr="00AF2874">
        <w:rPr>
          <w:color w:val="000080"/>
        </w:rPr>
        <w:t xml:space="preserve">rating </w:t>
      </w:r>
      <w:r w:rsidR="00FF6BDF" w:rsidRPr="00AF2874">
        <w:rPr>
          <w:color w:val="000080"/>
        </w:rPr>
        <w:t xml:space="preserve">was recently diagnosed hypertension for which the CI had not yet started treatment.  It </w:t>
      </w:r>
      <w:r w:rsidR="00EB581A" w:rsidRPr="00AF2874">
        <w:rPr>
          <w:color w:val="000080"/>
        </w:rPr>
        <w:t xml:space="preserve">was rated 0%, not identified in the DES packet and therefore </w:t>
      </w:r>
      <w:r w:rsidR="00FF6BDF" w:rsidRPr="00AF2874">
        <w:rPr>
          <w:color w:val="000080"/>
        </w:rPr>
        <w:t xml:space="preserve">not </w:t>
      </w:r>
      <w:r w:rsidR="00EB581A" w:rsidRPr="00AF2874">
        <w:rPr>
          <w:color w:val="000080"/>
        </w:rPr>
        <w:t xml:space="preserve">under Board </w:t>
      </w:r>
      <w:proofErr w:type="spellStart"/>
      <w:r w:rsidR="00EB581A" w:rsidRPr="00AF2874">
        <w:rPr>
          <w:color w:val="000080"/>
        </w:rPr>
        <w:t>pervue</w:t>
      </w:r>
      <w:proofErr w:type="spellEnd"/>
      <w:r w:rsidR="00FF6BDF" w:rsidRPr="00AF2874">
        <w:rPr>
          <w:color w:val="000080"/>
        </w:rPr>
        <w:t xml:space="preserve"> for consideration as additionally unfitting for separation rating.  Eventually service-connected by the VA were a ‘dry cough’ condition and </w:t>
      </w:r>
      <w:proofErr w:type="spellStart"/>
      <w:r w:rsidR="00FF6BDF" w:rsidRPr="00AF2874">
        <w:rPr>
          <w:color w:val="000080"/>
        </w:rPr>
        <w:t>spermatocele</w:t>
      </w:r>
      <w:proofErr w:type="spellEnd"/>
      <w:r w:rsidR="00FF6BDF" w:rsidRPr="00AF2874">
        <w:rPr>
          <w:color w:val="000080"/>
        </w:rPr>
        <w:t>.  These received 0% ratings, and only the cough condition (noted on the MEB physical) was in the DES packet</w:t>
      </w:r>
      <w:r w:rsidR="00EB581A" w:rsidRPr="00AF2874">
        <w:rPr>
          <w:color w:val="000080"/>
        </w:rPr>
        <w:t xml:space="preserve">.  </w:t>
      </w:r>
      <w:r w:rsidR="007167E1">
        <w:rPr>
          <w:color w:val="000080"/>
        </w:rPr>
        <w:t>No</w:t>
      </w:r>
      <w:r w:rsidR="00EB581A" w:rsidRPr="00AF2874">
        <w:rPr>
          <w:color w:val="000080"/>
        </w:rPr>
        <w:t xml:space="preserve"> additional conditions are </w:t>
      </w:r>
      <w:r w:rsidR="00EB581A" w:rsidRPr="00AF2874">
        <w:rPr>
          <w:color w:val="000080"/>
        </w:rPr>
        <w:lastRenderedPageBreak/>
        <w:t>service-connected by the VA</w:t>
      </w:r>
      <w:r w:rsidR="005B0C63" w:rsidRPr="00AF2874">
        <w:rPr>
          <w:color w:val="000080"/>
        </w:rPr>
        <w:t>,</w:t>
      </w:r>
      <w:r w:rsidR="00EB581A" w:rsidRPr="00AF2874">
        <w:rPr>
          <w:color w:val="000080"/>
        </w:rPr>
        <w:t xml:space="preserve"> and a ‘bursitis’ of the right shoulder was the only other condition in the DES packet (MEB physical) subject to Board review.  The service records, medical profile and Commander’s statements connected only the ankle conditions to fitness.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35356C" w:rsidRPr="00AF2874" w:rsidRDefault="00C56FC8" w:rsidP="00AF2874">
      <w:pPr>
        <w:tabs>
          <w:tab w:val="left" w:pos="288"/>
          <w:tab w:val="left" w:pos="4752"/>
        </w:tabs>
        <w:spacing w:line="240" w:lineRule="exact"/>
        <w:jc w:val="both"/>
        <w:rPr>
          <w:color w:val="000080"/>
        </w:rPr>
      </w:pPr>
      <w:r w:rsidRPr="00AF2874">
        <w:rPr>
          <w:color w:val="000080"/>
          <w:u w:val="single"/>
        </w:rPr>
        <w:t>BOARD FINDINGS</w:t>
      </w:r>
      <w:r w:rsidRPr="00AF2874">
        <w:rPr>
          <w:color w:val="000080"/>
        </w:rPr>
        <w:t xml:space="preserve">:  IAW </w:t>
      </w:r>
      <w:proofErr w:type="spellStart"/>
      <w:r w:rsidRPr="00AF2874">
        <w:rPr>
          <w:color w:val="000080"/>
        </w:rPr>
        <w:t>DoDI</w:t>
      </w:r>
      <w:proofErr w:type="spellEnd"/>
      <w:r w:rsidRPr="00AF2874">
        <w:rPr>
          <w:color w:val="000080"/>
        </w:rPr>
        <w:t xml:space="preserve"> 6040.44, provisions of DoD or Military Department regulations or guidelines relied upon by the PEB will not be considered by the Board to the extent they were inconsistent with the VASRD in effect a</w:t>
      </w:r>
      <w:r w:rsidR="00EB581A" w:rsidRPr="00AF2874">
        <w:rPr>
          <w:color w:val="000080"/>
        </w:rPr>
        <w:t xml:space="preserve">t the time of the adjudication. </w:t>
      </w:r>
      <w:r w:rsidR="001D68CF" w:rsidRPr="00AF2874">
        <w:rPr>
          <w:color w:val="000080"/>
        </w:rPr>
        <w:t xml:space="preserve"> </w:t>
      </w:r>
      <w:r w:rsidR="00EB581A" w:rsidRPr="00AF2874">
        <w:rPr>
          <w:color w:val="000080"/>
        </w:rPr>
        <w:t>As discussed above, PEB reliance on AR 635-40, B-29e,</w:t>
      </w:r>
      <w:r w:rsidR="0035356C" w:rsidRPr="00AF2874">
        <w:rPr>
          <w:color w:val="000080"/>
        </w:rPr>
        <w:t xml:space="preserve"> </w:t>
      </w:r>
      <w:r w:rsidR="00EB581A" w:rsidRPr="00AF2874">
        <w:rPr>
          <w:color w:val="000080"/>
        </w:rPr>
        <w:t xml:space="preserve">for rating </w:t>
      </w:r>
      <w:r w:rsidR="0035356C" w:rsidRPr="00AF2874">
        <w:rPr>
          <w:color w:val="000080"/>
        </w:rPr>
        <w:t>the ankle conditions</w:t>
      </w:r>
      <w:r w:rsidR="00EB581A" w:rsidRPr="00AF2874">
        <w:rPr>
          <w:color w:val="000080"/>
        </w:rPr>
        <w:t xml:space="preserve"> was operant in this case and the condition</w:t>
      </w:r>
      <w:r w:rsidR="0035356C" w:rsidRPr="00AF2874">
        <w:rPr>
          <w:color w:val="000080"/>
        </w:rPr>
        <w:t>s were</w:t>
      </w:r>
      <w:r w:rsidR="00EB581A" w:rsidRPr="00AF2874">
        <w:rPr>
          <w:color w:val="000080"/>
        </w:rPr>
        <w:t xml:space="preserve"> adjudicated independently of that </w:t>
      </w:r>
      <w:r w:rsidR="0035356C" w:rsidRPr="00AF2874">
        <w:rPr>
          <w:color w:val="000080"/>
        </w:rPr>
        <w:t>regulation</w:t>
      </w:r>
      <w:r w:rsidR="00EB581A" w:rsidRPr="00AF2874">
        <w:rPr>
          <w:color w:val="000080"/>
        </w:rPr>
        <w:t xml:space="preserve"> by the Board. </w:t>
      </w:r>
      <w:r w:rsidR="0035356C" w:rsidRPr="00AF2874">
        <w:rPr>
          <w:color w:val="000080"/>
        </w:rPr>
        <w:t xml:space="preserve"> In the matter of the right ankle condition, the Board unanimously recommends a rating of 20% coded </w:t>
      </w:r>
      <w:r w:rsidR="0024551F" w:rsidRPr="00AF2874">
        <w:rPr>
          <w:color w:val="000080"/>
        </w:rPr>
        <w:t>5271</w:t>
      </w:r>
      <w:r w:rsidR="0035356C" w:rsidRPr="00AF2874">
        <w:rPr>
          <w:color w:val="000080"/>
        </w:rPr>
        <w:t xml:space="preserve"> IAW VASRD </w:t>
      </w:r>
      <w:r w:rsidR="0024551F" w:rsidRPr="00AF2874">
        <w:rPr>
          <w:color w:val="000080"/>
        </w:rPr>
        <w:t>§4.71a</w:t>
      </w:r>
      <w:r w:rsidR="0035356C" w:rsidRPr="00AF2874">
        <w:rPr>
          <w:color w:val="000080"/>
        </w:rPr>
        <w:t xml:space="preserve">.  </w:t>
      </w:r>
      <w:r w:rsidR="0024551F" w:rsidRPr="00AF2874">
        <w:rPr>
          <w:color w:val="000080"/>
        </w:rPr>
        <w:t>In the matter of the left ankle condition, the Board unanimously recommends a rating of 10% coded 5271 IAW VASRD §4.71a.  In the matter of the hypertension, cough condition, right shoulder condition and all of the CI’s other medical conditions;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C56FC8" w:rsidP="00135385">
      <w:pPr>
        <w:tabs>
          <w:tab w:val="left" w:pos="288"/>
          <w:tab w:val="left" w:pos="4752"/>
        </w:tabs>
        <w:spacing w:line="240" w:lineRule="exact"/>
        <w:jc w:val="both"/>
        <w:rPr>
          <w:color w:val="000080"/>
        </w:rPr>
      </w:pPr>
      <w:r w:rsidRPr="00AF2874">
        <w:rPr>
          <w:color w:val="000080"/>
          <w:u w:val="single"/>
        </w:rPr>
        <w:t>RECOMMENDATION</w:t>
      </w:r>
      <w:r w:rsidRPr="00AF2874">
        <w:rPr>
          <w:color w:val="000080"/>
        </w:rPr>
        <w:t xml:space="preserve">: The Board recommends that the CI’s prior determination be modified as follows and that the discharge with severance pay be </w:t>
      </w:r>
      <w:proofErr w:type="spellStart"/>
      <w:r w:rsidRPr="00AF2874">
        <w:rPr>
          <w:color w:val="000080"/>
        </w:rPr>
        <w:t>recharacterized</w:t>
      </w:r>
      <w:proofErr w:type="spellEnd"/>
      <w:r w:rsidRPr="00AF2874">
        <w:rPr>
          <w:color w:val="000080"/>
        </w:rPr>
        <w:t xml:space="preserve"> to reflect permanent disability retirement, effective as of the date of his prior medical separation.</w:t>
      </w:r>
    </w:p>
    <w:p w:rsidR="00FB593A" w:rsidRPr="00533FB5" w:rsidRDefault="00FB593A" w:rsidP="00875F2D">
      <w:pPr>
        <w:tabs>
          <w:tab w:val="left" w:pos="288"/>
          <w:tab w:val="left" w:pos="4752"/>
        </w:tabs>
        <w:spacing w:line="240" w:lineRule="exact"/>
        <w:jc w:val="both"/>
        <w:rPr>
          <w:color w:val="00008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2610"/>
        <w:gridCol w:w="1724"/>
        <w:gridCol w:w="1084"/>
      </w:tblGrid>
      <w:tr w:rsidR="004101B2" w:rsidRPr="00533FB5" w:rsidTr="00851D75">
        <w:trPr>
          <w:trHeight w:val="287"/>
        </w:trPr>
        <w:tc>
          <w:tcPr>
            <w:tcW w:w="5220" w:type="dxa"/>
            <w:gridSpan w:val="2"/>
            <w:tcBorders>
              <w:right w:val="single" w:sz="4" w:space="0" w:color="auto"/>
            </w:tcBorders>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Pr>
                <w:b/>
                <w:color w:val="000080"/>
                <w:szCs w:val="24"/>
              </w:rPr>
              <w:t>UNFITTING CONDITION</w:t>
            </w:r>
          </w:p>
        </w:tc>
        <w:tc>
          <w:tcPr>
            <w:tcW w:w="1724" w:type="dxa"/>
            <w:tcBorders>
              <w:left w:val="single" w:sz="4" w:space="0" w:color="auto"/>
            </w:tcBorders>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61255" w:rsidRPr="00533FB5" w:rsidTr="00851D75">
        <w:tc>
          <w:tcPr>
            <w:tcW w:w="5220" w:type="dxa"/>
            <w:gridSpan w:val="2"/>
            <w:tcBorders>
              <w:right w:val="single" w:sz="4" w:space="0" w:color="auto"/>
            </w:tcBorders>
          </w:tcPr>
          <w:p w:rsidR="00461255" w:rsidRPr="00A867F0" w:rsidRDefault="00461255" w:rsidP="004067C8">
            <w:pPr>
              <w:tabs>
                <w:tab w:val="left" w:pos="288"/>
                <w:tab w:val="left" w:pos="4752"/>
              </w:tabs>
              <w:spacing w:before="20" w:after="20" w:line="240" w:lineRule="exact"/>
              <w:jc w:val="both"/>
              <w:rPr>
                <w:color w:val="000080"/>
                <w:szCs w:val="24"/>
              </w:rPr>
            </w:pPr>
            <w:r>
              <w:rPr>
                <w:color w:val="000080"/>
                <w:szCs w:val="24"/>
              </w:rPr>
              <w:t>Right Ankle Instability, Status Post Failed Reconstructive Surgery</w:t>
            </w:r>
          </w:p>
        </w:tc>
        <w:tc>
          <w:tcPr>
            <w:tcW w:w="1724" w:type="dxa"/>
            <w:tcBorders>
              <w:left w:val="single" w:sz="4" w:space="0" w:color="auto"/>
            </w:tcBorders>
          </w:tcPr>
          <w:p w:rsidR="00461255" w:rsidRPr="00A867F0" w:rsidRDefault="00461255" w:rsidP="004067C8">
            <w:pPr>
              <w:tabs>
                <w:tab w:val="left" w:pos="288"/>
                <w:tab w:val="left" w:pos="4752"/>
              </w:tabs>
              <w:spacing w:line="240" w:lineRule="exact"/>
              <w:jc w:val="center"/>
              <w:rPr>
                <w:color w:val="000080"/>
                <w:szCs w:val="24"/>
              </w:rPr>
            </w:pPr>
            <w:r>
              <w:rPr>
                <w:color w:val="000080"/>
                <w:szCs w:val="24"/>
              </w:rPr>
              <w:t>5271</w:t>
            </w:r>
          </w:p>
        </w:tc>
        <w:tc>
          <w:tcPr>
            <w:tcW w:w="1084" w:type="dxa"/>
          </w:tcPr>
          <w:p w:rsidR="00461255" w:rsidRPr="00A867F0" w:rsidRDefault="00461255" w:rsidP="004067C8">
            <w:pPr>
              <w:tabs>
                <w:tab w:val="left" w:pos="288"/>
                <w:tab w:val="left" w:pos="4752"/>
              </w:tabs>
              <w:spacing w:line="240" w:lineRule="exact"/>
              <w:jc w:val="center"/>
              <w:rPr>
                <w:color w:val="000080"/>
                <w:szCs w:val="24"/>
              </w:rPr>
            </w:pPr>
            <w:r>
              <w:rPr>
                <w:color w:val="000080"/>
                <w:szCs w:val="24"/>
              </w:rPr>
              <w:t>20%</w:t>
            </w:r>
          </w:p>
        </w:tc>
      </w:tr>
      <w:tr w:rsidR="00461255" w:rsidRPr="00533FB5" w:rsidTr="00851D75">
        <w:tc>
          <w:tcPr>
            <w:tcW w:w="5220" w:type="dxa"/>
            <w:gridSpan w:val="2"/>
            <w:tcBorders>
              <w:right w:val="single" w:sz="4" w:space="0" w:color="auto"/>
            </w:tcBorders>
          </w:tcPr>
          <w:p w:rsidR="00461255" w:rsidRDefault="00461255" w:rsidP="004067C8">
            <w:pPr>
              <w:tabs>
                <w:tab w:val="left" w:pos="288"/>
                <w:tab w:val="left" w:pos="4752"/>
              </w:tabs>
              <w:spacing w:before="20" w:after="20" w:line="240" w:lineRule="exact"/>
              <w:jc w:val="both"/>
              <w:rPr>
                <w:color w:val="000080"/>
                <w:szCs w:val="24"/>
              </w:rPr>
            </w:pPr>
            <w:r>
              <w:rPr>
                <w:color w:val="000080"/>
                <w:szCs w:val="24"/>
              </w:rPr>
              <w:t>Left Ankle Instability</w:t>
            </w:r>
          </w:p>
        </w:tc>
        <w:tc>
          <w:tcPr>
            <w:tcW w:w="1724" w:type="dxa"/>
            <w:tcBorders>
              <w:left w:val="single" w:sz="4" w:space="0" w:color="auto"/>
            </w:tcBorders>
          </w:tcPr>
          <w:p w:rsidR="00461255" w:rsidRPr="00A867F0" w:rsidRDefault="00461255" w:rsidP="004067C8">
            <w:pPr>
              <w:tabs>
                <w:tab w:val="left" w:pos="288"/>
                <w:tab w:val="left" w:pos="4752"/>
              </w:tabs>
              <w:spacing w:line="240" w:lineRule="exact"/>
              <w:jc w:val="center"/>
              <w:rPr>
                <w:color w:val="000080"/>
                <w:szCs w:val="24"/>
              </w:rPr>
            </w:pPr>
            <w:r>
              <w:rPr>
                <w:color w:val="000080"/>
                <w:szCs w:val="24"/>
              </w:rPr>
              <w:t>5271</w:t>
            </w:r>
          </w:p>
        </w:tc>
        <w:tc>
          <w:tcPr>
            <w:tcW w:w="1084" w:type="dxa"/>
          </w:tcPr>
          <w:p w:rsidR="00461255" w:rsidRPr="00A867F0" w:rsidRDefault="00461255" w:rsidP="004067C8">
            <w:pPr>
              <w:tabs>
                <w:tab w:val="left" w:pos="288"/>
                <w:tab w:val="left" w:pos="4752"/>
              </w:tabs>
              <w:spacing w:line="240" w:lineRule="exact"/>
              <w:jc w:val="center"/>
              <w:rPr>
                <w:color w:val="000080"/>
                <w:szCs w:val="24"/>
              </w:rPr>
            </w:pPr>
            <w:r>
              <w:rPr>
                <w:color w:val="000080"/>
                <w:szCs w:val="24"/>
              </w:rPr>
              <w:t>10%</w:t>
            </w:r>
          </w:p>
        </w:tc>
      </w:tr>
      <w:tr w:rsidR="00461255" w:rsidRPr="00533FB5" w:rsidTr="00851D75">
        <w:tblPrEx>
          <w:tblLook w:val="0000"/>
        </w:tblPrEx>
        <w:trPr>
          <w:gridBefore w:val="1"/>
          <w:wBefore w:w="2610" w:type="dxa"/>
          <w:trHeight w:val="287"/>
        </w:trPr>
        <w:tc>
          <w:tcPr>
            <w:tcW w:w="4334" w:type="dxa"/>
            <w:gridSpan w:val="2"/>
            <w:tcBorders>
              <w:left w:val="single" w:sz="4" w:space="0" w:color="auto"/>
              <w:bottom w:val="single" w:sz="4" w:space="0" w:color="auto"/>
            </w:tcBorders>
            <w:shd w:val="clear" w:color="auto" w:fill="D9D9D9" w:themeFill="background1" w:themeFillShade="D9"/>
          </w:tcPr>
          <w:p w:rsidR="00461255" w:rsidRPr="00A867F0" w:rsidRDefault="00461255" w:rsidP="007167E1">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 (Incorporating BLF)</w:t>
            </w:r>
          </w:p>
        </w:tc>
        <w:tc>
          <w:tcPr>
            <w:tcW w:w="1084" w:type="dxa"/>
            <w:tcBorders>
              <w:bottom w:val="single" w:sz="4" w:space="0" w:color="000000"/>
            </w:tcBorders>
            <w:shd w:val="clear" w:color="auto" w:fill="D9D9D9" w:themeFill="background1" w:themeFillShade="D9"/>
          </w:tcPr>
          <w:p w:rsidR="00461255" w:rsidRPr="005A258C" w:rsidRDefault="00461255" w:rsidP="00F533F9">
            <w:pPr>
              <w:tabs>
                <w:tab w:val="left" w:pos="288"/>
                <w:tab w:val="left" w:pos="4752"/>
              </w:tabs>
              <w:spacing w:before="40" w:line="240" w:lineRule="exact"/>
              <w:jc w:val="center"/>
              <w:rPr>
                <w:b/>
                <w:color w:val="000080"/>
                <w:szCs w:val="24"/>
              </w:rPr>
            </w:pPr>
            <w:r>
              <w:rPr>
                <w:b/>
                <w:color w:val="000080"/>
                <w:szCs w:val="24"/>
              </w:rPr>
              <w:t>30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BD1FF5">
        <w:rPr>
          <w:color w:val="000080"/>
        </w:rPr>
        <w:t>0114</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D91DA6" w:rsidRDefault="00C30A97" w:rsidP="00875F2D">
      <w:pPr>
        <w:tabs>
          <w:tab w:val="left" w:pos="0"/>
          <w:tab w:val="left" w:pos="4320"/>
        </w:tabs>
        <w:spacing w:line="240" w:lineRule="exact"/>
        <w:jc w:val="both"/>
        <w:rPr>
          <w:color w:val="000080"/>
        </w:rPr>
      </w:pPr>
      <w:r>
        <w:rPr>
          <w:color w:val="000080"/>
        </w:rPr>
        <w:t xml:space="preserve">                             </w:t>
      </w:r>
      <w:r w:rsidR="00D91DA6" w:rsidRPr="00D91DA6">
        <w:rPr>
          <w:color w:val="000080"/>
        </w:rPr>
        <w:t xml:space="preserve">MICHAEL F. </w:t>
      </w:r>
      <w:proofErr w:type="spellStart"/>
      <w:r w:rsidR="00D91DA6" w:rsidRPr="00D91DA6">
        <w:rPr>
          <w:color w:val="000080"/>
        </w:rPr>
        <w:t>LoGRANDE</w:t>
      </w:r>
      <w:proofErr w:type="spellEnd"/>
    </w:p>
    <w:p w:rsidR="00D91DA6" w:rsidRPr="00D91DA6" w:rsidRDefault="00C30A97" w:rsidP="00875F2D">
      <w:pPr>
        <w:tabs>
          <w:tab w:val="left" w:pos="0"/>
          <w:tab w:val="left" w:pos="4320"/>
        </w:tabs>
        <w:spacing w:line="240" w:lineRule="exact"/>
        <w:jc w:val="both"/>
        <w:rPr>
          <w:color w:val="000080"/>
        </w:rPr>
      </w:pPr>
      <w:r>
        <w:rPr>
          <w:color w:val="000080"/>
        </w:rPr>
        <w:t xml:space="preserve">                             </w:t>
      </w:r>
      <w:r w:rsidR="00D91DA6" w:rsidRPr="00D91DA6">
        <w:rPr>
          <w:color w:val="000080"/>
        </w:rPr>
        <w:t>President</w:t>
      </w:r>
    </w:p>
    <w:p w:rsidR="00A970DF" w:rsidRDefault="00C30A97" w:rsidP="00AF2874">
      <w:pPr>
        <w:tabs>
          <w:tab w:val="left" w:pos="288"/>
          <w:tab w:val="left" w:pos="4320"/>
          <w:tab w:val="left" w:pos="4410"/>
          <w:tab w:val="left" w:pos="4770"/>
          <w:tab w:val="left" w:pos="4860"/>
          <w:tab w:val="left" w:pos="5040"/>
        </w:tabs>
        <w:spacing w:line="240" w:lineRule="exact"/>
        <w:jc w:val="both"/>
        <w:rPr>
          <w:rFonts w:ascii="Janson Text" w:hAnsi="Janson Text"/>
          <w:color w:val="auto"/>
          <w:szCs w:val="24"/>
        </w:rPr>
      </w:pPr>
      <w:r>
        <w:rPr>
          <w:color w:val="000080"/>
        </w:rPr>
        <w:tab/>
        <w:t xml:space="preserve">                           </w:t>
      </w:r>
      <w:r w:rsidR="00D91DA6" w:rsidRPr="00D91DA6">
        <w:rPr>
          <w:color w:val="000080"/>
        </w:rPr>
        <w:t>Physical Disability</w:t>
      </w:r>
      <w:r w:rsidR="00D91DA6">
        <w:rPr>
          <w:color w:val="000080"/>
        </w:rPr>
        <w:t xml:space="preserve"> </w:t>
      </w:r>
      <w:r w:rsidR="00D91DA6" w:rsidRPr="00D91DA6">
        <w:rPr>
          <w:color w:val="000080"/>
        </w:rPr>
        <w:t>Board of Review</w:t>
      </w:r>
    </w:p>
    <w:p w:rsidR="007C575B" w:rsidRDefault="007C575B" w:rsidP="007C575B">
      <w:pPr>
        <w:pStyle w:val="Default"/>
        <w:framePr w:w="18194"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0379D0" w:rsidRPr="00BD1FF5" w:rsidRDefault="000379D0" w:rsidP="007C575B">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BD1FF5"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46" w:rsidRDefault="002E4C46">
      <w:r>
        <w:separator/>
      </w:r>
    </w:p>
  </w:endnote>
  <w:endnote w:type="continuationSeparator" w:id="0">
    <w:p w:rsidR="002E4C46" w:rsidRDefault="002E4C46">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0333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0333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C575B">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D1FF5">
      <w:rPr>
        <w:caps/>
        <w:color w:val="000080"/>
      </w:rPr>
      <w:t>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46" w:rsidRDefault="002E4C46">
      <w:r>
        <w:separator/>
      </w:r>
    </w:p>
  </w:footnote>
  <w:footnote w:type="continuationSeparator" w:id="0">
    <w:p w:rsidR="002E4C46" w:rsidRDefault="002E4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14F"/>
    <w:rsid w:val="000059FA"/>
    <w:rsid w:val="00010ABA"/>
    <w:rsid w:val="000145C2"/>
    <w:rsid w:val="00023D43"/>
    <w:rsid w:val="00035C3A"/>
    <w:rsid w:val="000379D0"/>
    <w:rsid w:val="00040FC4"/>
    <w:rsid w:val="000416F8"/>
    <w:rsid w:val="00051622"/>
    <w:rsid w:val="00066F7A"/>
    <w:rsid w:val="00072433"/>
    <w:rsid w:val="00073EC8"/>
    <w:rsid w:val="000862D1"/>
    <w:rsid w:val="0008708B"/>
    <w:rsid w:val="000A2BCE"/>
    <w:rsid w:val="000A4BBA"/>
    <w:rsid w:val="000C7DE4"/>
    <w:rsid w:val="000D15E7"/>
    <w:rsid w:val="000D248A"/>
    <w:rsid w:val="000D31C7"/>
    <w:rsid w:val="000D43F9"/>
    <w:rsid w:val="000D4717"/>
    <w:rsid w:val="000D7D55"/>
    <w:rsid w:val="000F427B"/>
    <w:rsid w:val="0010333E"/>
    <w:rsid w:val="0010417F"/>
    <w:rsid w:val="0010530E"/>
    <w:rsid w:val="001103CD"/>
    <w:rsid w:val="00114F20"/>
    <w:rsid w:val="00116A5F"/>
    <w:rsid w:val="001231DC"/>
    <w:rsid w:val="001315DD"/>
    <w:rsid w:val="00135385"/>
    <w:rsid w:val="001364D1"/>
    <w:rsid w:val="001541C5"/>
    <w:rsid w:val="00177659"/>
    <w:rsid w:val="00185ECB"/>
    <w:rsid w:val="0019273F"/>
    <w:rsid w:val="001A7538"/>
    <w:rsid w:val="001B5B59"/>
    <w:rsid w:val="001C181A"/>
    <w:rsid w:val="001C2053"/>
    <w:rsid w:val="001C28D1"/>
    <w:rsid w:val="001C7418"/>
    <w:rsid w:val="001D0051"/>
    <w:rsid w:val="001D2224"/>
    <w:rsid w:val="001D68CF"/>
    <w:rsid w:val="001D6A8C"/>
    <w:rsid w:val="001D7A56"/>
    <w:rsid w:val="001E18E2"/>
    <w:rsid w:val="002060B6"/>
    <w:rsid w:val="00216049"/>
    <w:rsid w:val="00217C09"/>
    <w:rsid w:val="00225196"/>
    <w:rsid w:val="00225CB4"/>
    <w:rsid w:val="002338CA"/>
    <w:rsid w:val="0024227D"/>
    <w:rsid w:val="0024551F"/>
    <w:rsid w:val="00246860"/>
    <w:rsid w:val="0025183C"/>
    <w:rsid w:val="0026318D"/>
    <w:rsid w:val="0027159C"/>
    <w:rsid w:val="00274549"/>
    <w:rsid w:val="00274E46"/>
    <w:rsid w:val="00276C86"/>
    <w:rsid w:val="002A0DE7"/>
    <w:rsid w:val="002B03B2"/>
    <w:rsid w:val="002B0749"/>
    <w:rsid w:val="002B3106"/>
    <w:rsid w:val="002C6E5B"/>
    <w:rsid w:val="002D18B4"/>
    <w:rsid w:val="002E1C31"/>
    <w:rsid w:val="002E333A"/>
    <w:rsid w:val="002E3474"/>
    <w:rsid w:val="002E4C46"/>
    <w:rsid w:val="002E764B"/>
    <w:rsid w:val="002F68AD"/>
    <w:rsid w:val="002F7F81"/>
    <w:rsid w:val="00323E70"/>
    <w:rsid w:val="0033555E"/>
    <w:rsid w:val="00341A54"/>
    <w:rsid w:val="003425B4"/>
    <w:rsid w:val="0035356C"/>
    <w:rsid w:val="00363362"/>
    <w:rsid w:val="0037520D"/>
    <w:rsid w:val="00377BD2"/>
    <w:rsid w:val="003857D4"/>
    <w:rsid w:val="00385D6F"/>
    <w:rsid w:val="00393651"/>
    <w:rsid w:val="003A41BA"/>
    <w:rsid w:val="003A6A99"/>
    <w:rsid w:val="003B227A"/>
    <w:rsid w:val="003D2BA3"/>
    <w:rsid w:val="003D7DDB"/>
    <w:rsid w:val="003E0543"/>
    <w:rsid w:val="003F024D"/>
    <w:rsid w:val="003F58B0"/>
    <w:rsid w:val="004007E9"/>
    <w:rsid w:val="00401BBC"/>
    <w:rsid w:val="00404B45"/>
    <w:rsid w:val="00406CC5"/>
    <w:rsid w:val="004074A4"/>
    <w:rsid w:val="004101B2"/>
    <w:rsid w:val="004172DB"/>
    <w:rsid w:val="00422B75"/>
    <w:rsid w:val="0043503A"/>
    <w:rsid w:val="0044384F"/>
    <w:rsid w:val="004543BC"/>
    <w:rsid w:val="004574C6"/>
    <w:rsid w:val="00457BCF"/>
    <w:rsid w:val="00461255"/>
    <w:rsid w:val="004718E7"/>
    <w:rsid w:val="004761CC"/>
    <w:rsid w:val="00495350"/>
    <w:rsid w:val="004A24D2"/>
    <w:rsid w:val="004A4136"/>
    <w:rsid w:val="004B03F3"/>
    <w:rsid w:val="004B7169"/>
    <w:rsid w:val="004C6CDA"/>
    <w:rsid w:val="004E32EA"/>
    <w:rsid w:val="00510588"/>
    <w:rsid w:val="0051146C"/>
    <w:rsid w:val="005222E7"/>
    <w:rsid w:val="0052590B"/>
    <w:rsid w:val="00526591"/>
    <w:rsid w:val="005350A5"/>
    <w:rsid w:val="00535F2C"/>
    <w:rsid w:val="00536379"/>
    <w:rsid w:val="00540BEF"/>
    <w:rsid w:val="005436C2"/>
    <w:rsid w:val="0055288D"/>
    <w:rsid w:val="00582115"/>
    <w:rsid w:val="00593043"/>
    <w:rsid w:val="005941F8"/>
    <w:rsid w:val="005A258C"/>
    <w:rsid w:val="005A3560"/>
    <w:rsid w:val="005B011A"/>
    <w:rsid w:val="005B0C63"/>
    <w:rsid w:val="005F1115"/>
    <w:rsid w:val="005F27F2"/>
    <w:rsid w:val="005F424D"/>
    <w:rsid w:val="00615641"/>
    <w:rsid w:val="006307BA"/>
    <w:rsid w:val="00634C4A"/>
    <w:rsid w:val="006418C9"/>
    <w:rsid w:val="00645046"/>
    <w:rsid w:val="006466F7"/>
    <w:rsid w:val="00662F08"/>
    <w:rsid w:val="00663589"/>
    <w:rsid w:val="00670DDC"/>
    <w:rsid w:val="0067443B"/>
    <w:rsid w:val="00684E2B"/>
    <w:rsid w:val="00690FDA"/>
    <w:rsid w:val="00696476"/>
    <w:rsid w:val="006A10FA"/>
    <w:rsid w:val="006A40E6"/>
    <w:rsid w:val="006A5C07"/>
    <w:rsid w:val="006A75FA"/>
    <w:rsid w:val="006B07D5"/>
    <w:rsid w:val="006B5923"/>
    <w:rsid w:val="006B6C14"/>
    <w:rsid w:val="006D2D39"/>
    <w:rsid w:val="006E06D1"/>
    <w:rsid w:val="006E7356"/>
    <w:rsid w:val="006F1A46"/>
    <w:rsid w:val="007165CE"/>
    <w:rsid w:val="007167E1"/>
    <w:rsid w:val="00720968"/>
    <w:rsid w:val="00720C90"/>
    <w:rsid w:val="00721D12"/>
    <w:rsid w:val="00721F8B"/>
    <w:rsid w:val="00736A49"/>
    <w:rsid w:val="00741461"/>
    <w:rsid w:val="00744EBB"/>
    <w:rsid w:val="00746AE2"/>
    <w:rsid w:val="00750C82"/>
    <w:rsid w:val="00754107"/>
    <w:rsid w:val="0076100C"/>
    <w:rsid w:val="007651ED"/>
    <w:rsid w:val="00781BD4"/>
    <w:rsid w:val="00784832"/>
    <w:rsid w:val="00791F1E"/>
    <w:rsid w:val="007A0B39"/>
    <w:rsid w:val="007A14A4"/>
    <w:rsid w:val="007A168F"/>
    <w:rsid w:val="007A28E4"/>
    <w:rsid w:val="007A5AD1"/>
    <w:rsid w:val="007B0A06"/>
    <w:rsid w:val="007B5C5C"/>
    <w:rsid w:val="007B7C41"/>
    <w:rsid w:val="007C433E"/>
    <w:rsid w:val="007C575B"/>
    <w:rsid w:val="007D0292"/>
    <w:rsid w:val="007E2046"/>
    <w:rsid w:val="007E4FBB"/>
    <w:rsid w:val="007F320A"/>
    <w:rsid w:val="00800CF0"/>
    <w:rsid w:val="00811D5B"/>
    <w:rsid w:val="00817713"/>
    <w:rsid w:val="00830999"/>
    <w:rsid w:val="00830D5E"/>
    <w:rsid w:val="00830F69"/>
    <w:rsid w:val="00834458"/>
    <w:rsid w:val="00837465"/>
    <w:rsid w:val="00841457"/>
    <w:rsid w:val="0084374E"/>
    <w:rsid w:val="00844842"/>
    <w:rsid w:val="00851D75"/>
    <w:rsid w:val="0085206E"/>
    <w:rsid w:val="00853718"/>
    <w:rsid w:val="008541EF"/>
    <w:rsid w:val="00860FD5"/>
    <w:rsid w:val="0086162B"/>
    <w:rsid w:val="00865207"/>
    <w:rsid w:val="00871262"/>
    <w:rsid w:val="00875B51"/>
    <w:rsid w:val="00875F2D"/>
    <w:rsid w:val="008A63A9"/>
    <w:rsid w:val="008B04DB"/>
    <w:rsid w:val="008B5D31"/>
    <w:rsid w:val="008C098D"/>
    <w:rsid w:val="008D4A50"/>
    <w:rsid w:val="008D7B07"/>
    <w:rsid w:val="008E2D99"/>
    <w:rsid w:val="008E4A60"/>
    <w:rsid w:val="009026E8"/>
    <w:rsid w:val="00914ADB"/>
    <w:rsid w:val="00923B25"/>
    <w:rsid w:val="00942645"/>
    <w:rsid w:val="0095340A"/>
    <w:rsid w:val="00954581"/>
    <w:rsid w:val="0095466C"/>
    <w:rsid w:val="0096168C"/>
    <w:rsid w:val="00962F2D"/>
    <w:rsid w:val="009732B8"/>
    <w:rsid w:val="00977CB4"/>
    <w:rsid w:val="00985099"/>
    <w:rsid w:val="009A0DE3"/>
    <w:rsid w:val="009A2103"/>
    <w:rsid w:val="009B1534"/>
    <w:rsid w:val="009B69D3"/>
    <w:rsid w:val="009B7BA7"/>
    <w:rsid w:val="009C0938"/>
    <w:rsid w:val="009C3F82"/>
    <w:rsid w:val="009C5379"/>
    <w:rsid w:val="009C7DF5"/>
    <w:rsid w:val="009D1ADE"/>
    <w:rsid w:val="009E1283"/>
    <w:rsid w:val="00A1105B"/>
    <w:rsid w:val="00A16876"/>
    <w:rsid w:val="00A200AA"/>
    <w:rsid w:val="00A2186F"/>
    <w:rsid w:val="00A2270B"/>
    <w:rsid w:val="00A2496E"/>
    <w:rsid w:val="00A258B7"/>
    <w:rsid w:val="00A47CF1"/>
    <w:rsid w:val="00A50418"/>
    <w:rsid w:val="00A608FB"/>
    <w:rsid w:val="00A70E7B"/>
    <w:rsid w:val="00A76094"/>
    <w:rsid w:val="00A85F35"/>
    <w:rsid w:val="00A86CB6"/>
    <w:rsid w:val="00A90D55"/>
    <w:rsid w:val="00A970DF"/>
    <w:rsid w:val="00AA04B3"/>
    <w:rsid w:val="00AC439D"/>
    <w:rsid w:val="00AE2D29"/>
    <w:rsid w:val="00AF2874"/>
    <w:rsid w:val="00B32179"/>
    <w:rsid w:val="00B40A3E"/>
    <w:rsid w:val="00B522CD"/>
    <w:rsid w:val="00B55917"/>
    <w:rsid w:val="00B72303"/>
    <w:rsid w:val="00B82277"/>
    <w:rsid w:val="00B95833"/>
    <w:rsid w:val="00BA2D98"/>
    <w:rsid w:val="00BA30D1"/>
    <w:rsid w:val="00BA4609"/>
    <w:rsid w:val="00BA5BE2"/>
    <w:rsid w:val="00BA7F46"/>
    <w:rsid w:val="00BB0A0A"/>
    <w:rsid w:val="00BC09D1"/>
    <w:rsid w:val="00BD1FF5"/>
    <w:rsid w:val="00BD6806"/>
    <w:rsid w:val="00BD7831"/>
    <w:rsid w:val="00BD7C10"/>
    <w:rsid w:val="00BE0DEB"/>
    <w:rsid w:val="00BE6365"/>
    <w:rsid w:val="00C13B34"/>
    <w:rsid w:val="00C261C6"/>
    <w:rsid w:val="00C30A97"/>
    <w:rsid w:val="00C31DDC"/>
    <w:rsid w:val="00C34326"/>
    <w:rsid w:val="00C368E8"/>
    <w:rsid w:val="00C5019E"/>
    <w:rsid w:val="00C54DF3"/>
    <w:rsid w:val="00C56FC8"/>
    <w:rsid w:val="00C71BEC"/>
    <w:rsid w:val="00C84AD1"/>
    <w:rsid w:val="00C85579"/>
    <w:rsid w:val="00CA068D"/>
    <w:rsid w:val="00CA282D"/>
    <w:rsid w:val="00CB23DC"/>
    <w:rsid w:val="00CB28E2"/>
    <w:rsid w:val="00CB7FF7"/>
    <w:rsid w:val="00CC2044"/>
    <w:rsid w:val="00CC619E"/>
    <w:rsid w:val="00CC69EC"/>
    <w:rsid w:val="00CD34C7"/>
    <w:rsid w:val="00CD63C8"/>
    <w:rsid w:val="00CF158D"/>
    <w:rsid w:val="00CF4394"/>
    <w:rsid w:val="00CF5613"/>
    <w:rsid w:val="00D14A2C"/>
    <w:rsid w:val="00D14BAE"/>
    <w:rsid w:val="00D1648B"/>
    <w:rsid w:val="00D16819"/>
    <w:rsid w:val="00D20AC0"/>
    <w:rsid w:val="00D31C7B"/>
    <w:rsid w:val="00D336C8"/>
    <w:rsid w:val="00D339E8"/>
    <w:rsid w:val="00D40B1F"/>
    <w:rsid w:val="00D4699B"/>
    <w:rsid w:val="00D50C8C"/>
    <w:rsid w:val="00D52393"/>
    <w:rsid w:val="00D53F14"/>
    <w:rsid w:val="00D76AB2"/>
    <w:rsid w:val="00D829AD"/>
    <w:rsid w:val="00D87092"/>
    <w:rsid w:val="00D87788"/>
    <w:rsid w:val="00D910C2"/>
    <w:rsid w:val="00D9189B"/>
    <w:rsid w:val="00D91DA6"/>
    <w:rsid w:val="00D972D4"/>
    <w:rsid w:val="00DA195B"/>
    <w:rsid w:val="00DA29A1"/>
    <w:rsid w:val="00DB0015"/>
    <w:rsid w:val="00DB2AAD"/>
    <w:rsid w:val="00DD3593"/>
    <w:rsid w:val="00DE7E74"/>
    <w:rsid w:val="00E00A69"/>
    <w:rsid w:val="00E017F0"/>
    <w:rsid w:val="00E041E4"/>
    <w:rsid w:val="00E14581"/>
    <w:rsid w:val="00E15539"/>
    <w:rsid w:val="00E16541"/>
    <w:rsid w:val="00E23BF1"/>
    <w:rsid w:val="00E2632B"/>
    <w:rsid w:val="00E405EA"/>
    <w:rsid w:val="00E42789"/>
    <w:rsid w:val="00E456E6"/>
    <w:rsid w:val="00E464F0"/>
    <w:rsid w:val="00E50BEB"/>
    <w:rsid w:val="00E70719"/>
    <w:rsid w:val="00E738CB"/>
    <w:rsid w:val="00E81F9B"/>
    <w:rsid w:val="00E82B6D"/>
    <w:rsid w:val="00E862EC"/>
    <w:rsid w:val="00EA11B6"/>
    <w:rsid w:val="00EA2DD8"/>
    <w:rsid w:val="00EA681F"/>
    <w:rsid w:val="00EB581A"/>
    <w:rsid w:val="00EB76E4"/>
    <w:rsid w:val="00EC0E65"/>
    <w:rsid w:val="00EC50C9"/>
    <w:rsid w:val="00EC7A5C"/>
    <w:rsid w:val="00EE0B44"/>
    <w:rsid w:val="00EE49EF"/>
    <w:rsid w:val="00EF608E"/>
    <w:rsid w:val="00F0706C"/>
    <w:rsid w:val="00F07B65"/>
    <w:rsid w:val="00F11EBE"/>
    <w:rsid w:val="00F1516A"/>
    <w:rsid w:val="00F22A26"/>
    <w:rsid w:val="00F32139"/>
    <w:rsid w:val="00F34E08"/>
    <w:rsid w:val="00F41D91"/>
    <w:rsid w:val="00F46964"/>
    <w:rsid w:val="00F5126A"/>
    <w:rsid w:val="00F718A8"/>
    <w:rsid w:val="00F72183"/>
    <w:rsid w:val="00F73CA5"/>
    <w:rsid w:val="00F82981"/>
    <w:rsid w:val="00F8311F"/>
    <w:rsid w:val="00F83248"/>
    <w:rsid w:val="00F853AE"/>
    <w:rsid w:val="00F92967"/>
    <w:rsid w:val="00F93DCC"/>
    <w:rsid w:val="00F9435D"/>
    <w:rsid w:val="00FB593A"/>
    <w:rsid w:val="00FB6E82"/>
    <w:rsid w:val="00FC4576"/>
    <w:rsid w:val="00FC7DBC"/>
    <w:rsid w:val="00FD1D5A"/>
    <w:rsid w:val="00FD4D28"/>
    <w:rsid w:val="00FF3C25"/>
    <w:rsid w:val="00FF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C575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2888912">
      <w:bodyDiv w:val="1"/>
      <w:marLeft w:val="0"/>
      <w:marRight w:val="0"/>
      <w:marTop w:val="0"/>
      <w:marBottom w:val="0"/>
      <w:divBdr>
        <w:top w:val="none" w:sz="0" w:space="0" w:color="auto"/>
        <w:left w:val="none" w:sz="0" w:space="0" w:color="auto"/>
        <w:bottom w:val="none" w:sz="0" w:space="0" w:color="auto"/>
        <w:right w:val="none" w:sz="0" w:space="0" w:color="auto"/>
      </w:divBdr>
    </w:div>
    <w:div w:id="1039083797">
      <w:bodyDiv w:val="1"/>
      <w:marLeft w:val="0"/>
      <w:marRight w:val="0"/>
      <w:marTop w:val="0"/>
      <w:marBottom w:val="0"/>
      <w:divBdr>
        <w:top w:val="none" w:sz="0" w:space="0" w:color="auto"/>
        <w:left w:val="none" w:sz="0" w:space="0" w:color="auto"/>
        <w:bottom w:val="none" w:sz="0" w:space="0" w:color="auto"/>
        <w:right w:val="none" w:sz="0" w:space="0" w:color="auto"/>
      </w:divBdr>
    </w:div>
    <w:div w:id="127652477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400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1644</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2009-12-18T13:40:00Z</cp:lastPrinted>
  <dcterms:created xsi:type="dcterms:W3CDTF">2011-12-22T16:21:00Z</dcterms:created>
  <dcterms:modified xsi:type="dcterms:W3CDTF">2011-12-22T16:21:00Z</dcterms:modified>
</cp:coreProperties>
</file>